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附件5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先进合金材料（钨钼钛镁等）产业链绿色化升级改造实施指南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lang w:eastAsia="zh-CN"/>
        </w:rPr>
        <w:t>重点领域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钨、钼、钛、镁、铅、锌等重点产品生产过程绿色化改造。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eastAsia="zh-CN"/>
        </w:rPr>
        <w:t>技术升级路径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提升</w:t>
      </w:r>
      <w:r>
        <w:rPr>
          <w:rFonts w:hint="default" w:ascii="Times New Roman" w:hAnsi="Times New Roman" w:cs="Times New Roman"/>
          <w:lang w:val="en-US" w:eastAsia="zh-CN"/>
        </w:rPr>
        <w:t>纳米级钨/碳化钨粉、钨钼及其合金溅射靶材、低成本高品质海绵钛、高强耐磨锌合金、锌铝镁粉体材料、核裂变反应堆冷却剂用铅铋合金等产品关键技术装备绿色化水平。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二）</w:t>
      </w:r>
      <w:r>
        <w:rPr>
          <w:rFonts w:hint="default" w:ascii="Times New Roman" w:hAnsi="Times New Roman" w:eastAsia="楷体" w:cs="Times New Roman"/>
          <w:lang w:eastAsia="zh-CN"/>
        </w:rPr>
        <w:t>工艺改造路径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钨钼相似元素深度分离关键技术、钛及钛合金短流程低成本电子束冷床熔炼技术、大型薄壁复杂钛合金精密铸造技术、高强度高耐蚀钛合金管及板带材制备技术、钛及钛合金残料回收及循环利用技术、高效节能环保的表面防护处理技术、废料回收与再生利用技术、液态高铅渣直接还原技术、高效湿法锌冶炼技术、锌精矿大型化焙烧技术、赤铁矿法除铁炼锌技术、多孔介质燃烧技术、侧吹还原熔炼粉煤浸没喷吹技术等绿色低碳先进适用技术改造。加强铅锌污酸资源化利用技术、钨冶炼废水零排放技术等先进节水技术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分散式风电、新型储能、氢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加快真空熔炼炉、连铸连轧生产线、高效的</w:t>
      </w:r>
      <w:r>
        <w:rPr>
          <w:rFonts w:hint="default" w:ascii="Times New Roman" w:hAnsi="Times New Roman" w:cs="Times New Roman"/>
        </w:rPr>
        <w:t>真空镀膜机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电解槽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铸造机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压铸机</w:t>
      </w:r>
      <w:r>
        <w:rPr>
          <w:rFonts w:hint="default" w:ascii="Times New Roman" w:hAnsi="Times New Roman" w:cs="Times New Roman"/>
          <w:lang w:val="en-US" w:eastAsia="zh-CN"/>
        </w:rPr>
        <w:t>等关键装备升级改造。</w:t>
      </w:r>
      <w:r>
        <w:rPr>
          <w:rFonts w:hint="default" w:ascii="Times New Roman" w:hAnsi="Times New Roman" w:cs="Times New Roman"/>
        </w:rPr>
        <w:t>实施电机、风机、泵、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、变压器、</w:t>
      </w:r>
      <w:r>
        <w:rPr>
          <w:rFonts w:hint="default" w:ascii="Times New Roman" w:hAnsi="Times New Roman" w:cs="Times New Roman"/>
          <w:lang w:val="en-US" w:eastAsia="zh-CN"/>
        </w:rPr>
        <w:t>空调、照明器具</w:t>
      </w:r>
      <w:r>
        <w:rPr>
          <w:rFonts w:hint="default" w:ascii="Times New Roman" w:hAnsi="Times New Roman" w:cs="Times New Roman"/>
        </w:rPr>
        <w:t>等重点用能产品设备更新升级改造，改造后</w:t>
      </w:r>
      <w:r>
        <w:rPr>
          <w:rFonts w:hint="default" w:ascii="Times New Roman" w:hAnsi="Times New Roman" w:cs="Times New Roman"/>
          <w:lang w:val="en-US" w:eastAsia="zh-CN"/>
        </w:rPr>
        <w:t>通用设备能效</w:t>
      </w:r>
      <w:r>
        <w:rPr>
          <w:rFonts w:hint="default" w:ascii="Times New Roman" w:hAnsi="Times New Roman" w:cs="Times New Roman"/>
        </w:rPr>
        <w:t>达到强制性能效标准2级及以上。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A33591-F86F-48FE-B311-A44C7FBB3B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B98C53C-62D6-4963-A6AE-DC64D2B21E8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020E47E-C36D-405B-A52B-DE22C936550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A6C5F8E-30C8-4173-87AE-D8015408A9BD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D0C3C66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autoRedefine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autoRedefine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2024-02-19T09:29:30Z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