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B53BA4">
      <w:pPr>
        <w:pStyle w:val="9"/>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both"/>
        <w:textAlignment w:val="auto"/>
        <w:rPr>
          <w:rFonts w:hint="default" w:ascii="Times New Roman" w:hAnsi="Times New Roman" w:eastAsia="方正小标宋简体" w:cs="Times New Roman"/>
          <w:sz w:val="44"/>
          <w:szCs w:val="44"/>
          <w:lang w:val="en-US" w:eastAsia="zh-CN"/>
        </w:rPr>
      </w:pPr>
      <w:r>
        <w:rPr>
          <w:rFonts w:hint="eastAsia" w:ascii="仿宋_GB2312" w:hAnsi="仿宋_GB2312" w:eastAsia="仿宋_GB2312" w:cs="仿宋_GB2312"/>
          <w:sz w:val="32"/>
          <w:szCs w:val="32"/>
        </w:rPr>
        <w:t>附件</w:t>
      </w:r>
    </w:p>
    <w:p w14:paraId="284E5DB6">
      <w:pPr>
        <w:pStyle w:val="9"/>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center"/>
        <w:textAlignment w:val="auto"/>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2026年度省级生产制造方式转型（工业领域设备更新）示范项目专项资金拟分配方案</w:t>
      </w:r>
    </w:p>
    <w:p w14:paraId="3081B346">
      <w:pPr>
        <w:pStyle w:val="9"/>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center"/>
        <w:textAlignment w:val="auto"/>
        <w:rPr>
          <w:rFonts w:hint="default" w:ascii="Times New Roman" w:hAnsi="Times New Roman" w:eastAsia="方正小标宋简体" w:cs="Times New Roman"/>
          <w:sz w:val="44"/>
          <w:szCs w:val="44"/>
          <w:lang w:val="en-US" w:eastAsia="zh-CN"/>
        </w:rPr>
      </w:pP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0"/>
        <w:gridCol w:w="3805"/>
        <w:gridCol w:w="2025"/>
        <w:gridCol w:w="1845"/>
        <w:gridCol w:w="1665"/>
      </w:tblGrid>
      <w:tr w14:paraId="5BBE9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590" w:type="dxa"/>
            <w:tcBorders>
              <w:tl2br w:val="nil"/>
              <w:tr2bl w:val="nil"/>
            </w:tcBorders>
            <w:noWrap w:val="0"/>
            <w:vAlign w:val="center"/>
          </w:tcPr>
          <w:p w14:paraId="4F7A001C">
            <w:pPr>
              <w:bidi w:val="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序号</w:t>
            </w:r>
          </w:p>
        </w:tc>
        <w:tc>
          <w:tcPr>
            <w:tcW w:w="3805" w:type="dxa"/>
            <w:tcBorders>
              <w:tl2br w:val="nil"/>
              <w:tr2bl w:val="nil"/>
            </w:tcBorders>
            <w:noWrap w:val="0"/>
            <w:vAlign w:val="center"/>
          </w:tcPr>
          <w:p w14:paraId="33822AB7">
            <w:pPr>
              <w:bidi w:val="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项目名称</w:t>
            </w:r>
          </w:p>
        </w:tc>
        <w:tc>
          <w:tcPr>
            <w:tcW w:w="2025" w:type="dxa"/>
            <w:tcBorders>
              <w:tl2br w:val="nil"/>
              <w:tr2bl w:val="nil"/>
            </w:tcBorders>
            <w:noWrap w:val="0"/>
            <w:vAlign w:val="center"/>
          </w:tcPr>
          <w:p w14:paraId="33066C87">
            <w:pPr>
              <w:bidi w:val="0"/>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实施企业</w:t>
            </w:r>
          </w:p>
        </w:tc>
        <w:tc>
          <w:tcPr>
            <w:tcW w:w="1845" w:type="dxa"/>
            <w:tcBorders>
              <w:tl2br w:val="nil"/>
              <w:tr2bl w:val="nil"/>
            </w:tcBorders>
            <w:noWrap w:val="0"/>
            <w:vAlign w:val="center"/>
          </w:tcPr>
          <w:p w14:paraId="26EA4EB1">
            <w:pPr>
              <w:jc w:val="center"/>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拟奖补省级</w:t>
            </w:r>
          </w:p>
          <w:p w14:paraId="72BCD021">
            <w:pPr>
              <w:jc w:val="center"/>
              <w:rPr>
                <w:rFonts w:hint="eastAsia" w:ascii="Times New Roman" w:hAnsi="Times New Roman" w:eastAsia="黑体" w:cs="Times New Roman"/>
                <w:sz w:val="24"/>
                <w:szCs w:val="24"/>
                <w:lang w:val="en-US" w:eastAsia="zh-CN"/>
              </w:rPr>
            </w:pPr>
            <w:bookmarkStart w:id="0" w:name="_GoBack"/>
            <w:bookmarkEnd w:id="0"/>
            <w:r>
              <w:rPr>
                <w:rFonts w:hint="default" w:ascii="Times New Roman" w:hAnsi="Times New Roman" w:eastAsia="黑体" w:cs="Times New Roman"/>
                <w:sz w:val="24"/>
                <w:szCs w:val="24"/>
                <w:lang w:val="en-US" w:eastAsia="zh-CN"/>
              </w:rPr>
              <w:t>专项资金</w:t>
            </w:r>
            <w:r>
              <w:rPr>
                <w:rFonts w:hint="eastAsia" w:ascii="Times New Roman" w:hAnsi="Times New Roman" w:eastAsia="黑体" w:cs="Times New Roman"/>
                <w:sz w:val="24"/>
                <w:szCs w:val="24"/>
                <w:lang w:val="en-US" w:eastAsia="zh-CN"/>
              </w:rPr>
              <w:t xml:space="preserve"> </w:t>
            </w:r>
          </w:p>
          <w:p w14:paraId="2A262C4A">
            <w:pPr>
              <w:jc w:val="center"/>
              <w:rPr>
                <w:rFonts w:hint="default" w:ascii="Times New Roman" w:hAnsi="Times New Roman" w:eastAsia="黑体" w:cs="Times New Roman"/>
                <w:sz w:val="24"/>
                <w:szCs w:val="24"/>
                <w:lang w:val="en-US" w:eastAsia="zh-CN"/>
              </w:rPr>
            </w:pPr>
            <w:r>
              <w:rPr>
                <w:rFonts w:hint="eastAsia" w:ascii="Times New Roman" w:hAnsi="Times New Roman" w:eastAsia="黑体" w:cs="Times New Roman"/>
                <w:sz w:val="24"/>
                <w:szCs w:val="24"/>
                <w:lang w:val="en-US" w:eastAsia="zh-CN"/>
              </w:rPr>
              <w:t>（万元）</w:t>
            </w:r>
          </w:p>
        </w:tc>
        <w:tc>
          <w:tcPr>
            <w:tcW w:w="1665" w:type="dxa"/>
            <w:tcBorders>
              <w:tl2br w:val="nil"/>
              <w:tr2bl w:val="nil"/>
            </w:tcBorders>
            <w:noWrap w:val="0"/>
            <w:vAlign w:val="center"/>
          </w:tcPr>
          <w:p w14:paraId="3D0B3D79">
            <w:pPr>
              <w:jc w:val="center"/>
              <w:rPr>
                <w:rFonts w:hint="default" w:ascii="Times New Roman" w:hAnsi="Times New Roman" w:eastAsia="黑体" w:cs="Times New Roman"/>
                <w:sz w:val="24"/>
                <w:szCs w:val="24"/>
                <w:lang w:val="en-US" w:eastAsia="zh-CN"/>
              </w:rPr>
            </w:pPr>
            <w:r>
              <w:rPr>
                <w:rFonts w:hint="eastAsia" w:ascii="Times New Roman" w:hAnsi="Times New Roman" w:eastAsia="黑体" w:cs="Times New Roman"/>
                <w:sz w:val="24"/>
                <w:szCs w:val="24"/>
                <w:lang w:val="en-US" w:eastAsia="zh-CN"/>
              </w:rPr>
              <w:t>所在区域</w:t>
            </w:r>
          </w:p>
        </w:tc>
      </w:tr>
      <w:tr w14:paraId="74EEB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1" w:hRule="atLeast"/>
        </w:trPr>
        <w:tc>
          <w:tcPr>
            <w:tcW w:w="590" w:type="dxa"/>
            <w:tcBorders>
              <w:tl2br w:val="nil"/>
              <w:tr2bl w:val="nil"/>
            </w:tcBorders>
            <w:noWrap w:val="0"/>
            <w:vAlign w:val="center"/>
          </w:tcPr>
          <w:p w14:paraId="4BFB2145">
            <w:pPr>
              <w:bidi w:val="0"/>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1</w:t>
            </w:r>
          </w:p>
        </w:tc>
        <w:tc>
          <w:tcPr>
            <w:tcW w:w="3805" w:type="dxa"/>
            <w:tcBorders>
              <w:tl2br w:val="nil"/>
              <w:tr2bl w:val="nil"/>
            </w:tcBorders>
            <w:noWrap w:val="0"/>
            <w:vAlign w:val="center"/>
          </w:tcPr>
          <w:p w14:paraId="77F73F9D">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年产36万套域控制器生产线智能化技术改造项目</w:t>
            </w:r>
          </w:p>
        </w:tc>
        <w:tc>
          <w:tcPr>
            <w:tcW w:w="2025" w:type="dxa"/>
            <w:tcBorders>
              <w:tl2br w:val="nil"/>
              <w:tr2bl w:val="nil"/>
            </w:tcBorders>
            <w:noWrap w:val="0"/>
            <w:vAlign w:val="center"/>
          </w:tcPr>
          <w:p w14:paraId="17713B81">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浙江长江汽车电子有限公司</w:t>
            </w:r>
          </w:p>
        </w:tc>
        <w:tc>
          <w:tcPr>
            <w:tcW w:w="1845" w:type="dxa"/>
            <w:tcBorders>
              <w:tl2br w:val="nil"/>
              <w:tr2bl w:val="nil"/>
            </w:tcBorders>
            <w:noWrap w:val="0"/>
            <w:vAlign w:val="center"/>
          </w:tcPr>
          <w:p w14:paraId="2F90C2F9">
            <w:pPr>
              <w:bidi w:val="0"/>
              <w:jc w:val="center"/>
              <w:rPr>
                <w:rFonts w:hint="default" w:ascii="Times New Roman" w:hAnsi="Times New Roman" w:eastAsia="仿宋_GB2312" w:cs="Times New Roman"/>
                <w:kern w:val="2"/>
                <w:sz w:val="24"/>
                <w:szCs w:val="24"/>
                <w:lang w:val="en-US" w:eastAsia="zh-CN" w:bidi="ar-SA"/>
              </w:rPr>
            </w:pPr>
            <w:r>
              <w:rPr>
                <w:rFonts w:hint="eastAsia" w:cs="Times New Roman"/>
                <w:sz w:val="24"/>
                <w:szCs w:val="24"/>
                <w:lang w:val="en-US" w:eastAsia="zh-CN"/>
              </w:rPr>
              <w:t>476</w:t>
            </w:r>
          </w:p>
        </w:tc>
        <w:tc>
          <w:tcPr>
            <w:tcW w:w="1665" w:type="dxa"/>
            <w:vMerge w:val="restart"/>
            <w:tcBorders>
              <w:tl2br w:val="nil"/>
              <w:tr2bl w:val="nil"/>
            </w:tcBorders>
            <w:noWrap w:val="0"/>
            <w:vAlign w:val="center"/>
          </w:tcPr>
          <w:p w14:paraId="17DD2FAB">
            <w:pPr>
              <w:bidi w:val="0"/>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龙湾区</w:t>
            </w:r>
          </w:p>
        </w:tc>
      </w:tr>
      <w:tr w14:paraId="12A90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590" w:type="dxa"/>
            <w:tcBorders>
              <w:tl2br w:val="nil"/>
              <w:tr2bl w:val="nil"/>
            </w:tcBorders>
            <w:noWrap w:val="0"/>
            <w:vAlign w:val="center"/>
          </w:tcPr>
          <w:p w14:paraId="269EF8B4">
            <w:pPr>
              <w:bidi w:val="0"/>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2</w:t>
            </w:r>
          </w:p>
        </w:tc>
        <w:tc>
          <w:tcPr>
            <w:tcW w:w="3805" w:type="dxa"/>
            <w:tcBorders>
              <w:tl2br w:val="nil"/>
              <w:tr2bl w:val="nil"/>
            </w:tcBorders>
            <w:noWrap w:val="0"/>
            <w:vAlign w:val="center"/>
          </w:tcPr>
          <w:p w14:paraId="59772BB8">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年产5万台阀门智能化技改项目</w:t>
            </w:r>
          </w:p>
        </w:tc>
        <w:tc>
          <w:tcPr>
            <w:tcW w:w="2025" w:type="dxa"/>
            <w:tcBorders>
              <w:tl2br w:val="nil"/>
              <w:tr2bl w:val="nil"/>
            </w:tcBorders>
            <w:noWrap w:val="0"/>
            <w:vAlign w:val="center"/>
          </w:tcPr>
          <w:p w14:paraId="3AE51193">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浙江石化阀门有限公司</w:t>
            </w:r>
          </w:p>
        </w:tc>
        <w:tc>
          <w:tcPr>
            <w:tcW w:w="1845" w:type="dxa"/>
            <w:tcBorders>
              <w:tl2br w:val="nil"/>
              <w:tr2bl w:val="nil"/>
            </w:tcBorders>
            <w:noWrap w:val="0"/>
            <w:vAlign w:val="center"/>
          </w:tcPr>
          <w:p w14:paraId="194BFA31">
            <w:pPr>
              <w:bidi w:val="0"/>
              <w:jc w:val="center"/>
              <w:rPr>
                <w:rFonts w:hint="default" w:ascii="Times New Roman" w:hAnsi="Times New Roman" w:eastAsia="仿宋_GB2312" w:cs="Times New Roman"/>
                <w:kern w:val="2"/>
                <w:sz w:val="24"/>
                <w:szCs w:val="24"/>
                <w:lang w:val="en-US" w:eastAsia="zh-CN" w:bidi="ar-SA"/>
              </w:rPr>
            </w:pPr>
            <w:r>
              <w:rPr>
                <w:rFonts w:hint="eastAsia" w:cs="Times New Roman"/>
                <w:sz w:val="24"/>
                <w:szCs w:val="24"/>
                <w:lang w:val="en-US" w:eastAsia="zh-CN"/>
              </w:rPr>
              <w:t>296</w:t>
            </w:r>
          </w:p>
        </w:tc>
        <w:tc>
          <w:tcPr>
            <w:tcW w:w="1665" w:type="dxa"/>
            <w:vMerge w:val="continue"/>
            <w:tcBorders>
              <w:tl2br w:val="nil"/>
              <w:tr2bl w:val="nil"/>
            </w:tcBorders>
            <w:noWrap w:val="0"/>
            <w:vAlign w:val="center"/>
          </w:tcPr>
          <w:p w14:paraId="4A536091">
            <w:pPr>
              <w:bidi w:val="0"/>
              <w:jc w:val="center"/>
              <w:rPr>
                <w:rFonts w:hint="default" w:ascii="Times New Roman" w:hAnsi="Times New Roman" w:eastAsia="仿宋_GB2312" w:cs="Times New Roman"/>
                <w:kern w:val="2"/>
                <w:sz w:val="24"/>
                <w:szCs w:val="24"/>
                <w:lang w:val="en-US" w:eastAsia="zh-CN" w:bidi="ar-SA"/>
              </w:rPr>
            </w:pPr>
          </w:p>
        </w:tc>
      </w:tr>
      <w:tr w14:paraId="452A5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4" w:hRule="atLeast"/>
        </w:trPr>
        <w:tc>
          <w:tcPr>
            <w:tcW w:w="590" w:type="dxa"/>
            <w:tcBorders>
              <w:tl2br w:val="nil"/>
              <w:tr2bl w:val="nil"/>
            </w:tcBorders>
            <w:noWrap w:val="0"/>
            <w:vAlign w:val="center"/>
          </w:tcPr>
          <w:p w14:paraId="23F70974">
            <w:pPr>
              <w:bidi w:val="0"/>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3</w:t>
            </w:r>
          </w:p>
        </w:tc>
        <w:tc>
          <w:tcPr>
            <w:tcW w:w="3805" w:type="dxa"/>
            <w:tcBorders>
              <w:tl2br w:val="nil"/>
              <w:tr2bl w:val="nil"/>
            </w:tcBorders>
            <w:noWrap w:val="0"/>
            <w:vAlign w:val="center"/>
          </w:tcPr>
          <w:p w14:paraId="2EE539ED">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年产3000套高端生物制药容器设备关键的无氧化层无痕大口径薄壁封头部件智能化技改项目</w:t>
            </w:r>
          </w:p>
        </w:tc>
        <w:tc>
          <w:tcPr>
            <w:tcW w:w="2025" w:type="dxa"/>
            <w:tcBorders>
              <w:tl2br w:val="nil"/>
              <w:tr2bl w:val="nil"/>
            </w:tcBorders>
            <w:noWrap w:val="0"/>
            <w:vAlign w:val="center"/>
          </w:tcPr>
          <w:p w14:paraId="0BA2DD2C">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瓯星机械设备有限公司</w:t>
            </w:r>
          </w:p>
        </w:tc>
        <w:tc>
          <w:tcPr>
            <w:tcW w:w="1845" w:type="dxa"/>
            <w:tcBorders>
              <w:tl2br w:val="nil"/>
              <w:tr2bl w:val="nil"/>
            </w:tcBorders>
            <w:noWrap w:val="0"/>
            <w:vAlign w:val="center"/>
          </w:tcPr>
          <w:p w14:paraId="7E60E796">
            <w:pPr>
              <w:bidi w:val="0"/>
              <w:jc w:val="center"/>
              <w:rPr>
                <w:rFonts w:hint="default" w:ascii="Times New Roman" w:hAnsi="Times New Roman" w:eastAsia="仿宋_GB2312" w:cs="Times New Roman"/>
                <w:kern w:val="2"/>
                <w:sz w:val="24"/>
                <w:szCs w:val="24"/>
                <w:lang w:val="en-US" w:eastAsia="zh-CN" w:bidi="ar-SA"/>
              </w:rPr>
            </w:pPr>
            <w:r>
              <w:rPr>
                <w:rFonts w:hint="eastAsia" w:cs="Times New Roman"/>
                <w:sz w:val="24"/>
                <w:szCs w:val="24"/>
                <w:lang w:val="en-US" w:eastAsia="zh-CN"/>
              </w:rPr>
              <w:t>243</w:t>
            </w:r>
          </w:p>
        </w:tc>
        <w:tc>
          <w:tcPr>
            <w:tcW w:w="1665" w:type="dxa"/>
            <w:vMerge w:val="continue"/>
            <w:tcBorders>
              <w:tl2br w:val="nil"/>
              <w:tr2bl w:val="nil"/>
            </w:tcBorders>
            <w:noWrap w:val="0"/>
            <w:vAlign w:val="center"/>
          </w:tcPr>
          <w:p w14:paraId="401FC8FF">
            <w:pPr>
              <w:bidi w:val="0"/>
              <w:jc w:val="center"/>
              <w:rPr>
                <w:rFonts w:hint="default" w:ascii="Times New Roman" w:hAnsi="Times New Roman" w:eastAsia="仿宋_GB2312" w:cs="Times New Roman"/>
                <w:kern w:val="2"/>
                <w:sz w:val="24"/>
                <w:szCs w:val="24"/>
                <w:lang w:val="en-US" w:eastAsia="zh-CN" w:bidi="ar-SA"/>
              </w:rPr>
            </w:pPr>
          </w:p>
        </w:tc>
      </w:tr>
      <w:tr w14:paraId="71EC9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7" w:hRule="atLeast"/>
        </w:trPr>
        <w:tc>
          <w:tcPr>
            <w:tcW w:w="590" w:type="dxa"/>
            <w:tcBorders>
              <w:tl2br w:val="nil"/>
              <w:tr2bl w:val="nil"/>
            </w:tcBorders>
            <w:noWrap w:val="0"/>
            <w:vAlign w:val="center"/>
          </w:tcPr>
          <w:p w14:paraId="0A784A69">
            <w:pPr>
              <w:bidi w:val="0"/>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cs="Times New Roman"/>
                <w:sz w:val="24"/>
                <w:szCs w:val="24"/>
                <w:lang w:val="en-US" w:eastAsia="zh-CN"/>
              </w:rPr>
              <w:t>4</w:t>
            </w:r>
          </w:p>
        </w:tc>
        <w:tc>
          <w:tcPr>
            <w:tcW w:w="3805" w:type="dxa"/>
            <w:tcBorders>
              <w:tl2br w:val="nil"/>
              <w:tr2bl w:val="nil"/>
            </w:tcBorders>
            <w:noWrap w:val="0"/>
            <w:vAlign w:val="center"/>
          </w:tcPr>
          <w:p w14:paraId="44BD5547">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年产625万套电池管理系统用蓄电池接头、年产80万套挤塑铜排及铝排、年产70万套智能保险盒智能化技改项目</w:t>
            </w:r>
          </w:p>
        </w:tc>
        <w:tc>
          <w:tcPr>
            <w:tcW w:w="2025" w:type="dxa"/>
            <w:tcBorders>
              <w:tl2br w:val="nil"/>
              <w:tr2bl w:val="nil"/>
            </w:tcBorders>
            <w:noWrap w:val="0"/>
            <w:vAlign w:val="center"/>
          </w:tcPr>
          <w:p w14:paraId="26925A8D">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温州丰迪接插件有限公司</w:t>
            </w:r>
          </w:p>
        </w:tc>
        <w:tc>
          <w:tcPr>
            <w:tcW w:w="1845" w:type="dxa"/>
            <w:tcBorders>
              <w:tl2br w:val="nil"/>
              <w:tr2bl w:val="nil"/>
            </w:tcBorders>
            <w:noWrap w:val="0"/>
            <w:vAlign w:val="center"/>
          </w:tcPr>
          <w:p w14:paraId="75DCBE5F">
            <w:pPr>
              <w:bidi w:val="0"/>
              <w:jc w:val="center"/>
              <w:rPr>
                <w:rFonts w:hint="default" w:ascii="Times New Roman" w:hAnsi="Times New Roman" w:eastAsia="仿宋_GB2312" w:cs="Times New Roman"/>
                <w:kern w:val="2"/>
                <w:sz w:val="24"/>
                <w:szCs w:val="24"/>
                <w:lang w:val="en-US" w:eastAsia="zh-CN" w:bidi="ar-SA"/>
              </w:rPr>
            </w:pPr>
            <w:r>
              <w:rPr>
                <w:rFonts w:hint="eastAsia" w:cs="Times New Roman"/>
                <w:sz w:val="24"/>
                <w:szCs w:val="24"/>
                <w:lang w:val="en-US" w:eastAsia="zh-CN"/>
              </w:rPr>
              <w:t>143</w:t>
            </w:r>
          </w:p>
        </w:tc>
        <w:tc>
          <w:tcPr>
            <w:tcW w:w="1665" w:type="dxa"/>
            <w:vMerge w:val="continue"/>
            <w:tcBorders>
              <w:tl2br w:val="nil"/>
              <w:tr2bl w:val="nil"/>
            </w:tcBorders>
            <w:noWrap w:val="0"/>
            <w:vAlign w:val="center"/>
          </w:tcPr>
          <w:p w14:paraId="53681BF7">
            <w:pPr>
              <w:bidi w:val="0"/>
              <w:jc w:val="center"/>
              <w:rPr>
                <w:rFonts w:hint="default" w:ascii="Times New Roman" w:hAnsi="Times New Roman" w:eastAsia="仿宋_GB2312" w:cs="Times New Roman"/>
                <w:kern w:val="2"/>
                <w:sz w:val="24"/>
                <w:szCs w:val="24"/>
                <w:lang w:val="en-US" w:eastAsia="zh-CN" w:bidi="ar-SA"/>
              </w:rPr>
            </w:pPr>
          </w:p>
        </w:tc>
      </w:tr>
      <w:tr w14:paraId="0DDF0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590" w:type="dxa"/>
            <w:tcBorders>
              <w:tl2br w:val="nil"/>
              <w:tr2bl w:val="nil"/>
            </w:tcBorders>
            <w:noWrap w:val="0"/>
            <w:vAlign w:val="center"/>
          </w:tcPr>
          <w:p w14:paraId="31B84C54">
            <w:pPr>
              <w:bidi w:val="0"/>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cs="Times New Roman"/>
                <w:sz w:val="24"/>
                <w:szCs w:val="24"/>
                <w:lang w:val="en-US" w:eastAsia="zh-CN"/>
              </w:rPr>
              <w:t>5</w:t>
            </w:r>
          </w:p>
        </w:tc>
        <w:tc>
          <w:tcPr>
            <w:tcW w:w="3805" w:type="dxa"/>
            <w:tcBorders>
              <w:tl2br w:val="nil"/>
              <w:tr2bl w:val="nil"/>
            </w:tcBorders>
            <w:noWrap w:val="0"/>
            <w:vAlign w:val="center"/>
          </w:tcPr>
          <w:p w14:paraId="35F88AB9">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年产10万台闸阀智能化技改项目</w:t>
            </w:r>
          </w:p>
        </w:tc>
        <w:tc>
          <w:tcPr>
            <w:tcW w:w="2025" w:type="dxa"/>
            <w:tcBorders>
              <w:tl2br w:val="nil"/>
              <w:tr2bl w:val="nil"/>
            </w:tcBorders>
            <w:noWrap w:val="0"/>
            <w:vAlign w:val="center"/>
          </w:tcPr>
          <w:p w14:paraId="1519C3CE">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越强阀门有限公司</w:t>
            </w:r>
          </w:p>
        </w:tc>
        <w:tc>
          <w:tcPr>
            <w:tcW w:w="1845" w:type="dxa"/>
            <w:tcBorders>
              <w:tl2br w:val="nil"/>
              <w:tr2bl w:val="nil"/>
            </w:tcBorders>
            <w:noWrap w:val="0"/>
            <w:vAlign w:val="center"/>
          </w:tcPr>
          <w:p w14:paraId="3D190FD9">
            <w:pPr>
              <w:bidi w:val="0"/>
              <w:jc w:val="center"/>
              <w:rPr>
                <w:rFonts w:hint="default" w:ascii="Times New Roman" w:hAnsi="Times New Roman" w:eastAsia="仿宋_GB2312" w:cs="Times New Roman"/>
                <w:kern w:val="2"/>
                <w:sz w:val="24"/>
                <w:szCs w:val="24"/>
                <w:lang w:val="en-US" w:eastAsia="zh-CN" w:bidi="ar-SA"/>
              </w:rPr>
            </w:pPr>
            <w:r>
              <w:rPr>
                <w:rFonts w:hint="eastAsia" w:cs="Times New Roman"/>
                <w:sz w:val="24"/>
                <w:szCs w:val="24"/>
                <w:lang w:val="en-US" w:eastAsia="zh-CN"/>
              </w:rPr>
              <w:t>131</w:t>
            </w:r>
          </w:p>
        </w:tc>
        <w:tc>
          <w:tcPr>
            <w:tcW w:w="1665" w:type="dxa"/>
            <w:vMerge w:val="continue"/>
            <w:tcBorders>
              <w:tl2br w:val="nil"/>
              <w:tr2bl w:val="nil"/>
            </w:tcBorders>
            <w:noWrap w:val="0"/>
            <w:vAlign w:val="center"/>
          </w:tcPr>
          <w:p w14:paraId="16DA253C">
            <w:pPr>
              <w:bidi w:val="0"/>
              <w:jc w:val="center"/>
              <w:rPr>
                <w:rFonts w:hint="default" w:ascii="Times New Roman" w:hAnsi="Times New Roman" w:eastAsia="仿宋_GB2312" w:cs="Times New Roman"/>
                <w:kern w:val="2"/>
                <w:sz w:val="24"/>
                <w:szCs w:val="24"/>
                <w:lang w:val="en-US" w:eastAsia="zh-CN" w:bidi="ar-SA"/>
              </w:rPr>
            </w:pPr>
          </w:p>
        </w:tc>
      </w:tr>
      <w:tr w14:paraId="47F37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trPr>
        <w:tc>
          <w:tcPr>
            <w:tcW w:w="590" w:type="dxa"/>
            <w:tcBorders>
              <w:tl2br w:val="nil"/>
              <w:tr2bl w:val="nil"/>
            </w:tcBorders>
            <w:noWrap w:val="0"/>
            <w:vAlign w:val="center"/>
          </w:tcPr>
          <w:p w14:paraId="3FB4F8B2">
            <w:pPr>
              <w:bidi w:val="0"/>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cs="Times New Roman"/>
                <w:sz w:val="24"/>
                <w:szCs w:val="24"/>
                <w:lang w:val="en-US" w:eastAsia="zh-CN"/>
              </w:rPr>
              <w:t>6</w:t>
            </w:r>
          </w:p>
        </w:tc>
        <w:tc>
          <w:tcPr>
            <w:tcW w:w="3805" w:type="dxa"/>
            <w:tcBorders>
              <w:tl2br w:val="nil"/>
              <w:tr2bl w:val="nil"/>
            </w:tcBorders>
            <w:noWrap w:val="0"/>
            <w:vAlign w:val="center"/>
          </w:tcPr>
          <w:p w14:paraId="5AAFD779">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年产330吨电动车配件的智能化技术改造项目</w:t>
            </w:r>
          </w:p>
        </w:tc>
        <w:tc>
          <w:tcPr>
            <w:tcW w:w="2025" w:type="dxa"/>
            <w:tcBorders>
              <w:tl2br w:val="nil"/>
              <w:tr2bl w:val="nil"/>
            </w:tcBorders>
            <w:noWrap w:val="0"/>
            <w:vAlign w:val="center"/>
          </w:tcPr>
          <w:p w14:paraId="30564D51">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温州庆瓯碟刹有限公司</w:t>
            </w:r>
          </w:p>
        </w:tc>
        <w:tc>
          <w:tcPr>
            <w:tcW w:w="1845" w:type="dxa"/>
            <w:tcBorders>
              <w:tl2br w:val="nil"/>
              <w:tr2bl w:val="nil"/>
            </w:tcBorders>
            <w:noWrap w:val="0"/>
            <w:vAlign w:val="center"/>
          </w:tcPr>
          <w:p w14:paraId="665F57C6">
            <w:pPr>
              <w:bidi w:val="0"/>
              <w:jc w:val="center"/>
              <w:rPr>
                <w:rFonts w:hint="default" w:ascii="Times New Roman" w:hAnsi="Times New Roman" w:eastAsia="仿宋_GB2312" w:cs="Times New Roman"/>
                <w:kern w:val="2"/>
                <w:sz w:val="24"/>
                <w:szCs w:val="24"/>
                <w:lang w:val="en-US" w:eastAsia="zh-CN" w:bidi="ar-SA"/>
              </w:rPr>
            </w:pPr>
            <w:r>
              <w:rPr>
                <w:rFonts w:hint="eastAsia" w:cs="Times New Roman"/>
                <w:sz w:val="24"/>
                <w:szCs w:val="24"/>
                <w:lang w:val="en-US" w:eastAsia="zh-CN"/>
              </w:rPr>
              <w:t>221</w:t>
            </w:r>
          </w:p>
        </w:tc>
        <w:tc>
          <w:tcPr>
            <w:tcW w:w="1665" w:type="dxa"/>
            <w:tcBorders>
              <w:tl2br w:val="nil"/>
              <w:tr2bl w:val="nil"/>
            </w:tcBorders>
            <w:noWrap w:val="0"/>
            <w:vAlign w:val="center"/>
          </w:tcPr>
          <w:p w14:paraId="5CA7C595">
            <w:pPr>
              <w:bidi w:val="0"/>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瓯海区</w:t>
            </w:r>
          </w:p>
        </w:tc>
      </w:tr>
      <w:tr w14:paraId="75A9B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rPr>
        <w:tc>
          <w:tcPr>
            <w:tcW w:w="590" w:type="dxa"/>
            <w:tcBorders>
              <w:tl2br w:val="nil"/>
              <w:tr2bl w:val="nil"/>
            </w:tcBorders>
            <w:noWrap w:val="0"/>
            <w:vAlign w:val="center"/>
          </w:tcPr>
          <w:p w14:paraId="5D50CEB7">
            <w:pPr>
              <w:bidi w:val="0"/>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cs="Times New Roman"/>
                <w:sz w:val="24"/>
                <w:szCs w:val="24"/>
                <w:lang w:val="en-US" w:eastAsia="zh-CN"/>
              </w:rPr>
              <w:t>7</w:t>
            </w:r>
          </w:p>
        </w:tc>
        <w:tc>
          <w:tcPr>
            <w:tcW w:w="3805" w:type="dxa"/>
            <w:tcBorders>
              <w:tl2br w:val="nil"/>
              <w:tr2bl w:val="nil"/>
            </w:tcBorders>
            <w:noWrap w:val="0"/>
            <w:vAlign w:val="center"/>
          </w:tcPr>
          <w:p w14:paraId="3D213A68">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年产6.3万只高性能自控阀设备更新项目</w:t>
            </w:r>
          </w:p>
        </w:tc>
        <w:tc>
          <w:tcPr>
            <w:tcW w:w="2025" w:type="dxa"/>
            <w:tcBorders>
              <w:tl2br w:val="nil"/>
              <w:tr2bl w:val="nil"/>
            </w:tcBorders>
            <w:noWrap w:val="0"/>
            <w:vAlign w:val="center"/>
          </w:tcPr>
          <w:p w14:paraId="30357406">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特宏阀门集团有限公司</w:t>
            </w:r>
          </w:p>
        </w:tc>
        <w:tc>
          <w:tcPr>
            <w:tcW w:w="1845" w:type="dxa"/>
            <w:tcBorders>
              <w:tl2br w:val="nil"/>
              <w:tr2bl w:val="nil"/>
            </w:tcBorders>
            <w:noWrap w:val="0"/>
            <w:vAlign w:val="center"/>
          </w:tcPr>
          <w:p w14:paraId="2A966EF7">
            <w:pPr>
              <w:bidi w:val="0"/>
              <w:jc w:val="center"/>
              <w:rPr>
                <w:rFonts w:hint="default" w:ascii="Times New Roman" w:hAnsi="Times New Roman" w:eastAsia="仿宋_GB2312" w:cs="Times New Roman"/>
                <w:kern w:val="2"/>
                <w:sz w:val="24"/>
                <w:szCs w:val="24"/>
                <w:lang w:val="en-US" w:eastAsia="zh-CN" w:bidi="ar-SA"/>
              </w:rPr>
            </w:pPr>
            <w:r>
              <w:rPr>
                <w:rFonts w:hint="eastAsia" w:cs="Times New Roman"/>
                <w:sz w:val="24"/>
                <w:szCs w:val="24"/>
                <w:lang w:val="en-US" w:eastAsia="zh-CN"/>
              </w:rPr>
              <w:t>227</w:t>
            </w:r>
          </w:p>
        </w:tc>
        <w:tc>
          <w:tcPr>
            <w:tcW w:w="1665" w:type="dxa"/>
            <w:vMerge w:val="restart"/>
            <w:tcBorders>
              <w:tl2br w:val="nil"/>
              <w:tr2bl w:val="nil"/>
            </w:tcBorders>
            <w:noWrap w:val="0"/>
            <w:vAlign w:val="center"/>
          </w:tcPr>
          <w:p w14:paraId="1BCE666C">
            <w:pPr>
              <w:bidi w:val="0"/>
              <w:jc w:val="cente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szCs w:val="24"/>
                <w:lang w:val="en-US" w:eastAsia="zh-CN"/>
              </w:rPr>
              <w:t>海经</w:t>
            </w:r>
            <w:r>
              <w:rPr>
                <w:rFonts w:hint="default" w:ascii="Times New Roman" w:hAnsi="Times New Roman" w:eastAsia="仿宋_GB2312" w:cs="Times New Roman"/>
                <w:sz w:val="24"/>
                <w:szCs w:val="24"/>
                <w:lang w:val="en-US" w:eastAsia="zh-CN"/>
              </w:rPr>
              <w:t>区</w:t>
            </w:r>
          </w:p>
        </w:tc>
      </w:tr>
      <w:tr w14:paraId="1BBF7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1" w:hRule="atLeast"/>
        </w:trPr>
        <w:tc>
          <w:tcPr>
            <w:tcW w:w="590" w:type="dxa"/>
            <w:tcBorders>
              <w:tl2br w:val="nil"/>
              <w:tr2bl w:val="nil"/>
            </w:tcBorders>
            <w:noWrap w:val="0"/>
            <w:vAlign w:val="center"/>
          </w:tcPr>
          <w:p w14:paraId="0E29E13C">
            <w:pPr>
              <w:bidi w:val="0"/>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cs="Times New Roman"/>
                <w:sz w:val="24"/>
                <w:szCs w:val="24"/>
                <w:lang w:val="en-US" w:eastAsia="zh-CN"/>
              </w:rPr>
              <w:t>8</w:t>
            </w:r>
          </w:p>
        </w:tc>
        <w:tc>
          <w:tcPr>
            <w:tcW w:w="3805" w:type="dxa"/>
            <w:tcBorders>
              <w:tl2br w:val="nil"/>
              <w:tr2bl w:val="nil"/>
            </w:tcBorders>
            <w:noWrap w:val="0"/>
            <w:vAlign w:val="center"/>
          </w:tcPr>
          <w:p w14:paraId="76D6AF49">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年产3万台自控阀门智能制造与性能检测产线提升项目</w:t>
            </w:r>
          </w:p>
        </w:tc>
        <w:tc>
          <w:tcPr>
            <w:tcW w:w="2025" w:type="dxa"/>
            <w:tcBorders>
              <w:tl2br w:val="nil"/>
              <w:tr2bl w:val="nil"/>
            </w:tcBorders>
            <w:noWrap w:val="0"/>
            <w:vAlign w:val="center"/>
          </w:tcPr>
          <w:p w14:paraId="2549DF3E">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康赛特自动化集团有限公司</w:t>
            </w:r>
          </w:p>
        </w:tc>
        <w:tc>
          <w:tcPr>
            <w:tcW w:w="1845" w:type="dxa"/>
            <w:tcBorders>
              <w:tl2br w:val="nil"/>
              <w:tr2bl w:val="nil"/>
            </w:tcBorders>
            <w:noWrap w:val="0"/>
            <w:vAlign w:val="center"/>
          </w:tcPr>
          <w:p w14:paraId="3338E549">
            <w:pPr>
              <w:bidi w:val="0"/>
              <w:jc w:val="center"/>
              <w:rPr>
                <w:rFonts w:hint="default" w:ascii="Times New Roman" w:hAnsi="Times New Roman" w:eastAsia="仿宋_GB2312" w:cs="Times New Roman"/>
                <w:kern w:val="2"/>
                <w:sz w:val="24"/>
                <w:szCs w:val="24"/>
                <w:lang w:val="en-US" w:eastAsia="zh-CN" w:bidi="ar-SA"/>
              </w:rPr>
            </w:pPr>
            <w:r>
              <w:rPr>
                <w:rFonts w:hint="eastAsia" w:cs="Times New Roman"/>
                <w:sz w:val="24"/>
                <w:szCs w:val="24"/>
                <w:lang w:val="en-US" w:eastAsia="zh-CN"/>
              </w:rPr>
              <w:t>100</w:t>
            </w:r>
          </w:p>
        </w:tc>
        <w:tc>
          <w:tcPr>
            <w:tcW w:w="1665" w:type="dxa"/>
            <w:vMerge w:val="continue"/>
            <w:tcBorders>
              <w:tl2br w:val="nil"/>
              <w:tr2bl w:val="nil"/>
            </w:tcBorders>
            <w:noWrap w:val="0"/>
            <w:vAlign w:val="center"/>
          </w:tcPr>
          <w:p w14:paraId="5E99C3D1">
            <w:pPr>
              <w:bidi w:val="0"/>
              <w:jc w:val="center"/>
              <w:rPr>
                <w:rFonts w:hint="default" w:ascii="Times New Roman" w:hAnsi="Times New Roman" w:eastAsia="仿宋_GB2312" w:cs="Times New Roman"/>
                <w:kern w:val="2"/>
                <w:sz w:val="24"/>
                <w:szCs w:val="24"/>
                <w:lang w:val="en-US" w:eastAsia="zh-CN" w:bidi="ar-SA"/>
              </w:rPr>
            </w:pPr>
          </w:p>
        </w:tc>
      </w:tr>
      <w:tr w14:paraId="14829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trPr>
        <w:tc>
          <w:tcPr>
            <w:tcW w:w="590" w:type="dxa"/>
            <w:tcBorders>
              <w:tl2br w:val="nil"/>
              <w:tr2bl w:val="nil"/>
            </w:tcBorders>
            <w:noWrap w:val="0"/>
            <w:vAlign w:val="center"/>
          </w:tcPr>
          <w:p w14:paraId="0D8616E1">
            <w:pPr>
              <w:bidi w:val="0"/>
              <w:jc w:val="center"/>
              <w:rPr>
                <w:rFonts w:hint="default" w:ascii="Times New Roman" w:hAnsi="Times New Roman" w:eastAsia="仿宋_GB2312" w:cs="Times New Roman"/>
                <w:kern w:val="2"/>
                <w:sz w:val="24"/>
                <w:szCs w:val="24"/>
                <w:lang w:val="en-US" w:eastAsia="zh-CN" w:bidi="ar-SA"/>
              </w:rPr>
            </w:pPr>
            <w:r>
              <w:rPr>
                <w:rFonts w:hint="default" w:ascii="Times New Roman" w:hAnsi="Times New Roman" w:cs="Times New Roman"/>
                <w:sz w:val="24"/>
                <w:szCs w:val="24"/>
                <w:lang w:val="en-US" w:eastAsia="zh-CN"/>
              </w:rPr>
              <w:t>9</w:t>
            </w:r>
          </w:p>
        </w:tc>
        <w:tc>
          <w:tcPr>
            <w:tcW w:w="3805" w:type="dxa"/>
            <w:tcBorders>
              <w:tl2br w:val="nil"/>
              <w:tr2bl w:val="nil"/>
            </w:tcBorders>
            <w:noWrap w:val="0"/>
            <w:vAlign w:val="center"/>
          </w:tcPr>
          <w:p w14:paraId="21E5335F">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kern w:val="2"/>
                <w:sz w:val="24"/>
                <w:szCs w:val="24"/>
                <w:lang w:val="en-US" w:eastAsia="zh-CN" w:bidi="ar-SA"/>
              </w:rPr>
              <w:t>年产8000万支高档书写笔设备更新项目</w:t>
            </w:r>
          </w:p>
        </w:tc>
        <w:tc>
          <w:tcPr>
            <w:tcW w:w="2025" w:type="dxa"/>
            <w:tcBorders>
              <w:tl2br w:val="nil"/>
              <w:tr2bl w:val="nil"/>
            </w:tcBorders>
            <w:noWrap w:val="0"/>
            <w:vAlign w:val="center"/>
          </w:tcPr>
          <w:p w14:paraId="33226D74">
            <w:pPr>
              <w:bidi w:val="0"/>
              <w:rPr>
                <w:rFonts w:hint="default" w:ascii="Times New Roman" w:hAnsi="Times New Roman" w:eastAsia="仿宋_GB2312" w:cs="Times New Roman"/>
                <w:kern w:val="2"/>
                <w:sz w:val="24"/>
                <w:szCs w:val="24"/>
                <w:lang w:val="en-US" w:eastAsia="zh-CN" w:bidi="ar-SA"/>
              </w:rPr>
            </w:pPr>
            <w:r>
              <w:rPr>
                <w:rFonts w:hint="default" w:ascii="Times New Roman" w:hAnsi="Times New Roman" w:eastAsia="仿宋_GB2312" w:cs="Times New Roman"/>
                <w:sz w:val="24"/>
                <w:szCs w:val="24"/>
                <w:lang w:val="en-US" w:eastAsia="zh-CN"/>
              </w:rPr>
              <w:t>温州天骄笔业有限责任公司</w:t>
            </w:r>
          </w:p>
        </w:tc>
        <w:tc>
          <w:tcPr>
            <w:tcW w:w="1845" w:type="dxa"/>
            <w:tcBorders>
              <w:right w:val="single" w:color="auto" w:sz="4" w:space="0"/>
              <w:tl2br w:val="nil"/>
              <w:tr2bl w:val="nil"/>
            </w:tcBorders>
            <w:noWrap w:val="0"/>
            <w:vAlign w:val="center"/>
          </w:tcPr>
          <w:p w14:paraId="33E739E4">
            <w:pPr>
              <w:bidi w:val="0"/>
              <w:jc w:val="center"/>
              <w:rPr>
                <w:rFonts w:hint="default" w:ascii="Times New Roman" w:hAnsi="Times New Roman" w:eastAsia="仿宋_GB2312" w:cs="Times New Roman"/>
                <w:kern w:val="2"/>
                <w:sz w:val="24"/>
                <w:szCs w:val="24"/>
                <w:lang w:val="en-US" w:eastAsia="zh-CN" w:bidi="ar-SA"/>
              </w:rPr>
            </w:pPr>
            <w:r>
              <w:rPr>
                <w:rFonts w:hint="eastAsia" w:cs="Times New Roman"/>
                <w:sz w:val="24"/>
                <w:szCs w:val="24"/>
                <w:lang w:val="en-US" w:eastAsia="zh-CN"/>
              </w:rPr>
              <w:t>147</w:t>
            </w:r>
          </w:p>
        </w:tc>
        <w:tc>
          <w:tcPr>
            <w:tcW w:w="1665" w:type="dxa"/>
            <w:vMerge w:val="continue"/>
            <w:tcBorders>
              <w:left w:val="single" w:color="auto" w:sz="4" w:space="0"/>
              <w:tl2br w:val="nil"/>
              <w:tr2bl w:val="nil"/>
            </w:tcBorders>
            <w:noWrap w:val="0"/>
            <w:vAlign w:val="center"/>
          </w:tcPr>
          <w:p w14:paraId="38862CF3">
            <w:pPr>
              <w:bidi w:val="0"/>
              <w:jc w:val="center"/>
              <w:rPr>
                <w:rFonts w:hint="default" w:ascii="Times New Roman" w:hAnsi="Times New Roman" w:eastAsia="仿宋_GB2312" w:cs="Times New Roman"/>
                <w:kern w:val="2"/>
                <w:sz w:val="24"/>
                <w:szCs w:val="24"/>
                <w:lang w:val="en-US" w:eastAsia="zh-CN" w:bidi="ar-SA"/>
              </w:rPr>
            </w:pPr>
          </w:p>
        </w:tc>
      </w:tr>
      <w:tr w14:paraId="1BA88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After w:w="0" w:type="auto"/>
          <w:trHeight w:val="649" w:hRule="atLeast"/>
        </w:trPr>
        <w:tc>
          <w:tcPr>
            <w:tcW w:w="590" w:type="dxa"/>
            <w:tcBorders>
              <w:tl2br w:val="nil"/>
              <w:tr2bl w:val="nil"/>
            </w:tcBorders>
            <w:noWrap w:val="0"/>
            <w:vAlign w:val="center"/>
          </w:tcPr>
          <w:p w14:paraId="4B8CAA6C">
            <w:pPr>
              <w:bidi w:val="0"/>
              <w:jc w:val="center"/>
              <w:rPr>
                <w:rFonts w:hint="default" w:ascii="Times New Roman" w:hAnsi="Times New Roman" w:eastAsia="黑体" w:cs="Times New Roman"/>
                <w:sz w:val="24"/>
                <w:szCs w:val="24"/>
                <w:lang w:val="en-US" w:eastAsia="zh-CN"/>
              </w:rPr>
            </w:pPr>
          </w:p>
        </w:tc>
        <w:tc>
          <w:tcPr>
            <w:tcW w:w="5830" w:type="dxa"/>
            <w:gridSpan w:val="2"/>
            <w:tcBorders>
              <w:tl2br w:val="nil"/>
              <w:tr2bl w:val="nil"/>
            </w:tcBorders>
            <w:noWrap w:val="0"/>
            <w:vAlign w:val="center"/>
          </w:tcPr>
          <w:p w14:paraId="0E77BDC8">
            <w:pPr>
              <w:bidi w:val="0"/>
              <w:jc w:val="center"/>
              <w:rPr>
                <w:rFonts w:hint="default" w:ascii="Times New Roman" w:hAnsi="Times New Roman" w:eastAsia="黑体" w:cs="Times New Roman"/>
                <w:b/>
                <w:bCs/>
                <w:sz w:val="24"/>
                <w:szCs w:val="24"/>
                <w:lang w:val="en-US" w:eastAsia="zh-CN"/>
              </w:rPr>
            </w:pPr>
            <w:r>
              <w:rPr>
                <w:rFonts w:hint="eastAsia" w:ascii="Times New Roman" w:hAnsi="Times New Roman" w:eastAsia="黑体" w:cs="Times New Roman"/>
                <w:b/>
                <w:bCs/>
                <w:sz w:val="24"/>
                <w:szCs w:val="24"/>
                <w:lang w:val="en-US" w:eastAsia="zh-CN"/>
              </w:rPr>
              <w:t>小   计</w:t>
            </w:r>
          </w:p>
        </w:tc>
        <w:tc>
          <w:tcPr>
            <w:tcW w:w="1845" w:type="dxa"/>
            <w:tcBorders>
              <w:right w:val="single" w:color="auto" w:sz="4" w:space="0"/>
              <w:tl2br w:val="nil"/>
              <w:tr2bl w:val="nil"/>
            </w:tcBorders>
            <w:noWrap w:val="0"/>
            <w:vAlign w:val="center"/>
          </w:tcPr>
          <w:p w14:paraId="25A94A2D">
            <w:pPr>
              <w:bidi w:val="0"/>
              <w:jc w:val="center"/>
              <w:rPr>
                <w:rFonts w:hint="default" w:ascii="Times New Roman" w:hAnsi="Times New Roman" w:eastAsia="仿宋_GB2312" w:cs="Times New Roman"/>
                <w:b/>
                <w:bCs/>
                <w:kern w:val="2"/>
                <w:sz w:val="24"/>
                <w:szCs w:val="24"/>
                <w:lang w:val="en-US" w:eastAsia="zh-CN" w:bidi="ar-SA"/>
              </w:rPr>
            </w:pPr>
            <w:r>
              <w:rPr>
                <w:rFonts w:hint="eastAsia" w:cs="Times New Roman"/>
                <w:b/>
                <w:bCs/>
                <w:sz w:val="24"/>
                <w:szCs w:val="24"/>
                <w:lang w:val="en-US" w:eastAsia="zh-CN"/>
              </w:rPr>
              <w:t>1984</w:t>
            </w:r>
          </w:p>
        </w:tc>
        <w:tc>
          <w:tcPr>
            <w:tcW w:w="1665" w:type="dxa"/>
            <w:tcBorders>
              <w:left w:val="single" w:color="auto" w:sz="4" w:space="0"/>
              <w:tl2br w:val="nil"/>
              <w:tr2bl w:val="nil"/>
            </w:tcBorders>
            <w:noWrap w:val="0"/>
            <w:vAlign w:val="center"/>
          </w:tcPr>
          <w:p w14:paraId="7ABF4A13">
            <w:pPr>
              <w:bidi w:val="0"/>
              <w:jc w:val="center"/>
              <w:rPr>
                <w:rFonts w:hint="eastAsia" w:cs="Times New Roman"/>
                <w:b/>
                <w:bCs/>
                <w:sz w:val="24"/>
                <w:szCs w:val="24"/>
                <w:lang w:val="en-US" w:eastAsia="zh-CN"/>
              </w:rPr>
            </w:pPr>
          </w:p>
        </w:tc>
      </w:tr>
    </w:tbl>
    <w:p w14:paraId="24B04C30">
      <w:pPr>
        <w:pStyle w:val="4"/>
        <w:rPr>
          <w:rFonts w:hint="eastAsia"/>
        </w:rPr>
      </w:pPr>
    </w:p>
    <w:sectPr>
      <w:footerReference r:id="rId3" w:type="default"/>
      <w:pgSz w:w="11906" w:h="16838"/>
      <w:pgMar w:top="1440" w:right="896" w:bottom="1440" w:left="1123" w:header="851" w:footer="595" w:gutter="0"/>
      <w:paperSrc/>
      <w:cols w:space="720" w:num="1"/>
      <w:rtlGutter w:val="0"/>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小标宋简体">
    <w:panose1 w:val="02000000000000000000"/>
    <w:charset w:val="86"/>
    <w:family w:val="auto"/>
    <w:pitch w:val="default"/>
    <w:sig w:usb0="A00002BF" w:usb1="184F6CFA" w:usb2="00000012" w:usb3="00000000" w:csb0="00040001" w:csb1="00000000"/>
  </w:font>
  <w:font w:name="Arial">
    <w:altName w:val="Times New Roman"/>
    <w:panose1 w:val="020B0604020202020204"/>
    <w:charset w:val="00"/>
    <w:family w:val="swiss"/>
    <w:pitch w:val="default"/>
    <w:sig w:usb0="E0002EFF" w:usb1="C000785B"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C560A">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9AEC8FD">
                          <w:pPr>
                            <w:pStyle w:val="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79AEC8FD">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9"/>
  <w:displayHorizontalDrawingGridEvery w:val="1"/>
  <w:displayVerticalDrawingGridEvery w:val="2"/>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AFC89CE"/>
    <w:rsid w:val="1BDEE1B3"/>
    <w:rsid w:val="2CF7F18D"/>
    <w:rsid w:val="3FB7C107"/>
    <w:rsid w:val="3FDF5216"/>
    <w:rsid w:val="5FAF3D27"/>
    <w:rsid w:val="6AAFF761"/>
    <w:rsid w:val="6DDBB5EE"/>
    <w:rsid w:val="6FBB0500"/>
    <w:rsid w:val="6FFFD903"/>
    <w:rsid w:val="7F3D782A"/>
    <w:rsid w:val="7F7FE75C"/>
    <w:rsid w:val="7F9974F5"/>
    <w:rsid w:val="7F9F5978"/>
    <w:rsid w:val="7FB8ABD4"/>
    <w:rsid w:val="7FF7D7B4"/>
    <w:rsid w:val="9CCB6DAE"/>
    <w:rsid w:val="9DF600E1"/>
    <w:rsid w:val="BFE5FFFC"/>
    <w:rsid w:val="BFF8F918"/>
    <w:rsid w:val="DAFC89CE"/>
    <w:rsid w:val="DBF5E843"/>
    <w:rsid w:val="DDBEEE33"/>
    <w:rsid w:val="EBBF5043"/>
    <w:rsid w:val="EDFD1E86"/>
    <w:rsid w:val="EFBFF9F5"/>
    <w:rsid w:val="F5DE8888"/>
    <w:rsid w:val="F7DF5BC7"/>
    <w:rsid w:val="F9FB0B1A"/>
    <w:rsid w:val="FBF7BF27"/>
    <w:rsid w:val="FFBB04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4"/>
    <w:basedOn w:val="1"/>
    <w:next w:val="3"/>
    <w:unhideWhenUsed/>
    <w:qFormat/>
    <w:uiPriority w:val="9"/>
    <w:pPr>
      <w:keepNext/>
      <w:keepLines/>
      <w:spacing w:before="120" w:after="120"/>
      <w:outlineLvl w:val="3"/>
    </w:pPr>
    <w:rPr>
      <w:rFonts w:ascii="Arial" w:hAnsi="Arial" w:eastAsia="黑体" w:cs="Times New Roman"/>
      <w:b/>
      <w:sz w:val="28"/>
    </w:rPr>
  </w:style>
  <w:style w:type="character" w:default="1" w:styleId="13">
    <w:name w:val="Default Paragraph Font"/>
    <w:semiHidden/>
    <w:uiPriority w:val="0"/>
  </w:style>
  <w:style w:type="table" w:default="1" w:styleId="11">
    <w:name w:val="Normal Table"/>
    <w:semiHidden/>
    <w:uiPriority w:val="0"/>
    <w:tblPr>
      <w:tblStyle w:val="11"/>
      <w:tblCellMar>
        <w:top w:w="0" w:type="dxa"/>
        <w:left w:w="108" w:type="dxa"/>
        <w:bottom w:w="0" w:type="dxa"/>
        <w:right w:w="108" w:type="dxa"/>
      </w:tblCellMar>
    </w:tblPr>
  </w:style>
  <w:style w:type="paragraph" w:styleId="3">
    <w:name w:val="Normal Indent"/>
    <w:basedOn w:val="1"/>
    <w:next w:val="4"/>
    <w:qFormat/>
    <w:uiPriority w:val="0"/>
    <w:pPr>
      <w:ind w:firstLine="420" w:firstLineChars="200"/>
    </w:pPr>
    <w:rPr>
      <w:rFonts w:ascii="Calibri" w:hAnsi="Calibri" w:eastAsia="宋体" w:cs="Times New Roman"/>
      <w:szCs w:val="22"/>
    </w:rPr>
  </w:style>
  <w:style w:type="paragraph" w:styleId="4">
    <w:name w:val="envelope return"/>
    <w:basedOn w:val="1"/>
    <w:qFormat/>
    <w:uiPriority w:val="0"/>
    <w:pPr>
      <w:snapToGrid w:val="0"/>
    </w:pPr>
    <w:rPr>
      <w:rFonts w:ascii="Arial" w:hAnsi="Arial" w:eastAsia="仿宋_GB2312"/>
      <w:sz w:val="32"/>
    </w:rPr>
  </w:style>
  <w:style w:type="paragraph" w:styleId="5">
    <w:name w:val="Body Text"/>
    <w:basedOn w:val="1"/>
    <w:qFormat/>
    <w:uiPriority w:val="0"/>
    <w:pPr>
      <w:widowControl w:val="0"/>
      <w:suppressAutoHyphens/>
      <w:spacing w:after="140" w:line="276" w:lineRule="auto"/>
      <w:jc w:val="both"/>
    </w:pPr>
    <w:rPr>
      <w:rFonts w:ascii="Calibri" w:hAnsi="Calibri"/>
      <w:kern w:val="2"/>
      <w:sz w:val="21"/>
      <w:szCs w:val="24"/>
      <w:lang w:val="en-US" w:eastAsia="zh-CN" w:bidi="ar-SA"/>
    </w:rPr>
  </w:style>
  <w:style w:type="paragraph" w:styleId="6">
    <w:name w:val="Body Text Indent"/>
    <w:basedOn w:val="1"/>
    <w:qFormat/>
    <w:uiPriority w:val="0"/>
    <w:pPr>
      <w:spacing w:after="120"/>
      <w:ind w:left="420" w:left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Normal (Web)"/>
    <w:basedOn w:val="1"/>
    <w:uiPriority w:val="0"/>
    <w:pPr>
      <w:spacing w:before="100" w:beforeAutospacing="1" w:after="100" w:afterAutospacing="1"/>
      <w:ind w:left="0" w:right="0"/>
      <w:jc w:val="left"/>
    </w:pPr>
    <w:rPr>
      <w:kern w:val="0"/>
      <w:sz w:val="24"/>
      <w:lang w:val="en-US" w:eastAsia="zh-CN" w:bidi="ar"/>
    </w:rPr>
  </w:style>
  <w:style w:type="paragraph" w:styleId="9">
    <w:name w:val="Body Text First Indent"/>
    <w:basedOn w:val="5"/>
    <w:qFormat/>
    <w:uiPriority w:val="0"/>
    <w:pPr>
      <w:widowControl w:val="0"/>
      <w:suppressAutoHyphens/>
      <w:spacing w:after="140" w:line="500" w:lineRule="exact"/>
      <w:ind w:firstLine="420"/>
      <w:jc w:val="both"/>
    </w:pPr>
    <w:rPr>
      <w:kern w:val="2"/>
      <w:sz w:val="28"/>
      <w:szCs w:val="24"/>
      <w:lang w:val="en-US" w:eastAsia="zh-CN" w:bidi="ar-SA"/>
    </w:rPr>
  </w:style>
  <w:style w:type="paragraph" w:styleId="10">
    <w:name w:val="Body Text First Indent 2"/>
    <w:basedOn w:val="6"/>
    <w:qFormat/>
    <w:uiPriority w:val="0"/>
    <w:pPr>
      <w:spacing w:after="120"/>
      <w:ind w:left="420" w:leftChars="200" w:firstLine="420"/>
    </w:pPr>
  </w:style>
  <w:style w:type="table" w:styleId="12">
    <w:name w:val="Table Grid"/>
    <w:basedOn w:val="11"/>
    <w:qFormat/>
    <w:uiPriority w:val="0"/>
    <w:pPr>
      <w:widowControl w:val="0"/>
      <w:jc w:val="both"/>
    </w:pPr>
    <w:tblPr>
      <w:tblStyle w:val="1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2026-05-23T09:08:00Z</dcterms:created>
  <dc:creator>greatwall</dc:creator>
  <cp:lastModifiedBy>ra1234</cp:lastModifiedBy>
  <cp:lastPrinted>2026-05-22T09:49:12Z</cp:lastPrinted>
  <dcterms:modified xsi:type="dcterms:W3CDTF">2026-05-21T19:26:47Z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746EDB500F2081D25CE60E6AC2AA238A_43</vt:lpwstr>
  </property>
</Properties>
</file>