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76A00B">
      <w:pPr>
        <w:spacing w:line="660" w:lineRule="exact"/>
        <w:jc w:val="left"/>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p>
    <w:p w14:paraId="4C22145C">
      <w:pPr>
        <w:keepNext w:val="0"/>
        <w:keepLines w:val="0"/>
        <w:pageBreakBefore w:val="0"/>
        <w:widowControl/>
        <w:shd w:val="clear" w:color="auto" w:fill="FFFFFF"/>
        <w:kinsoku/>
        <w:wordWrap/>
        <w:overflowPunct/>
        <w:topLinePunct w:val="0"/>
        <w:autoSpaceDE/>
        <w:autoSpaceDN/>
        <w:bidi w:val="0"/>
        <w:spacing w:before="0" w:beforeAutospacing="0" w:after="0" w:line="560" w:lineRule="exact"/>
        <w:ind w:left="0" w:right="0"/>
        <w:jc w:val="center"/>
        <w:textAlignment w:val="auto"/>
        <w:rPr>
          <w:rFonts w:hint="eastAsia" w:ascii="方正小标宋_GBK" w:eastAsia="方正小标宋_GBK" w:cs="Times New Roman"/>
          <w:b/>
          <w:bCs/>
          <w:color w:val="000000" w:themeColor="text1"/>
          <w:spacing w:val="8"/>
          <w:kern w:val="0"/>
          <w:sz w:val="44"/>
          <w:szCs w:val="44"/>
          <w:lang w:val="en-US" w:eastAsia="zh-CN"/>
          <w14:textFill>
            <w14:solidFill>
              <w14:schemeClr w14:val="tx1"/>
            </w14:solidFill>
          </w14:textFill>
        </w:rPr>
      </w:pPr>
    </w:p>
    <w:p w14:paraId="4699ECBB">
      <w:pPr>
        <w:keepNext w:val="0"/>
        <w:keepLines w:val="0"/>
        <w:pageBreakBefore w:val="0"/>
        <w:widowControl/>
        <w:shd w:val="clear" w:color="auto" w:fill="FFFFFF"/>
        <w:kinsoku/>
        <w:wordWrap/>
        <w:overflowPunct/>
        <w:topLinePunct w:val="0"/>
        <w:autoSpaceDE/>
        <w:autoSpaceDN/>
        <w:bidi w:val="0"/>
        <w:spacing w:before="0" w:beforeAutospacing="0" w:after="0" w:line="560" w:lineRule="exact"/>
        <w:ind w:left="0" w:leftChars="0" w:right="0" w:firstLine="0" w:firstLineChars="0"/>
        <w:jc w:val="center"/>
        <w:textAlignment w:val="auto"/>
        <w:rPr>
          <w:rFonts w:hint="eastAsia" w:ascii="方正小标宋_GBK" w:eastAsia="方正小标宋_GBK" w:cs="Times New Roman"/>
          <w:b/>
          <w:bCs/>
          <w:color w:val="000000" w:themeColor="text1"/>
          <w:spacing w:val="8"/>
          <w:kern w:val="0"/>
          <w:sz w:val="44"/>
          <w:szCs w:val="44"/>
          <w:lang w:val="en-US" w:eastAsia="zh-CN"/>
          <w14:textFill>
            <w14:solidFill>
              <w14:schemeClr w14:val="tx1"/>
            </w14:solidFill>
          </w14:textFill>
        </w:rPr>
      </w:pPr>
      <w:r>
        <w:rPr>
          <w:rFonts w:hint="eastAsia" w:ascii="方正小标宋_GBK" w:eastAsia="方正小标宋_GBK" w:cs="Times New Roman"/>
          <w:b/>
          <w:bCs/>
          <w:color w:val="000000" w:themeColor="text1"/>
          <w:spacing w:val="8"/>
          <w:kern w:val="0"/>
          <w:sz w:val="44"/>
          <w:szCs w:val="44"/>
          <w:lang w:val="en-US" w:eastAsia="zh-CN"/>
          <w14:textFill>
            <w14:solidFill>
              <w14:schemeClr w14:val="tx1"/>
            </w14:solidFill>
          </w14:textFill>
        </w:rPr>
        <w:t>关于促进蒙东（通辽）算力产业高质量</w:t>
      </w:r>
    </w:p>
    <w:p w14:paraId="330B5B7E">
      <w:pPr>
        <w:keepNext w:val="0"/>
        <w:keepLines w:val="0"/>
        <w:pageBreakBefore w:val="0"/>
        <w:widowControl/>
        <w:shd w:val="clear" w:color="auto" w:fill="FFFFFF"/>
        <w:kinsoku/>
        <w:wordWrap/>
        <w:overflowPunct/>
        <w:topLinePunct w:val="0"/>
        <w:autoSpaceDE/>
        <w:autoSpaceDN/>
        <w:bidi w:val="0"/>
        <w:spacing w:before="0" w:beforeAutospacing="0" w:after="0" w:line="560" w:lineRule="exact"/>
        <w:ind w:left="0" w:leftChars="0" w:right="0" w:firstLine="0" w:firstLineChars="0"/>
        <w:jc w:val="center"/>
        <w:textAlignment w:val="auto"/>
        <w:rPr>
          <w:rFonts w:hint="default" w:ascii="方正小标宋_GBK" w:hAnsi="Times New Roman" w:eastAsia="方正小标宋_GBK" w:cs="Times New Roman"/>
          <w:color w:val="000000" w:themeColor="text1"/>
          <w:spacing w:val="8"/>
          <w:kern w:val="0"/>
          <w:sz w:val="44"/>
          <w:szCs w:val="44"/>
          <w:lang w:val="en-US" w:eastAsia="zh-CN"/>
          <w14:textFill>
            <w14:solidFill>
              <w14:schemeClr w14:val="tx1"/>
            </w14:solidFill>
          </w14:textFill>
        </w:rPr>
      </w:pPr>
      <w:r>
        <w:rPr>
          <w:rFonts w:hint="eastAsia" w:ascii="方正小标宋_GBK" w:eastAsia="方正小标宋_GBK" w:cs="Times New Roman"/>
          <w:b/>
          <w:bCs/>
          <w:color w:val="000000" w:themeColor="text1"/>
          <w:spacing w:val="8"/>
          <w:kern w:val="0"/>
          <w:sz w:val="44"/>
          <w:szCs w:val="44"/>
          <w:lang w:val="en-US" w:eastAsia="zh-CN"/>
          <w14:textFill>
            <w14:solidFill>
              <w14:schemeClr w14:val="tx1"/>
            </w14:solidFill>
          </w14:textFill>
        </w:rPr>
        <w:t>发展的指导意见（征求意见稿）</w:t>
      </w:r>
    </w:p>
    <w:p w14:paraId="148207C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line="560" w:lineRule="exact"/>
        <w:ind w:left="0" w:leftChars="0" w:right="0" w:firstLine="0" w:firstLineChars="0"/>
        <w:jc w:val="both"/>
        <w:textAlignment w:val="auto"/>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pPr>
    </w:p>
    <w:p w14:paraId="652A06C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line="560" w:lineRule="exact"/>
        <w:ind w:left="0" w:right="0" w:firstLine="648"/>
        <w:jc w:val="both"/>
        <w:textAlignment w:val="auto"/>
        <w:rPr>
          <w:rFonts w:hint="default" w:cs="Times New Roman"/>
          <w:color w:val="000000" w:themeColor="text1"/>
          <w:kern w:val="0"/>
          <w:sz w:val="32"/>
          <w:szCs w:val="32"/>
          <w:lang w:val="en-US" w:eastAsia="zh-CN"/>
          <w14:textFill>
            <w14:solidFill>
              <w14:schemeClr w14:val="tx1"/>
            </w14:solidFill>
          </w14:textFill>
        </w:rPr>
      </w:pPr>
      <w:r>
        <w:rPr>
          <w:rFonts w:hint="eastAsia"/>
          <w:color w:val="000000" w:themeColor="text1"/>
          <w14:textFill>
            <w14:solidFill>
              <w14:schemeClr w14:val="tx1"/>
            </w14:solidFill>
          </w14:textFill>
        </w:rPr>
        <w:t>为深度融入国家</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东数西算</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战略布局，抢抓新一代人工智能发展机遇，充分发挥通辽绿电资源</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网络资源</w:t>
      </w:r>
      <w:r>
        <w:rPr>
          <w:rFonts w:hint="eastAsia"/>
          <w:color w:val="000000" w:themeColor="text1"/>
          <w14:textFill>
            <w14:solidFill>
              <w14:schemeClr w14:val="tx1"/>
            </w14:solidFill>
          </w14:textFill>
        </w:rPr>
        <w:t>与区位优势，加快构建数</w:t>
      </w:r>
      <w:bookmarkStart w:id="0" w:name="_GoBack"/>
      <w:bookmarkEnd w:id="0"/>
      <w:r>
        <w:rPr>
          <w:rFonts w:hint="eastAsia"/>
          <w:color w:val="000000" w:themeColor="text1"/>
          <w14:textFill>
            <w14:solidFill>
              <w14:schemeClr w14:val="tx1"/>
            </w14:solidFill>
          </w14:textFill>
        </w:rPr>
        <w:t>字经济高质量发展新引擎</w:t>
      </w:r>
      <w:r>
        <w:rPr>
          <w:rFonts w:hint="eastAsia" w:cs="Times New Roman"/>
          <w:color w:val="000000" w:themeColor="text1"/>
          <w:kern w:val="0"/>
          <w:sz w:val="32"/>
          <w:szCs w:val="32"/>
          <w:lang w:val="en-US" w:eastAsia="zh-CN"/>
          <w14:textFill>
            <w14:solidFill>
              <w14:schemeClr w14:val="tx1"/>
            </w14:solidFill>
          </w14:textFill>
        </w:rPr>
        <w:t>，现提出如下意见。</w:t>
      </w:r>
    </w:p>
    <w:p w14:paraId="47F1537A">
      <w:pPr>
        <w:pStyle w:val="2"/>
        <w:numPr>
          <w:ilvl w:val="0"/>
          <w:numId w:val="5"/>
        </w:numPr>
        <w:ind w:firstLine="640"/>
        <w:rPr>
          <w:rFonts w:hint="eastAsia" w:cs="Times New Roman"/>
          <w:color w:val="000000" w:themeColor="text1"/>
          <w:kern w:val="0"/>
          <w:sz w:val="32"/>
          <w:szCs w:val="32"/>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发展基础</w:t>
      </w:r>
    </w:p>
    <w:p w14:paraId="09B8C942">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line="560" w:lineRule="exact"/>
        <w:ind w:left="0" w:right="0" w:firstLine="648"/>
        <w:jc w:val="both"/>
        <w:textAlignment w:val="auto"/>
        <w:rPr>
          <w:rFonts w:hint="default" w:cs="Times New Roman"/>
          <w:color w:val="000000" w:themeColor="text1"/>
          <w:kern w:val="0"/>
          <w:sz w:val="32"/>
          <w:szCs w:val="32"/>
          <w:lang w:val="en-US" w:eastAsia="zh-CN"/>
          <w14:textFill>
            <w14:solidFill>
              <w14:schemeClr w14:val="tx1"/>
            </w14:solidFill>
          </w14:textFill>
        </w:rPr>
      </w:pPr>
      <w:r>
        <w:rPr>
          <w:rFonts w:hint="eastAsia" w:cs="Times New Roman"/>
          <w:color w:val="000000" w:themeColor="text1"/>
          <w:kern w:val="0"/>
          <w:sz w:val="32"/>
          <w:szCs w:val="32"/>
          <w:lang w:val="en-US" w:eastAsia="zh-CN"/>
          <w14:textFill>
            <w14:solidFill>
              <w14:schemeClr w14:val="tx1"/>
            </w14:solidFill>
          </w14:textFill>
        </w:rPr>
        <w:t>通辽市是全国一体化算力网络国家枢纽节点内蒙古节点的蒙东地区通信网络核心枢纽，具备发展算力产业的显著优势。在新能源方面，已成功获批奈曼旗工业园区、霍林郭勒高新技术产业开发区、经济技术开发区3个国家增量配电改革试点项目，网内新能源“绿电”占比可达到50%以上，通过新能源打造绿色电力和电价优势，为通辽经济发展注入新动力。在通信网络方面是自治区三大运营商的第二出口局，是全区通信应急备份出口，总出口带宽10.6T，建成到北京、天津、长春、沈阳、哈尔滨5个城市的直连传输网；承担通辽、赤峰、兴安盟、呼伦贝尔四盟市的省际流量，实现本地2ms、北京5.5ms，天津6.5ms，沈阳长春3ms，哈尔滨4ms时延。</w:t>
      </w:r>
    </w:p>
    <w:p w14:paraId="0F62F50A">
      <w:pPr>
        <w:pStyle w:val="2"/>
        <w:numPr>
          <w:ilvl w:val="0"/>
          <w:numId w:val="5"/>
        </w:numPr>
        <w:ind w:firstLine="64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指导思想</w:t>
      </w:r>
    </w:p>
    <w:p w14:paraId="43B1832A">
      <w:pP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全面</w:t>
      </w:r>
      <w:r>
        <w:rPr>
          <w:rFonts w:hint="eastAsia"/>
          <w:color w:val="000000" w:themeColor="text1"/>
          <w14:textFill>
            <w14:solidFill>
              <w14:schemeClr w14:val="tx1"/>
            </w14:solidFill>
          </w14:textFill>
        </w:rPr>
        <w:t>深入贯彻习近平总书记对内蒙古的重要指示批示精神</w:t>
      </w:r>
      <w:r>
        <w:rPr>
          <w:rFonts w:hint="eastAsia"/>
          <w:color w:val="000000" w:themeColor="text1"/>
          <w:lang w:val="en-US" w:eastAsia="zh-CN"/>
          <w14:textFill>
            <w14:solidFill>
              <w14:schemeClr w14:val="tx1"/>
            </w14:solidFill>
          </w14:textFill>
        </w:rPr>
        <w:t>和部分省区市“十五五”时期经济社会发展座谈会的重要讲话精神</w:t>
      </w:r>
      <w:r>
        <w:rPr>
          <w:rFonts w:hint="eastAsia"/>
          <w:color w:val="000000" w:themeColor="text1"/>
          <w14:textFill>
            <w14:solidFill>
              <w14:schemeClr w14:val="tx1"/>
            </w14:solidFill>
          </w14:textFill>
        </w:rPr>
        <w:t>，以铸牢中华民族共同体意识为工作主线，完整、准确、全面贯彻新发展理念，</w:t>
      </w:r>
      <w:r>
        <w:rPr>
          <w:color w:val="000000" w:themeColor="text1"/>
          <w14:textFill>
            <w14:solidFill>
              <w14:schemeClr w14:val="tx1"/>
            </w14:solidFill>
          </w14:textFill>
        </w:rPr>
        <w:t>加强战略布局</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聚焦完成</w:t>
      </w:r>
      <w:r>
        <w:rPr>
          <w:rFonts w:hint="eastAsia"/>
          <w:color w:val="000000" w:themeColor="text1"/>
          <w:lang w:val="en-US" w:eastAsia="zh-CN"/>
          <w14:textFill>
            <w14:solidFill>
              <w14:schemeClr w14:val="tx1"/>
            </w14:solidFill>
          </w14:textFill>
        </w:rPr>
        <w:t>“</w:t>
      </w:r>
      <w:r>
        <w:rPr>
          <w:color w:val="000000" w:themeColor="text1"/>
          <w14:textFill>
            <w14:solidFill>
              <w14:schemeClr w14:val="tx1"/>
            </w14:solidFill>
          </w14:textFill>
        </w:rPr>
        <w:t>两件大事</w:t>
      </w:r>
      <w:r>
        <w:rPr>
          <w:rFonts w:hint="eastAsia"/>
          <w:color w:val="000000" w:themeColor="text1"/>
          <w:lang w:val="en-US" w:eastAsia="zh-CN"/>
          <w14:textFill>
            <w14:solidFill>
              <w14:schemeClr w14:val="tx1"/>
            </w14:solidFill>
          </w14:textFill>
        </w:rPr>
        <w:t>”</w:t>
      </w:r>
      <w:r>
        <w:rPr>
          <w:color w:val="000000" w:themeColor="text1"/>
          <w14:textFill>
            <w14:solidFill>
              <w14:schemeClr w14:val="tx1"/>
            </w14:solidFill>
          </w14:textFill>
        </w:rPr>
        <w:t>，以数字化能力提升为突破口，以优势特色产业数字化为牵引，促进数字经济核心产业特色化、集约化发展，推进数字技术与实体经济深度融合</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前瞻研究、精准落子，积极培塑经济发展新动能，以算力高质量发展支撑</w:t>
      </w:r>
      <w:r>
        <w:rPr>
          <w:rFonts w:hint="eastAsia"/>
          <w:color w:val="000000" w:themeColor="text1"/>
          <w14:textFill>
            <w14:solidFill>
              <w14:schemeClr w14:val="tx1"/>
            </w14:solidFill>
          </w14:textFill>
        </w:rPr>
        <w:t>通辽</w:t>
      </w:r>
      <w:r>
        <w:rPr>
          <w:color w:val="000000" w:themeColor="text1"/>
          <w14:textFill>
            <w14:solidFill>
              <w14:schemeClr w14:val="tx1"/>
            </w14:solidFill>
          </w14:textFill>
        </w:rPr>
        <w:t>经济跨越追赶</w:t>
      </w:r>
      <w:r>
        <w:rPr>
          <w:rFonts w:hint="eastAsia"/>
          <w:color w:val="000000" w:themeColor="text1"/>
          <w14:textFill>
            <w14:solidFill>
              <w14:schemeClr w14:val="tx1"/>
            </w14:solidFill>
          </w14:textFill>
        </w:rPr>
        <w:t>，全力跑出</w:t>
      </w:r>
      <w:r>
        <w:rPr>
          <w:color w:val="000000" w:themeColor="text1"/>
          <w14:textFill>
            <w14:solidFill>
              <w14:schemeClr w14:val="tx1"/>
            </w14:solidFill>
          </w14:textFill>
        </w:rPr>
        <w:t>加速度，奋力书写中国式现代化的通辽新篇章。</w:t>
      </w:r>
    </w:p>
    <w:p w14:paraId="0F1CDC80">
      <w:pPr>
        <w:pStyle w:val="2"/>
        <w:numPr>
          <w:ilvl w:val="0"/>
          <w:numId w:val="5"/>
        </w:numPr>
        <w:ind w:firstLine="64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总体目标</w:t>
      </w:r>
      <w:r>
        <w:rPr>
          <w:rFonts w:hint="eastAsia" w:ascii="Times New Roman" w:hAnsi="Times New Roman" w:cs="Times New Roman"/>
          <w:color w:val="000000" w:themeColor="text1"/>
          <w:lang w:val="en-US" w:eastAsia="zh-CN"/>
          <w14:textFill>
            <w14:solidFill>
              <w14:schemeClr w14:val="tx1"/>
            </w14:solidFill>
          </w14:textFill>
        </w:rPr>
        <w:t>和空间布局</w:t>
      </w:r>
    </w:p>
    <w:p w14:paraId="5DABB8DD">
      <w:pPr>
        <w:pStyle w:val="3"/>
        <w:numPr>
          <w:ilvl w:val="1"/>
          <w:numId w:val="6"/>
        </w:numPr>
        <w:ind w:firstLine="640" w:firstLineChars="200"/>
        <w:rPr>
          <w:rFonts w:hint="eastAsia" w:cs="Times New Roman"/>
          <w:color w:val="000000" w:themeColor="text1"/>
          <w:kern w:val="0"/>
          <w:sz w:val="32"/>
          <w:szCs w:val="32"/>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总体目标</w:t>
      </w:r>
    </w:p>
    <w:p w14:paraId="316CCD0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line="560" w:lineRule="exact"/>
        <w:ind w:left="0" w:right="0" w:firstLine="648"/>
        <w:jc w:val="both"/>
        <w:textAlignment w:val="auto"/>
        <w:rPr>
          <w:rFonts w:hint="eastAsia" w:cs="Times New Roman"/>
          <w:color w:val="000000" w:themeColor="text1"/>
          <w:kern w:val="0"/>
          <w:sz w:val="32"/>
          <w:szCs w:val="32"/>
          <w:lang w:val="en-US" w:eastAsia="zh-CN"/>
          <w14:textFill>
            <w14:solidFill>
              <w14:schemeClr w14:val="tx1"/>
            </w14:solidFill>
          </w14:textFill>
        </w:rPr>
      </w:pPr>
      <w:r>
        <w:rPr>
          <w:rFonts w:hint="eastAsia" w:cs="Times New Roman"/>
          <w:color w:val="000000" w:themeColor="text1"/>
          <w:kern w:val="0"/>
          <w:sz w:val="32"/>
          <w:szCs w:val="32"/>
          <w:lang w:val="en-US" w:eastAsia="zh-CN"/>
          <w14:textFill>
            <w14:solidFill>
              <w14:schemeClr w14:val="tx1"/>
            </w14:solidFill>
          </w14:textFill>
        </w:rPr>
        <w:t>到2027年，全算力产业链营收超过20亿，通辽市智算总规模突破3万P</w:t>
      </w:r>
      <w:r>
        <w:rPr>
          <w:rFonts w:hint="eastAsia"/>
          <w:color w:val="000000" w:themeColor="text1"/>
          <w:lang w:eastAsia="zh-CN"/>
          <w14:textFill>
            <w14:solidFill>
              <w14:schemeClr w14:val="tx1"/>
            </w14:solidFill>
          </w14:textFill>
        </w:rPr>
        <w:t>（</w:t>
      </w:r>
      <w:r>
        <w:rPr>
          <w:rFonts w:hint="eastAsia" w:cs="Times New Roman"/>
          <w:color w:val="000000" w:themeColor="text1"/>
          <w:kern w:val="0"/>
          <w:sz w:val="32"/>
          <w:szCs w:val="32"/>
          <w:lang w:val="en-US" w:eastAsia="zh-CN"/>
          <w14:textFill>
            <w14:solidFill>
              <w14:schemeClr w14:val="tx1"/>
            </w14:solidFill>
          </w14:textFill>
        </w:rPr>
        <w:t>FP16</w:t>
      </w:r>
      <w:r>
        <w:rPr>
          <w:rFonts w:hint="eastAsia"/>
          <w:color w:val="000000" w:themeColor="text1"/>
          <w:lang w:eastAsia="zh-CN"/>
          <w14:textFill>
            <w14:solidFill>
              <w14:schemeClr w14:val="tx1"/>
            </w14:solidFill>
          </w14:textFill>
        </w:rPr>
        <w:t>）</w:t>
      </w:r>
      <w:r>
        <w:rPr>
          <w:rFonts w:hint="eastAsia" w:cs="Times New Roman"/>
          <w:color w:val="000000" w:themeColor="text1"/>
          <w:kern w:val="0"/>
          <w:sz w:val="32"/>
          <w:szCs w:val="32"/>
          <w:lang w:val="en-US" w:eastAsia="zh-CN"/>
          <w14:textFill>
            <w14:solidFill>
              <w14:schemeClr w14:val="tx1"/>
            </w14:solidFill>
          </w14:textFill>
        </w:rPr>
        <w:t>，上游设备制造、中游算力中心建设、下游算力数据应用的算力产业链初步形成。算电用协同布局全面建成，算力设施更加绿色低碳，绿电消费占比大于80%。汇聚100家算力产业链企业，形成100个以上数据产品与服务，积累100个以上数据创新应用场景和案例。到2030年，智算总规模达到10万P，全算力产业链营收超过100亿</w:t>
      </w:r>
      <w:r>
        <w:rPr>
          <w:rFonts w:hint="eastAsia" w:cs="Times New Roman"/>
          <w:color w:val="000000" w:themeColor="text1"/>
          <w:kern w:val="0"/>
          <w:sz w:val="32"/>
          <w:szCs w:val="32"/>
          <w:lang w:val="en-US" w:eastAsia="zh-CN"/>
          <w14:textFill>
            <w14:solidFill>
              <w14:schemeClr w14:val="tx1"/>
            </w14:solidFill>
          </w14:textFill>
        </w:rPr>
        <w:t>。</w:t>
      </w:r>
      <w:r>
        <w:rPr>
          <w:rFonts w:hint="eastAsia" w:cs="Times New Roman"/>
          <w:color w:val="000000" w:themeColor="text1"/>
          <w:kern w:val="0"/>
          <w:sz w:val="32"/>
          <w:szCs w:val="32"/>
          <w:lang w:val="en-US" w:eastAsia="zh-CN"/>
          <w14:textFill>
            <w14:solidFill>
              <w14:schemeClr w14:val="tx1"/>
            </w14:solidFill>
          </w14:textFill>
        </w:rPr>
        <w:t>到2035年，智算总规模达到20万P，全算力产业链营收超过200亿，</w:t>
      </w:r>
      <w:r>
        <w:rPr>
          <w:color w:val="000000" w:themeColor="text1"/>
          <w14:textFill>
            <w14:solidFill>
              <w14:schemeClr w14:val="tx1"/>
            </w14:solidFill>
          </w14:textFill>
        </w:rPr>
        <w:t>成为全国算力产业发展高地</w:t>
      </w:r>
      <w:r>
        <w:rPr>
          <w:rFonts w:hint="eastAsia" w:cs="Times New Roman"/>
          <w:color w:val="000000" w:themeColor="text1"/>
          <w:kern w:val="0"/>
          <w:sz w:val="32"/>
          <w:szCs w:val="32"/>
          <w:lang w:val="en-US" w:eastAsia="zh-CN"/>
          <w14:textFill>
            <w14:solidFill>
              <w14:schemeClr w14:val="tx1"/>
            </w14:solidFill>
          </w14:textFill>
        </w:rPr>
        <w:t>。</w:t>
      </w:r>
    </w:p>
    <w:p w14:paraId="58AF5CDB">
      <w:pPr>
        <w:pStyle w:val="3"/>
        <w:keepNext w:val="0"/>
        <w:keepLines w:val="0"/>
        <w:pageBreakBefore w:val="0"/>
        <w:widowControl/>
        <w:numPr>
          <w:ilvl w:val="1"/>
          <w:numId w:val="6"/>
        </w:numPr>
        <w:shd w:val="clear" w:color="auto" w:fill="FFFFFF"/>
        <w:kinsoku/>
        <w:wordWrap/>
        <w:overflowPunct/>
        <w:topLinePunct w:val="0"/>
        <w:autoSpaceDE/>
        <w:autoSpaceDN/>
        <w:bidi w:val="0"/>
        <w:adjustRightInd/>
        <w:snapToGrid/>
        <w:spacing w:before="0" w:beforeAutospacing="0" w:after="0" w:line="560" w:lineRule="exact"/>
        <w:ind w:left="0" w:right="0" w:firstLine="640" w:firstLineChars="200"/>
        <w:jc w:val="both"/>
        <w:textAlignment w:val="auto"/>
        <w:rPr>
          <w:rFonts w:hint="eastAsia" w:cs="Times New Roman"/>
          <w:color w:val="000000" w:themeColor="text1"/>
          <w:kern w:val="0"/>
          <w:sz w:val="32"/>
          <w:szCs w:val="32"/>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空间目标</w:t>
      </w:r>
    </w:p>
    <w:p w14:paraId="5D710EA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line="560" w:lineRule="exact"/>
        <w:ind w:left="0" w:right="0" w:firstLine="648"/>
        <w:jc w:val="both"/>
        <w:textAlignment w:val="auto"/>
        <w:rPr>
          <w:rFonts w:hint="default" w:cs="Times New Roman"/>
          <w:color w:val="000000" w:themeColor="text1"/>
          <w:kern w:val="0"/>
          <w:sz w:val="32"/>
          <w:szCs w:val="32"/>
          <w:lang w:val="en-US" w:eastAsia="zh-CN"/>
          <w14:textFill>
            <w14:solidFill>
              <w14:schemeClr w14:val="tx1"/>
            </w14:solidFill>
          </w14:textFill>
        </w:rPr>
      </w:pPr>
      <w:r>
        <w:rPr>
          <w:rFonts w:hint="eastAsia" w:cs="Times New Roman"/>
          <w:color w:val="000000" w:themeColor="text1"/>
          <w:kern w:val="0"/>
          <w:sz w:val="32"/>
          <w:szCs w:val="32"/>
          <w:lang w:val="en-US" w:eastAsia="zh-CN"/>
          <w14:textFill>
            <w14:solidFill>
              <w14:schemeClr w14:val="tx1"/>
            </w14:solidFill>
          </w14:textFill>
        </w:rPr>
        <w:t>算力产业</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按照</w:t>
      </w:r>
      <w:r>
        <w:rPr>
          <w:rFonts w:hint="eastAsia"/>
          <w:color w:val="000000" w:themeColor="text1"/>
          <w:lang w:val="en-US" w:eastAsia="zh-CN"/>
          <w14:textFill>
            <w14:solidFill>
              <w14:schemeClr w14:val="tx1"/>
            </w14:solidFill>
          </w14:textFill>
        </w:rPr>
        <w:t>“</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一核一点</w:t>
      </w:r>
      <w:r>
        <w:rPr>
          <w:rFonts w:hint="eastAsia"/>
          <w:color w:val="000000" w:themeColor="text1"/>
          <w:lang w:val="en-US" w:eastAsia="zh-CN"/>
          <w14:textFill>
            <w14:solidFill>
              <w14:schemeClr w14:val="tx1"/>
            </w14:solidFill>
          </w14:textFill>
        </w:rPr>
        <w:t>”</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模式实施空间总体布局。</w:t>
      </w:r>
      <w:r>
        <w:rPr>
          <w:rFonts w:hint="eastAsia"/>
          <w:color w:val="000000" w:themeColor="text1"/>
          <w:lang w:val="en-US" w:eastAsia="zh-CN"/>
          <w14:textFill>
            <w14:solidFill>
              <w14:schemeClr w14:val="tx1"/>
            </w14:solidFill>
          </w14:textFill>
        </w:rPr>
        <w:t>“</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一核</w:t>
      </w:r>
      <w:r>
        <w:rPr>
          <w:rFonts w:hint="eastAsia"/>
          <w:color w:val="000000" w:themeColor="text1"/>
          <w:lang w:val="en-US" w:eastAsia="zh-CN"/>
          <w14:textFill>
            <w14:solidFill>
              <w14:schemeClr w14:val="tx1"/>
            </w14:solidFill>
          </w14:textFill>
        </w:rPr>
        <w:t>”</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是由通北产业园算力园区</w:t>
      </w:r>
      <w:r>
        <w:rPr>
          <w:rFonts w:hint="eastAsia" w:cs="Times New Roman"/>
          <w:color w:val="000000" w:themeColor="text1"/>
          <w:kern w:val="0"/>
          <w:sz w:val="32"/>
          <w:szCs w:val="32"/>
          <w:lang w:val="en-US" w:eastAsia="zh-CN"/>
          <w14:textFill>
            <w14:solidFill>
              <w14:schemeClr w14:val="tx1"/>
            </w14:solidFill>
          </w14:textFill>
        </w:rPr>
        <w:t>和经济技术</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开发区算力园区组合形成的核心园区，</w:t>
      </w:r>
      <w:r>
        <w:rPr>
          <w:rFonts w:hint="eastAsia"/>
          <w:color w:val="000000" w:themeColor="text1"/>
          <w:lang w:val="en-US" w:eastAsia="zh-CN"/>
          <w14:textFill>
            <w14:solidFill>
              <w14:schemeClr w14:val="tx1"/>
            </w14:solidFill>
          </w14:textFill>
        </w:rPr>
        <w:t>“</w:t>
      </w:r>
      <w:r>
        <w:rPr>
          <w:rFonts w:hint="eastAsia" w:cs="Times New Roman"/>
          <w:color w:val="000000" w:themeColor="text1"/>
          <w:kern w:val="0"/>
          <w:sz w:val="32"/>
          <w:szCs w:val="32"/>
          <w:lang w:val="en-US" w:eastAsia="zh-CN"/>
          <w14:textFill>
            <w14:solidFill>
              <w14:schemeClr w14:val="tx1"/>
            </w14:solidFill>
          </w14:textFill>
        </w:rPr>
        <w:t>一点</w:t>
      </w:r>
      <w:r>
        <w:rPr>
          <w:rFonts w:hint="eastAsia"/>
          <w:color w:val="000000" w:themeColor="text1"/>
          <w:lang w:val="en-US" w:eastAsia="zh-CN"/>
          <w14:textFill>
            <w14:solidFill>
              <w14:schemeClr w14:val="tx1"/>
            </w14:solidFill>
          </w14:textFill>
        </w:rPr>
        <w:t>”</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是科左后旗算力园区。</w:t>
      </w:r>
      <w:r>
        <w:rPr>
          <w:rFonts w:hint="eastAsia" w:cs="Times New Roman"/>
          <w:color w:val="000000" w:themeColor="text1"/>
          <w:kern w:val="0"/>
          <w:sz w:val="32"/>
          <w:szCs w:val="32"/>
          <w:lang w:val="en-US" w:eastAsia="zh-CN"/>
          <w14:textFill>
            <w14:solidFill>
              <w14:schemeClr w14:val="tx1"/>
            </w14:solidFill>
          </w14:textFill>
        </w:rPr>
        <w:t>中型以上算力中心原则上都部署在</w:t>
      </w:r>
      <w:r>
        <w:rPr>
          <w:rFonts w:hint="eastAsia"/>
          <w:color w:val="000000" w:themeColor="text1"/>
          <w:lang w:val="en-US" w:eastAsia="zh-CN"/>
          <w14:textFill>
            <w14:solidFill>
              <w14:schemeClr w14:val="tx1"/>
            </w14:solidFill>
          </w14:textFill>
        </w:rPr>
        <w:t>“</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一核一点</w:t>
      </w:r>
      <w:r>
        <w:rPr>
          <w:rFonts w:hint="eastAsia"/>
          <w:color w:val="000000" w:themeColor="text1"/>
          <w:lang w:val="en-US" w:eastAsia="zh-CN"/>
          <w14:textFill>
            <w14:solidFill>
              <w14:schemeClr w14:val="tx1"/>
            </w14:solidFill>
          </w14:textFill>
        </w:rPr>
        <w:t>”</w:t>
      </w:r>
      <w:r>
        <w:rPr>
          <w:rFonts w:hint="eastAsia" w:cs="Times New Roman"/>
          <w:color w:val="000000" w:themeColor="text1"/>
          <w:kern w:val="0"/>
          <w:sz w:val="32"/>
          <w:szCs w:val="32"/>
          <w:lang w:val="en-US" w:eastAsia="zh-CN"/>
          <w14:textFill>
            <w14:solidFill>
              <w14:schemeClr w14:val="tx1"/>
            </w14:solidFill>
          </w14:textFill>
        </w:rPr>
        <w:t>范围内，其他算力相关产业原则上都部署在</w:t>
      </w:r>
      <w:r>
        <w:rPr>
          <w:rFonts w:hint="eastAsia"/>
          <w:color w:val="000000" w:themeColor="text1"/>
          <w:lang w:val="en-US" w:eastAsia="zh-CN"/>
          <w14:textFill>
            <w14:solidFill>
              <w14:schemeClr w14:val="tx1"/>
            </w14:solidFill>
          </w14:textFill>
        </w:rPr>
        <w:t>“</w:t>
      </w:r>
      <w:r>
        <w:rPr>
          <w:rFonts w:hint="eastAsia" w:cs="Times New Roman"/>
          <w:color w:val="000000" w:themeColor="text1"/>
          <w:kern w:val="0"/>
          <w:sz w:val="32"/>
          <w:szCs w:val="32"/>
          <w:lang w:val="en-US" w:eastAsia="zh-CN"/>
          <w14:textFill>
            <w14:solidFill>
              <w14:schemeClr w14:val="tx1"/>
            </w14:solidFill>
          </w14:textFill>
        </w:rPr>
        <w:t>一核</w:t>
      </w:r>
      <w:r>
        <w:rPr>
          <w:rFonts w:hint="eastAsia"/>
          <w:color w:val="000000" w:themeColor="text1"/>
          <w:lang w:val="en-US" w:eastAsia="zh-CN"/>
          <w14:textFill>
            <w14:solidFill>
              <w14:schemeClr w14:val="tx1"/>
            </w14:solidFill>
          </w14:textFill>
        </w:rPr>
        <w:t>”</w:t>
      </w:r>
      <w:r>
        <w:rPr>
          <w:rFonts w:hint="eastAsia" w:cs="Times New Roman"/>
          <w:color w:val="000000" w:themeColor="text1"/>
          <w:kern w:val="0"/>
          <w:sz w:val="32"/>
          <w:szCs w:val="32"/>
          <w:lang w:val="en-US" w:eastAsia="zh-CN"/>
          <w14:textFill>
            <w14:solidFill>
              <w14:schemeClr w14:val="tx1"/>
            </w14:solidFill>
          </w14:textFill>
        </w:rPr>
        <w:t>范围内。</w:t>
      </w:r>
    </w:p>
    <w:p w14:paraId="4F7E8996">
      <w:pPr>
        <w:pStyle w:val="2"/>
        <w:numPr>
          <w:ilvl w:val="0"/>
          <w:numId w:val="5"/>
        </w:numPr>
        <w:ind w:firstLine="640"/>
        <w:rPr>
          <w:rFonts w:hint="eastAsia" w:ascii="黑体" w:hAnsi="黑体" w:cs="Times New Roman"/>
          <w:color w:val="000000" w:themeColor="text1"/>
          <w:kern w:val="0"/>
          <w:szCs w:val="32"/>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推进措施</w:t>
      </w:r>
    </w:p>
    <w:p w14:paraId="4310D096">
      <w:pPr>
        <w:keepLines w:val="0"/>
        <w:shd w:val="clear" w:color="auto" w:fill="FFFFFF"/>
        <w:ind w:firstLine="648"/>
        <w:jc w:val="both"/>
        <w:rPr>
          <w:rFonts w:hint="default" w:ascii="Times New Roman" w:hAnsi="Times New Roman" w:cs="Times New Roman"/>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构建</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绿电-智算-应用</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协同模式，打造区域性绿色算力标杆，搭建</w:t>
      </w:r>
      <w:r>
        <w:rPr>
          <w:rFonts w:hint="eastAsia"/>
          <w:color w:val="000000" w:themeColor="text1"/>
          <w:lang w:val="en-US" w:eastAsia="zh-CN"/>
          <w14:textFill>
            <w14:solidFill>
              <w14:schemeClr w14:val="tx1"/>
            </w14:solidFill>
          </w14:textFill>
        </w:rPr>
        <w:t>智算</w:t>
      </w:r>
      <w:r>
        <w:rPr>
          <w:rFonts w:hint="eastAsia"/>
          <w:color w:val="000000" w:themeColor="text1"/>
          <w14:textFill>
            <w14:solidFill>
              <w14:schemeClr w14:val="tx1"/>
            </w14:solidFill>
          </w14:textFill>
        </w:rPr>
        <w:t>创新应用生态链</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推动</w:t>
      </w:r>
      <w:r>
        <w:rPr>
          <w:rFonts w:hint="eastAsia"/>
          <w:color w:val="000000" w:themeColor="text1"/>
          <w14:textFill>
            <w14:solidFill>
              <w14:schemeClr w14:val="tx1"/>
            </w14:solidFill>
          </w14:textFill>
        </w:rPr>
        <w:t>通辽</w:t>
      </w:r>
      <w:r>
        <w:rPr>
          <w:rFonts w:hint="eastAsia"/>
          <w:color w:val="000000" w:themeColor="text1"/>
          <w:lang w:val="en-US" w:eastAsia="zh-CN"/>
          <w14:textFill>
            <w14:solidFill>
              <w14:schemeClr w14:val="tx1"/>
            </w14:solidFill>
          </w14:textFill>
        </w:rPr>
        <w:t>市新质生产力跨越式发展</w:t>
      </w:r>
      <w:r>
        <w:rPr>
          <w:rFonts w:hint="eastAsia"/>
          <w:color w:val="000000" w:themeColor="text1"/>
          <w14:textFill>
            <w14:solidFill>
              <w14:schemeClr w14:val="tx1"/>
            </w14:solidFill>
          </w14:textFill>
        </w:rPr>
        <w:t>。</w:t>
      </w:r>
    </w:p>
    <w:p w14:paraId="1313F3E9">
      <w:pPr>
        <w:pStyle w:val="3"/>
        <w:numPr>
          <w:ilvl w:val="1"/>
          <w:numId w:val="6"/>
        </w:numPr>
        <w:ind w:firstLine="640" w:firstLineChars="200"/>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加快绿色电力发展布局，</w:t>
      </w:r>
      <w:r>
        <w:rPr>
          <w:rFonts w:hint="eastAsia" w:ascii="Times New Roman" w:hAnsi="Times New Roman"/>
          <w:color w:val="000000" w:themeColor="text1"/>
          <w14:textFill>
            <w14:solidFill>
              <w14:schemeClr w14:val="tx1"/>
            </w14:solidFill>
          </w14:textFill>
        </w:rPr>
        <w:t>促进</w:t>
      </w:r>
      <w:r>
        <w:rPr>
          <w:rFonts w:hint="eastAsia" w:ascii="Times New Roman" w:hAnsi="Times New Roman"/>
          <w:color w:val="000000" w:themeColor="text1"/>
          <w:lang w:val="en-US" w:eastAsia="zh-CN"/>
          <w14:textFill>
            <w14:solidFill>
              <w14:schemeClr w14:val="tx1"/>
            </w14:solidFill>
          </w14:textFill>
        </w:rPr>
        <w:t>绿电</w:t>
      </w:r>
      <w:r>
        <w:rPr>
          <w:rFonts w:hint="eastAsia" w:ascii="Times New Roman" w:hAnsi="Times New Roman"/>
          <w:color w:val="000000" w:themeColor="text1"/>
          <w14:textFill>
            <w14:solidFill>
              <w14:schemeClr w14:val="tx1"/>
            </w14:solidFill>
          </w14:textFill>
        </w:rPr>
        <w:t>消纳</w:t>
      </w:r>
    </w:p>
    <w:p w14:paraId="2D83EBB4">
      <w:pPr>
        <w:pStyle w:val="20"/>
        <w:numPr>
          <w:ilvl w:val="0"/>
          <w:numId w:val="0"/>
        </w:numPr>
        <w:ind w:firstLine="640"/>
        <w:rPr>
          <w:rFonts w:hint="eastAsia" w:cs="Times New Roman"/>
          <w:color w:val="000000" w:themeColor="text1"/>
          <w:kern w:val="0"/>
          <w:sz w:val="32"/>
          <w:szCs w:val="32"/>
          <w:lang w:val="en-US" w:eastAsia="zh-CN"/>
          <w14:textFill>
            <w14:solidFill>
              <w14:schemeClr w14:val="tx1"/>
            </w14:solidFill>
          </w14:textFill>
        </w:rPr>
      </w:pPr>
      <w:r>
        <w:rPr>
          <w:rFonts w:ascii="Times New Roman" w:hAnsi="Times New Roman" w:eastAsia="方正仿宋_GBK" w:cs="Times New Roman"/>
          <w:b/>
          <w:color w:val="000000" w:themeColor="text1"/>
          <w:kern w:val="0"/>
          <w:sz w:val="32"/>
          <w:szCs w:val="32"/>
          <w:lang w:val="en-US" w:eastAsia="zh-CN" w:bidi="ar-SA"/>
          <w14:textFill>
            <w14:solidFill>
              <w14:schemeClr w14:val="tx1"/>
            </w14:solidFill>
          </w14:textFill>
        </w:rPr>
        <w:t>1.</w:t>
      </w:r>
      <w:r>
        <w:rPr>
          <w:rFonts w:hint="eastAsia" w:ascii="Times New Roman" w:hAnsi="Times New Roman" w:cs="Times New Roman"/>
          <w:color w:val="000000" w:themeColor="text1"/>
          <w:lang w:val="en-US" w:eastAsia="zh-CN"/>
          <w14:textFill>
            <w14:solidFill>
              <w14:schemeClr w14:val="tx1"/>
            </w14:solidFill>
          </w14:textFill>
        </w:rPr>
        <w:t>加快增量配电网</w:t>
      </w:r>
      <w:r>
        <w:rPr>
          <w:rFonts w:hint="eastAsia" w:ascii="Times New Roman" w:hAnsi="Times New Roman" w:cs="Times New Roman"/>
          <w:color w:val="000000" w:themeColor="text1"/>
          <w:lang w:val="en-US" w:eastAsia="zh-CN"/>
          <w14:textFill>
            <w14:solidFill>
              <w14:schemeClr w14:val="tx1"/>
            </w14:solidFill>
          </w14:textFill>
        </w:rPr>
        <w:t>建设进度</w:t>
      </w:r>
    </w:p>
    <w:p w14:paraId="1A6927A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line="560" w:lineRule="exact"/>
        <w:ind w:left="0" w:right="0" w:firstLine="648"/>
        <w:jc w:val="both"/>
        <w:textAlignment w:val="auto"/>
        <w:rPr>
          <w:rFonts w:hint="eastAsia" w:eastAsia="方正仿宋_GBK" w:cs="Times New Roman"/>
          <w:color w:val="000000" w:themeColor="text1"/>
          <w:kern w:val="0"/>
          <w:sz w:val="32"/>
          <w:szCs w:val="32"/>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推动算力园区</w:t>
      </w:r>
      <w:r>
        <w:rPr>
          <w:rFonts w:hint="eastAsia"/>
          <w:color w:val="000000" w:themeColor="text1"/>
          <w14:textFill>
            <w14:solidFill>
              <w14:schemeClr w14:val="tx1"/>
            </w14:solidFill>
          </w14:textFill>
        </w:rPr>
        <w:t>按双重电源供电保障建设增量配电网</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加强</w:t>
      </w:r>
      <w:r>
        <w:rPr>
          <w:rFonts w:hint="eastAsia"/>
          <w:color w:val="000000" w:themeColor="text1"/>
          <w14:textFill>
            <w14:solidFill>
              <w14:schemeClr w14:val="tx1"/>
            </w14:solidFill>
          </w14:textFill>
        </w:rPr>
        <w:t>增量配电网政策</w:t>
      </w:r>
      <w:r>
        <w:rPr>
          <w:rFonts w:hint="eastAsia"/>
          <w:color w:val="000000" w:themeColor="text1"/>
          <w:lang w:val="en-US" w:eastAsia="zh-CN"/>
          <w14:textFill>
            <w14:solidFill>
              <w14:schemeClr w14:val="tx1"/>
            </w14:solidFill>
          </w14:textFill>
        </w:rPr>
        <w:t>指导</w:t>
      </w:r>
      <w:r>
        <w:rPr>
          <w:rFonts w:hint="eastAsia"/>
          <w:color w:val="000000" w:themeColor="text1"/>
          <w14:textFill>
            <w14:solidFill>
              <w14:schemeClr w14:val="tx1"/>
            </w14:solidFill>
          </w14:textFill>
        </w:rPr>
        <w:t>、技术升级和市场化机制协同</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不断提高绿电</w:t>
      </w:r>
      <w:r>
        <w:rPr>
          <w:rFonts w:hint="eastAsia"/>
          <w:color w:val="000000" w:themeColor="text1"/>
          <w14:textFill>
            <w14:solidFill>
              <w14:schemeClr w14:val="tx1"/>
            </w14:solidFill>
          </w14:textFill>
        </w:rPr>
        <w:t>消纳比例。</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牵头单位：市能源局。配合单位：市发改委、市工信局，科左中旗人民政府、</w:t>
      </w:r>
      <w:r>
        <w:rPr>
          <w:rFonts w:hint="eastAsia" w:cs="Times New Roman"/>
          <w:color w:val="000000" w:themeColor="text1"/>
          <w:kern w:val="0"/>
          <w:sz w:val="32"/>
          <w:szCs w:val="32"/>
          <w:lang w:val="en-US" w:eastAsia="zh-CN"/>
          <w14:textFill>
            <w14:solidFill>
              <w14:schemeClr w14:val="tx1"/>
            </w14:solidFill>
          </w14:textFill>
        </w:rPr>
        <w:t>科左后旗人民政府、</w:t>
      </w:r>
      <w:r>
        <w:rPr>
          <w:rFonts w:hint="eastAsia"/>
          <w:color w:val="000000" w:themeColor="text1"/>
          <w14:textFill>
            <w14:solidFill>
              <w14:schemeClr w14:val="tx1"/>
            </w14:solidFill>
          </w14:textFill>
        </w:rPr>
        <w:t>开发区管委会</w:t>
      </w:r>
      <w:r>
        <w:rPr>
          <w:rFonts w:hint="eastAsia"/>
          <w:color w:val="000000" w:themeColor="text1"/>
          <w:lang w:eastAsia="zh-CN"/>
          <w14:textFill>
            <w14:solidFill>
              <w14:schemeClr w14:val="tx1"/>
            </w14:solidFill>
          </w14:textFill>
        </w:rPr>
        <w:t>）</w:t>
      </w:r>
    </w:p>
    <w:p w14:paraId="4B5ED37B">
      <w:pPr>
        <w:pStyle w:val="20"/>
        <w:numPr>
          <w:ilvl w:val="0"/>
          <w:numId w:val="0"/>
        </w:numPr>
        <w:shd w:val="clear" w:color="auto" w:fill="FFFFFF"/>
        <w:ind w:firstLine="640"/>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eastAsia="方正仿宋_GBK" w:cs="Times New Roman"/>
          <w:b/>
          <w:color w:val="000000" w:themeColor="text1"/>
          <w:kern w:val="0"/>
          <w:sz w:val="32"/>
          <w:szCs w:val="32"/>
          <w:lang w:val="en-US" w:eastAsia="zh-CN" w:bidi="ar-SA"/>
          <w14:textFill>
            <w14:solidFill>
              <w14:schemeClr w14:val="tx1"/>
            </w14:solidFill>
          </w14:textFill>
        </w:rPr>
        <w:t>2</w:t>
      </w:r>
      <w:r>
        <w:rPr>
          <w:rFonts w:ascii="Times New Roman" w:hAnsi="Times New Roman" w:eastAsia="方正仿宋_GBK" w:cs="Times New Roman"/>
          <w:b/>
          <w:color w:val="000000" w:themeColor="text1"/>
          <w:kern w:val="0"/>
          <w:sz w:val="32"/>
          <w:szCs w:val="32"/>
          <w:lang w:val="en-US" w:eastAsia="zh-CN" w:bidi="ar-SA"/>
          <w14:textFill>
            <w14:solidFill>
              <w14:schemeClr w14:val="tx1"/>
            </w14:solidFill>
          </w14:textFill>
        </w:rPr>
        <w:t>.</w:t>
      </w:r>
      <w:r>
        <w:rPr>
          <w:rFonts w:hint="eastAsia" w:ascii="Times New Roman" w:hAnsi="Times New Roman" w:eastAsia="方正仿宋_GBK" w:cs="Times New Roman"/>
          <w:b/>
          <w:color w:val="000000" w:themeColor="text1"/>
          <w:szCs w:val="32"/>
          <w:lang w:val="en-US" w:eastAsia="zh-CN"/>
          <w14:textFill>
            <w14:solidFill>
              <w14:schemeClr w14:val="tx1"/>
            </w14:solidFill>
          </w14:textFill>
        </w:rPr>
        <w:t>创新电力供应模式</w:t>
      </w:r>
    </w:p>
    <w:p w14:paraId="58309F1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line="560" w:lineRule="exact"/>
        <w:ind w:left="0" w:right="0" w:firstLine="648"/>
        <w:jc w:val="both"/>
        <w:textAlignment w:val="auto"/>
        <w:rPr>
          <w:rFonts w:hint="eastAsia" w:eastAsia="方正仿宋_GBK" w:cs="Times New Roman"/>
          <w:color w:val="000000" w:themeColor="text1"/>
          <w:kern w:val="0"/>
          <w:sz w:val="32"/>
          <w:szCs w:val="32"/>
          <w:lang w:val="en-US" w:eastAsia="zh-CN"/>
          <w14:textFill>
            <w14:solidFill>
              <w14:schemeClr w14:val="tx1"/>
            </w14:solidFill>
          </w14:textFill>
        </w:rPr>
      </w:pPr>
      <w:r>
        <w:rPr>
          <w:rFonts w:hint="eastAsia" w:cs="Times New Roman"/>
          <w:color w:val="000000" w:themeColor="text1"/>
          <w:kern w:val="0"/>
          <w:sz w:val="32"/>
          <w:szCs w:val="32"/>
          <w:lang w:val="en-US" w:eastAsia="zh-CN"/>
          <w14:textFill>
            <w14:solidFill>
              <w14:schemeClr w14:val="tx1"/>
            </w14:solidFill>
          </w14:textFill>
        </w:rPr>
        <w:t>积极</w:t>
      </w:r>
      <w:r>
        <w:rPr>
          <w:rFonts w:hint="eastAsia" w:cs="Times New Roman"/>
          <w:strike w:val="0"/>
          <w:dstrike w:val="0"/>
          <w:color w:val="000000" w:themeColor="text1"/>
          <w:kern w:val="0"/>
          <w:sz w:val="32"/>
          <w:szCs w:val="32"/>
          <w:lang w:val="en-US" w:eastAsia="zh-CN"/>
          <w14:textFill>
            <w14:solidFill>
              <w14:schemeClr w14:val="tx1"/>
            </w14:solidFill>
          </w14:textFill>
        </w:rPr>
        <w:t>落实自治区六类市场化并网新能源项目实施细则，根据负荷规模，</w:t>
      </w:r>
      <w:r>
        <w:rPr>
          <w:rFonts w:hint="eastAsia" w:cs="Times New Roman"/>
          <w:color w:val="000000" w:themeColor="text1"/>
          <w:kern w:val="0"/>
          <w:sz w:val="32"/>
          <w:szCs w:val="32"/>
          <w:lang w:val="en-US" w:eastAsia="zh-CN"/>
          <w14:textFill>
            <w14:solidFill>
              <w14:schemeClr w14:val="tx1"/>
            </w14:solidFill>
          </w14:textFill>
        </w:rPr>
        <w:t>引导建设全额自发自用、</w:t>
      </w:r>
      <w:r>
        <w:rPr>
          <w:rFonts w:hint="eastAsia" w:cs="Times New Roman"/>
          <w:strike w:val="0"/>
          <w:dstrike w:val="0"/>
          <w:color w:val="000000" w:themeColor="text1"/>
          <w:kern w:val="0"/>
          <w:sz w:val="32"/>
          <w:szCs w:val="32"/>
          <w:lang w:val="en-US" w:eastAsia="zh-CN"/>
          <w14:textFill>
            <w14:solidFill>
              <w14:schemeClr w14:val="tx1"/>
            </w14:solidFill>
          </w14:textFill>
        </w:rPr>
        <w:t>工业园区增量配电网绿色供电、</w:t>
      </w:r>
      <w:r>
        <w:rPr>
          <w:rFonts w:hint="eastAsia" w:cs="Times New Roman"/>
          <w:color w:val="000000" w:themeColor="text1"/>
          <w:kern w:val="0"/>
          <w:sz w:val="32"/>
          <w:szCs w:val="32"/>
          <w:lang w:val="en-US" w:eastAsia="zh-CN"/>
          <w14:textFill>
            <w14:solidFill>
              <w14:schemeClr w14:val="tx1"/>
            </w14:solidFill>
          </w14:textFill>
        </w:rPr>
        <w:t>源网荷储一体化等不占用电网调峰空间的市场化并网项目，不断提高算力企业新能源整体消纳比例。</w:t>
      </w:r>
      <w:r>
        <w:rPr>
          <w:rFonts w:hint="eastAsia" w:cs="Times New Roman"/>
          <w:color w:val="000000" w:themeColor="text1"/>
          <w:kern w:val="0"/>
          <w:sz w:val="32"/>
          <w:szCs w:val="32"/>
          <w:lang w:val="en-US" w:eastAsia="zh-CN"/>
          <w14:textFill>
            <w14:solidFill>
              <w14:schemeClr w14:val="tx1"/>
            </w14:solidFill>
          </w14:textFill>
        </w:rPr>
        <w:t>鼓励电力和算力相关企业在经营主体产权合作、源荷匹配、挖掘负荷调节潜力、碳汇互认等方面，开展绿电直连模式创新。</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牵头单位：市能源局。配合单位：市发改委、市工信局，科左中旗人民政府、</w:t>
      </w:r>
      <w:r>
        <w:rPr>
          <w:rFonts w:hint="eastAsia" w:cs="Times New Roman"/>
          <w:color w:val="000000" w:themeColor="text1"/>
          <w:kern w:val="0"/>
          <w:sz w:val="32"/>
          <w:szCs w:val="32"/>
          <w:lang w:val="en-US" w:eastAsia="zh-CN"/>
          <w14:textFill>
            <w14:solidFill>
              <w14:schemeClr w14:val="tx1"/>
            </w14:solidFill>
          </w14:textFill>
        </w:rPr>
        <w:t>科左后旗人民政府、</w:t>
      </w:r>
      <w:r>
        <w:rPr>
          <w:rFonts w:hint="eastAsia"/>
          <w:color w:val="000000" w:themeColor="text1"/>
          <w14:textFill>
            <w14:solidFill>
              <w14:schemeClr w14:val="tx1"/>
            </w14:solidFill>
          </w14:textFill>
        </w:rPr>
        <w:t>开发区管委会</w:t>
      </w:r>
      <w:r>
        <w:rPr>
          <w:rFonts w:hint="eastAsia"/>
          <w:color w:val="000000" w:themeColor="text1"/>
          <w:lang w:eastAsia="zh-CN"/>
          <w14:textFill>
            <w14:solidFill>
              <w14:schemeClr w14:val="tx1"/>
            </w14:solidFill>
          </w14:textFill>
        </w:rPr>
        <w:t>）</w:t>
      </w:r>
    </w:p>
    <w:p w14:paraId="72B10F2B">
      <w:pPr>
        <w:pStyle w:val="20"/>
        <w:numPr>
          <w:ilvl w:val="0"/>
          <w:numId w:val="0"/>
        </w:numPr>
        <w:shd w:val="clear" w:color="auto" w:fill="FFFFFF"/>
        <w:ind w:firstLine="640"/>
        <w:rPr>
          <w:rFonts w:hint="default" w:ascii="Times New Roman" w:hAnsi="Times New Roman" w:eastAsia="方正仿宋_GBK" w:cs="Times New Roman"/>
          <w:b/>
          <w:color w:val="000000" w:themeColor="text1"/>
          <w:szCs w:val="32"/>
          <w:lang w:val="en-US" w:eastAsia="zh-CN"/>
          <w14:textFill>
            <w14:solidFill>
              <w14:schemeClr w14:val="tx1"/>
            </w14:solidFill>
          </w14:textFill>
        </w:rPr>
      </w:pPr>
      <w:r>
        <w:rPr>
          <w:rFonts w:hint="eastAsia" w:ascii="Times New Roman" w:hAnsi="Times New Roman" w:eastAsia="方正仿宋_GBK" w:cs="Times New Roman"/>
          <w:b/>
          <w:color w:val="000000" w:themeColor="text1"/>
          <w:szCs w:val="32"/>
          <w:lang w:val="en-US" w:eastAsia="zh-CN"/>
          <w14:textFill>
            <w14:solidFill>
              <w14:schemeClr w14:val="tx1"/>
            </w14:solidFill>
          </w14:textFill>
        </w:rPr>
        <w:t>3.建立电价联动机制</w:t>
      </w:r>
    </w:p>
    <w:p w14:paraId="550594E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line="560" w:lineRule="exact"/>
        <w:ind w:left="0" w:right="0" w:firstLine="648"/>
        <w:jc w:val="both"/>
        <w:textAlignment w:val="auto"/>
        <w:rPr>
          <w:rFonts w:hint="eastAsia" w:eastAsia="方正仿宋_GBK" w:cs="Times New Roman"/>
          <w:color w:val="000000" w:themeColor="text1"/>
          <w:kern w:val="0"/>
          <w:sz w:val="32"/>
          <w:szCs w:val="32"/>
          <w:lang w:val="en-US" w:eastAsia="zh-CN"/>
          <w14:textFill>
            <w14:solidFill>
              <w14:schemeClr w14:val="tx1"/>
            </w14:solidFill>
          </w14:textFill>
        </w:rPr>
      </w:pPr>
      <w:r>
        <w:rPr>
          <w:rFonts w:hint="eastAsia"/>
          <w:strike w:val="0"/>
          <w:dstrike w:val="0"/>
          <w:color w:val="000000" w:themeColor="text1"/>
          <w:lang w:val="en-US" w:eastAsia="zh-CN"/>
          <w14:textFill>
            <w14:solidFill>
              <w14:schemeClr w14:val="tx1"/>
            </w14:solidFill>
          </w14:textFill>
        </w:rPr>
        <w:t>重点围绕增量配电、</w:t>
      </w:r>
      <w:r>
        <w:rPr>
          <w:rFonts w:hint="eastAsia"/>
          <w:strike w:val="0"/>
          <w:dstrike w:val="0"/>
          <w:color w:val="000000" w:themeColor="text1"/>
          <w14:textFill>
            <w14:solidFill>
              <w14:schemeClr w14:val="tx1"/>
            </w14:solidFill>
          </w14:textFill>
        </w:rPr>
        <w:t>智能调度与市场化交易，</w:t>
      </w:r>
      <w:r>
        <w:rPr>
          <w:rFonts w:hint="eastAsia"/>
          <w:strike w:val="0"/>
          <w:dstrike w:val="0"/>
          <w:color w:val="000000" w:themeColor="text1"/>
          <w:lang w:val="en-US" w:eastAsia="zh-CN"/>
          <w14:textFill>
            <w14:solidFill>
              <w14:schemeClr w14:val="tx1"/>
            </w14:solidFill>
          </w14:textFill>
        </w:rPr>
        <w:t>建立电价联动机制，降低用电成本。</w:t>
      </w:r>
      <w:r>
        <w:rPr>
          <w:rFonts w:hint="eastAsia" w:cs="Times New Roman"/>
          <w:strike w:val="0"/>
          <w:dstrike w:val="0"/>
          <w:color w:val="000000" w:themeColor="text1"/>
          <w:kern w:val="0"/>
          <w:sz w:val="32"/>
          <w:szCs w:val="32"/>
          <w:lang w:val="en-US" w:eastAsia="zh-CN"/>
          <w14:textFill>
            <w14:solidFill>
              <w14:schemeClr w14:val="tx1"/>
            </w14:solidFill>
          </w14:textFill>
        </w:rPr>
        <w:t>鼓励增量配电企业推出绿电套餐、递减式阶梯电价等差异化方案降低算力用电成本</w:t>
      </w:r>
      <w:r>
        <w:rPr>
          <w:rFonts w:hint="eastAsia"/>
          <w:strike w:val="0"/>
          <w:dstrike w:val="0"/>
          <w:color w:val="000000" w:themeColor="text1"/>
          <w:lang w:val="en-US" w:eastAsia="zh-CN"/>
          <w14:textFill>
            <w14:solidFill>
              <w14:schemeClr w14:val="tx1"/>
            </w14:solidFill>
          </w14:textFill>
        </w:rPr>
        <w:t>。</w:t>
      </w:r>
      <w:r>
        <w:rPr>
          <w:rFonts w:hint="eastAsia" w:cs="Times New Roman"/>
          <w:strike w:val="0"/>
          <w:dstrike w:val="0"/>
          <w:color w:val="000000" w:themeColor="text1"/>
          <w:kern w:val="0"/>
          <w:sz w:val="32"/>
          <w:szCs w:val="32"/>
          <w:lang w:val="en-US" w:eastAsia="zh-CN"/>
          <w14:textFill>
            <w14:solidFill>
              <w14:schemeClr w14:val="tx1"/>
            </w14:solidFill>
          </w14:textFill>
        </w:rPr>
        <w:t>鼓励算力企业</w:t>
      </w:r>
      <w:r>
        <w:rPr>
          <w:rFonts w:hint="eastAsia"/>
          <w:strike w:val="0"/>
          <w:dstrike w:val="0"/>
          <w:color w:val="000000" w:themeColor="text1"/>
          <w:lang w:val="en-US" w:eastAsia="zh-CN"/>
          <w14:textFill>
            <w14:solidFill>
              <w14:schemeClr w14:val="tx1"/>
            </w14:solidFill>
          </w14:textFill>
        </w:rPr>
        <w:t>加大与新能源企业电力交易力度，</w:t>
      </w:r>
      <w:r>
        <w:rPr>
          <w:rFonts w:hint="eastAsia" w:cs="Times New Roman"/>
          <w:strike w:val="0"/>
          <w:dstrike w:val="0"/>
          <w:color w:val="000000" w:themeColor="text1"/>
          <w:kern w:val="0"/>
          <w:sz w:val="32"/>
          <w:szCs w:val="32"/>
          <w:lang w:val="en-US" w:eastAsia="zh-CN"/>
          <w14:textFill>
            <w14:solidFill>
              <w14:schemeClr w14:val="tx1"/>
            </w14:solidFill>
          </w14:textFill>
        </w:rPr>
        <w:t>用长期购电合同、参与集中交易、双边协商等方式获取优惠电价。</w:t>
      </w:r>
      <w:r>
        <w:rPr>
          <w:rFonts w:hint="eastAsia"/>
          <w:strike w:val="0"/>
          <w:dstrike w:val="0"/>
          <w:color w:val="000000" w:themeColor="text1"/>
          <w:lang w:eastAsia="zh-CN"/>
          <w14:textFill>
            <w14:solidFill>
              <w14:schemeClr w14:val="tx1"/>
            </w14:solidFill>
          </w14:textFill>
        </w:rPr>
        <w:t>（</w:t>
      </w:r>
      <w:r>
        <w:rPr>
          <w:rFonts w:hint="eastAsia"/>
          <w:strike w:val="0"/>
          <w:dstrike w:val="0"/>
          <w:color w:val="000000" w:themeColor="text1"/>
          <w14:textFill>
            <w14:solidFill>
              <w14:schemeClr w14:val="tx1"/>
            </w14:solidFill>
          </w14:textFill>
        </w:rPr>
        <w:t>牵头单位：市能源局。配合单位：市发改委、市工信局，科左中旗人民政府、</w:t>
      </w:r>
      <w:r>
        <w:rPr>
          <w:rFonts w:hint="eastAsia" w:cs="Times New Roman"/>
          <w:strike w:val="0"/>
          <w:dstrike w:val="0"/>
          <w:color w:val="000000" w:themeColor="text1"/>
          <w:kern w:val="0"/>
          <w:sz w:val="32"/>
          <w:szCs w:val="32"/>
          <w:lang w:val="en-US" w:eastAsia="zh-CN"/>
          <w14:textFill>
            <w14:solidFill>
              <w14:schemeClr w14:val="tx1"/>
            </w14:solidFill>
          </w14:textFill>
        </w:rPr>
        <w:t>科左后旗人民政府、</w:t>
      </w:r>
      <w:r>
        <w:rPr>
          <w:rFonts w:hint="eastAsia"/>
          <w:strike w:val="0"/>
          <w:dstrike w:val="0"/>
          <w:color w:val="000000" w:themeColor="text1"/>
          <w14:textFill>
            <w14:solidFill>
              <w14:schemeClr w14:val="tx1"/>
            </w14:solidFill>
          </w14:textFill>
        </w:rPr>
        <w:t>开发区管委会</w:t>
      </w:r>
      <w:r>
        <w:rPr>
          <w:rFonts w:hint="eastAsia"/>
          <w:strike w:val="0"/>
          <w:dstrike w:val="0"/>
          <w:color w:val="000000" w:themeColor="text1"/>
          <w:lang w:eastAsia="zh-CN"/>
          <w14:textFill>
            <w14:solidFill>
              <w14:schemeClr w14:val="tx1"/>
            </w14:solidFill>
          </w14:textFill>
        </w:rPr>
        <w:t>）</w:t>
      </w:r>
    </w:p>
    <w:p w14:paraId="3C5CECE5">
      <w:pPr>
        <w:pStyle w:val="3"/>
        <w:numPr>
          <w:ilvl w:val="1"/>
          <w:numId w:val="6"/>
        </w:numPr>
        <w:ind w:firstLine="640" w:firstLineChars="200"/>
        <w:rPr>
          <w:rFonts w:hint="default"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14:textFill>
            <w14:solidFill>
              <w14:schemeClr w14:val="tx1"/>
            </w14:solidFill>
          </w14:textFill>
        </w:rPr>
        <w:t>建设蒙东重要算力基地，</w:t>
      </w:r>
      <w:r>
        <w:rPr>
          <w:rFonts w:hint="eastAsia" w:ascii="Times New Roman" w:hAnsi="Times New Roman"/>
          <w:color w:val="000000" w:themeColor="text1"/>
          <w:lang w:val="en-US" w:eastAsia="zh-CN"/>
          <w14:textFill>
            <w14:solidFill>
              <w14:schemeClr w14:val="tx1"/>
            </w14:solidFill>
          </w14:textFill>
        </w:rPr>
        <w:t>打造通辽算力网</w:t>
      </w:r>
    </w:p>
    <w:p w14:paraId="7AA5CFF9">
      <w:pPr>
        <w:pStyle w:val="20"/>
        <w:numPr>
          <w:ilvl w:val="0"/>
          <w:numId w:val="0"/>
        </w:numPr>
        <w:ind w:left="0" w:leftChars="0" w:right="0" w:rightChars="0" w:firstLine="640" w:firstLineChars="0"/>
        <w:rPr>
          <w:rFonts w:hint="eastAsia" w:ascii="Times New Roman" w:hAnsi="Times New Roman" w:eastAsia="方正仿宋_GBK" w:cs="Times New Roman"/>
          <w:b/>
          <w:color w:val="000000" w:themeColor="text1"/>
          <w:kern w:val="0"/>
          <w:sz w:val="32"/>
          <w:szCs w:val="32"/>
          <w:lang w:val="en-US" w:eastAsia="zh-CN" w:bidi="ar-SA"/>
          <w14:textFill>
            <w14:solidFill>
              <w14:schemeClr w14:val="tx1"/>
            </w14:solidFill>
          </w14:textFill>
        </w:rPr>
      </w:pPr>
      <w:r>
        <w:rPr>
          <w:rFonts w:hint="eastAsia" w:cs="Times New Roman"/>
          <w:b/>
          <w:color w:val="000000" w:themeColor="text1"/>
          <w:kern w:val="0"/>
          <w:sz w:val="32"/>
          <w:szCs w:val="32"/>
          <w:lang w:val="en-US" w:eastAsia="zh-CN" w:bidi="ar-SA"/>
          <w14:textFill>
            <w14:solidFill>
              <w14:schemeClr w14:val="tx1"/>
            </w14:solidFill>
          </w14:textFill>
        </w:rPr>
        <w:t>4</w:t>
      </w:r>
      <w:r>
        <w:rPr>
          <w:rFonts w:hint="eastAsia" w:ascii="Times New Roman" w:hAnsi="Times New Roman" w:eastAsia="方正仿宋_GBK" w:cs="Times New Roman"/>
          <w:b/>
          <w:color w:val="000000" w:themeColor="text1"/>
          <w:kern w:val="0"/>
          <w:sz w:val="32"/>
          <w:szCs w:val="32"/>
          <w:lang w:val="en-US" w:eastAsia="zh-CN" w:bidi="ar-SA"/>
          <w14:textFill>
            <w14:solidFill>
              <w14:schemeClr w14:val="tx1"/>
            </w14:solidFill>
          </w14:textFill>
        </w:rPr>
        <w:t>.</w:t>
      </w:r>
      <w:r>
        <w:rPr>
          <w:rFonts w:hint="eastAsia"/>
          <w:color w:val="000000" w:themeColor="text1"/>
          <w14:textFill>
            <w14:solidFill>
              <w14:schemeClr w14:val="tx1"/>
            </w14:solidFill>
          </w14:textFill>
        </w:rPr>
        <w:t>强化政策落地</w:t>
      </w:r>
    </w:p>
    <w:p w14:paraId="29027E2E">
      <w:pPr>
        <w:rPr>
          <w:rFonts w:hint="eastAsia" w:eastAsia="方正仿宋_GBK"/>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严格执行《国务院办公厅关于转发国家发展改革委等部门&lt;有力有效管控高耗能高排放项目总体方案&gt;的通知》</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国办函〔2025〕22号</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、《关于对算力基础设施实施</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窗口指导</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的通知》</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发改高技〔2025〕320号</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等国家和自治区政策要求，高标准、规模化、绿色化建设蒙东算力集群。</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牵头单位：市发改委。配合部门：市工信局、市政数局、市能源局、市通信管理办公室，科左中旗人民政府、科左后旗人民政府、开发区管委会</w:t>
      </w:r>
      <w:r>
        <w:rPr>
          <w:rFonts w:hint="eastAsia"/>
          <w:color w:val="000000" w:themeColor="text1"/>
          <w:lang w:eastAsia="zh-CN"/>
          <w14:textFill>
            <w14:solidFill>
              <w14:schemeClr w14:val="tx1"/>
            </w14:solidFill>
          </w14:textFill>
        </w:rPr>
        <w:t>）</w:t>
      </w:r>
    </w:p>
    <w:p w14:paraId="51A39B9D">
      <w:pPr>
        <w:pStyle w:val="20"/>
        <w:numPr>
          <w:ilvl w:val="0"/>
          <w:numId w:val="0"/>
        </w:numPr>
        <w:shd w:val="clear" w:color="auto" w:fill="FFFFFF"/>
        <w:ind w:firstLine="64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b/>
          <w:color w:val="000000" w:themeColor="text1"/>
          <w:kern w:val="0"/>
          <w:sz w:val="32"/>
          <w:szCs w:val="32"/>
          <w:lang w:val="en-US" w:eastAsia="zh-CN" w:bidi="ar-SA"/>
          <w14:textFill>
            <w14:solidFill>
              <w14:schemeClr w14:val="tx1"/>
            </w14:solidFill>
          </w14:textFill>
        </w:rPr>
        <w:t>5</w:t>
      </w:r>
      <w:r>
        <w:rPr>
          <w:rFonts w:hint="eastAsia" w:ascii="Times New Roman" w:hAnsi="Times New Roman" w:eastAsia="方正仿宋_GBK" w:cs="Times New Roman"/>
          <w:b/>
          <w:color w:val="000000" w:themeColor="text1"/>
          <w:kern w:val="0"/>
          <w:sz w:val="32"/>
          <w:szCs w:val="32"/>
          <w:lang w:val="en-US" w:eastAsia="zh-CN" w:bidi="ar-SA"/>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高标准</w:t>
      </w:r>
      <w:r>
        <w:rPr>
          <w:rFonts w:hint="eastAsia" w:ascii="Times New Roman" w:hAnsi="Times New Roman" w:cs="Times New Roman"/>
          <w:color w:val="000000" w:themeColor="text1"/>
          <w:lang w:val="en-US" w:eastAsia="zh-CN"/>
          <w14:textFill>
            <w14:solidFill>
              <w14:schemeClr w14:val="tx1"/>
            </w14:solidFill>
          </w14:textFill>
        </w:rPr>
        <w:t>建设</w:t>
      </w:r>
      <w:r>
        <w:rPr>
          <w:rFonts w:hint="eastAsia" w:cs="Times New Roman"/>
          <w:color w:val="000000" w:themeColor="text1"/>
          <w:lang w:val="en-US" w:eastAsia="zh-CN"/>
          <w14:textFill>
            <w14:solidFill>
              <w14:schemeClr w14:val="tx1"/>
            </w14:solidFill>
          </w14:textFill>
        </w:rPr>
        <w:t>算力项目</w:t>
      </w:r>
    </w:p>
    <w:p w14:paraId="59A90EBB">
      <w:pPr>
        <w:shd w:val="clear" w:color="auto" w:fill="FFFFFF"/>
        <w:rPr>
          <w:rFonts w:hint="eastAsia" w:eastAsia="方正仿宋_GBK"/>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加快推进蒙东绿色数字智算产业园、</w:t>
      </w:r>
      <w:r>
        <w:rPr>
          <w:rFonts w:hint="eastAsia"/>
          <w:color w:val="000000" w:themeColor="text1"/>
          <w:lang w:val="en-US" w:eastAsia="zh-CN"/>
          <w14:textFill>
            <w14:solidFill>
              <w14:schemeClr w14:val="tx1"/>
            </w14:solidFill>
          </w14:textFill>
        </w:rPr>
        <w:t>科左后旗人工智能算力中心</w:t>
      </w:r>
      <w:r>
        <w:rPr>
          <w:rFonts w:hint="eastAsia"/>
          <w:color w:val="000000" w:themeColor="text1"/>
          <w:lang w:val="en-US" w:eastAsia="zh-CN"/>
          <w14:textFill>
            <w14:solidFill>
              <w14:schemeClr w14:val="tx1"/>
            </w14:solidFill>
          </w14:textFill>
        </w:rPr>
        <w:t>等算力项目建设，高标准建设蒙东算力集群，系统布局智能化基础设施体系，持续强化通辽市数字经济核心竞争力。</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牵头单位：市工信局、科左中旗人民政府、科左后旗人民政府、开发区管委会。配合部门：市发改委、市政数局、市城发集团</w:t>
      </w:r>
      <w:r>
        <w:rPr>
          <w:rFonts w:hint="eastAsia"/>
          <w:color w:val="000000" w:themeColor="text1"/>
          <w:lang w:eastAsia="zh-CN"/>
          <w14:textFill>
            <w14:solidFill>
              <w14:schemeClr w14:val="tx1"/>
            </w14:solidFill>
          </w14:textFill>
        </w:rPr>
        <w:t>）</w:t>
      </w:r>
    </w:p>
    <w:p w14:paraId="6E07678F">
      <w:pPr>
        <w:pStyle w:val="20"/>
        <w:numPr>
          <w:ilvl w:val="0"/>
          <w:numId w:val="0"/>
        </w:numPr>
        <w:shd w:val="clear" w:color="auto" w:fill="FFFFFF"/>
        <w:ind w:firstLine="643" w:firstLineChars="20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6.强化要素保障</w:t>
      </w:r>
    </w:p>
    <w:p w14:paraId="2CE2FE03">
      <w:pPr>
        <w:shd w:val="clear" w:color="auto" w:fill="FFFFFF"/>
        <w:rPr>
          <w:rFonts w:hint="eastAsia" w:eastAsia="方正仿宋_GBK"/>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加快推进“</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一核一点</w:t>
      </w:r>
      <w:r>
        <w:rPr>
          <w:rFonts w:hint="eastAsia"/>
          <w:color w:val="000000" w:themeColor="text1"/>
          <w:lang w:val="en-US" w:eastAsia="zh-CN"/>
          <w14:textFill>
            <w14:solidFill>
              <w14:schemeClr w14:val="tx1"/>
            </w14:solidFill>
          </w14:textFill>
        </w:rPr>
        <w:t>”算力园区土地、电力、供水、排水、网络、交通、供热、燃气、生活配套等要素保障项目建设，提升要素保障能力，着力打通关键节点、强化协同联动，确保各类基础设施管网高效互通，打造可持续、强韧性的全要素支撑环境。</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牵头单位：科左中旗人民政府、科左后旗人民政府、开发区管委会。配合部门：市发改委、市自然资源、市能源局、市住建局、市交通局、市工信局，通辽市铁塔公司</w:t>
      </w:r>
      <w:r>
        <w:rPr>
          <w:rFonts w:hint="eastAsia"/>
          <w:color w:val="000000" w:themeColor="text1"/>
          <w:lang w:eastAsia="zh-CN"/>
          <w14:textFill>
            <w14:solidFill>
              <w14:schemeClr w14:val="tx1"/>
            </w14:solidFill>
          </w14:textFill>
        </w:rPr>
        <w:t>）</w:t>
      </w:r>
    </w:p>
    <w:p w14:paraId="486B9CA7">
      <w:pPr>
        <w:pStyle w:val="20"/>
        <w:numPr>
          <w:ilvl w:val="0"/>
          <w:numId w:val="0"/>
        </w:numPr>
        <w:shd w:val="clear" w:color="auto" w:fill="FFFFFF"/>
        <w:ind w:firstLine="643" w:firstLineChars="200"/>
        <w:rPr>
          <w:rFonts w:hint="eastAsia"/>
          <w:color w:val="000000" w:themeColor="text1"/>
          <w:lang w:val="en-US" w:eastAsia="zh-CN"/>
          <w14:textFill>
            <w14:solidFill>
              <w14:schemeClr w14:val="tx1"/>
            </w14:solidFill>
          </w14:textFill>
        </w:rPr>
      </w:pPr>
      <w:r>
        <w:rPr>
          <w:rFonts w:hint="eastAsia" w:cs="Times New Roman"/>
          <w:b/>
          <w:color w:val="000000" w:themeColor="text1"/>
          <w:kern w:val="0"/>
          <w:sz w:val="32"/>
          <w:szCs w:val="32"/>
          <w:lang w:val="en-US" w:eastAsia="zh-CN" w:bidi="ar-SA"/>
          <w14:textFill>
            <w14:solidFill>
              <w14:schemeClr w14:val="tx1"/>
            </w14:solidFill>
          </w14:textFill>
        </w:rPr>
        <w:t>7</w:t>
      </w:r>
      <w:r>
        <w:rPr>
          <w:rFonts w:hint="eastAsia" w:ascii="Times New Roman" w:hAnsi="Times New Roman" w:eastAsia="方正仿宋_GBK" w:cs="Times New Roman"/>
          <w:b/>
          <w:color w:val="000000" w:themeColor="text1"/>
          <w:kern w:val="0"/>
          <w:sz w:val="32"/>
          <w:szCs w:val="32"/>
          <w:lang w:val="en-US" w:eastAsia="zh-CN" w:bidi="ar-SA"/>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加快打造</w:t>
      </w:r>
      <w:r>
        <w:rPr>
          <w:rFonts w:hint="eastAsia" w:cs="Times New Roman"/>
          <w:color w:val="000000" w:themeColor="text1"/>
          <w:lang w:val="en-US" w:eastAsia="zh-CN"/>
          <w14:textFill>
            <w14:solidFill>
              <w14:schemeClr w14:val="tx1"/>
            </w14:solidFill>
          </w14:textFill>
        </w:rPr>
        <w:t>通辽</w:t>
      </w:r>
      <w:r>
        <w:rPr>
          <w:rFonts w:hint="eastAsia" w:ascii="Times New Roman" w:hAnsi="Times New Roman" w:cs="Times New Roman"/>
          <w:color w:val="000000" w:themeColor="text1"/>
          <w:lang w:val="en-US" w:eastAsia="zh-CN"/>
          <w14:textFill>
            <w14:solidFill>
              <w14:schemeClr w14:val="tx1"/>
            </w14:solidFill>
          </w14:textFill>
        </w:rPr>
        <w:t>算力网</w:t>
      </w:r>
    </w:p>
    <w:p w14:paraId="4D706477">
      <w:pPr>
        <w:rPr>
          <w:rFonts w:hint="eastAsia" w:eastAsia="方正仿宋_GBK"/>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开展通辽市一体化算力网络体系建设，建设蒙东算力</w:t>
      </w:r>
      <w:r>
        <w:rPr>
          <w:rFonts w:hint="default"/>
          <w:color w:val="000000" w:themeColor="text1"/>
          <w:lang w:val="en-US" w:eastAsia="zh-CN"/>
          <w14:textFill>
            <w14:solidFill>
              <w14:schemeClr w14:val="tx1"/>
            </w14:solidFill>
          </w14:textFill>
        </w:rPr>
        <w:t>监测</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调度</w:t>
      </w:r>
      <w:r>
        <w:rPr>
          <w:rFonts w:hint="eastAsia"/>
          <w:color w:val="000000" w:themeColor="text1"/>
          <w:lang w:val="en-US" w:eastAsia="zh-CN"/>
          <w14:textFill>
            <w14:solidFill>
              <w14:schemeClr w14:val="tx1"/>
            </w14:solidFill>
          </w14:textFill>
        </w:rPr>
        <w:t>、交易</w:t>
      </w:r>
      <w:r>
        <w:rPr>
          <w:rFonts w:hint="default"/>
          <w:color w:val="000000" w:themeColor="text1"/>
          <w:lang w:val="en-US" w:eastAsia="zh-CN"/>
          <w14:textFill>
            <w14:solidFill>
              <w14:schemeClr w14:val="tx1"/>
            </w14:solidFill>
          </w14:textFill>
        </w:rPr>
        <w:t>平台，</w:t>
      </w:r>
      <w:r>
        <w:rPr>
          <w:rFonts w:hint="eastAsia"/>
          <w:color w:val="000000" w:themeColor="text1"/>
          <w:lang w:val="en-US" w:eastAsia="zh-CN"/>
          <w14:textFill>
            <w14:solidFill>
              <w14:schemeClr w14:val="tx1"/>
            </w14:solidFill>
          </w14:textFill>
        </w:rPr>
        <w:t>实现通辽市算力</w:t>
      </w:r>
      <w:r>
        <w:rPr>
          <w:rFonts w:hint="default"/>
          <w:color w:val="000000" w:themeColor="text1"/>
          <w:lang w:val="en-US" w:eastAsia="zh-CN"/>
          <w14:textFill>
            <w14:solidFill>
              <w14:schemeClr w14:val="tx1"/>
            </w14:solidFill>
          </w14:textFill>
        </w:rPr>
        <w:t>集群</w:t>
      </w:r>
      <w:r>
        <w:rPr>
          <w:rFonts w:hint="eastAsia"/>
          <w:color w:val="000000" w:themeColor="text1"/>
          <w:lang w:val="en-US" w:eastAsia="zh-CN"/>
          <w14:textFill>
            <w14:solidFill>
              <w14:schemeClr w14:val="tx1"/>
            </w14:solidFill>
          </w14:textFill>
        </w:rPr>
        <w:t>间</w:t>
      </w:r>
      <w:r>
        <w:rPr>
          <w:rFonts w:hint="default"/>
          <w:color w:val="000000" w:themeColor="text1"/>
          <w:lang w:val="en-US" w:eastAsia="zh-CN"/>
          <w14:textFill>
            <w14:solidFill>
              <w14:schemeClr w14:val="tx1"/>
            </w14:solidFill>
          </w14:textFill>
        </w:rPr>
        <w:t>不同算力供应主体之间算力</w:t>
      </w:r>
      <w:r>
        <w:rPr>
          <w:rFonts w:hint="eastAsia"/>
          <w:color w:val="000000" w:themeColor="text1"/>
          <w:lang w:val="en-US" w:eastAsia="zh-CN"/>
          <w14:textFill>
            <w14:solidFill>
              <w14:schemeClr w14:val="tx1"/>
            </w14:solidFill>
          </w14:textFill>
        </w:rPr>
        <w:t>合理</w:t>
      </w:r>
      <w:r>
        <w:rPr>
          <w:rFonts w:hint="default"/>
          <w:color w:val="000000" w:themeColor="text1"/>
          <w:lang w:val="en-US" w:eastAsia="zh-CN"/>
          <w14:textFill>
            <w14:solidFill>
              <w14:schemeClr w14:val="tx1"/>
            </w14:solidFill>
          </w14:textFill>
        </w:rPr>
        <w:t>调度</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深化与</w:t>
      </w:r>
      <w:r>
        <w:rPr>
          <w:rFonts w:hint="eastAsia"/>
          <w:color w:val="000000" w:themeColor="text1"/>
          <w:lang w:val="en-US" w:eastAsia="zh-CN"/>
          <w14:textFill>
            <w14:solidFill>
              <w14:schemeClr w14:val="tx1"/>
            </w14:solidFill>
          </w14:textFill>
        </w:rPr>
        <w:t>东北、长三角、京津冀等地区开展算力</w:t>
      </w:r>
      <w:r>
        <w:rPr>
          <w:rFonts w:hint="default"/>
          <w:color w:val="000000" w:themeColor="text1"/>
          <w:lang w:val="en-US" w:eastAsia="zh-CN"/>
          <w14:textFill>
            <w14:solidFill>
              <w14:schemeClr w14:val="tx1"/>
            </w14:solidFill>
          </w14:textFill>
        </w:rPr>
        <w:t>产业合作，重</w:t>
      </w:r>
      <w:r>
        <w:rPr>
          <w:rFonts w:hint="eastAsia"/>
          <w:color w:val="000000" w:themeColor="text1"/>
          <w:lang w:val="en-US" w:eastAsia="zh-CN"/>
          <w14:textFill>
            <w14:solidFill>
              <w14:schemeClr w14:val="tx1"/>
            </w14:solidFill>
          </w14:textFill>
        </w:rPr>
        <w:t>点打造“通辽</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京津冀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长三角”“通辽</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东北地区”算力供给走廊，形成通辽算力资源“南训北推”融合供给的协同发展格局。</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牵头单位：市工信局、市政数局。配合单位：市发改委，科左中旗人民政府、科左后旗人民政府、开发区管委会，市城发集团、电信运营商</w:t>
      </w:r>
      <w:r>
        <w:rPr>
          <w:rFonts w:hint="eastAsia"/>
          <w:color w:val="000000" w:themeColor="text1"/>
          <w:lang w:eastAsia="zh-CN"/>
          <w14:textFill>
            <w14:solidFill>
              <w14:schemeClr w14:val="tx1"/>
            </w14:solidFill>
          </w14:textFill>
        </w:rPr>
        <w:t>）</w:t>
      </w:r>
    </w:p>
    <w:p w14:paraId="0B6F602B">
      <w:pPr>
        <w:pStyle w:val="3"/>
        <w:numPr>
          <w:ilvl w:val="1"/>
          <w:numId w:val="6"/>
        </w:numPr>
        <w:ind w:firstLine="640" w:firstLineChars="200"/>
        <w:rPr>
          <w:rFonts w:hint="eastAsia" w:ascii="Times New Roman" w:hAnsi="Times New Roman"/>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推动算力高质量应用，赋能东北振兴</w:t>
      </w:r>
    </w:p>
    <w:p w14:paraId="258B1ACF">
      <w:pPr>
        <w:pStyle w:val="20"/>
        <w:numPr>
          <w:ilvl w:val="0"/>
          <w:numId w:val="0"/>
        </w:numPr>
        <w:shd w:val="clear" w:color="auto" w:fill="FFFFFF"/>
        <w:ind w:firstLine="64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b/>
          <w:color w:val="000000" w:themeColor="text1"/>
          <w:kern w:val="0"/>
          <w:sz w:val="32"/>
          <w:szCs w:val="32"/>
          <w:lang w:val="en-US" w:eastAsia="zh-CN" w:bidi="ar-SA"/>
          <w14:textFill>
            <w14:solidFill>
              <w14:schemeClr w14:val="tx1"/>
            </w14:solidFill>
          </w14:textFill>
        </w:rPr>
        <w:t>8</w:t>
      </w:r>
      <w:r>
        <w:rPr>
          <w:rFonts w:hint="eastAsia" w:ascii="Times New Roman" w:hAnsi="Times New Roman" w:eastAsia="方正仿宋_GBK" w:cs="Times New Roman"/>
          <w:b/>
          <w:color w:val="000000" w:themeColor="text1"/>
          <w:kern w:val="0"/>
          <w:sz w:val="32"/>
          <w:szCs w:val="32"/>
          <w:lang w:val="en-US" w:eastAsia="zh-CN" w:bidi="ar-SA"/>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提高公共数据资源开发利用水平</w:t>
      </w:r>
    </w:p>
    <w:p w14:paraId="280C6F14">
      <w:pPr>
        <w:rPr>
          <w:rFonts w:hint="eastAsia" w:eastAsia="方正仿宋_GBK"/>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建设公共数据运营平台，探索政务数据、公共企事业单位数据的分类分级，构建公共数据资源体系。通过落实</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一数一源一标准</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原则，完善数据质量全流程管控，强化公共数据运营主体的市场化能力，加速培育高价值数据产品与服务。强化公共数据运营主体拓展数据要素市场能力，加快催生一批优质公共数据产品。依托</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数据要素×</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专项行动，加速释放数据流引领技术流、资金流、人才流的乘数效应</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推</w:t>
      </w:r>
      <w:r>
        <w:rPr>
          <w:rFonts w:hint="eastAsia"/>
          <w:color w:val="000000" w:themeColor="text1"/>
          <w:lang w:val="en-US" w:eastAsia="zh-CN"/>
          <w14:textFill>
            <w14:solidFill>
              <w14:schemeClr w14:val="tx1"/>
            </w14:solidFill>
          </w14:textFill>
        </w:rPr>
        <w:t>动</w:t>
      </w:r>
      <w:r>
        <w:rPr>
          <w:rFonts w:hint="default"/>
          <w:color w:val="000000" w:themeColor="text1"/>
          <w:lang w:val="en-US" w:eastAsia="zh-CN"/>
          <w14:textFill>
            <w14:solidFill>
              <w14:schemeClr w14:val="tx1"/>
            </w14:solidFill>
          </w14:textFill>
        </w:rPr>
        <w:t>数字经济与实体经济深度融合</w:t>
      </w:r>
      <w:r>
        <w:rPr>
          <w:rFonts w:hint="default"/>
          <w:color w:val="000000" w:themeColor="text1"/>
          <w:lang w:val="en-US" w:eastAsia="zh-CN"/>
          <w14:textFill>
            <w14:solidFill>
              <w14:schemeClr w14:val="tx1"/>
            </w14:solidFill>
          </w14:textFill>
        </w:rPr>
        <w:t>。</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牵头单位：市政数局。配合单位：市发改委、市财政局、市工信局、市投资促进局，市城发集团</w:t>
      </w:r>
      <w:r>
        <w:rPr>
          <w:rFonts w:hint="eastAsia"/>
          <w:color w:val="000000" w:themeColor="text1"/>
          <w:lang w:eastAsia="zh-CN"/>
          <w14:textFill>
            <w14:solidFill>
              <w14:schemeClr w14:val="tx1"/>
            </w14:solidFill>
          </w14:textFill>
        </w:rPr>
        <w:t>）</w:t>
      </w:r>
    </w:p>
    <w:p w14:paraId="1E39EBF5">
      <w:pPr>
        <w:pStyle w:val="20"/>
        <w:numPr>
          <w:ilvl w:val="0"/>
          <w:numId w:val="0"/>
        </w:numPr>
        <w:shd w:val="clear" w:color="auto" w:fill="FFFFFF"/>
        <w:ind w:firstLine="64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b/>
          <w:color w:val="000000" w:themeColor="text1"/>
          <w:kern w:val="0"/>
          <w:sz w:val="32"/>
          <w:szCs w:val="32"/>
          <w:lang w:val="en-US" w:eastAsia="zh-CN" w:bidi="ar-SA"/>
          <w14:textFill>
            <w14:solidFill>
              <w14:schemeClr w14:val="tx1"/>
            </w14:solidFill>
          </w14:textFill>
        </w:rPr>
        <w:t>9</w:t>
      </w:r>
      <w:r>
        <w:rPr>
          <w:rFonts w:hint="eastAsia" w:ascii="Times New Roman" w:hAnsi="Times New Roman" w:eastAsia="方正仿宋_GBK" w:cs="Times New Roman"/>
          <w:b/>
          <w:color w:val="000000" w:themeColor="text1"/>
          <w:kern w:val="0"/>
          <w:sz w:val="32"/>
          <w:szCs w:val="32"/>
          <w:lang w:val="en-US" w:eastAsia="zh-CN" w:bidi="ar-SA"/>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加快推进企业数据资源开发利用</w:t>
      </w:r>
    </w:p>
    <w:p w14:paraId="64D780A6">
      <w:pPr>
        <w:shd w:val="clear" w:color="auto" w:fill="FFFFFF"/>
        <w:rPr>
          <w:rFonts w:hint="eastAsia" w:eastAsia="方正仿宋_GBK"/>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重点</w:t>
      </w:r>
      <w:r>
        <w:rPr>
          <w:rFonts w:hint="default"/>
          <w:color w:val="000000" w:themeColor="text1"/>
          <w:lang w:val="en-US" w:eastAsia="zh-CN"/>
          <w14:textFill>
            <w14:solidFill>
              <w14:schemeClr w14:val="tx1"/>
            </w14:solidFill>
          </w14:textFill>
        </w:rPr>
        <w:t>围绕产业集群及重点行业推进数据资源系统性编目，引导国有企业率先落实数据管理国家标准，通过规范化数据治理评估与质量提升行动，打造标杆性企业数据治理模式。支持国有企业创新数据资产运营机制，加快行业级数据产品研发与应用试点。探索企业、行业可信数据空间建设，搭建技术可控、流程合规的数据流通基础设施，推动多领域数据要素的高效开发与创新应用，形成安全有序的数据价值转化生态。</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牵头单位：市国资委、市政数局。配合单位：市发改委、市工信局</w:t>
      </w:r>
      <w:r>
        <w:rPr>
          <w:rFonts w:hint="eastAsia"/>
          <w:color w:val="000000" w:themeColor="text1"/>
          <w:lang w:eastAsia="zh-CN"/>
          <w14:textFill>
            <w14:solidFill>
              <w14:schemeClr w14:val="tx1"/>
            </w14:solidFill>
          </w14:textFill>
        </w:rPr>
        <w:t>）</w:t>
      </w:r>
    </w:p>
    <w:p w14:paraId="24054037">
      <w:pPr>
        <w:pStyle w:val="20"/>
        <w:numPr>
          <w:ilvl w:val="0"/>
          <w:numId w:val="0"/>
        </w:numPr>
        <w:shd w:val="clear" w:color="auto" w:fill="FFFFFF"/>
        <w:ind w:firstLine="643"/>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b/>
          <w:color w:val="000000" w:themeColor="text1"/>
          <w:kern w:val="0"/>
          <w:sz w:val="32"/>
          <w:szCs w:val="32"/>
          <w:lang w:val="en-US" w:eastAsia="zh-CN" w:bidi="ar-SA"/>
          <w14:textFill>
            <w14:solidFill>
              <w14:schemeClr w14:val="tx1"/>
            </w14:solidFill>
          </w14:textFill>
        </w:rPr>
        <w:t>10</w:t>
      </w:r>
      <w:r>
        <w:rPr>
          <w:rFonts w:hint="eastAsia" w:ascii="Times New Roman" w:hAnsi="Times New Roman" w:eastAsia="方正仿宋_GBK" w:cs="Times New Roman"/>
          <w:b/>
          <w:color w:val="000000" w:themeColor="text1"/>
          <w:kern w:val="0"/>
          <w:sz w:val="32"/>
          <w:szCs w:val="32"/>
          <w:lang w:val="en-US" w:eastAsia="zh-CN" w:bidi="ar-SA"/>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推进</w:t>
      </w:r>
      <w:r>
        <w:rPr>
          <w:rFonts w:hint="eastAsia" w:ascii="Times New Roman" w:hAnsi="Times New Roman" w:cs="Times New Roman"/>
          <w:color w:val="000000" w:themeColor="text1"/>
          <w:lang w:val="en-US" w:eastAsia="zh-CN"/>
          <w14:textFill>
            <w14:solidFill>
              <w14:schemeClr w14:val="tx1"/>
            </w14:solidFill>
          </w14:textFill>
        </w:rPr>
        <w:t>大模型训练</w:t>
      </w:r>
      <w:r>
        <w:rPr>
          <w:rFonts w:hint="default" w:ascii="Times New Roman" w:hAnsi="Times New Roman" w:cs="Times New Roman"/>
          <w:color w:val="000000" w:themeColor="text1"/>
          <w:lang w:val="en-US" w:eastAsia="zh-CN"/>
          <w14:textFill>
            <w14:solidFill>
              <w14:schemeClr w14:val="tx1"/>
            </w14:solidFill>
          </w14:textFill>
        </w:rPr>
        <w:t>数据高质量供给</w:t>
      </w:r>
    </w:p>
    <w:p w14:paraId="118A0EC1">
      <w:pPr>
        <w:shd w:val="clear" w:color="auto" w:fill="FFFFFF"/>
        <w:rPr>
          <w:rFonts w:hint="eastAsia" w:eastAsia="方正仿宋_GBK"/>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围绕语音识别、视觉识别、自然语言处理等技术领域聚焦工业、农牧业</w:t>
      </w:r>
      <w:r>
        <w:rPr>
          <w:rFonts w:hint="eastAsia"/>
          <w:color w:val="000000" w:themeColor="text1"/>
          <w:lang w:val="en-US" w:eastAsia="zh-CN"/>
          <w14:textFill>
            <w14:solidFill>
              <w14:schemeClr w14:val="tx1"/>
            </w14:solidFill>
          </w14:textFill>
        </w:rPr>
        <w:t>、交通、教育、</w:t>
      </w:r>
      <w:r>
        <w:rPr>
          <w:rFonts w:hint="default"/>
          <w:color w:val="000000" w:themeColor="text1"/>
          <w:lang w:val="en-US" w:eastAsia="zh-CN"/>
          <w14:textFill>
            <w14:solidFill>
              <w14:schemeClr w14:val="tx1"/>
            </w14:solidFill>
          </w14:textFill>
        </w:rPr>
        <w:t>医疗等行业场景，探索高质量AI训练资源库与标准化测试数据集，基于数据价值与安全分级构建差异化共享机制。支持行业机构组织专业团队对通用AI模型训练数据及指令集进行精准标注，强化数据精准性和场景适配性，建立跨领域、多层次的数据要素赋能体系，提高训练数据的质量。</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牵头单位：市政数局。配合单位：市发改委、市工信局、市农牧局、市交通局、市教育局、市卫健委</w:t>
      </w:r>
      <w:r>
        <w:rPr>
          <w:rFonts w:hint="eastAsia"/>
          <w:color w:val="000000" w:themeColor="text1"/>
          <w:lang w:eastAsia="zh-CN"/>
          <w14:textFill>
            <w14:solidFill>
              <w14:schemeClr w14:val="tx1"/>
            </w14:solidFill>
          </w14:textFill>
        </w:rPr>
        <w:t>）</w:t>
      </w:r>
    </w:p>
    <w:p w14:paraId="3FE208FA">
      <w:pPr>
        <w:pStyle w:val="20"/>
        <w:numPr>
          <w:ilvl w:val="0"/>
          <w:numId w:val="0"/>
        </w:numPr>
        <w:shd w:val="clear" w:color="auto" w:fill="FFFFFF"/>
        <w:ind w:firstLine="643"/>
        <w:rPr>
          <w:rFonts w:hint="eastAsia" w:cs="Times New Roman"/>
          <w:b/>
          <w:color w:val="000000" w:themeColor="text1"/>
          <w:kern w:val="0"/>
          <w:sz w:val="32"/>
          <w:szCs w:val="32"/>
          <w:lang w:val="en-US" w:eastAsia="zh-CN" w:bidi="ar-SA"/>
          <w14:textFill>
            <w14:solidFill>
              <w14:schemeClr w14:val="tx1"/>
            </w14:solidFill>
          </w14:textFill>
        </w:rPr>
      </w:pPr>
      <w:r>
        <w:rPr>
          <w:rFonts w:hint="eastAsia" w:cs="Times New Roman"/>
          <w:b/>
          <w:color w:val="000000" w:themeColor="text1"/>
          <w:kern w:val="0"/>
          <w:sz w:val="32"/>
          <w:szCs w:val="32"/>
          <w:lang w:val="en-US" w:eastAsia="zh-CN" w:bidi="ar-SA"/>
          <w14:textFill>
            <w14:solidFill>
              <w14:schemeClr w14:val="tx1"/>
            </w14:solidFill>
          </w14:textFill>
        </w:rPr>
        <w:t>11.推动重点行业大模型应用</w:t>
      </w:r>
    </w:p>
    <w:p w14:paraId="56B4E014">
      <w:pPr>
        <w:rPr>
          <w:rFonts w:hint="eastAsia" w:eastAsia="方正仿宋_GBK"/>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引导市内企事业单位联合高校及科研机构深化大模型全流程技术研发与优化，聚焦算法创新、模型调优及推理部署等关键环节，推动人工智能技术在政务服务、工业、农牧、交通、</w:t>
      </w:r>
      <w:r>
        <w:rPr>
          <w:rFonts w:hint="eastAsia"/>
          <w:color w:val="000000" w:themeColor="text1"/>
          <w:lang w:val="en-US" w:eastAsia="zh-CN"/>
          <w14:textFill>
            <w14:solidFill>
              <w14:schemeClr w14:val="tx1"/>
            </w14:solidFill>
          </w14:textFill>
        </w:rPr>
        <w:t>教育、</w:t>
      </w:r>
      <w:r>
        <w:rPr>
          <w:rFonts w:hint="default"/>
          <w:color w:val="000000" w:themeColor="text1"/>
          <w:lang w:val="en-US" w:eastAsia="zh-CN"/>
          <w14:textFill>
            <w14:solidFill>
              <w14:schemeClr w14:val="tx1"/>
            </w14:solidFill>
          </w14:textFill>
        </w:rPr>
        <w:t>医疗</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城市管理等领域的场景化落地。依托</w:t>
      </w:r>
      <w:r>
        <w:rPr>
          <w:rFonts w:hint="eastAsia"/>
          <w:color w:val="000000" w:themeColor="text1"/>
          <w:lang w:val="en-US" w:eastAsia="zh-CN"/>
          <w14:textFill>
            <w14:solidFill>
              <w14:schemeClr w14:val="tx1"/>
            </w14:solidFill>
          </w14:textFill>
        </w:rPr>
        <w:t>蒙东智算中心建设</w:t>
      </w:r>
      <w:r>
        <w:rPr>
          <w:rFonts w:hint="default"/>
          <w:color w:val="000000" w:themeColor="text1"/>
          <w:lang w:val="en-US" w:eastAsia="zh-CN"/>
          <w14:textFill>
            <w14:solidFill>
              <w14:schemeClr w14:val="tx1"/>
            </w14:solidFill>
          </w14:textFill>
        </w:rPr>
        <w:t>，强化算力资源供需精准对接与协同共享，提升多模态数据处理能力，支撑传统产业智能化转型。重点支持本地企业在肉牛养殖、中蒙医药等特色产业开发垂直领域大模型，构建产学研用联动的算力应用生态体系，加速形成</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技术研发</w:t>
      </w:r>
      <w:r>
        <w:rPr>
          <w:rFonts w:hint="eastAsia"/>
          <w:color w:val="000000" w:themeColor="text1"/>
          <w14:textFill>
            <w14:solidFill>
              <w14:schemeClr w14:val="tx1"/>
            </w14:solidFill>
          </w14:textFill>
        </w:rPr>
        <w:t>-</w:t>
      </w:r>
      <w:r>
        <w:rPr>
          <w:rFonts w:hint="default"/>
          <w:color w:val="000000" w:themeColor="text1"/>
          <w:lang w:val="en-US" w:eastAsia="zh-CN"/>
          <w14:textFill>
            <w14:solidFill>
              <w14:schemeClr w14:val="tx1"/>
            </w14:solidFill>
          </w14:textFill>
        </w:rPr>
        <w:t>场景适配</w:t>
      </w:r>
      <w:r>
        <w:rPr>
          <w:rFonts w:hint="eastAsia"/>
          <w:color w:val="000000" w:themeColor="text1"/>
          <w14:textFill>
            <w14:solidFill>
              <w14:schemeClr w14:val="tx1"/>
            </w14:solidFill>
          </w14:textFill>
        </w:rPr>
        <w:t>-</w:t>
      </w:r>
      <w:r>
        <w:rPr>
          <w:rFonts w:hint="default"/>
          <w:color w:val="000000" w:themeColor="text1"/>
          <w:lang w:val="en-US" w:eastAsia="zh-CN"/>
          <w14:textFill>
            <w14:solidFill>
              <w14:schemeClr w14:val="tx1"/>
            </w14:solidFill>
          </w14:textFill>
        </w:rPr>
        <w:t>产业升级</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的数字化闭环。</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牵头单位：市政数局、市工信局。配合单位：市发改委、市农牧局、市交通局、市教育局、市卫健委、市住建局，市城发集团</w:t>
      </w:r>
      <w:r>
        <w:rPr>
          <w:rFonts w:hint="eastAsia"/>
          <w:color w:val="000000" w:themeColor="text1"/>
          <w:lang w:eastAsia="zh-CN"/>
          <w14:textFill>
            <w14:solidFill>
              <w14:schemeClr w14:val="tx1"/>
            </w14:solidFill>
          </w14:textFill>
        </w:rPr>
        <w:t>）</w:t>
      </w:r>
    </w:p>
    <w:p w14:paraId="7D38EDEA">
      <w:pPr>
        <w:pStyle w:val="20"/>
        <w:numPr>
          <w:ilvl w:val="0"/>
          <w:numId w:val="0"/>
        </w:numPr>
        <w:shd w:val="clear" w:color="auto" w:fill="FFFFFF"/>
        <w:ind w:firstLine="643"/>
        <w:rPr>
          <w:rFonts w:hint="eastAsia" w:cs="Times New Roman"/>
          <w:b/>
          <w:color w:val="000000" w:themeColor="text1"/>
          <w:kern w:val="0"/>
          <w:sz w:val="32"/>
          <w:szCs w:val="32"/>
          <w:lang w:val="en-US" w:eastAsia="zh-CN" w:bidi="ar-SA"/>
          <w14:textFill>
            <w14:solidFill>
              <w14:schemeClr w14:val="tx1"/>
            </w14:solidFill>
          </w14:textFill>
        </w:rPr>
      </w:pPr>
      <w:r>
        <w:rPr>
          <w:rFonts w:hint="eastAsia" w:cs="Times New Roman"/>
          <w:b/>
          <w:color w:val="000000" w:themeColor="text1"/>
          <w:kern w:val="0"/>
          <w:sz w:val="32"/>
          <w:szCs w:val="32"/>
          <w:lang w:val="en-US" w:eastAsia="zh-CN" w:bidi="ar-SA"/>
          <w14:textFill>
            <w14:solidFill>
              <w14:schemeClr w14:val="tx1"/>
            </w14:solidFill>
          </w14:textFill>
        </w:rPr>
        <w:t>12.鼓励部署面向东北地区的推理算力应用</w:t>
      </w:r>
    </w:p>
    <w:p w14:paraId="2D697EB3">
      <w:pPr>
        <w:rPr>
          <w:rFonts w:hint="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依托通辽市的网络、新能源等优势，面向东北地区自动驾驶、低空经济、实时云渲染、云端推理等应用场景，引进行业重点企业在通辽算力集群部署面向东北地区的推理应用，鼓励算力企业完成推理算力的高效适配、承接东北地区实时性推理算力任务。积极和蒙东四盟市及东北三省相关政府和企业协商算力供给、传输、结算等模式，</w:t>
      </w:r>
      <w:r>
        <w:rPr>
          <w:rFonts w:hint="default"/>
          <w:color w:val="000000" w:themeColor="text1"/>
          <w:lang w:val="en-US" w:eastAsia="zh-CN"/>
          <w14:textFill>
            <w14:solidFill>
              <w14:schemeClr w14:val="tx1"/>
            </w14:solidFill>
          </w14:textFill>
        </w:rPr>
        <w:t>推进</w:t>
      </w:r>
      <w:r>
        <w:rPr>
          <w:rFonts w:hint="eastAsia"/>
          <w:color w:val="000000" w:themeColor="text1"/>
          <w:lang w:val="en-US" w:eastAsia="zh-CN"/>
          <w14:textFill>
            <w14:solidFill>
              <w14:schemeClr w14:val="tx1"/>
            </w14:solidFill>
          </w14:textFill>
        </w:rPr>
        <w:t>东北地区</w:t>
      </w:r>
      <w:r>
        <w:rPr>
          <w:rFonts w:hint="default"/>
          <w:color w:val="000000" w:themeColor="text1"/>
          <w:lang w:val="en-US" w:eastAsia="zh-CN"/>
          <w14:textFill>
            <w14:solidFill>
              <w14:schemeClr w14:val="tx1"/>
            </w14:solidFill>
          </w14:textFill>
        </w:rPr>
        <w:t>算力资源协同利用。</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牵头单位：市政数局、市工信局。配合单位：市发改委、市投资促进局，市城发集团</w:t>
      </w:r>
      <w:r>
        <w:rPr>
          <w:rFonts w:hint="eastAsia"/>
          <w:color w:val="000000" w:themeColor="text1"/>
          <w:lang w:eastAsia="zh-CN"/>
          <w14:textFill>
            <w14:solidFill>
              <w14:schemeClr w14:val="tx1"/>
            </w14:solidFill>
          </w14:textFill>
        </w:rPr>
        <w:t>）</w:t>
      </w:r>
    </w:p>
    <w:p w14:paraId="7DBB570F">
      <w:pPr>
        <w:pStyle w:val="20"/>
        <w:numPr>
          <w:ilvl w:val="0"/>
          <w:numId w:val="0"/>
        </w:numPr>
        <w:shd w:val="clear" w:color="auto" w:fill="FFFFFF"/>
        <w:ind w:firstLine="643"/>
        <w:rPr>
          <w:rFonts w:hint="eastAsia" w:cs="Times New Roman"/>
          <w:b/>
          <w:color w:val="000000" w:themeColor="text1"/>
          <w:kern w:val="0"/>
          <w:sz w:val="32"/>
          <w:szCs w:val="32"/>
          <w:lang w:val="en-US" w:eastAsia="zh-CN" w:bidi="ar-SA"/>
          <w14:textFill>
            <w14:solidFill>
              <w14:schemeClr w14:val="tx1"/>
            </w14:solidFill>
          </w14:textFill>
        </w:rPr>
      </w:pPr>
      <w:r>
        <w:rPr>
          <w:rFonts w:hint="eastAsia" w:cs="Times New Roman"/>
          <w:b/>
          <w:color w:val="000000" w:themeColor="text1"/>
          <w:kern w:val="0"/>
          <w:sz w:val="32"/>
          <w:szCs w:val="32"/>
          <w:lang w:val="en-US" w:eastAsia="zh-CN" w:bidi="ar-SA"/>
          <w14:textFill>
            <w14:solidFill>
              <w14:schemeClr w14:val="tx1"/>
            </w14:solidFill>
          </w14:textFill>
        </w:rPr>
        <w:t>13.建立网络与数据安全防护</w:t>
      </w:r>
    </w:p>
    <w:p w14:paraId="114F3A59">
      <w:pPr>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支持企业建立数据安全防控管理制度体系，推广应用数据安全风险识别、监测预警、应急处置等相关规范，按照</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谁收集谁负责，谁使用谁负责，谁运行谁负责</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的原则落实数据流通应用安全管理责任。</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牵头单位：市网信办、市公安局、市政数局。配合单位：市工信局</w:t>
      </w:r>
      <w:r>
        <w:rPr>
          <w:rFonts w:hint="eastAsia"/>
          <w:color w:val="000000" w:themeColor="text1"/>
          <w:lang w:eastAsia="zh-CN"/>
          <w14:textFill>
            <w14:solidFill>
              <w14:schemeClr w14:val="tx1"/>
            </w14:solidFill>
          </w14:textFill>
        </w:rPr>
        <w:t>）</w:t>
      </w:r>
    </w:p>
    <w:p w14:paraId="0AAF7DFE">
      <w:pPr>
        <w:pStyle w:val="2"/>
        <w:numPr>
          <w:ilvl w:val="0"/>
          <w:numId w:val="5"/>
        </w:numPr>
        <w:ind w:firstLine="64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保障措施</w:t>
      </w:r>
    </w:p>
    <w:p w14:paraId="0967C105">
      <w:pPr>
        <w:pStyle w:val="3"/>
        <w:numPr>
          <w:ilvl w:val="1"/>
          <w:numId w:val="6"/>
        </w:numPr>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加强协同服务</w:t>
      </w:r>
    </w:p>
    <w:p w14:paraId="0DEFDD2E">
      <w:pP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协调市发改委、市工信局、市政数局、市能源局、科左中旗人民政府、科左后旗人民政府、开发区管委会等政府部门和相关企业，</w:t>
      </w:r>
      <w:r>
        <w:rPr>
          <w:rFonts w:hint="default"/>
          <w:color w:val="000000" w:themeColor="text1"/>
          <w:lang w:val="en-US" w:eastAsia="zh-CN"/>
          <w14:textFill>
            <w14:solidFill>
              <w14:schemeClr w14:val="tx1"/>
            </w14:solidFill>
          </w14:textFill>
        </w:rPr>
        <w:t>形成跨部门、跨区域、跨层级的联动响应与协作机制，统筹协调推进全市算力</w:t>
      </w:r>
      <w:r>
        <w:rPr>
          <w:rFonts w:hint="eastAsia"/>
          <w:color w:val="000000" w:themeColor="text1"/>
          <w:lang w:val="en-US" w:eastAsia="zh-CN"/>
          <w14:textFill>
            <w14:solidFill>
              <w14:schemeClr w14:val="tx1"/>
            </w14:solidFill>
          </w14:textFill>
        </w:rPr>
        <w:t>中心建设</w:t>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推行“项目管家”制度，</w:t>
      </w:r>
      <w:r>
        <w:rPr>
          <w:rFonts w:hint="eastAsia"/>
          <w:color w:val="000000" w:themeColor="text1"/>
          <w:lang w:val="en-US" w:eastAsia="zh-CN"/>
          <w14:textFill>
            <w14:solidFill>
              <w14:schemeClr w14:val="tx1"/>
            </w14:solidFill>
          </w14:textFill>
        </w:rPr>
        <w:t>优化营商环境与投资效能，</w:t>
      </w:r>
      <w:r>
        <w:rPr>
          <w:rFonts w:hint="eastAsia"/>
          <w:color w:val="000000" w:themeColor="text1"/>
          <w:lang w:val="en-US" w:eastAsia="zh-CN"/>
          <w14:textFill>
            <w14:solidFill>
              <w14:schemeClr w14:val="tx1"/>
            </w14:solidFill>
          </w14:textFill>
        </w:rPr>
        <w:t>实现</w:t>
      </w:r>
      <w:r>
        <w:rPr>
          <w:rFonts w:hint="eastAsia"/>
          <w:strike w:val="0"/>
          <w:dstrike w:val="0"/>
          <w:color w:val="000000" w:themeColor="text1"/>
          <w:lang w:val="en-US" w:eastAsia="zh-CN"/>
          <w14:textFill>
            <w14:solidFill>
              <w14:schemeClr w14:val="tx1"/>
            </w14:solidFill>
          </w14:textFill>
        </w:rPr>
        <w:t>全生命周期精准服务，加速项目落地</w:t>
      </w:r>
      <w:r>
        <w:rPr>
          <w:rFonts w:hint="eastAsia"/>
          <w:color w:val="000000" w:themeColor="text1"/>
          <w:lang w:val="en-US" w:eastAsia="zh-CN"/>
          <w14:textFill>
            <w14:solidFill>
              <w14:schemeClr w14:val="tx1"/>
            </w14:solidFill>
          </w14:textFill>
        </w:rPr>
        <w:t>。</w:t>
      </w:r>
    </w:p>
    <w:p w14:paraId="3261E0C7">
      <w:pPr>
        <w:pStyle w:val="3"/>
        <w:numPr>
          <w:ilvl w:val="1"/>
          <w:numId w:val="6"/>
        </w:numPr>
        <w:ind w:firstLine="640" w:firstLineChars="200"/>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加强品牌宣传</w:t>
      </w:r>
    </w:p>
    <w:p w14:paraId="1FACF66F">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争取自治区政策支持及资金支持，将通辽市重大算力项目纳入自治区“十五五”重大项目规划。</w:t>
      </w:r>
      <w:r>
        <w:rPr>
          <w:rFonts w:hint="eastAsia"/>
          <w:color w:val="000000" w:themeColor="text1"/>
          <w14:textFill>
            <w14:solidFill>
              <w14:schemeClr w14:val="tx1"/>
            </w14:solidFill>
          </w14:textFill>
        </w:rPr>
        <w:t>联合</w:t>
      </w:r>
      <w:r>
        <w:rPr>
          <w:rFonts w:hint="eastAsia"/>
          <w:color w:val="000000" w:themeColor="text1"/>
          <w:lang w:val="en-US" w:eastAsia="zh-CN"/>
          <w14:textFill>
            <w14:solidFill>
              <w14:schemeClr w14:val="tx1"/>
            </w14:solidFill>
          </w14:textFill>
        </w:rPr>
        <w:t>科研</w:t>
      </w:r>
      <w:r>
        <w:rPr>
          <w:rFonts w:hint="eastAsia"/>
          <w:color w:val="000000" w:themeColor="text1"/>
          <w14:textFill>
            <w14:solidFill>
              <w14:schemeClr w14:val="tx1"/>
            </w14:solidFill>
          </w14:textFill>
        </w:rPr>
        <w:t>机构、算力产业链头部企业、本地高校等</w:t>
      </w:r>
      <w:r>
        <w:rPr>
          <w:rFonts w:hint="eastAsia"/>
          <w:color w:val="000000" w:themeColor="text1"/>
          <w:lang w:val="en-US" w:eastAsia="zh-CN"/>
          <w14:textFill>
            <w14:solidFill>
              <w14:schemeClr w14:val="tx1"/>
            </w14:solidFill>
          </w14:textFill>
        </w:rPr>
        <w:t>单位</w:t>
      </w:r>
      <w:r>
        <w:rPr>
          <w:rFonts w:hint="eastAsia"/>
          <w:color w:val="000000" w:themeColor="text1"/>
          <w14:textFill>
            <w14:solidFill>
              <w14:schemeClr w14:val="tx1"/>
            </w14:solidFill>
          </w14:textFill>
        </w:rPr>
        <w:t>成立算力联盟，制定算电用标准与跨平台调度协议，推动技术共享与生态共建。积极参加各地的展会、行业峰会、交流会、推介会</w:t>
      </w:r>
      <w:r>
        <w:rPr>
          <w:rFonts w:hint="eastAsia"/>
          <w:color w:val="000000" w:themeColor="text1"/>
          <w:lang w:val="en-US" w:eastAsia="zh-CN"/>
          <w14:textFill>
            <w14:solidFill>
              <w14:schemeClr w14:val="tx1"/>
            </w14:solidFill>
          </w14:textFill>
        </w:rPr>
        <w:t>等</w:t>
      </w:r>
      <w:r>
        <w:rPr>
          <w:rFonts w:hint="eastAsia"/>
          <w:color w:val="000000" w:themeColor="text1"/>
          <w14:textFill>
            <w14:solidFill>
              <w14:schemeClr w14:val="tx1"/>
            </w14:solidFill>
          </w14:textFill>
        </w:rPr>
        <w:t>，营造良好的品牌形象。</w:t>
      </w:r>
      <w:r>
        <w:rPr>
          <w:rFonts w:hint="eastAsia"/>
          <w:color w:val="000000" w:themeColor="text1"/>
          <w:lang w:val="en-US" w:eastAsia="zh-CN"/>
          <w14:textFill>
            <w14:solidFill>
              <w14:schemeClr w14:val="tx1"/>
            </w14:solidFill>
          </w14:textFill>
        </w:rPr>
        <w:t>积极对接东北地区、长三角、京津冀等地区的主要城市算力产业主管部门，营造算力产业合作契机，深化区域协同。</w:t>
      </w:r>
    </w:p>
    <w:p w14:paraId="1DFDB261">
      <w:pPr>
        <w:pStyle w:val="3"/>
        <w:numPr>
          <w:ilvl w:val="1"/>
          <w:numId w:val="6"/>
        </w:numPr>
        <w:ind w:firstLine="640" w:firstLineChars="20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深化金融赋能</w:t>
      </w:r>
    </w:p>
    <w:p w14:paraId="510DFE42">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line="560" w:lineRule="exact"/>
        <w:ind w:right="0"/>
        <w:jc w:val="both"/>
        <w:textAlignment w:val="auto"/>
        <w:rPr>
          <w:rFonts w:hint="default" w:ascii="Times New Roman" w:hAnsi="Times New Roman" w:eastAsia="方正仿宋_GBK"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32"/>
          <w:szCs w:val="32"/>
          <w:lang w:val="en-US" w:eastAsia="zh-CN"/>
          <w14:textFill>
            <w14:solidFill>
              <w14:schemeClr w14:val="tx1"/>
            </w14:solidFill>
          </w14:textFill>
        </w:rPr>
        <w:t>落实《国务院办公厅关于促进政府投资基金高质量发展的指导意见》</w:t>
      </w:r>
      <w:r>
        <w:rPr>
          <w:rFonts w:hint="eastAsia"/>
          <w:color w:val="000000" w:themeColor="text1"/>
          <w:lang w:eastAsia="zh-CN"/>
          <w14:textFill>
            <w14:solidFill>
              <w14:schemeClr w14:val="tx1"/>
            </w14:solidFill>
          </w14:textFill>
        </w:rPr>
        <w:t>（</w:t>
      </w:r>
      <w:r>
        <w:rPr>
          <w:rFonts w:hint="default" w:ascii="Times New Roman" w:hAnsi="Times New Roman" w:eastAsia="方正仿宋_GBK" w:cs="Times New Roman"/>
          <w:color w:val="000000" w:themeColor="text1"/>
          <w:kern w:val="0"/>
          <w:sz w:val="32"/>
          <w:szCs w:val="32"/>
          <w:lang w:val="en-US" w:eastAsia="zh-CN"/>
          <w14:textFill>
            <w14:solidFill>
              <w14:schemeClr w14:val="tx1"/>
            </w14:solidFill>
          </w14:textFill>
        </w:rPr>
        <w:t>国办发〔2025〕1号</w:t>
      </w:r>
      <w:r>
        <w:rPr>
          <w:rFonts w:hint="eastAsia"/>
          <w:color w:val="000000" w:themeColor="text1"/>
          <w:lang w:eastAsia="zh-CN"/>
          <w14:textFill>
            <w14:solidFill>
              <w14:schemeClr w14:val="tx1"/>
            </w14:solidFill>
          </w14:textFill>
        </w:rPr>
        <w:t>）</w:t>
      </w:r>
      <w:r>
        <w:rPr>
          <w:rFonts w:hint="default" w:ascii="Times New Roman" w:hAnsi="Times New Roman" w:eastAsia="方正仿宋_GBK" w:cs="Times New Roman"/>
          <w:color w:val="000000" w:themeColor="text1"/>
          <w:kern w:val="0"/>
          <w:sz w:val="32"/>
          <w:szCs w:val="32"/>
          <w:lang w:val="en-US" w:eastAsia="zh-CN"/>
          <w14:textFill>
            <w14:solidFill>
              <w14:schemeClr w14:val="tx1"/>
            </w14:solidFill>
          </w14:textFill>
        </w:rPr>
        <w:t>，</w:t>
      </w:r>
      <w:r>
        <w:rPr>
          <w:rFonts w:hint="eastAsia" w:cs="Times New Roman"/>
          <w:color w:val="000000" w:themeColor="text1"/>
          <w:kern w:val="0"/>
          <w:sz w:val="32"/>
          <w:szCs w:val="32"/>
          <w:lang w:val="en-US" w:eastAsia="zh-CN"/>
          <w14:textFill>
            <w14:solidFill>
              <w14:schemeClr w14:val="tx1"/>
            </w14:solidFill>
          </w14:textFill>
        </w:rPr>
        <w:t>引进</w:t>
      </w:r>
      <w:r>
        <w:rPr>
          <w:rFonts w:hint="default" w:ascii="Times New Roman" w:hAnsi="Times New Roman" w:eastAsia="方正仿宋_GBK" w:cs="Times New Roman"/>
          <w:color w:val="000000" w:themeColor="text1"/>
          <w:kern w:val="0"/>
          <w:sz w:val="32"/>
          <w:szCs w:val="32"/>
          <w:lang w:val="en-US" w:eastAsia="zh-CN"/>
          <w14:textFill>
            <w14:solidFill>
              <w14:schemeClr w14:val="tx1"/>
            </w14:solidFill>
          </w14:textFill>
        </w:rPr>
        <w:t>内蒙古重点产业引导基金，重点支持数据算力产业创新发展。</w:t>
      </w:r>
      <w:r>
        <w:rPr>
          <w:rFonts w:hint="eastAsia" w:cs="Times New Roman"/>
          <w:color w:val="000000" w:themeColor="text1"/>
          <w:kern w:val="0"/>
          <w:sz w:val="32"/>
          <w:szCs w:val="32"/>
          <w:lang w:val="en-US" w:eastAsia="zh-CN"/>
          <w14:textFill>
            <w14:solidFill>
              <w14:schemeClr w14:val="tx1"/>
            </w14:solidFill>
          </w14:textFill>
        </w:rPr>
        <w:t>积极</w:t>
      </w:r>
      <w:r>
        <w:rPr>
          <w:rFonts w:hint="default" w:ascii="Times New Roman" w:hAnsi="Times New Roman" w:eastAsia="方正仿宋_GBK" w:cs="Times New Roman"/>
          <w:color w:val="000000" w:themeColor="text1"/>
          <w:kern w:val="0"/>
          <w:sz w:val="32"/>
          <w:szCs w:val="32"/>
          <w:lang w:val="en-US" w:eastAsia="zh-CN"/>
          <w14:textFill>
            <w14:solidFill>
              <w14:schemeClr w14:val="tx1"/>
            </w14:solidFill>
          </w14:textFill>
        </w:rPr>
        <w:t>拓宽资金供给渠道</w:t>
      </w:r>
      <w:r>
        <w:rPr>
          <w:rFonts w:hint="eastAsia" w:cs="Times New Roman"/>
          <w:color w:val="000000" w:themeColor="text1"/>
          <w:kern w:val="0"/>
          <w:sz w:val="32"/>
          <w:szCs w:val="32"/>
          <w:lang w:val="en-US" w:eastAsia="zh-CN"/>
          <w14:textFill>
            <w14:solidFill>
              <w14:schemeClr w14:val="tx1"/>
            </w14:solidFill>
          </w14:textFill>
        </w:rPr>
        <w:t>，推动旗县资源跨区域整合，鼓励</w:t>
      </w:r>
      <w:r>
        <w:rPr>
          <w:rFonts w:hint="default" w:ascii="Times New Roman" w:hAnsi="Times New Roman" w:eastAsia="方正仿宋_GBK" w:cs="Times New Roman"/>
          <w:color w:val="000000" w:themeColor="text1"/>
          <w:kern w:val="0"/>
          <w:sz w:val="32"/>
          <w:szCs w:val="32"/>
          <w:lang w:val="en-US" w:eastAsia="zh-CN"/>
          <w14:textFill>
            <w14:solidFill>
              <w14:schemeClr w14:val="tx1"/>
            </w14:solidFill>
          </w14:textFill>
        </w:rPr>
        <w:t>国有企业的</w:t>
      </w:r>
      <w:r>
        <w:rPr>
          <w:rFonts w:hint="eastAsia" w:cs="Times New Roman"/>
          <w:color w:val="000000" w:themeColor="text1"/>
          <w:kern w:val="0"/>
          <w:sz w:val="32"/>
          <w:szCs w:val="32"/>
          <w:lang w:val="en-US" w:eastAsia="zh-CN"/>
          <w14:textFill>
            <w14:solidFill>
              <w14:schemeClr w14:val="tx1"/>
            </w14:solidFill>
          </w14:textFill>
        </w:rPr>
        <w:t>参与算力产业链建设。</w:t>
      </w:r>
    </w:p>
    <w:p w14:paraId="7DA89587">
      <w:pPr>
        <w:pStyle w:val="3"/>
        <w:numPr>
          <w:ilvl w:val="1"/>
          <w:numId w:val="6"/>
        </w:numPr>
        <w:ind w:firstLine="640" w:firstLineChars="200"/>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加强人才供给</w:t>
      </w:r>
    </w:p>
    <w:p w14:paraId="4517B583">
      <w:pPr>
        <w:rPr>
          <w:rFonts w:hint="default"/>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鼓励本地高校在学科设置上向数据算力领域倾斜</w:t>
      </w:r>
      <w:r>
        <w:rPr>
          <w:rFonts w:hint="eastAsia" w:cs="Times New Roman"/>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并联合企业开展实习实训，支持建设产教融合示范基地。鼓励有条件的企业设立首席数据官，积极引进高层次数据人才，支持数据领域人才出国</w:t>
      </w:r>
      <w:r>
        <w:rPr>
          <w:rFonts w:hint="eastAsia"/>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境</w:t>
      </w:r>
      <w:r>
        <w:rPr>
          <w:rFonts w:hint="eastAsia"/>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培训交流。</w:t>
      </w:r>
    </w:p>
    <w:sectPr>
      <w:footerReference r:id="rId5" w:type="default"/>
      <w:pgSz w:w="11906" w:h="16838"/>
      <w:pgMar w:top="1440" w:right="1800" w:bottom="1440" w:left="1800" w:header="720" w:footer="72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Microsoft YaHei">
    <w:panose1 w:val="020B0503020204020204"/>
    <w:charset w:val="86"/>
    <w:family w:val="auto"/>
    <w:pitch w:val="default"/>
    <w:sig w:usb0="80000287" w:usb1="2ACF3C50" w:usb2="00000016" w:usb3="00000000" w:csb0="0004001F" w:csb1="00000000"/>
  </w:font>
  <w:font w:name="Tahoma">
    <w:altName w:val="noto sans thai"/>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noto sans thai">
    <w:panose1 w:val="020B0502040504020204"/>
    <w:charset w:val="00"/>
    <w:family w:val="auto"/>
    <w:pitch w:val="default"/>
    <w:sig w:usb0="81000063" w:usb1="00002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1BE6C">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D3AA58">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6D3AA58">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7E06B1"/>
    <w:multiLevelType w:val="multilevel"/>
    <w:tmpl w:val="9D7E06B1"/>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20A92AB1"/>
    <w:multiLevelType w:val="multilevel"/>
    <w:tmpl w:val="20A92AB1"/>
    <w:lvl w:ilvl="0" w:tentative="0">
      <w:start w:val="1"/>
      <w:numFmt w:val="decimal"/>
      <w:pStyle w:val="4"/>
      <w:lvlText w:val="%1."/>
      <w:lvlJc w:val="left"/>
      <w:pPr>
        <w:ind w:left="1080" w:hanging="440"/>
      </w:p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2">
    <w:nsid w:val="338A65C8"/>
    <w:multiLevelType w:val="multilevel"/>
    <w:tmpl w:val="338A65C8"/>
    <w:lvl w:ilvl="0" w:tentative="0">
      <w:start w:val="1"/>
      <w:numFmt w:val="decimal"/>
      <w:pStyle w:val="20"/>
      <w:lvlText w:val="%1."/>
      <w:lvlJc w:val="left"/>
      <w:pPr>
        <w:ind w:left="640" w:hanging="440"/>
      </w:pPr>
    </w:lvl>
    <w:lvl w:ilvl="1" w:tentative="0">
      <w:start w:val="1"/>
      <w:numFmt w:val="lowerLetter"/>
      <w:lvlText w:val="%2)"/>
      <w:lvlJc w:val="left"/>
      <w:pPr>
        <w:ind w:left="1080" w:hanging="440"/>
      </w:pPr>
    </w:lvl>
    <w:lvl w:ilvl="2" w:tentative="0">
      <w:start w:val="1"/>
      <w:numFmt w:val="lowerRoman"/>
      <w:lvlText w:val="%3."/>
      <w:lvlJc w:val="right"/>
      <w:pPr>
        <w:ind w:left="1520" w:hanging="440"/>
      </w:pPr>
    </w:lvl>
    <w:lvl w:ilvl="3" w:tentative="0">
      <w:start w:val="1"/>
      <w:numFmt w:val="decimal"/>
      <w:lvlText w:val="%4."/>
      <w:lvlJc w:val="left"/>
      <w:pPr>
        <w:ind w:left="1960" w:hanging="440"/>
      </w:pPr>
    </w:lvl>
    <w:lvl w:ilvl="4" w:tentative="0">
      <w:start w:val="1"/>
      <w:numFmt w:val="lowerLetter"/>
      <w:lvlText w:val="%5)"/>
      <w:lvlJc w:val="left"/>
      <w:pPr>
        <w:ind w:left="2400" w:hanging="440"/>
      </w:pPr>
    </w:lvl>
    <w:lvl w:ilvl="5" w:tentative="0">
      <w:start w:val="1"/>
      <w:numFmt w:val="lowerRoman"/>
      <w:lvlText w:val="%6."/>
      <w:lvlJc w:val="right"/>
      <w:pPr>
        <w:ind w:left="2840" w:hanging="440"/>
      </w:pPr>
    </w:lvl>
    <w:lvl w:ilvl="6" w:tentative="0">
      <w:start w:val="1"/>
      <w:numFmt w:val="decimal"/>
      <w:lvlText w:val="%7."/>
      <w:lvlJc w:val="left"/>
      <w:pPr>
        <w:ind w:left="3280" w:hanging="440"/>
      </w:pPr>
    </w:lvl>
    <w:lvl w:ilvl="7" w:tentative="0">
      <w:start w:val="1"/>
      <w:numFmt w:val="lowerLetter"/>
      <w:lvlText w:val="%8)"/>
      <w:lvlJc w:val="left"/>
      <w:pPr>
        <w:ind w:left="3720" w:hanging="440"/>
      </w:pPr>
    </w:lvl>
    <w:lvl w:ilvl="8" w:tentative="0">
      <w:start w:val="1"/>
      <w:numFmt w:val="lowerRoman"/>
      <w:lvlText w:val="%9."/>
      <w:lvlJc w:val="right"/>
      <w:pPr>
        <w:ind w:left="4160" w:hanging="440"/>
      </w:pPr>
    </w:lvl>
  </w:abstractNum>
  <w:abstractNum w:abstractNumId="3">
    <w:nsid w:val="5B8D7685"/>
    <w:multiLevelType w:val="multilevel"/>
    <w:tmpl w:val="5B8D7685"/>
    <w:lvl w:ilvl="0" w:tentative="0">
      <w:start w:val="1"/>
      <w:numFmt w:val="decimal"/>
      <w:pStyle w:val="19"/>
      <w:lvlText w:val="%1."/>
      <w:lvlJc w:val="left"/>
      <w:pPr>
        <w:ind w:left="640" w:hanging="440"/>
      </w:pPr>
    </w:lvl>
    <w:lvl w:ilvl="1" w:tentative="0">
      <w:start w:val="1"/>
      <w:numFmt w:val="lowerLetter"/>
      <w:lvlText w:val="%2)"/>
      <w:lvlJc w:val="left"/>
      <w:pPr>
        <w:ind w:left="1080" w:hanging="440"/>
      </w:pPr>
    </w:lvl>
    <w:lvl w:ilvl="2" w:tentative="0">
      <w:start w:val="1"/>
      <w:numFmt w:val="lowerRoman"/>
      <w:lvlText w:val="%3."/>
      <w:lvlJc w:val="right"/>
      <w:pPr>
        <w:ind w:left="1520" w:hanging="440"/>
      </w:pPr>
    </w:lvl>
    <w:lvl w:ilvl="3" w:tentative="0">
      <w:start w:val="1"/>
      <w:numFmt w:val="decimal"/>
      <w:lvlText w:val="%4."/>
      <w:lvlJc w:val="left"/>
      <w:pPr>
        <w:ind w:left="1960" w:hanging="440"/>
      </w:pPr>
    </w:lvl>
    <w:lvl w:ilvl="4" w:tentative="0">
      <w:start w:val="1"/>
      <w:numFmt w:val="lowerLetter"/>
      <w:lvlText w:val="%5)"/>
      <w:lvlJc w:val="left"/>
      <w:pPr>
        <w:ind w:left="2400" w:hanging="440"/>
      </w:pPr>
    </w:lvl>
    <w:lvl w:ilvl="5" w:tentative="0">
      <w:start w:val="1"/>
      <w:numFmt w:val="lowerRoman"/>
      <w:lvlText w:val="%6."/>
      <w:lvlJc w:val="right"/>
      <w:pPr>
        <w:ind w:left="2840" w:hanging="440"/>
      </w:pPr>
    </w:lvl>
    <w:lvl w:ilvl="6" w:tentative="0">
      <w:start w:val="1"/>
      <w:numFmt w:val="decimal"/>
      <w:lvlText w:val="%7."/>
      <w:lvlJc w:val="left"/>
      <w:pPr>
        <w:ind w:left="3280" w:hanging="440"/>
      </w:pPr>
    </w:lvl>
    <w:lvl w:ilvl="7" w:tentative="0">
      <w:start w:val="1"/>
      <w:numFmt w:val="lowerLetter"/>
      <w:lvlText w:val="%8)"/>
      <w:lvlJc w:val="left"/>
      <w:pPr>
        <w:ind w:left="3720" w:hanging="440"/>
      </w:pPr>
    </w:lvl>
    <w:lvl w:ilvl="8" w:tentative="0">
      <w:start w:val="1"/>
      <w:numFmt w:val="lowerRoman"/>
      <w:lvlText w:val="%9."/>
      <w:lvlJc w:val="right"/>
      <w:pPr>
        <w:ind w:left="4160" w:hanging="440"/>
      </w:pPr>
    </w:lvl>
  </w:abstractNum>
  <w:num w:numId="1">
    <w:abstractNumId w:val="0"/>
  </w:num>
  <w:num w:numId="2">
    <w:abstractNumId w:val="1"/>
  </w:num>
  <w:num w:numId="3">
    <w:abstractNumId w:val="3"/>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xYWRlNmRjNTdjNGMyNzEyYzU0NGYwMzNlNmM5MDcifQ=="/>
  </w:docVars>
  <w:rsids>
    <w:rsidRoot w:val="00000000"/>
    <w:rsid w:val="00127B6E"/>
    <w:rsid w:val="004672B9"/>
    <w:rsid w:val="00AB28B4"/>
    <w:rsid w:val="016B7DD3"/>
    <w:rsid w:val="02FF5E45"/>
    <w:rsid w:val="030E13A9"/>
    <w:rsid w:val="05375C27"/>
    <w:rsid w:val="061F06C3"/>
    <w:rsid w:val="06385FC4"/>
    <w:rsid w:val="06A50AB1"/>
    <w:rsid w:val="072C46BC"/>
    <w:rsid w:val="07911761"/>
    <w:rsid w:val="08A115A4"/>
    <w:rsid w:val="08F31C1C"/>
    <w:rsid w:val="09886330"/>
    <w:rsid w:val="09AC722C"/>
    <w:rsid w:val="09D90914"/>
    <w:rsid w:val="09E50C48"/>
    <w:rsid w:val="0A7375B2"/>
    <w:rsid w:val="0B691D76"/>
    <w:rsid w:val="0B6C7DF0"/>
    <w:rsid w:val="0D712EEA"/>
    <w:rsid w:val="0FC14B5C"/>
    <w:rsid w:val="101822F4"/>
    <w:rsid w:val="1026620F"/>
    <w:rsid w:val="10C1025F"/>
    <w:rsid w:val="113D166F"/>
    <w:rsid w:val="115953DC"/>
    <w:rsid w:val="12F47699"/>
    <w:rsid w:val="14504E34"/>
    <w:rsid w:val="15080B89"/>
    <w:rsid w:val="1B1035B3"/>
    <w:rsid w:val="1B124510"/>
    <w:rsid w:val="1B577D6B"/>
    <w:rsid w:val="1BAF48D6"/>
    <w:rsid w:val="1C3276CE"/>
    <w:rsid w:val="1CFC5DBD"/>
    <w:rsid w:val="1D031F79"/>
    <w:rsid w:val="1D0D31E0"/>
    <w:rsid w:val="1E263741"/>
    <w:rsid w:val="1EE75CB3"/>
    <w:rsid w:val="1F067FD2"/>
    <w:rsid w:val="1F1A0C35"/>
    <w:rsid w:val="201A2537"/>
    <w:rsid w:val="202362BA"/>
    <w:rsid w:val="20EC26B9"/>
    <w:rsid w:val="215033F4"/>
    <w:rsid w:val="220A23E4"/>
    <w:rsid w:val="23A507C1"/>
    <w:rsid w:val="243674C1"/>
    <w:rsid w:val="2447702E"/>
    <w:rsid w:val="254C7941"/>
    <w:rsid w:val="25BB0A47"/>
    <w:rsid w:val="26584BB0"/>
    <w:rsid w:val="275F2824"/>
    <w:rsid w:val="276C5D7A"/>
    <w:rsid w:val="28A44B15"/>
    <w:rsid w:val="29325D7D"/>
    <w:rsid w:val="2A507281"/>
    <w:rsid w:val="2B806E0C"/>
    <w:rsid w:val="2C300E8E"/>
    <w:rsid w:val="2CDC322F"/>
    <w:rsid w:val="2D983721"/>
    <w:rsid w:val="2E303747"/>
    <w:rsid w:val="308428CC"/>
    <w:rsid w:val="30886DEE"/>
    <w:rsid w:val="30E06A54"/>
    <w:rsid w:val="3264169D"/>
    <w:rsid w:val="32C54505"/>
    <w:rsid w:val="32F23840"/>
    <w:rsid w:val="344175E3"/>
    <w:rsid w:val="35726534"/>
    <w:rsid w:val="35926129"/>
    <w:rsid w:val="37725DBD"/>
    <w:rsid w:val="3812280E"/>
    <w:rsid w:val="39DA3FF3"/>
    <w:rsid w:val="3AF3303B"/>
    <w:rsid w:val="3B052FDA"/>
    <w:rsid w:val="3D2C7078"/>
    <w:rsid w:val="40170B36"/>
    <w:rsid w:val="40446184"/>
    <w:rsid w:val="41A82FDB"/>
    <w:rsid w:val="41E50BAA"/>
    <w:rsid w:val="426E79CE"/>
    <w:rsid w:val="44464E91"/>
    <w:rsid w:val="444C7A65"/>
    <w:rsid w:val="45316955"/>
    <w:rsid w:val="45A4719C"/>
    <w:rsid w:val="469D37F5"/>
    <w:rsid w:val="47406465"/>
    <w:rsid w:val="47E80223"/>
    <w:rsid w:val="48005F81"/>
    <w:rsid w:val="480E6E35"/>
    <w:rsid w:val="493504C2"/>
    <w:rsid w:val="49656BC0"/>
    <w:rsid w:val="4B3E507F"/>
    <w:rsid w:val="4CDA09D0"/>
    <w:rsid w:val="4E78745F"/>
    <w:rsid w:val="4E787F99"/>
    <w:rsid w:val="4ED978C8"/>
    <w:rsid w:val="4F611C57"/>
    <w:rsid w:val="4F783215"/>
    <w:rsid w:val="4FFE214A"/>
    <w:rsid w:val="507C62DD"/>
    <w:rsid w:val="52955E3A"/>
    <w:rsid w:val="537A4F37"/>
    <w:rsid w:val="53B31152"/>
    <w:rsid w:val="53F758F5"/>
    <w:rsid w:val="54C02717"/>
    <w:rsid w:val="55050666"/>
    <w:rsid w:val="56151416"/>
    <w:rsid w:val="56F00C41"/>
    <w:rsid w:val="58684797"/>
    <w:rsid w:val="590D1897"/>
    <w:rsid w:val="59934042"/>
    <w:rsid w:val="59ED27C1"/>
    <w:rsid w:val="5A507EBB"/>
    <w:rsid w:val="5A7241A4"/>
    <w:rsid w:val="5B05476A"/>
    <w:rsid w:val="5BD780BE"/>
    <w:rsid w:val="5E3635AB"/>
    <w:rsid w:val="5E6722C3"/>
    <w:rsid w:val="5E7128C8"/>
    <w:rsid w:val="5F454594"/>
    <w:rsid w:val="5F9B7B97"/>
    <w:rsid w:val="60171F35"/>
    <w:rsid w:val="60465003"/>
    <w:rsid w:val="616C02AF"/>
    <w:rsid w:val="623E1776"/>
    <w:rsid w:val="6241186F"/>
    <w:rsid w:val="624A4786"/>
    <w:rsid w:val="6272290C"/>
    <w:rsid w:val="62AF08A3"/>
    <w:rsid w:val="63911317"/>
    <w:rsid w:val="678C2521"/>
    <w:rsid w:val="69603BAF"/>
    <w:rsid w:val="69732C11"/>
    <w:rsid w:val="6AE30E7D"/>
    <w:rsid w:val="6AEC033F"/>
    <w:rsid w:val="6BAC4F3F"/>
    <w:rsid w:val="6BE836C8"/>
    <w:rsid w:val="6CB03587"/>
    <w:rsid w:val="6CE028AE"/>
    <w:rsid w:val="6D6B51EC"/>
    <w:rsid w:val="6E6FE395"/>
    <w:rsid w:val="6F922003"/>
    <w:rsid w:val="709E4F80"/>
    <w:rsid w:val="70C64CF5"/>
    <w:rsid w:val="71986B9D"/>
    <w:rsid w:val="71A70ECA"/>
    <w:rsid w:val="72C01D62"/>
    <w:rsid w:val="73021F16"/>
    <w:rsid w:val="73D22DDF"/>
    <w:rsid w:val="750D086B"/>
    <w:rsid w:val="75121D63"/>
    <w:rsid w:val="764C34D7"/>
    <w:rsid w:val="76780581"/>
    <w:rsid w:val="76D31F1A"/>
    <w:rsid w:val="76F32EDB"/>
    <w:rsid w:val="77642728"/>
    <w:rsid w:val="778F69AA"/>
    <w:rsid w:val="77FD07FF"/>
    <w:rsid w:val="7B0B3D8E"/>
    <w:rsid w:val="7B4E2884"/>
    <w:rsid w:val="7BF26AB8"/>
    <w:rsid w:val="7C460A98"/>
    <w:rsid w:val="7C6D534C"/>
    <w:rsid w:val="7C8B294F"/>
    <w:rsid w:val="7CDF1E5D"/>
    <w:rsid w:val="7CE3278B"/>
    <w:rsid w:val="7EC41274"/>
    <w:rsid w:val="7ED22AB7"/>
    <w:rsid w:val="7FDF2640"/>
    <w:rsid w:val="83CBC5BD"/>
    <w:rsid w:val="B45FA0CD"/>
    <w:rsid w:val="CFDFB76F"/>
    <w:rsid w:val="CFFA7035"/>
    <w:rsid w:val="DBDB8EB7"/>
    <w:rsid w:val="DFD34A2C"/>
    <w:rsid w:val="EFD8C80D"/>
    <w:rsid w:val="F2FFB556"/>
    <w:rsid w:val="F57E34BD"/>
    <w:rsid w:val="FDDD1D13"/>
    <w:rsid w:val="FEEA6D89"/>
    <w:rsid w:val="FEFB4B39"/>
    <w:rsid w:val="FFBB227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line="560" w:lineRule="exact"/>
      <w:ind w:left="0" w:leftChars="0" w:right="0" w:rightChars="0" w:firstLine="648" w:firstLineChars="0"/>
      <w:jc w:val="both"/>
      <w:textAlignment w:val="auto"/>
    </w:pPr>
    <w:rPr>
      <w:rFonts w:ascii="Times New Roman" w:hAnsi="Times New Roman" w:eastAsia="方正仿宋_GBK" w:cs="Times New Roman"/>
      <w:color w:val="auto"/>
      <w:kern w:val="0"/>
      <w:sz w:val="32"/>
      <w:szCs w:val="32"/>
      <w:lang w:val="en-US" w:eastAsia="zh-CN" w:bidi="ar-SA"/>
    </w:rPr>
  </w:style>
  <w:style w:type="paragraph" w:styleId="2">
    <w:name w:val="heading 1"/>
    <w:next w:val="1"/>
    <w:qFormat/>
    <w:uiPriority w:val="0"/>
    <w:pPr>
      <w:keepNext/>
      <w:keepLines/>
      <w:numPr>
        <w:ilvl w:val="0"/>
        <w:numId w:val="1"/>
      </w:numPr>
      <w:spacing w:line="560" w:lineRule="exact"/>
      <w:outlineLvl w:val="0"/>
    </w:pPr>
    <w:rPr>
      <w:rFonts w:ascii="黑体" w:hAnsi="黑体" w:eastAsia="黑体" w:cs="Times New Roman"/>
      <w:kern w:val="44"/>
      <w:sz w:val="32"/>
      <w:lang w:val="en-US" w:eastAsia="zh-CN" w:bidi="ar-SA"/>
    </w:rPr>
  </w:style>
  <w:style w:type="paragraph" w:styleId="3">
    <w:name w:val="heading 2"/>
    <w:next w:val="1"/>
    <w:qFormat/>
    <w:uiPriority w:val="0"/>
    <w:pPr>
      <w:keepLines/>
      <w:numPr>
        <w:ilvl w:val="1"/>
        <w:numId w:val="1"/>
      </w:numPr>
      <w:spacing w:line="560" w:lineRule="exact"/>
      <w:outlineLvl w:val="1"/>
    </w:pPr>
    <w:rPr>
      <w:rFonts w:ascii="楷体_GB2312" w:hAnsi="Arial" w:eastAsia="楷体_GB2312" w:cs="Times New Roman"/>
      <w:sz w:val="32"/>
      <w:lang w:val="en-US" w:eastAsia="zh-CN" w:bidi="ar-SA"/>
    </w:rPr>
  </w:style>
  <w:style w:type="paragraph" w:styleId="4">
    <w:name w:val="heading 3"/>
    <w:basedOn w:val="1"/>
    <w:next w:val="1"/>
    <w:qFormat/>
    <w:uiPriority w:val="0"/>
    <w:pPr>
      <w:keepLines/>
      <w:numPr>
        <w:ilvl w:val="0"/>
        <w:numId w:val="2"/>
      </w:numPr>
      <w:tabs>
        <w:tab w:val="left" w:pos="1134"/>
      </w:tabs>
      <w:wordWrap w:val="0"/>
      <w:ind w:left="0" w:firstLine="200"/>
      <w:outlineLvl w:val="2"/>
    </w:pPr>
    <w:rPr>
      <w:b/>
    </w:rPr>
  </w:style>
  <w:style w:type="character" w:default="1" w:styleId="14">
    <w:name w:val="Default Paragraph Font"/>
    <w:semiHidden/>
    <w:unhideWhenUsed/>
    <w:qFormat/>
    <w:uiPriority w:val="1"/>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pPr>
      <w:adjustRightInd w:val="0"/>
      <w:snapToGrid w:val="0"/>
      <w:spacing w:before="100" w:beforeAutospacing="1" w:line="360" w:lineRule="auto"/>
      <w:ind w:firstLine="200" w:firstLineChars="200"/>
    </w:pPr>
    <w:rPr>
      <w:rFonts w:ascii="宋体" w:hAnsi="等线" w:eastAsia="楷体_GB2312"/>
      <w:sz w:val="24"/>
      <w:szCs w:val="24"/>
    </w:rPr>
  </w:style>
  <w:style w:type="paragraph" w:styleId="7">
    <w:name w:val="Body Text Indent"/>
    <w:basedOn w:val="1"/>
    <w:semiHidden/>
    <w:unhideWhenUsed/>
    <w:qFormat/>
    <w:uiPriority w:val="99"/>
    <w:pPr>
      <w:spacing w:after="120"/>
      <w:ind w:left="420" w:leftChars="2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7"/>
    <w:unhideWhenUsed/>
    <w:qFormat/>
    <w:uiPriority w:val="99"/>
    <w:pPr>
      <w:overflowPunct w:val="0"/>
      <w:spacing w:after="0" w:line="360" w:lineRule="auto"/>
      <w:ind w:left="0" w:leftChars="0" w:firstLine="420" w:firstLineChars="200"/>
    </w:pPr>
    <w:rPr>
      <w:rFonts w:ascii="Calibri"/>
      <w:b/>
      <w:bCs/>
      <w:sz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1"/>
  </w:style>
  <w:style w:type="table" w:customStyle="1" w:styleId="16">
    <w:name w:val="Table Normal"/>
    <w:semiHidden/>
    <w:unhideWhenUsed/>
    <w:qFormat/>
    <w:uiPriority w:val="2"/>
    <w:tblPr>
      <w:tblCellMar>
        <w:top w:w="0" w:type="dxa"/>
        <w:left w:w="0" w:type="dxa"/>
        <w:bottom w:w="0" w:type="dxa"/>
        <w:right w:w="0" w:type="dxa"/>
      </w:tblCellMar>
    </w:tblPr>
  </w:style>
  <w:style w:type="paragraph" w:customStyle="1" w:styleId="17">
    <w:name w:val="Table Paragraph"/>
    <w:basedOn w:val="1"/>
    <w:qFormat/>
    <w:uiPriority w:val="1"/>
  </w:style>
  <w:style w:type="paragraph" w:customStyle="1" w:styleId="18">
    <w:name w:val="表内容"/>
    <w:basedOn w:val="1"/>
    <w:qFormat/>
    <w:uiPriority w:val="0"/>
    <w:pPr>
      <w:spacing w:line="240" w:lineRule="auto"/>
      <w:ind w:firstLine="0" w:firstLineChars="0"/>
      <w:jc w:val="center"/>
    </w:pPr>
    <w:rPr>
      <w:rFonts w:ascii="Times New Roman" w:hAnsi="Times New Roman"/>
    </w:rPr>
  </w:style>
  <w:style w:type="paragraph" w:customStyle="1" w:styleId="19">
    <w:name w:val="样式6"/>
    <w:basedOn w:val="4"/>
    <w:qFormat/>
    <w:uiPriority w:val="1"/>
    <w:pPr>
      <w:numPr>
        <w:numId w:val="3"/>
      </w:numPr>
      <w:tabs>
        <w:tab w:val="left" w:pos="1133"/>
        <w:tab w:val="clear" w:pos="1134"/>
      </w:tabs>
      <w:ind w:left="0" w:firstLine="200"/>
    </w:pPr>
  </w:style>
  <w:style w:type="paragraph" w:customStyle="1" w:styleId="20">
    <w:name w:val="样式8"/>
    <w:basedOn w:val="4"/>
    <w:qFormat/>
    <w:uiPriority w:val="1"/>
    <w:pPr>
      <w:numPr>
        <w:numId w:val="4"/>
      </w:numPr>
      <w:tabs>
        <w:tab w:val="left" w:pos="1133"/>
        <w:tab w:val="clear" w:pos="1134"/>
      </w:tabs>
      <w:ind w:left="0" w:firstLine="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4168</Words>
  <Characters>4249</Characters>
  <TotalTime>297</TotalTime>
  <ScaleCrop>false</ScaleCrop>
  <LinksUpToDate>false</LinksUpToDate>
  <CharactersWithSpaces>4249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2023-05-30T02:45:00Z</dcterms:created>
  <dc:creator>wusk</dc:creator>
  <cp:lastModifiedBy>tongliao</cp:lastModifiedBy>
  <dcterms:modified xsi:type="dcterms:W3CDTF">2025-06-24T17:22:57Z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2023-05-28T00:00:00Z</vt:filetime>
  </property>
  <property fmtid="{D5CDD505-2E9C-101B-9397-08002B2CF9AE}" pid="3" name="KSOProductBuildVer">
    <vt:lpwstr>2052-12.8.2.1119</vt:lpwstr>
  </property>
  <property fmtid="{D5CDD505-2E9C-101B-9397-08002B2CF9AE}" pid="4" name="ICV">
    <vt:lpwstr>34636DBF86744636AA25E43320A07819_13</vt:lpwstr>
  </property>
  <property fmtid="{D5CDD505-2E9C-101B-9397-08002B2CF9AE}" pid="5" name="KSOTemplateDocerSaveRecord">
    <vt:lpwstr>eyJoZGlkIjoiYTkxYWRlNmRjNTdjNGMyNzEyYzU0NGYwMzNlNmM5MDciLCJ1c2VySWQiOiI5Njg0MTY5MDkifQ==</vt:lpwstr>
  </property>
</Properties>
</file>