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284C5C">
      <w:pPr>
        <w:ind w:firstLine="0" w:firstLineChars="0"/>
        <w:rPr>
          <w:rFonts w:eastAsia="黑体"/>
          <w:kern w:val="2"/>
          <w:sz w:val="32"/>
          <w:szCs w:val="32"/>
        </w:rPr>
      </w:pPr>
      <w:bookmarkStart w:id="5" w:name="_GoBack"/>
      <w:bookmarkEnd w:id="5"/>
      <w:r>
        <w:rPr>
          <w:rFonts w:eastAsia="黑体"/>
          <w:kern w:val="2"/>
          <w:sz w:val="32"/>
          <w:szCs w:val="32"/>
        </w:rPr>
        <w:t>附件</w:t>
      </w:r>
      <w:r>
        <w:rPr>
          <w:rFonts w:hint="eastAsia" w:eastAsia="黑体"/>
          <w:kern w:val="2"/>
          <w:sz w:val="32"/>
          <w:szCs w:val="32"/>
          <w:lang w:val="en-US" w:eastAsia="zh-CN"/>
        </w:rPr>
        <w:t>1</w:t>
      </w:r>
    </w:p>
    <w:p w14:paraId="2B8E1858">
      <w:pPr>
        <w:spacing w:line="600" w:lineRule="exact"/>
        <w:ind w:firstLine="0" w:firstLineChars="0"/>
        <w:jc w:val="center"/>
        <w:rPr>
          <w:rFonts w:eastAsia="方正小标宋简体"/>
          <w:kern w:val="2"/>
          <w:sz w:val="44"/>
          <w:szCs w:val="24"/>
        </w:rPr>
      </w:pPr>
      <w:r>
        <w:rPr>
          <w:rFonts w:eastAsia="方正小标宋简体"/>
          <w:kern w:val="2"/>
          <w:sz w:val="44"/>
          <w:szCs w:val="24"/>
        </w:rPr>
        <w:t>广东省零碳工厂建设方案</w:t>
      </w:r>
    </w:p>
    <w:p w14:paraId="29CAF669">
      <w:pPr>
        <w:ind w:firstLine="0" w:firstLineChars="0"/>
        <w:jc w:val="center"/>
        <w:rPr>
          <w:rFonts w:hint="eastAsia" w:ascii="楷体_GB2312" w:hAnsi="楷体_GB2312" w:eastAsia="楷体_GB2312" w:cs="楷体_GB2312"/>
          <w:kern w:val="2"/>
          <w:sz w:val="32"/>
          <w:szCs w:val="32"/>
        </w:rPr>
      </w:pPr>
      <w:r>
        <w:rPr>
          <w:rFonts w:hint="eastAsia"/>
          <w:kern w:val="2"/>
          <w:sz w:val="32"/>
          <w:szCs w:val="24"/>
        </w:rPr>
        <w:t>（</w:t>
      </w:r>
      <w:r>
        <w:rPr>
          <w:rFonts w:hint="eastAsia"/>
          <w:kern w:val="2"/>
          <w:sz w:val="32"/>
          <w:szCs w:val="24"/>
          <w:lang w:eastAsia="zh-CN"/>
        </w:rPr>
        <w:t>征求意见稿</w:t>
      </w:r>
      <w:r>
        <w:rPr>
          <w:rFonts w:hint="eastAsia"/>
          <w:kern w:val="2"/>
          <w:sz w:val="32"/>
          <w:szCs w:val="24"/>
        </w:rPr>
        <w:t>）</w:t>
      </w:r>
    </w:p>
    <w:p w14:paraId="3F6D87ED">
      <w:pPr>
        <w:ind w:firstLine="640"/>
        <w:rPr>
          <w:kern w:val="2"/>
          <w:sz w:val="32"/>
          <w:szCs w:val="24"/>
        </w:rPr>
      </w:pPr>
    </w:p>
    <w:p w14:paraId="15DE1DD2">
      <w:pPr>
        <w:ind w:firstLine="640"/>
        <w:rPr>
          <w:kern w:val="2"/>
          <w:sz w:val="32"/>
          <w:szCs w:val="24"/>
        </w:rPr>
      </w:pPr>
      <w:r>
        <w:rPr>
          <w:kern w:val="2"/>
          <w:sz w:val="32"/>
          <w:szCs w:val="24"/>
        </w:rPr>
        <w:t>为深入贯彻落实国家“碳达峰、碳中和”重大战略部署，积极响应《关于开展零碳工厂建设工作的指导意见》（工信部联节﹝2026﹞13号）</w:t>
      </w:r>
      <w:r>
        <w:rPr>
          <w:rFonts w:hint="eastAsia"/>
          <w:kern w:val="2"/>
          <w:sz w:val="32"/>
          <w:szCs w:val="24"/>
        </w:rPr>
        <w:t>、</w:t>
      </w:r>
      <w:r>
        <w:rPr>
          <w:kern w:val="2"/>
          <w:sz w:val="32"/>
          <w:szCs w:val="24"/>
        </w:rPr>
        <w:t>《广东省碳达峰实施方案》（粤府〔2022〕56号）、《广东省零碳园区建设方案》等政策文件要求，推动工业领域绿色低碳转型，发挥工厂作为产业园区基本单元的示范引领作用，特制定本《广东省零碳工厂建设方案》。本方案以企业为主体，聚焦工厂层面低碳化、清洁化、循环化发展路径，构建与零碳园区协同联动、互为支撑的建设体系，助力广东省打造全国领先的零碳产业生态。</w:t>
      </w:r>
    </w:p>
    <w:p w14:paraId="6BEBD96A">
      <w:pPr>
        <w:pStyle w:val="2"/>
        <w:rPr>
          <w:rFonts w:hint="eastAsia"/>
        </w:rPr>
      </w:pPr>
      <w:r>
        <w:t>一、工作目标</w:t>
      </w:r>
    </w:p>
    <w:p w14:paraId="60252AF7">
      <w:pPr>
        <w:ind w:firstLine="640"/>
        <w:rPr>
          <w:kern w:val="2"/>
          <w:sz w:val="32"/>
          <w:szCs w:val="24"/>
        </w:rPr>
      </w:pPr>
      <w:r>
        <w:rPr>
          <w:kern w:val="2"/>
          <w:sz w:val="32"/>
          <w:szCs w:val="24"/>
        </w:rPr>
        <w:t>以制造业绿色低碳转型为核心，以二氧化碳排放持续降低、逐步趋向近零为目标</w:t>
      </w:r>
      <w:r>
        <w:rPr>
          <w:rFonts w:hint="eastAsia"/>
          <w:kern w:val="2"/>
          <w:sz w:val="32"/>
          <w:szCs w:val="24"/>
        </w:rPr>
        <w:t>，</w:t>
      </w:r>
      <w:r>
        <w:rPr>
          <w:kern w:val="2"/>
          <w:sz w:val="32"/>
          <w:szCs w:val="24"/>
        </w:rPr>
        <w:t>坚持“因业施策、创新驱动、应减尽减、公开透明”原则</w:t>
      </w:r>
      <w:r>
        <w:rPr>
          <w:rFonts w:hint="eastAsia"/>
          <w:kern w:val="2"/>
          <w:sz w:val="32"/>
          <w:szCs w:val="24"/>
        </w:rPr>
        <w:t>，</w:t>
      </w:r>
      <w:r>
        <w:rPr>
          <w:kern w:val="2"/>
          <w:sz w:val="32"/>
          <w:szCs w:val="24"/>
        </w:rPr>
        <w:t>聚焦原料、工艺、能耗、末端、供应链</w:t>
      </w:r>
      <w:r>
        <w:rPr>
          <w:rFonts w:hint="eastAsia"/>
          <w:kern w:val="2"/>
          <w:sz w:val="32"/>
          <w:szCs w:val="24"/>
        </w:rPr>
        <w:t>等关键</w:t>
      </w:r>
      <w:r>
        <w:rPr>
          <w:kern w:val="2"/>
          <w:sz w:val="32"/>
          <w:szCs w:val="24"/>
        </w:rPr>
        <w:t>环节，推动企业健全碳排放核算管理体系、优化用能结构、提升能效水平、带动产业链协同降碳、强化数字化能碳管控、规范碳抵销与信息披露，加快培育行业标杆零碳工厂</w:t>
      </w:r>
      <w:r>
        <w:rPr>
          <w:rFonts w:hint="eastAsia"/>
          <w:kern w:val="2"/>
          <w:sz w:val="32"/>
          <w:szCs w:val="24"/>
        </w:rPr>
        <w:t>，构建与零碳园区协同联动、双向赋能的建设体系。</w:t>
      </w:r>
    </w:p>
    <w:p w14:paraId="4F93D6A5">
      <w:pPr>
        <w:ind w:firstLine="640"/>
        <w:rPr>
          <w:kern w:val="2"/>
          <w:sz w:val="32"/>
          <w:szCs w:val="24"/>
        </w:rPr>
      </w:pPr>
      <w:r>
        <w:rPr>
          <w:kern w:val="2"/>
          <w:sz w:val="32"/>
          <w:szCs w:val="24"/>
        </w:rPr>
        <w:t>到2027年，在汽车、锂电池、光伏、电子电器、轻工、机械</w:t>
      </w:r>
      <w:r>
        <w:rPr>
          <w:rFonts w:hint="eastAsia"/>
          <w:kern w:val="2"/>
          <w:sz w:val="32"/>
          <w:szCs w:val="24"/>
        </w:rPr>
        <w:t>、</w:t>
      </w:r>
      <w:r>
        <w:rPr>
          <w:kern w:val="2"/>
          <w:sz w:val="32"/>
          <w:szCs w:val="24"/>
        </w:rPr>
        <w:t>算力设施等行业领域，培育一批零碳工厂，工厂能源利用效率大幅提升，可再生能源消费占比显著提高，碳排放强度持续下降，基本构建起与零碳园区高效协同、双向赋能的发展格局；到2030年，将零碳建设范围逐步延伸至钢铁、有色金属、石化化工、建材、纺织等高耗能行业，建成一批示范带动作用突出的零碳工厂，零碳技术装备集成应用、管理运营体系、创新商业模式等持续完善，在全省工业领域绿色低碳转型进程中发挥标杆引领作用。同时做好与国家级零碳工厂建设工作的衔接，对达到国家级零碳工厂核心指标要求的企业，择优推荐纳入国家级零碳工厂建设名单。</w:t>
      </w:r>
    </w:p>
    <w:p w14:paraId="613913AF">
      <w:pPr>
        <w:pStyle w:val="2"/>
        <w:rPr>
          <w:rFonts w:hint="eastAsia"/>
        </w:rPr>
      </w:pPr>
      <w:r>
        <w:t>二、重点任务</w:t>
      </w:r>
    </w:p>
    <w:p w14:paraId="5B68F273">
      <w:pPr>
        <w:pStyle w:val="3"/>
        <w:ind w:firstLine="640"/>
      </w:pPr>
      <w:r>
        <w:t>（一）优化能源消费结构，推动源头减碳</w:t>
      </w:r>
    </w:p>
    <w:p w14:paraId="69F3E7C0">
      <w:pPr>
        <w:ind w:firstLine="643"/>
        <w:rPr>
          <w:kern w:val="2"/>
          <w:sz w:val="32"/>
          <w:szCs w:val="24"/>
        </w:rPr>
      </w:pPr>
      <w:r>
        <w:rPr>
          <w:b/>
          <w:bCs/>
          <w:kern w:val="2"/>
          <w:sz w:val="32"/>
          <w:szCs w:val="24"/>
        </w:rPr>
        <w:t>加强可再生能源利用。</w:t>
      </w:r>
      <w:r>
        <w:rPr>
          <w:kern w:val="2"/>
          <w:sz w:val="32"/>
          <w:szCs w:val="24"/>
        </w:rPr>
        <w:t>鼓励企业与园区及周边可再生能源项目加强衔接，因地制宜通过分布式可再生能源自发自用、绿电直连、工业绿色微电网、新能源就近接入增量配电网、源网荷储一体化等方式，提高物理可溯源的非化石能源电力消费比例；积极参与绿色电力交易，规范购买并核销绿证，进一步提升绿色电力消费水平。对于有稳定热能需求的企业，探索利用生物质能、地热能、工业余热等替代化石能源供热，实现供热系统清洁低碳化。积极响应广东省氢能产业发展规划，在具备条件的工厂，前瞻性开展氢能应用场景布局，探索分布式制氢、储氢及氢能耦合利用等示范应用，重点在工业高温用能、备用能源和多能互补等领域推进化石能源减量替代，为后续规模化低碳应用奠定基础。</w:t>
      </w:r>
    </w:p>
    <w:p w14:paraId="27A89E65">
      <w:pPr>
        <w:ind w:firstLine="643"/>
        <w:rPr>
          <w:kern w:val="2"/>
          <w:sz w:val="32"/>
          <w:szCs w:val="24"/>
        </w:rPr>
      </w:pPr>
      <w:r>
        <w:rPr>
          <w:b/>
          <w:bCs/>
          <w:kern w:val="2"/>
          <w:sz w:val="32"/>
          <w:szCs w:val="24"/>
        </w:rPr>
        <w:t>科学配置储能设施。</w:t>
      </w:r>
      <w:r>
        <w:rPr>
          <w:kern w:val="2"/>
          <w:sz w:val="32"/>
          <w:szCs w:val="24"/>
        </w:rPr>
        <w:t>根据企业用电负荷特点和可再生能源消纳需求，合理配置储能系统，如电化学储能、压缩空气储能、飞轮储能、氢储能、热（冷）储能等，提高企业电力调峰填谷能力和可再生能源就地消纳水平。鼓励企业参与园区虚拟电厂建设，通过储能设施为电力系统提供辅助服务，实现能源资源优化配置。</w:t>
      </w:r>
    </w:p>
    <w:p w14:paraId="51054526">
      <w:pPr>
        <w:pStyle w:val="3"/>
        <w:ind w:firstLine="640"/>
      </w:pPr>
      <w:r>
        <w:t>（二）推进生产工艺升级，实现过程降碳</w:t>
      </w:r>
    </w:p>
    <w:p w14:paraId="051D4E9B">
      <w:pPr>
        <w:ind w:firstLine="643"/>
        <w:rPr>
          <w:kern w:val="2"/>
          <w:sz w:val="32"/>
          <w:szCs w:val="24"/>
        </w:rPr>
      </w:pPr>
      <w:r>
        <w:rPr>
          <w:b/>
          <w:bCs/>
          <w:kern w:val="2"/>
          <w:sz w:val="32"/>
          <w:szCs w:val="24"/>
        </w:rPr>
        <w:t>推动工艺流程深度脱碳。</w:t>
      </w:r>
      <w:r>
        <w:rPr>
          <w:kern w:val="2"/>
          <w:sz w:val="32"/>
          <w:szCs w:val="24"/>
        </w:rPr>
        <w:t>重点依据《国家工业和信息化领域节能降碳技术应用指南与案例（2025年版）</w:t>
      </w:r>
      <w:r>
        <w:rPr>
          <w:rFonts w:hint="eastAsia"/>
          <w:kern w:val="2"/>
          <w:sz w:val="32"/>
          <w:szCs w:val="24"/>
        </w:rPr>
        <w:t>》《</w:t>
      </w:r>
      <w:r>
        <w:rPr>
          <w:kern w:val="2"/>
          <w:sz w:val="32"/>
          <w:szCs w:val="24"/>
        </w:rPr>
        <w:t>高耗能行业重点领域节能降碳改造升级实施指南（2022年版）》等政策文件，系统推广应用高效节能电机、高效工业锅炉、智能化控制系统以及余热余冷余压高效回收利用等通用性节能降碳技术。同时，参考《工业绿色微电网建设与应用指南（2026—2030年）》等指南，推动工艺流程与厂区能源系统的协同优化。</w:t>
      </w:r>
    </w:p>
    <w:p w14:paraId="20B2BFFC">
      <w:pPr>
        <w:ind w:firstLine="643"/>
        <w:rPr>
          <w:kern w:val="2"/>
          <w:sz w:val="32"/>
          <w:szCs w:val="24"/>
        </w:rPr>
      </w:pPr>
      <w:r>
        <w:rPr>
          <w:b/>
          <w:bCs/>
          <w:kern w:val="2"/>
          <w:sz w:val="32"/>
          <w:szCs w:val="24"/>
        </w:rPr>
        <w:t>开展行业特定低碳技术应用与工艺革新。</w:t>
      </w:r>
      <w:r>
        <w:rPr>
          <w:kern w:val="2"/>
          <w:sz w:val="32"/>
          <w:szCs w:val="24"/>
        </w:rPr>
        <w:t>针对广东省重点行业（如石化、钢铁、建材），积极探索并实施具有显著减排潜力的前沿技术与工艺革新。重点推进氢能冶炼、氢基化工等绿氢应用示范，开展碳捕集、利用与封存（CCUS）技术的集成与试点，并在具备条件的企业推广短流程制造等先进工艺，推动生产工艺体系向低碳化、集约化和高效化转型，逐步减少对传统高碳工艺路线的结构性依赖。</w:t>
      </w:r>
    </w:p>
    <w:p w14:paraId="45CE534E">
      <w:pPr>
        <w:ind w:firstLine="643"/>
        <w:rPr>
          <w:kern w:val="2"/>
          <w:sz w:val="32"/>
          <w:szCs w:val="24"/>
        </w:rPr>
      </w:pPr>
      <w:r>
        <w:rPr>
          <w:b/>
          <w:bCs/>
          <w:kern w:val="2"/>
          <w:sz w:val="32"/>
          <w:szCs w:val="24"/>
        </w:rPr>
        <w:t>持续推进高耗能落后设备淘汰和更新改造。</w:t>
      </w:r>
      <w:r>
        <w:rPr>
          <w:kern w:val="2"/>
          <w:sz w:val="32"/>
          <w:szCs w:val="24"/>
        </w:rPr>
        <w:t>严格落实国家和广东省关于高耗能落后机电设备（产品）淘汰的有关规定，对照</w:t>
      </w:r>
      <w:r>
        <w:rPr>
          <w:rFonts w:hint="eastAsia"/>
          <w:kern w:val="2"/>
          <w:sz w:val="32"/>
          <w:szCs w:val="24"/>
        </w:rPr>
        <w:t>《产业结构调整指导目录》及</w:t>
      </w:r>
      <w:r>
        <w:rPr>
          <w:kern w:val="2"/>
          <w:sz w:val="32"/>
          <w:szCs w:val="24"/>
        </w:rPr>
        <w:t>《高耗能落后机电设备（产品）淘汰目录》等政策文件，全面排查</w:t>
      </w:r>
      <w:r>
        <w:rPr>
          <w:rFonts w:hint="eastAsia"/>
          <w:kern w:val="2"/>
          <w:sz w:val="32"/>
          <w:szCs w:val="24"/>
        </w:rPr>
        <w:t>并限期淘汰</w:t>
      </w:r>
      <w:r>
        <w:rPr>
          <w:kern w:val="2"/>
          <w:sz w:val="32"/>
          <w:szCs w:val="24"/>
        </w:rPr>
        <w:t>国家明令禁止、限制或列入淘汰目录的工艺、设备和产品。将设备淘汰更新工作纳入零碳工厂建设重点任务，与企业年度能源审计、节能目标责任评价和绿色制造体系创建协同推进，建立动态管理和持续改进机制，推动用能设备结构持续优化和整体能效水平稳步提升。</w:t>
      </w:r>
    </w:p>
    <w:p w14:paraId="31A6C4CD">
      <w:pPr>
        <w:ind w:firstLine="643"/>
        <w:rPr>
          <w:kern w:val="2"/>
          <w:sz w:val="32"/>
          <w:szCs w:val="24"/>
        </w:rPr>
      </w:pPr>
      <w:r>
        <w:rPr>
          <w:b/>
          <w:bCs/>
          <w:kern w:val="2"/>
          <w:sz w:val="32"/>
          <w:szCs w:val="24"/>
        </w:rPr>
        <w:t>提升终端电气化水平。</w:t>
      </w:r>
      <w:r>
        <w:rPr>
          <w:kern w:val="2"/>
          <w:sz w:val="32"/>
          <w:szCs w:val="24"/>
        </w:rPr>
        <w:t>工厂应结合自身工艺特点，制定并实施终端用能清洁替代专项规划，在技术成熟、经济可行的领域，有序推进工业锅炉、窑炉及中低温供热系统的电气化改造，持续提升终端用能电气化水平；对于暂不具备直接电气化条件的高温或特殊工艺环节，重点通过工艺优化、能效提升和燃料结构调整实现化石能源减量替代，并在具备条件时依托园区或区域层面的氢能示范项目，探索清洁燃料替代路径，逐步推进深度减碳。</w:t>
      </w:r>
    </w:p>
    <w:p w14:paraId="0B305A16">
      <w:pPr>
        <w:pStyle w:val="3"/>
        <w:ind w:firstLine="640"/>
      </w:pPr>
      <w:r>
        <w:t>（三）加强绿色技术研发应用，强化技术支撑</w:t>
      </w:r>
    </w:p>
    <w:p w14:paraId="072210D4">
      <w:pPr>
        <w:ind w:firstLine="643"/>
        <w:rPr>
          <w:kern w:val="2"/>
          <w:sz w:val="32"/>
          <w:szCs w:val="24"/>
        </w:rPr>
      </w:pPr>
      <w:r>
        <w:rPr>
          <w:b/>
          <w:bCs/>
          <w:kern w:val="2"/>
          <w:sz w:val="32"/>
          <w:szCs w:val="24"/>
        </w:rPr>
        <w:t>深化产学研协同创新。</w:t>
      </w:r>
      <w:r>
        <w:rPr>
          <w:kern w:val="2"/>
          <w:sz w:val="32"/>
          <w:szCs w:val="24"/>
        </w:rPr>
        <w:t>强化企业创新主体地位，支持企业与高校、科研机构建立长期稳定的产学研合作机制，围绕零碳原料燃料替代、零碳工业流程再造、新型节能降碳材料、碳捕集利用与封存（CCUS）等关键核心技术开展联合攻关，打通科技成果从研发到产业化的转化通道，加快先进技术在生产环节的落地应用。鼓励企业主动作为先进绿色低碳技术装备、节能产品的首试首用载体，积极参与新技术、新装备试点示范项目，以实践验证技术可行性与经济性，推动零碳技术产业化、规模化发展。</w:t>
      </w:r>
    </w:p>
    <w:p w14:paraId="347E83CC">
      <w:pPr>
        <w:ind w:firstLine="643"/>
        <w:rPr>
          <w:kern w:val="2"/>
          <w:sz w:val="32"/>
          <w:szCs w:val="24"/>
        </w:rPr>
      </w:pPr>
      <w:r>
        <w:rPr>
          <w:b/>
          <w:bCs/>
          <w:kern w:val="2"/>
          <w:sz w:val="32"/>
          <w:szCs w:val="24"/>
        </w:rPr>
        <w:t>推进数字化智能化转型。</w:t>
      </w:r>
      <w:r>
        <w:rPr>
          <w:kern w:val="2"/>
          <w:sz w:val="32"/>
          <w:szCs w:val="24"/>
        </w:rPr>
        <w:t>聚焦能源利用与碳排放精准管控需求，推动企业建设一体化能源管理与碳排放管控平台（数字化能碳管理中心），整合生产全流程能源消耗、碳排放、设备运行等核心数据，实现能耗查询、能源消费量和强度计算、能源消费分析与用能策略推荐、能效对标、能流分析、能效平衡与优化、用能与碳排放预算管理、碳排放核算、产品碳足迹核算、供应链碳管理、碳核查支撑、碳资产管理、智能分析与辅助决策支持等功能。深度运用大数据、人工智能、物联网等数字技术，优化生产调度流程与能源配置方案，提升生产环节能源利用效率，减少无效碳排放。推动企业管控平台与园区能碳管理平台互联互通，实现数据实时共享、协同管控，构建全域智能能碳管理体系。</w:t>
      </w:r>
    </w:p>
    <w:p w14:paraId="29C7D50A">
      <w:pPr>
        <w:pStyle w:val="3"/>
        <w:ind w:firstLine="640"/>
      </w:pPr>
      <w:r>
        <w:t>（四）优化基础设施建设，打造低碳环境</w:t>
      </w:r>
    </w:p>
    <w:p w14:paraId="2C61DB36">
      <w:pPr>
        <w:ind w:firstLine="643"/>
        <w:rPr>
          <w:kern w:val="2"/>
          <w:sz w:val="32"/>
          <w:szCs w:val="24"/>
        </w:rPr>
      </w:pPr>
      <w:r>
        <w:rPr>
          <w:b/>
          <w:bCs/>
          <w:kern w:val="2"/>
          <w:sz w:val="32"/>
          <w:szCs w:val="24"/>
        </w:rPr>
        <w:t>推广低碳建筑建设与改造。</w:t>
      </w:r>
      <w:r>
        <w:rPr>
          <w:kern w:val="2"/>
          <w:sz w:val="32"/>
          <w:szCs w:val="24"/>
        </w:rPr>
        <w:t>全面推进厂区建筑低碳化，推动新建厂房、办公及辅助用房严格按照超低能耗建筑、近零能耗建筑标准设计建造，推广绿色化、信息化、集约化建造方式，优先采用被动式、装配式超低能耗建筑技术，在设计建设中同步融入建筑光伏一体化、光储直柔、冰（水）蓄冷、热泵等技术，选用绿色低碳可循环建材，从源头降低建筑全生命周期碳排放，确保与园区新建建筑低碳管控要求同频同步；针对既有厂房、办公及生活用房，系统开展低碳化升级改造，重点通过围护结构保温隔热改造、更换高效节能设备、推广柔性用电和高效节水器具等优化用能用水效率，同步适配分布式光伏、储能设施安装条件，推广应用热泵等低碳技术，完善建筑能源供给体系，实现既有建筑用能低碳化、运营高效化。</w:t>
      </w:r>
    </w:p>
    <w:p w14:paraId="63C22798">
      <w:pPr>
        <w:ind w:firstLine="643"/>
        <w:rPr>
          <w:kern w:val="2"/>
          <w:sz w:val="32"/>
          <w:szCs w:val="24"/>
        </w:rPr>
      </w:pPr>
      <w:r>
        <w:rPr>
          <w:b/>
          <w:bCs/>
          <w:kern w:val="2"/>
          <w:sz w:val="32"/>
          <w:szCs w:val="24"/>
        </w:rPr>
        <w:t>完善绿色交通基础设施。</w:t>
      </w:r>
      <w:r>
        <w:rPr>
          <w:kern w:val="2"/>
          <w:sz w:val="32"/>
          <w:szCs w:val="24"/>
        </w:rPr>
        <w:t>完善厂区绿色交通基础设施建设，精准适配园区绿色交通网络布局。合理布设充电桩、换电站等配套设施，满足低碳零碳交通工具使用需求；推广应用电动、氢能等新能源交通工具，逐步提升低碳交通工具保有量。优化厂区物流运输布局，推广集约化、绿色化物流模式，减少运输环节能源消耗和碳排放。</w:t>
      </w:r>
    </w:p>
    <w:p w14:paraId="055574DB">
      <w:pPr>
        <w:pStyle w:val="3"/>
        <w:ind w:firstLine="640"/>
      </w:pPr>
      <w:r>
        <w:t>（五）强化资源循环利用，提升循环效益</w:t>
      </w:r>
    </w:p>
    <w:p w14:paraId="34DE449F">
      <w:pPr>
        <w:ind w:firstLine="643"/>
        <w:rPr>
          <w:kern w:val="2"/>
          <w:sz w:val="32"/>
          <w:szCs w:val="24"/>
        </w:rPr>
      </w:pPr>
      <w:r>
        <w:rPr>
          <w:b/>
          <w:bCs/>
          <w:kern w:val="2"/>
          <w:sz w:val="32"/>
          <w:szCs w:val="24"/>
        </w:rPr>
        <w:t>推进资源高效循环利用。</w:t>
      </w:r>
      <w:r>
        <w:rPr>
          <w:kern w:val="2"/>
          <w:sz w:val="32"/>
          <w:szCs w:val="24"/>
        </w:rPr>
        <w:t>围绕广东省节水行动、“无废城市”和绿色制造体系建设要求，全面推进水资源循环利用、工业固体废物资源化与绿色供应链建设，构建厂内小循环与产业链协同降碳的大循环体系。通过实施分质供水和梯级利用，建设中水回用和雨水收集设施，提高非常规水资源利用比例。同步强化一般工业固体废物源头分类和全过程台账管理，推动边角料、废辅料、废包装物等在厂内回用或园区内资源化协同处置，确保一般工业固废100%实现内部循环或合规利用，积极申报资源综合利用评价享受税收优惠。</w:t>
      </w:r>
    </w:p>
    <w:p w14:paraId="3F7E9B32">
      <w:pPr>
        <w:ind w:firstLine="643"/>
        <w:rPr>
          <w:kern w:val="2"/>
          <w:sz w:val="32"/>
          <w:szCs w:val="24"/>
        </w:rPr>
      </w:pPr>
      <w:r>
        <w:rPr>
          <w:b/>
          <w:bCs/>
          <w:kern w:val="2"/>
          <w:sz w:val="32"/>
          <w:szCs w:val="24"/>
        </w:rPr>
        <w:t>构建绿色低碳供应链。</w:t>
      </w:r>
      <w:r>
        <w:rPr>
          <w:kern w:val="2"/>
          <w:sz w:val="32"/>
          <w:szCs w:val="24"/>
        </w:rPr>
        <w:t>实施全产业链绿色供应链管理，制定绿色采购标准，优先选用获得绿色产品认证、碳足迹标识认证且碳足迹较低的产品，将碳排放管理要求延伸至主要供应商。推动核心供应商开展碳足迹核算，建立供应链碳排放管控体系，实现产业链协同降碳。对照零碳供应链管理要求，健全供应商绿色低碳管理、绿色低碳产品优先采购等管理制度，加强碳数据协同，面向供应商开展培训、评价、诊断和技术赋能，落实生产者责任延伸制度、联动上下游建立废旧产品回收处置体系，在供应链管理或能碳管理系统中设置供应链碳管理和绿色采购功能，并推行绿色低碳物流、优化运输结构。</w:t>
      </w:r>
    </w:p>
    <w:p w14:paraId="3BDA4C9C">
      <w:pPr>
        <w:pStyle w:val="3"/>
        <w:ind w:firstLine="640"/>
      </w:pPr>
      <w:r>
        <w:t>（六）完善碳排放管理体系，实现精准控碳</w:t>
      </w:r>
    </w:p>
    <w:p w14:paraId="0C4E947E">
      <w:pPr>
        <w:ind w:firstLine="643"/>
        <w:rPr>
          <w:kern w:val="2"/>
          <w:sz w:val="32"/>
          <w:szCs w:val="24"/>
        </w:rPr>
      </w:pPr>
      <w:r>
        <w:rPr>
          <w:b/>
          <w:bCs/>
          <w:kern w:val="2"/>
          <w:sz w:val="32"/>
          <w:szCs w:val="24"/>
        </w:rPr>
        <w:t>构建碳排放管理体系。</w:t>
      </w:r>
      <w:r>
        <w:rPr>
          <w:kern w:val="2"/>
          <w:sz w:val="32"/>
          <w:szCs w:val="24"/>
        </w:rPr>
        <w:t>建立健全企业碳排放管理体系，明确管理职责、流程标准和管控要求，形成“责任到人、流程闭环、管控到位”的碳管理工作机制。按照国家和省有关温室气体排放核算标准，明确核算边界、方法和数据来源，定期开展企业碳排放核算，编制碳排放清单报告；纳入全国碳排放权交易市场或广东试点碳市场的企业严格执行交易市场行业技术规范，其他企业参照《工业企业温室气体排放核算和报告通则》（GB/T 32150—2025）及细分行业标准开展核算，确保数据真实、完整、可追溯。建立碳排放动态管控台账，定期开展碳管理合规审查与效能评估，推动碳管理与生产运营深度融合。</w:t>
      </w:r>
    </w:p>
    <w:p w14:paraId="248D80E3">
      <w:pPr>
        <w:ind w:firstLine="643"/>
        <w:rPr>
          <w:kern w:val="2"/>
          <w:sz w:val="32"/>
          <w:szCs w:val="24"/>
        </w:rPr>
      </w:pPr>
      <w:r>
        <w:rPr>
          <w:b/>
          <w:bCs/>
          <w:kern w:val="2"/>
          <w:sz w:val="32"/>
          <w:szCs w:val="24"/>
        </w:rPr>
        <w:t>推进产品碳足迹管理。</w:t>
      </w:r>
      <w:r>
        <w:rPr>
          <w:rFonts w:hint="eastAsia"/>
          <w:kern w:val="2"/>
          <w:sz w:val="32"/>
          <w:szCs w:val="24"/>
        </w:rPr>
        <w:t>鼓励采用《温室气体 产品碳足迹量化要求和指南》（GB/T 24067—2024）等相关国家标准或行业标准、国家部委或省直有关行业主管部门推荐的团体标准，开展重点工业产品碳足迹核算和管理，识别生产和流通过程中能耗和碳排放管理的薄弱环节，实施节能降碳改造，提升产品绿色竞争力。鼓励企业开展产品碳足迹标识认证，推动核算结果获得下游企业和国际市场认可。</w:t>
      </w:r>
    </w:p>
    <w:p w14:paraId="23D0DED9">
      <w:pPr>
        <w:ind w:firstLine="643"/>
        <w:rPr>
          <w:kern w:val="2"/>
          <w:sz w:val="32"/>
          <w:szCs w:val="24"/>
        </w:rPr>
      </w:pPr>
      <w:r>
        <w:rPr>
          <w:b/>
          <w:bCs/>
          <w:kern w:val="2"/>
          <w:sz w:val="32"/>
          <w:szCs w:val="24"/>
        </w:rPr>
        <w:t>规范碳抵销与碳排放信息披露。</w:t>
      </w:r>
      <w:r>
        <w:rPr>
          <w:kern w:val="2"/>
          <w:sz w:val="32"/>
          <w:szCs w:val="24"/>
        </w:rPr>
        <w:t>坚持</w:t>
      </w:r>
      <w:r>
        <w:rPr>
          <w:rFonts w:hint="eastAsia"/>
          <w:kern w:val="2"/>
          <w:sz w:val="32"/>
          <w:szCs w:val="24"/>
        </w:rPr>
        <w:t>“</w:t>
      </w:r>
      <w:r>
        <w:rPr>
          <w:kern w:val="2"/>
          <w:sz w:val="32"/>
          <w:szCs w:val="24"/>
        </w:rPr>
        <w:t>应减尽减、先减后抵</w:t>
      </w:r>
      <w:r>
        <w:rPr>
          <w:rFonts w:hint="eastAsia"/>
          <w:kern w:val="2"/>
          <w:sz w:val="32"/>
          <w:szCs w:val="24"/>
        </w:rPr>
        <w:t>”</w:t>
      </w:r>
      <w:r>
        <w:rPr>
          <w:kern w:val="2"/>
          <w:sz w:val="32"/>
          <w:szCs w:val="24"/>
        </w:rPr>
        <w:t>原则，优先通过节能降碳改造、非化石能源替代、工艺革新等措施削减自身排放；</w:t>
      </w:r>
      <w:r>
        <w:rPr>
          <w:rFonts w:hint="eastAsia"/>
          <w:kern w:val="2"/>
          <w:sz w:val="32"/>
          <w:szCs w:val="24"/>
        </w:rPr>
        <w:t>在完成充分自主减排、“降无可降”的基础上，</w:t>
      </w:r>
      <w:r>
        <w:rPr>
          <w:kern w:val="2"/>
          <w:sz w:val="32"/>
          <w:szCs w:val="24"/>
        </w:rPr>
        <w:t>可采用国家核证自愿减排量（CCER）、广东省碳普惠核证减排量（PHCER）等符合规定的碳信用予以抵销。企业应通过可持续发展报告、环境社会和公司治理（ESG）报告、零碳工厂建设报告等载体，按年度公开披露碳排放信息、产品碳足迹信息、碳抵销情况以及零碳工厂建设进展和成效，遵循可测量、可报告、可核查原则，确保数据真实准确、完整可靠。</w:t>
      </w:r>
    </w:p>
    <w:p w14:paraId="2E759017">
      <w:pPr>
        <w:pStyle w:val="2"/>
        <w:rPr>
          <w:rFonts w:hint="eastAsia"/>
        </w:rPr>
      </w:pPr>
      <w:r>
        <w:t>三、建设程序</w:t>
      </w:r>
    </w:p>
    <w:p w14:paraId="62E5207A">
      <w:pPr>
        <w:ind w:firstLine="640"/>
        <w:rPr>
          <w:kern w:val="2"/>
          <w:sz w:val="32"/>
          <w:szCs w:val="24"/>
        </w:rPr>
      </w:pPr>
      <w:r>
        <w:rPr>
          <w:rFonts w:eastAsia="楷体_GB2312"/>
          <w:kern w:val="2"/>
          <w:sz w:val="32"/>
          <w:szCs w:val="32"/>
        </w:rPr>
        <w:t>（一）</w:t>
      </w:r>
      <w:r>
        <w:rPr>
          <w:rFonts w:hint="eastAsia" w:eastAsia="楷体_GB2312"/>
          <w:kern w:val="2"/>
          <w:sz w:val="32"/>
          <w:szCs w:val="32"/>
        </w:rPr>
        <w:t>单位申报</w:t>
      </w:r>
      <w:r>
        <w:rPr>
          <w:rFonts w:eastAsia="楷体_GB2312"/>
          <w:kern w:val="2"/>
          <w:sz w:val="32"/>
          <w:szCs w:val="32"/>
        </w:rPr>
        <w:t>。</w:t>
      </w:r>
      <w:r>
        <w:rPr>
          <w:rFonts w:hint="eastAsia"/>
          <w:kern w:val="2"/>
          <w:sz w:val="32"/>
          <w:szCs w:val="24"/>
        </w:rPr>
        <w:t>符合申报条件，有意愿参与零碳工厂建设的企业</w:t>
      </w:r>
      <w:r>
        <w:rPr>
          <w:kern w:val="2"/>
          <w:sz w:val="32"/>
          <w:szCs w:val="24"/>
        </w:rPr>
        <w:t>，结合自身生产经营实际、行业特点和所在园区零碳建设规划，对照本方案及零碳工厂建设指标体系，编制零碳工厂建设实施方案。方案编制完成后，报送属地工业和信息化部门，同步抄送属地发展改革、生态环境、能源等主管部门以及所在园区管委会。</w:t>
      </w:r>
    </w:p>
    <w:p w14:paraId="31E62FAE">
      <w:pPr>
        <w:ind w:firstLine="640"/>
        <w:rPr>
          <w:kern w:val="2"/>
          <w:sz w:val="32"/>
          <w:szCs w:val="24"/>
        </w:rPr>
      </w:pPr>
      <w:r>
        <w:rPr>
          <w:rFonts w:eastAsia="楷体_GB2312"/>
          <w:kern w:val="2"/>
          <w:sz w:val="32"/>
          <w:szCs w:val="32"/>
        </w:rPr>
        <w:t>（二）地市审核推荐。</w:t>
      </w:r>
      <w:r>
        <w:rPr>
          <w:kern w:val="2"/>
          <w:sz w:val="32"/>
          <w:szCs w:val="24"/>
        </w:rPr>
        <w:t>各地市工业和信息化部门会同发展改革部门、生态环境、能源主管部门汇总本地区申报材料，对材料的真实性、准确性、完整性和合规性进行审核，在深入论证的基础上确定推荐名单，并书面报送至省工业和信息化厅，抄送省发展改革委、生态环境厅、能源局。</w:t>
      </w:r>
    </w:p>
    <w:p w14:paraId="71FBF22A">
      <w:pPr>
        <w:ind w:firstLine="640"/>
        <w:rPr>
          <w:kern w:val="2"/>
          <w:sz w:val="32"/>
          <w:szCs w:val="24"/>
        </w:rPr>
      </w:pPr>
      <w:r>
        <w:rPr>
          <w:rFonts w:eastAsia="楷体_GB2312"/>
          <w:kern w:val="2"/>
          <w:sz w:val="32"/>
          <w:szCs w:val="32"/>
        </w:rPr>
        <w:t>（三）确定培育名单。</w:t>
      </w:r>
      <w:r>
        <w:rPr>
          <w:kern w:val="2"/>
          <w:sz w:val="32"/>
          <w:szCs w:val="24"/>
        </w:rPr>
        <w:t>省工业和信息化厅会同省发展改革委、生态环境厅、能源局，结合区域产业布局、能源资源禀赋、零碳转型基础等因素</w:t>
      </w:r>
      <w:r>
        <w:rPr>
          <w:rFonts w:hint="eastAsia"/>
          <w:kern w:val="2"/>
          <w:sz w:val="32"/>
          <w:szCs w:val="24"/>
        </w:rPr>
        <w:t>，对</w:t>
      </w:r>
      <w:r>
        <w:rPr>
          <w:kern w:val="2"/>
          <w:sz w:val="32"/>
          <w:szCs w:val="24"/>
        </w:rPr>
        <w:t>建设实施方案进行评审，提出省级零碳工厂建设名单，经征求省有关部门的意见后按程序发布。</w:t>
      </w:r>
      <w:r>
        <w:rPr>
          <w:rFonts w:hint="eastAsia"/>
          <w:kern w:val="2"/>
          <w:sz w:val="32"/>
          <w:szCs w:val="24"/>
        </w:rPr>
        <w:t xml:space="preserve"> </w:t>
      </w:r>
    </w:p>
    <w:p w14:paraId="0F1E96F1">
      <w:pPr>
        <w:ind w:firstLine="640"/>
        <w:rPr>
          <w:kern w:val="2"/>
          <w:sz w:val="32"/>
          <w:szCs w:val="24"/>
        </w:rPr>
      </w:pPr>
      <w:r>
        <w:rPr>
          <w:rFonts w:eastAsia="楷体_GB2312"/>
          <w:kern w:val="2"/>
          <w:sz w:val="32"/>
          <w:szCs w:val="32"/>
        </w:rPr>
        <w:t>（四）定期跟踪评估。</w:t>
      </w:r>
      <w:r>
        <w:rPr>
          <w:kern w:val="2"/>
          <w:sz w:val="32"/>
          <w:szCs w:val="24"/>
        </w:rPr>
        <w:t>省工业和信息化厅会同相关主管部门建立零碳工厂跟踪指导和评估机制，依托全省碳排放监测智慧云平台，定期调度企业建设进展和</w:t>
      </w:r>
      <w:r>
        <w:rPr>
          <w:rFonts w:hint="eastAsia"/>
          <w:kern w:val="2"/>
          <w:sz w:val="32"/>
          <w:szCs w:val="24"/>
        </w:rPr>
        <w:t>相关</w:t>
      </w:r>
      <w:r>
        <w:rPr>
          <w:kern w:val="2"/>
          <w:sz w:val="32"/>
          <w:szCs w:val="24"/>
        </w:rPr>
        <w:t>指标完成情况。培育企业应</w:t>
      </w:r>
      <w:r>
        <w:rPr>
          <w:rFonts w:hint="eastAsia"/>
          <w:kern w:val="2"/>
          <w:sz w:val="32"/>
          <w:szCs w:val="24"/>
        </w:rPr>
        <w:t>对照建设方案确定的年度目标和重点任务开展自我评估，定期</w:t>
      </w:r>
      <w:r>
        <w:rPr>
          <w:kern w:val="2"/>
          <w:sz w:val="32"/>
          <w:szCs w:val="24"/>
        </w:rPr>
        <w:t>向地方工业和信息化部门报送</w:t>
      </w:r>
      <w:r>
        <w:rPr>
          <w:rFonts w:hint="eastAsia"/>
          <w:kern w:val="2"/>
          <w:sz w:val="32"/>
          <w:szCs w:val="24"/>
        </w:rPr>
        <w:t>年度</w:t>
      </w:r>
      <w:r>
        <w:rPr>
          <w:kern w:val="2"/>
          <w:sz w:val="32"/>
          <w:szCs w:val="24"/>
        </w:rPr>
        <w:t>建设进展报告，重大情况及时上报。对进展缓慢、未达到阶段性目标的企业，由地方工业和信息化部门督促整改；整改不力的，调</w:t>
      </w:r>
      <w:r>
        <w:rPr>
          <w:rFonts w:hint="eastAsia"/>
          <w:kern w:val="2"/>
          <w:sz w:val="32"/>
          <w:szCs w:val="24"/>
        </w:rPr>
        <w:t>整</w:t>
      </w:r>
      <w:r>
        <w:rPr>
          <w:kern w:val="2"/>
          <w:sz w:val="32"/>
          <w:szCs w:val="24"/>
        </w:rPr>
        <w:t>出培育名单。</w:t>
      </w:r>
    </w:p>
    <w:p w14:paraId="288F6D18">
      <w:pPr>
        <w:widowControl/>
        <w:ind w:firstLine="640"/>
        <w:jc w:val="left"/>
        <w:rPr>
          <w:kern w:val="2"/>
          <w:sz w:val="32"/>
          <w:szCs w:val="24"/>
          <w:lang w:bidi="ar"/>
        </w:rPr>
      </w:pPr>
      <w:r>
        <w:rPr>
          <w:rFonts w:hint="eastAsia" w:eastAsia="楷体_GB2312"/>
          <w:kern w:val="2"/>
          <w:sz w:val="32"/>
          <w:szCs w:val="32"/>
          <w:lang w:bidi="ar"/>
        </w:rPr>
        <w:t>（五）</w:t>
      </w:r>
      <w:r>
        <w:rPr>
          <w:rFonts w:eastAsia="楷体_GB2312"/>
          <w:kern w:val="2"/>
          <w:sz w:val="32"/>
          <w:szCs w:val="32"/>
          <w:lang w:bidi="ar"/>
        </w:rPr>
        <w:t>评估验收</w:t>
      </w:r>
      <w:r>
        <w:rPr>
          <w:rFonts w:hint="eastAsia" w:eastAsia="楷体_GB2312"/>
          <w:kern w:val="2"/>
          <w:sz w:val="32"/>
          <w:szCs w:val="32"/>
          <w:lang w:bidi="ar"/>
        </w:rPr>
        <w:t>。</w:t>
      </w:r>
      <w:r>
        <w:rPr>
          <w:kern w:val="2"/>
          <w:sz w:val="32"/>
          <w:szCs w:val="24"/>
        </w:rPr>
        <w:t>零碳工厂建设周期一般为3年，</w:t>
      </w:r>
      <w:r>
        <w:rPr>
          <w:rFonts w:hint="eastAsia"/>
          <w:kern w:val="2"/>
          <w:sz w:val="32"/>
          <w:szCs w:val="24"/>
        </w:rPr>
        <w:t>原则上不超过5年</w:t>
      </w:r>
      <w:r>
        <w:rPr>
          <w:kern w:val="2"/>
          <w:sz w:val="32"/>
          <w:szCs w:val="24"/>
        </w:rPr>
        <w:t>。培育企业完成建设任务后，应及时开展自评价，编制自评价报告，并向省工业和信息化厅提出评价总结申请。</w:t>
      </w:r>
      <w:r>
        <w:rPr>
          <w:kern w:val="2"/>
          <w:sz w:val="32"/>
          <w:szCs w:val="24"/>
          <w:lang w:bidi="ar"/>
        </w:rPr>
        <w:t>省工业和信息化厅</w:t>
      </w:r>
      <w:r>
        <w:rPr>
          <w:kern w:val="2"/>
          <w:sz w:val="32"/>
          <w:szCs w:val="24"/>
        </w:rPr>
        <w:t>会同省发展改革委、生态环境厅、能源局组织</w:t>
      </w:r>
      <w:r>
        <w:rPr>
          <w:kern w:val="2"/>
          <w:sz w:val="32"/>
          <w:szCs w:val="24"/>
          <w:lang w:bidi="ar"/>
        </w:rPr>
        <w:t>评估验收</w:t>
      </w:r>
      <w:r>
        <w:rPr>
          <w:rFonts w:hint="eastAsia"/>
          <w:kern w:val="2"/>
          <w:sz w:val="32"/>
          <w:szCs w:val="24"/>
          <w:lang w:bidi="ar"/>
        </w:rPr>
        <w:t>。</w:t>
      </w:r>
    </w:p>
    <w:p w14:paraId="441DF252">
      <w:pPr>
        <w:widowControl/>
        <w:ind w:firstLine="640"/>
        <w:jc w:val="left"/>
        <w:rPr>
          <w:kern w:val="2"/>
          <w:sz w:val="32"/>
          <w:szCs w:val="24"/>
        </w:rPr>
      </w:pPr>
      <w:r>
        <w:rPr>
          <w:rFonts w:hint="eastAsia" w:eastAsia="楷体_GB2312"/>
          <w:kern w:val="2"/>
          <w:sz w:val="32"/>
          <w:szCs w:val="32"/>
          <w:lang w:bidi="ar"/>
        </w:rPr>
        <w:t>（六）</w:t>
      </w:r>
      <w:r>
        <w:rPr>
          <w:rFonts w:eastAsia="楷体_GB2312"/>
          <w:kern w:val="2"/>
          <w:sz w:val="32"/>
          <w:szCs w:val="32"/>
          <w:lang w:bidi="ar"/>
        </w:rPr>
        <w:t>动态管理</w:t>
      </w:r>
      <w:r>
        <w:rPr>
          <w:rFonts w:hint="eastAsia" w:eastAsia="楷体_GB2312"/>
          <w:kern w:val="2"/>
          <w:sz w:val="32"/>
          <w:szCs w:val="32"/>
          <w:lang w:bidi="ar"/>
        </w:rPr>
        <w:t>。</w:t>
      </w:r>
      <w:r>
        <w:rPr>
          <w:kern w:val="2"/>
          <w:sz w:val="32"/>
          <w:szCs w:val="24"/>
          <w:lang w:bidi="ar"/>
        </w:rPr>
        <w:t>省工业和信息化厅不定期对零碳工厂</w:t>
      </w:r>
      <w:r>
        <w:rPr>
          <w:rFonts w:hint="eastAsia"/>
          <w:kern w:val="2"/>
          <w:sz w:val="32"/>
          <w:szCs w:val="24"/>
          <w:lang w:bidi="ar"/>
        </w:rPr>
        <w:t>进行</w:t>
      </w:r>
      <w:r>
        <w:rPr>
          <w:kern w:val="2"/>
          <w:sz w:val="32"/>
          <w:szCs w:val="24"/>
          <w:lang w:bidi="ar"/>
        </w:rPr>
        <w:t>现场抽查复核</w:t>
      </w:r>
      <w:r>
        <w:rPr>
          <w:rFonts w:hint="eastAsia"/>
          <w:kern w:val="2"/>
          <w:sz w:val="32"/>
          <w:szCs w:val="24"/>
          <w:lang w:bidi="ar"/>
        </w:rPr>
        <w:t>，</w:t>
      </w:r>
      <w:r>
        <w:rPr>
          <w:kern w:val="2"/>
          <w:sz w:val="32"/>
          <w:szCs w:val="24"/>
          <w:lang w:bidi="ar"/>
        </w:rPr>
        <w:t>持续跟踪和评估建设成效</w:t>
      </w:r>
      <w:r>
        <w:rPr>
          <w:rFonts w:hint="eastAsia"/>
          <w:kern w:val="2"/>
          <w:sz w:val="32"/>
          <w:szCs w:val="24"/>
          <w:lang w:bidi="ar"/>
        </w:rPr>
        <w:t>。</w:t>
      </w:r>
      <w:r>
        <w:rPr>
          <w:kern w:val="2"/>
          <w:sz w:val="32"/>
          <w:szCs w:val="24"/>
          <w:lang w:bidi="ar"/>
        </w:rPr>
        <w:t>对不符合条件的企业移出零碳工厂名单并进行公告</w:t>
      </w:r>
      <w:r>
        <w:rPr>
          <w:rFonts w:hint="eastAsia"/>
          <w:kern w:val="2"/>
          <w:sz w:val="32"/>
          <w:szCs w:val="24"/>
          <w:lang w:bidi="ar"/>
        </w:rPr>
        <w:t>。</w:t>
      </w:r>
    </w:p>
    <w:p w14:paraId="1606CA04">
      <w:pPr>
        <w:pStyle w:val="2"/>
        <w:rPr>
          <w:rFonts w:hint="eastAsia"/>
        </w:rPr>
      </w:pPr>
      <w:r>
        <w:t>四、保障措施</w:t>
      </w:r>
    </w:p>
    <w:p w14:paraId="434813FB">
      <w:pPr>
        <w:ind w:firstLine="640"/>
        <w:rPr>
          <w:kern w:val="2"/>
          <w:sz w:val="32"/>
          <w:szCs w:val="24"/>
        </w:rPr>
      </w:pPr>
      <w:r>
        <w:rPr>
          <w:rFonts w:hint="eastAsia" w:eastAsia="楷体_GB2312"/>
          <w:kern w:val="2"/>
          <w:sz w:val="32"/>
          <w:szCs w:val="32"/>
        </w:rPr>
        <w:t>（一）</w:t>
      </w:r>
      <w:r>
        <w:rPr>
          <w:rFonts w:eastAsia="楷体_GB2312"/>
          <w:kern w:val="2"/>
          <w:sz w:val="32"/>
          <w:szCs w:val="32"/>
        </w:rPr>
        <w:t>加强资金支持。</w:t>
      </w:r>
      <w:r>
        <w:rPr>
          <w:kern w:val="2"/>
          <w:sz w:val="32"/>
          <w:szCs w:val="24"/>
        </w:rPr>
        <w:t>积极争取中央预算内资金、超长期特别国债、地方政府专项债券等渠道资金，加大对零碳工厂相关项目支持力度。统筹利用省级财政专项资金，对节能降碳改造、绿色低碳技术研发、基础设施改造升级、数字化转型等予以支持。</w:t>
      </w:r>
    </w:p>
    <w:p w14:paraId="62A18CCA">
      <w:pPr>
        <w:ind w:firstLine="640"/>
        <w:rPr>
          <w:kern w:val="2"/>
          <w:sz w:val="32"/>
          <w:szCs w:val="24"/>
        </w:rPr>
      </w:pPr>
      <w:r>
        <w:rPr>
          <w:rFonts w:eastAsia="楷体_GB2312"/>
          <w:kern w:val="2"/>
          <w:sz w:val="32"/>
          <w:szCs w:val="32"/>
        </w:rPr>
        <w:t>（二）深化绿色金融创新支持。</w:t>
      </w:r>
      <w:r>
        <w:rPr>
          <w:kern w:val="2"/>
          <w:sz w:val="32"/>
          <w:szCs w:val="24"/>
        </w:rPr>
        <w:t>鼓励金融机构推出“零碳工厂建设贷”，将贷款利率与企业绿电使用比例、年度碳强度下降等绩效指标挂钩，实现“减碳降成本”。探索将企业的碳排放配额、国家核证自愿减排量（CCER）、绿色电力证书（绿证）等环境权益，以及未来碳减排收益权纳入合格抵质押品范围。对接国家绿色金融支持政策，</w:t>
      </w:r>
      <w:r>
        <w:rPr>
          <w:rFonts w:hint="eastAsia"/>
          <w:kern w:val="2"/>
          <w:sz w:val="32"/>
          <w:szCs w:val="24"/>
        </w:rPr>
        <w:t>按国家有关要求做好零碳工厂项目信息报送和融资需求对接</w:t>
      </w:r>
      <w:r>
        <w:rPr>
          <w:kern w:val="2"/>
          <w:sz w:val="32"/>
          <w:szCs w:val="24"/>
        </w:rPr>
        <w:t>，争取国家绿色金融支持。</w:t>
      </w:r>
    </w:p>
    <w:p w14:paraId="5FF720D5">
      <w:pPr>
        <w:ind w:firstLine="640"/>
        <w:rPr>
          <w:kern w:val="2"/>
          <w:sz w:val="32"/>
          <w:szCs w:val="24"/>
        </w:rPr>
      </w:pPr>
      <w:r>
        <w:rPr>
          <w:rFonts w:eastAsia="楷体_GB2312"/>
          <w:kern w:val="2"/>
          <w:sz w:val="32"/>
          <w:szCs w:val="32"/>
        </w:rPr>
        <w:t>（三）强化要素保障。</w:t>
      </w:r>
      <w:r>
        <w:rPr>
          <w:rFonts w:hint="eastAsia"/>
          <w:kern w:val="2"/>
          <w:sz w:val="32"/>
          <w:szCs w:val="24"/>
        </w:rPr>
        <w:t>强化零碳工厂建设项目用能要素保障，依法支持办理节能审查和碳排放评价</w:t>
      </w:r>
      <w:r>
        <w:rPr>
          <w:kern w:val="2"/>
          <w:sz w:val="32"/>
          <w:szCs w:val="24"/>
        </w:rPr>
        <w:t>。鼓励各地市对零碳工厂建设超低能耗建筑、近零能耗建筑的项目，在容积率计算、绿色审批通道等方面给予支持。加强零碳工厂建设项目用地、用水、用海等要素保障，</w:t>
      </w:r>
      <w:r>
        <w:rPr>
          <w:rFonts w:hint="eastAsia"/>
          <w:kern w:val="2"/>
          <w:sz w:val="32"/>
          <w:szCs w:val="24"/>
        </w:rPr>
        <w:t>在符合国家和省有关规定的前提下，</w:t>
      </w:r>
      <w:r>
        <w:rPr>
          <w:kern w:val="2"/>
          <w:sz w:val="32"/>
          <w:szCs w:val="24"/>
        </w:rPr>
        <w:t>优先安排用地指标，简化用地审批流程。园区管委会统筹协调企业零碳建设所需的基础设施配套，优先保障企业可再生能源接入、储能设施建设、碳监测数据传输等需求。</w:t>
      </w:r>
    </w:p>
    <w:p w14:paraId="425BDEBB">
      <w:pPr>
        <w:ind w:firstLine="640"/>
        <w:rPr>
          <w:kern w:val="2"/>
          <w:sz w:val="32"/>
          <w:szCs w:val="24"/>
        </w:rPr>
      </w:pPr>
      <w:r>
        <w:rPr>
          <w:rFonts w:eastAsia="楷体_GB2312"/>
          <w:kern w:val="2"/>
          <w:sz w:val="32"/>
          <w:szCs w:val="32"/>
        </w:rPr>
        <w:t>（四）做好技术支撑。</w:t>
      </w:r>
      <w:r>
        <w:rPr>
          <w:kern w:val="2"/>
          <w:sz w:val="32"/>
          <w:szCs w:val="24"/>
        </w:rPr>
        <w:t>为保障评价工作的专业性、客观性与公正性，由省工业和信息化厅</w:t>
      </w:r>
      <w:r>
        <w:rPr>
          <w:rFonts w:hint="eastAsia"/>
          <w:kern w:val="2"/>
          <w:sz w:val="32"/>
          <w:szCs w:val="24"/>
        </w:rPr>
        <w:t>组织</w:t>
      </w:r>
      <w:r>
        <w:rPr>
          <w:kern w:val="2"/>
          <w:sz w:val="32"/>
          <w:szCs w:val="24"/>
        </w:rPr>
        <w:t>具备相应技术能力的</w:t>
      </w:r>
      <w:r>
        <w:rPr>
          <w:rFonts w:hint="eastAsia"/>
          <w:kern w:val="2"/>
          <w:sz w:val="32"/>
          <w:szCs w:val="24"/>
        </w:rPr>
        <w:t>相关</w:t>
      </w:r>
      <w:r>
        <w:rPr>
          <w:kern w:val="2"/>
          <w:sz w:val="32"/>
          <w:szCs w:val="24"/>
        </w:rPr>
        <w:t>专业机构，为申报企业提供政策解读、建设路径辅导、现场诊断等服务，指导企业完善建设方案。</w:t>
      </w:r>
    </w:p>
    <w:p w14:paraId="16B4E34D">
      <w:pPr>
        <w:ind w:firstLine="640"/>
        <w:rPr>
          <w:kern w:val="2"/>
          <w:sz w:val="32"/>
          <w:szCs w:val="24"/>
        </w:rPr>
      </w:pPr>
      <w:r>
        <w:rPr>
          <w:rFonts w:eastAsia="楷体_GB2312"/>
          <w:kern w:val="2"/>
          <w:sz w:val="32"/>
          <w:szCs w:val="32"/>
        </w:rPr>
        <w:t>（五）加强宣传推广。</w:t>
      </w:r>
      <w:r>
        <w:rPr>
          <w:kern w:val="2"/>
          <w:sz w:val="32"/>
          <w:szCs w:val="24"/>
        </w:rPr>
        <w:t>及时总结零碳工厂建设的典型经验和创新做法，依托各类传统媒体、新媒体以及全国生态日、全国低碳日、节能宣传周等活动，开展经验交流和宣传推广。鼓励零碳工厂标杆企业分享技术应用、管理模式、商业模式等方面的创新成果，发挥示范引领作用。营造全社会关心、支持、参与零碳工厂建设的良好氛围，提升企业零碳转型的积极性和主动性。</w:t>
      </w:r>
    </w:p>
    <w:p w14:paraId="097238BF">
      <w:pPr>
        <w:pStyle w:val="2"/>
        <w:rPr>
          <w:rFonts w:hint="eastAsia"/>
        </w:rPr>
      </w:pPr>
      <w:r>
        <w:t>五、组织实施</w:t>
      </w:r>
    </w:p>
    <w:p w14:paraId="0E29775E">
      <w:pPr>
        <w:ind w:firstLine="640"/>
        <w:rPr>
          <w:kern w:val="2"/>
          <w:sz w:val="32"/>
          <w:szCs w:val="24"/>
        </w:rPr>
      </w:pPr>
      <w:r>
        <w:rPr>
          <w:kern w:val="2"/>
          <w:sz w:val="32"/>
          <w:szCs w:val="24"/>
        </w:rPr>
        <w:t>省工业和信息化厅统筹推进全省零碳工厂建设工作，牵头制定建设方案、指标体系和评价标准，协调解决重大问题。根据国家零碳工厂建设评估指标体系及时动态更新省级零碳工厂建设指标体系，做好省级与国家级零碳工厂的阶梯衔接和择优推荐工作</w:t>
      </w:r>
      <w:r>
        <w:rPr>
          <w:rFonts w:hint="eastAsia"/>
          <w:kern w:val="2"/>
          <w:sz w:val="32"/>
          <w:szCs w:val="24"/>
        </w:rPr>
        <w:t>，配合工业和信息化部对国家级零碳工厂建设单位开展抽查核验</w:t>
      </w:r>
      <w:r>
        <w:rPr>
          <w:kern w:val="2"/>
          <w:sz w:val="32"/>
          <w:szCs w:val="24"/>
        </w:rPr>
        <w:t>。</w:t>
      </w:r>
      <w:r>
        <w:rPr>
          <w:rFonts w:hint="eastAsia"/>
          <w:kern w:val="2"/>
          <w:sz w:val="32"/>
          <w:szCs w:val="24"/>
        </w:rPr>
        <w:t>省发展改革委指导各地区</w:t>
      </w:r>
      <w:r>
        <w:rPr>
          <w:kern w:val="2"/>
          <w:sz w:val="32"/>
          <w:szCs w:val="24"/>
        </w:rPr>
        <w:t>协同推进能源消费总量和强度双控向碳排放双控转变。省能源局指导企业做好零碳工厂建设项目节能审查工作，加强能源消费管理，加强可再生能源利用，推进储能设施建设和能源消费结构优化。省生态环境厅指导企业开展碳市场碳排放信息报告核算、碳足迹管理、环境信息披露等工作</w:t>
      </w:r>
      <w:r>
        <w:rPr>
          <w:rFonts w:hint="eastAsia"/>
          <w:kern w:val="2"/>
          <w:sz w:val="32"/>
          <w:szCs w:val="24"/>
        </w:rPr>
        <w:t>。</w:t>
      </w:r>
      <w:r>
        <w:rPr>
          <w:kern w:val="2"/>
          <w:sz w:val="32"/>
          <w:szCs w:val="24"/>
        </w:rPr>
        <w:t>省市场监督管理局指导企业开展产品碳足迹标识认证，加强用能单位能源计量器具配备和管理。省自然资源厅、</w:t>
      </w:r>
      <w:r>
        <w:rPr>
          <w:rFonts w:hint="eastAsia"/>
          <w:kern w:val="2"/>
          <w:sz w:val="32"/>
          <w:szCs w:val="24"/>
        </w:rPr>
        <w:t>住房和城乡建设厅</w:t>
      </w:r>
      <w:r>
        <w:rPr>
          <w:kern w:val="2"/>
          <w:sz w:val="32"/>
          <w:szCs w:val="24"/>
        </w:rPr>
        <w:t>、水利厅等部门根据职能分工，做好零碳工厂建设用地、用海、绿色建筑、用水保障等工作。各地市工业和信息化主管部门要会同发展改革、生态环境、能源主管等部门结合实际抓好工作落实。</w:t>
      </w:r>
    </w:p>
    <w:p w14:paraId="08232578">
      <w:pPr>
        <w:ind w:firstLine="358" w:firstLineChars="112"/>
        <w:rPr>
          <w:kern w:val="2"/>
          <w:sz w:val="32"/>
          <w:szCs w:val="32"/>
        </w:rPr>
      </w:pPr>
      <w:r>
        <w:rPr>
          <w:kern w:val="2"/>
          <w:sz w:val="32"/>
          <w:szCs w:val="32"/>
        </w:rPr>
        <w:t>附件：1.广东省零碳工厂建设指标体系（试行）</w:t>
      </w:r>
    </w:p>
    <w:p w14:paraId="50FCB46B">
      <w:pPr>
        <w:ind w:firstLine="1308" w:firstLineChars="409"/>
        <w:rPr>
          <w:kern w:val="2"/>
          <w:sz w:val="32"/>
          <w:szCs w:val="32"/>
        </w:rPr>
      </w:pPr>
      <w:r>
        <w:rPr>
          <w:kern w:val="2"/>
          <w:sz w:val="32"/>
          <w:szCs w:val="32"/>
        </w:rPr>
        <w:t>2.广东省零碳工厂</w:t>
      </w:r>
      <w:r>
        <w:rPr>
          <w:rFonts w:hint="eastAsia"/>
          <w:kern w:val="2"/>
          <w:sz w:val="32"/>
          <w:szCs w:val="32"/>
        </w:rPr>
        <w:t>建设方案（</w:t>
      </w:r>
      <w:r>
        <w:rPr>
          <w:kern w:val="2"/>
          <w:sz w:val="32"/>
          <w:szCs w:val="32"/>
        </w:rPr>
        <w:t>大纲</w:t>
      </w:r>
      <w:r>
        <w:rPr>
          <w:rFonts w:hint="eastAsia"/>
          <w:kern w:val="2"/>
          <w:sz w:val="32"/>
          <w:szCs w:val="32"/>
        </w:rPr>
        <w:t>）</w:t>
      </w:r>
    </w:p>
    <w:p w14:paraId="10B29D6C">
      <w:pPr>
        <w:ind w:firstLine="0" w:firstLineChars="0"/>
        <w:rPr>
          <w:rFonts w:eastAsia="黑体"/>
          <w:kern w:val="2"/>
          <w:sz w:val="32"/>
          <w:szCs w:val="32"/>
        </w:rPr>
        <w:sectPr>
          <w:footerReference r:id="rId5" w:type="default"/>
          <w:pgSz w:w="11905" w:h="16840"/>
          <w:pgMar w:top="1440" w:right="1474" w:bottom="1440" w:left="1587" w:header="720" w:footer="720" w:gutter="0"/>
          <w:pgNumType w:start="1"/>
          <w:cols w:space="720" w:num="1"/>
        </w:sectPr>
      </w:pPr>
    </w:p>
    <w:p w14:paraId="12FF4FB1">
      <w:pPr>
        <w:pStyle w:val="2"/>
        <w:ind w:firstLineChars="0"/>
        <w:rPr>
          <w:rFonts w:hint="eastAsia"/>
        </w:rPr>
      </w:pPr>
      <w:r>
        <w:t>附件1</w:t>
      </w:r>
    </w:p>
    <w:p w14:paraId="54A9480B">
      <w:pPr>
        <w:spacing w:line="600" w:lineRule="exact"/>
        <w:ind w:firstLine="0" w:firstLineChars="0"/>
        <w:jc w:val="center"/>
        <w:rPr>
          <w:rFonts w:eastAsia="方正小标宋简体"/>
          <w:kern w:val="2"/>
          <w:sz w:val="44"/>
          <w:szCs w:val="24"/>
        </w:rPr>
      </w:pPr>
    </w:p>
    <w:p w14:paraId="2C25854D">
      <w:pPr>
        <w:spacing w:line="600" w:lineRule="exact"/>
        <w:ind w:firstLine="0" w:firstLineChars="0"/>
        <w:jc w:val="center"/>
        <w:rPr>
          <w:rFonts w:eastAsia="方正小标宋简体"/>
          <w:kern w:val="2"/>
          <w:sz w:val="44"/>
          <w:szCs w:val="24"/>
        </w:rPr>
      </w:pPr>
      <w:r>
        <w:rPr>
          <w:rFonts w:eastAsia="方正小标宋简体"/>
          <w:kern w:val="2"/>
          <w:sz w:val="44"/>
          <w:szCs w:val="24"/>
        </w:rPr>
        <w:t>广东省零碳工厂建设指标体系</w:t>
      </w:r>
    </w:p>
    <w:p w14:paraId="4B351C0B">
      <w:pPr>
        <w:spacing w:line="600" w:lineRule="exact"/>
        <w:ind w:firstLine="0" w:firstLineChars="0"/>
        <w:jc w:val="center"/>
        <w:rPr>
          <w:rFonts w:eastAsia="方正小标宋简体"/>
          <w:kern w:val="2"/>
          <w:sz w:val="44"/>
          <w:szCs w:val="24"/>
        </w:rPr>
      </w:pPr>
      <w:r>
        <w:rPr>
          <w:rFonts w:eastAsia="方正小标宋简体"/>
          <w:kern w:val="2"/>
          <w:sz w:val="44"/>
          <w:szCs w:val="24"/>
        </w:rPr>
        <w:t>（试行）</w:t>
      </w:r>
    </w:p>
    <w:p w14:paraId="40F844F0">
      <w:pPr>
        <w:spacing w:line="600" w:lineRule="exact"/>
        <w:ind w:firstLine="0" w:firstLineChars="0"/>
        <w:jc w:val="center"/>
        <w:rPr>
          <w:rFonts w:eastAsia="方正小标宋简体"/>
          <w:kern w:val="2"/>
          <w:sz w:val="44"/>
          <w:szCs w:val="24"/>
        </w:rPr>
      </w:pPr>
    </w:p>
    <w:p w14:paraId="3E7E990C">
      <w:pPr>
        <w:ind w:firstLine="640"/>
        <w:rPr>
          <w:rFonts w:eastAsia="黑体"/>
          <w:sz w:val="32"/>
          <w:szCs w:val="32"/>
        </w:rPr>
      </w:pPr>
      <w:r>
        <w:rPr>
          <w:rFonts w:eastAsia="黑体"/>
          <w:sz w:val="32"/>
          <w:szCs w:val="32"/>
        </w:rPr>
        <w:t>一、基本条件</w:t>
      </w:r>
    </w:p>
    <w:p w14:paraId="0F8F1432">
      <w:pPr>
        <w:ind w:firstLine="640"/>
        <w:rPr>
          <w:rStyle w:val="16"/>
          <w:kern w:val="2"/>
          <w:sz w:val="32"/>
          <w:szCs w:val="24"/>
        </w:rPr>
      </w:pPr>
      <w:r>
        <w:rPr>
          <w:kern w:val="2"/>
          <w:sz w:val="32"/>
          <w:szCs w:val="24"/>
        </w:rPr>
        <w:t>1.</w:t>
      </w:r>
      <w:r>
        <w:rPr>
          <w:rFonts w:hint="eastAsia"/>
        </w:rPr>
        <w:t xml:space="preserve"> </w:t>
      </w:r>
      <w:r>
        <w:rPr>
          <w:kern w:val="2"/>
          <w:sz w:val="32"/>
          <w:szCs w:val="24"/>
        </w:rPr>
        <w:t>企业依法设立并在广东省内具有独立法人资格或者视同法人的独立核算单位，在建设和生产过程中遵守有关法律、法规、政策和标准，且从事实际生产的规模以上工业企业，年综合能源消费量原则上不低于1000吨标准煤（电力折标系数按当量值），并已列入省级及以上绿色工厂名单。主要产品单位能耗达到或优于本行业能耗限额强制性国家标准1级（先进值）和《工业重点领域能效标杆水平和基准水平》标杆水平；无上述标准或要求的，应达到行业领先水平。</w:t>
      </w:r>
    </w:p>
    <w:p w14:paraId="10A8E84B">
      <w:pPr>
        <w:ind w:firstLine="640"/>
        <w:rPr>
          <w:kern w:val="2"/>
          <w:sz w:val="32"/>
          <w:szCs w:val="24"/>
        </w:rPr>
      </w:pPr>
      <w:r>
        <w:rPr>
          <w:rStyle w:val="16"/>
          <w:rFonts w:hint="eastAsia"/>
          <w:kern w:val="2"/>
          <w:sz w:val="32"/>
          <w:szCs w:val="24"/>
        </w:rPr>
        <w:t>2.</w:t>
      </w:r>
      <w:r>
        <w:rPr>
          <w:kern w:val="2"/>
          <w:sz w:val="32"/>
          <w:szCs w:val="24"/>
        </w:rPr>
        <w:t>算力设施所有者应依法设立并在广东省内具有独立法人资格，算力设施产权清晰，具有明确、完整的物理边界，拥有独立的供配电和制冷系统，规模不小于</w:t>
      </w:r>
      <w:r>
        <w:rPr>
          <w:rFonts w:hint="eastAsia"/>
          <w:kern w:val="2"/>
          <w:sz w:val="32"/>
          <w:szCs w:val="24"/>
        </w:rPr>
        <w:t>3</w:t>
      </w:r>
      <w:r>
        <w:rPr>
          <w:kern w:val="2"/>
          <w:sz w:val="32"/>
          <w:szCs w:val="24"/>
        </w:rPr>
        <w:t>000个标准机架（智算中心不适用该要求），电能利用效率达到《数据中心能效限定值及能效等级》（GB 40879—2021）中的2级及以上水平，并已列入省级及以上绿色算力设施（绿色数据中心）名单。</w:t>
      </w:r>
    </w:p>
    <w:p w14:paraId="246F9669">
      <w:pPr>
        <w:ind w:firstLine="640"/>
        <w:rPr>
          <w:kern w:val="2"/>
          <w:sz w:val="32"/>
          <w:szCs w:val="24"/>
        </w:rPr>
      </w:pPr>
      <w:r>
        <w:rPr>
          <w:rFonts w:hint="eastAsia"/>
          <w:kern w:val="2"/>
          <w:sz w:val="32"/>
          <w:szCs w:val="24"/>
        </w:rPr>
        <w:t>3</w:t>
      </w:r>
      <w:r>
        <w:rPr>
          <w:kern w:val="2"/>
          <w:sz w:val="32"/>
          <w:szCs w:val="24"/>
        </w:rPr>
        <w:t>.企业主要管理者高度重视绿色低碳发展，内部设有专门机构，负责零碳工厂的制度建设、教育培训、实施、考核及奖励工作，建立目标责任制。</w:t>
      </w:r>
    </w:p>
    <w:p w14:paraId="1069A252">
      <w:pPr>
        <w:ind w:firstLine="640"/>
        <w:rPr>
          <w:kern w:val="2"/>
          <w:sz w:val="32"/>
          <w:szCs w:val="24"/>
        </w:rPr>
      </w:pPr>
      <w:r>
        <w:rPr>
          <w:rFonts w:hint="eastAsia"/>
          <w:kern w:val="2"/>
          <w:sz w:val="32"/>
          <w:szCs w:val="24"/>
        </w:rPr>
        <w:t>4</w:t>
      </w:r>
      <w:r>
        <w:rPr>
          <w:kern w:val="2"/>
          <w:sz w:val="32"/>
          <w:szCs w:val="24"/>
        </w:rPr>
        <w:t>.企</w:t>
      </w:r>
      <w:r>
        <w:rPr>
          <w:rFonts w:hint="eastAsia"/>
          <w:kern w:val="2"/>
          <w:sz w:val="32"/>
          <w:szCs w:val="24"/>
        </w:rPr>
        <w:t>业具</w:t>
      </w:r>
      <w:r>
        <w:rPr>
          <w:kern w:val="2"/>
          <w:sz w:val="32"/>
          <w:szCs w:val="24"/>
        </w:rPr>
        <w:t>有较强的质量、职业健康、环保、安全生产和能源管理水平，具有健全的质量管理体系、环境管理体系、职业健康安全管理体系、能源管理体系。已建立碳排放核算体系，碳排放等数据遵循可测量、可报告、可核查原则，确保真实准确、完整可靠。</w:t>
      </w:r>
    </w:p>
    <w:p w14:paraId="71AC3D07">
      <w:pPr>
        <w:ind w:firstLine="640"/>
        <w:rPr>
          <w:kern w:val="2"/>
          <w:sz w:val="32"/>
          <w:szCs w:val="24"/>
        </w:rPr>
      </w:pPr>
      <w:r>
        <w:rPr>
          <w:rFonts w:hint="eastAsia"/>
          <w:kern w:val="2"/>
          <w:sz w:val="32"/>
          <w:szCs w:val="24"/>
        </w:rPr>
        <w:t>5.</w:t>
      </w:r>
      <w:r>
        <w:rPr>
          <w:kern w:val="2"/>
          <w:sz w:val="32"/>
          <w:szCs w:val="24"/>
        </w:rPr>
        <w:t>企业如已纳入全国</w:t>
      </w:r>
      <w:r>
        <w:rPr>
          <w:rFonts w:hint="eastAsia"/>
          <w:kern w:val="2"/>
          <w:sz w:val="32"/>
          <w:szCs w:val="24"/>
        </w:rPr>
        <w:t>或广东省</w:t>
      </w:r>
      <w:r>
        <w:rPr>
          <w:kern w:val="2"/>
          <w:sz w:val="32"/>
          <w:szCs w:val="24"/>
        </w:rPr>
        <w:t>碳排放权交易市场，近三年（含新建企业）按规定清缴碳排放配额。</w:t>
      </w:r>
    </w:p>
    <w:p w14:paraId="44D0F363">
      <w:pPr>
        <w:ind w:firstLine="640"/>
        <w:rPr>
          <w:kern w:val="2"/>
          <w:sz w:val="32"/>
          <w:szCs w:val="24"/>
        </w:rPr>
      </w:pPr>
      <w:r>
        <w:rPr>
          <w:rFonts w:hint="eastAsia"/>
          <w:kern w:val="2"/>
          <w:sz w:val="32"/>
          <w:szCs w:val="24"/>
        </w:rPr>
        <w:t>6</w:t>
      </w:r>
      <w:r>
        <w:rPr>
          <w:kern w:val="2"/>
          <w:sz w:val="32"/>
          <w:szCs w:val="24"/>
        </w:rPr>
        <w:t>.近三年（成立不足三年的，按成立以来年份算）有下列情况的，不得申报：</w:t>
      </w:r>
    </w:p>
    <w:p w14:paraId="2B7A0874">
      <w:pPr>
        <w:ind w:firstLine="640"/>
        <w:rPr>
          <w:kern w:val="2"/>
          <w:sz w:val="32"/>
          <w:szCs w:val="24"/>
        </w:rPr>
      </w:pPr>
      <w:r>
        <w:rPr>
          <w:kern w:val="2"/>
          <w:sz w:val="32"/>
          <w:szCs w:val="24"/>
        </w:rPr>
        <w:t>（1）未正常经营生产的。</w:t>
      </w:r>
    </w:p>
    <w:p w14:paraId="702CA760">
      <w:pPr>
        <w:ind w:firstLine="640"/>
        <w:rPr>
          <w:kern w:val="2"/>
          <w:sz w:val="32"/>
          <w:szCs w:val="24"/>
        </w:rPr>
      </w:pPr>
      <w:r>
        <w:rPr>
          <w:kern w:val="2"/>
          <w:sz w:val="32"/>
          <w:szCs w:val="24"/>
        </w:rPr>
        <w:t>（2）不遵守质量、安全、节能、环保等有关法律、法规、政策和标准，被列入失信企业、法人代表黑名单的。</w:t>
      </w:r>
    </w:p>
    <w:p w14:paraId="0B96B749">
      <w:pPr>
        <w:ind w:firstLine="640"/>
        <w:rPr>
          <w:kern w:val="2"/>
          <w:sz w:val="32"/>
          <w:szCs w:val="24"/>
        </w:rPr>
      </w:pPr>
      <w:r>
        <w:rPr>
          <w:kern w:val="2"/>
          <w:sz w:val="32"/>
          <w:szCs w:val="24"/>
        </w:rPr>
        <w:t>（3）发生较大及以上级别的安全（含网络安全、数据安全、生产安全等）、质量、环境污染等事故的。</w:t>
      </w:r>
    </w:p>
    <w:p w14:paraId="2F49BC64">
      <w:pPr>
        <w:ind w:firstLine="640"/>
        <w:rPr>
          <w:kern w:val="2"/>
          <w:sz w:val="32"/>
          <w:szCs w:val="24"/>
        </w:rPr>
      </w:pPr>
      <w:r>
        <w:rPr>
          <w:kern w:val="2"/>
          <w:sz w:val="32"/>
          <w:szCs w:val="24"/>
        </w:rPr>
        <w:t>（4）被动态调整出绿色工厂和零碳工厂名单的。</w:t>
      </w:r>
    </w:p>
    <w:p w14:paraId="32250B10">
      <w:pPr>
        <w:ind w:firstLine="640"/>
        <w:rPr>
          <w:kern w:val="2"/>
          <w:sz w:val="32"/>
          <w:szCs w:val="24"/>
        </w:rPr>
      </w:pPr>
      <w:r>
        <w:rPr>
          <w:kern w:val="2"/>
          <w:sz w:val="32"/>
          <w:szCs w:val="24"/>
        </w:rPr>
        <w:t>（5）在国家、省、市有关部门相关督查中被发现存在严重问题，被列入节能监察整改名单、失信被执行人等。</w:t>
      </w:r>
    </w:p>
    <w:p w14:paraId="14532871">
      <w:pPr>
        <w:ind w:firstLine="640"/>
        <w:rPr>
          <w:kern w:val="2"/>
          <w:sz w:val="32"/>
          <w:szCs w:val="24"/>
        </w:rPr>
      </w:pPr>
      <w:r>
        <w:rPr>
          <w:kern w:val="2"/>
          <w:sz w:val="32"/>
          <w:szCs w:val="24"/>
        </w:rPr>
        <w:t>（6）从事《中华人民共和国反垄断法》规定的垄断行为；受到有关行政主管部门比较重大以上行政处罚；因专利权、商标权、著作权、所有权、使用权等权属纠纷被生效法律文书认定应承担法律责任的。</w:t>
      </w:r>
    </w:p>
    <w:p w14:paraId="45F53E8C">
      <w:pPr>
        <w:ind w:firstLine="640"/>
        <w:rPr>
          <w:rFonts w:eastAsia="黑体"/>
          <w:kern w:val="2"/>
          <w:sz w:val="32"/>
          <w:szCs w:val="32"/>
        </w:rPr>
      </w:pPr>
      <w:r>
        <w:rPr>
          <w:rFonts w:eastAsia="黑体"/>
          <w:kern w:val="2"/>
          <w:sz w:val="32"/>
          <w:szCs w:val="32"/>
        </w:rPr>
        <w:t>二、指标体系</w:t>
      </w:r>
    </w:p>
    <w:p w14:paraId="0B293EC0">
      <w:pPr>
        <w:ind w:firstLine="640"/>
        <w:rPr>
          <w:kern w:val="2"/>
          <w:sz w:val="32"/>
          <w:szCs w:val="24"/>
        </w:rPr>
      </w:pPr>
      <w:r>
        <w:rPr>
          <w:kern w:val="2"/>
          <w:sz w:val="32"/>
          <w:szCs w:val="24"/>
        </w:rPr>
        <w:t>评价指标要求分为核心指标和引导指标。具体如下：</w:t>
      </w:r>
    </w:p>
    <w:p w14:paraId="60E3C444">
      <w:pPr>
        <w:pStyle w:val="7"/>
        <w:ind w:firstLine="620"/>
        <w:rPr>
          <w:rFonts w:hint="eastAsia"/>
          <w:lang w:eastAsia="zh-CN"/>
        </w:rPr>
      </w:pPr>
    </w:p>
    <w:p w14:paraId="467DD5BA">
      <w:pPr>
        <w:spacing w:before="120" w:beforeLines="50" w:line="240" w:lineRule="auto"/>
        <w:ind w:firstLine="643"/>
        <w:jc w:val="center"/>
        <w:textAlignment w:val="top"/>
        <w:rPr>
          <w:rStyle w:val="17"/>
          <w:rFonts w:ascii="Times New Roman" w:hAnsi="Times New Roman" w:eastAsia="方正仿宋_GB2312" w:cs="Times New Roman"/>
          <w:color w:val="auto"/>
          <w:sz w:val="32"/>
          <w:szCs w:val="32"/>
          <w:lang w:bidi="ar"/>
        </w:rPr>
      </w:pPr>
      <w:r>
        <w:rPr>
          <w:rStyle w:val="17"/>
          <w:rFonts w:hint="eastAsia" w:ascii="Times New Roman" w:hAnsi="Times New Roman" w:eastAsia="方正仿宋_GB2312" w:cs="Times New Roman"/>
          <w:color w:val="auto"/>
          <w:sz w:val="32"/>
          <w:szCs w:val="32"/>
          <w:lang w:bidi="ar"/>
        </w:rPr>
        <w:t>表1  广东省零碳工厂建设指标表</w:t>
      </w:r>
    </w:p>
    <w:tbl>
      <w:tblPr>
        <w:tblStyle w:val="13"/>
        <w:tblW w:w="9312" w:type="dxa"/>
        <w:jc w:val="center"/>
        <w:tblLayout w:type="fixed"/>
        <w:tblCellMar>
          <w:top w:w="0" w:type="dxa"/>
          <w:left w:w="108" w:type="dxa"/>
          <w:bottom w:w="0" w:type="dxa"/>
          <w:right w:w="108" w:type="dxa"/>
        </w:tblCellMar>
      </w:tblPr>
      <w:tblGrid>
        <w:gridCol w:w="1285"/>
        <w:gridCol w:w="751"/>
        <w:gridCol w:w="2541"/>
        <w:gridCol w:w="2746"/>
        <w:gridCol w:w="1989"/>
      </w:tblGrid>
      <w:tr w14:paraId="45158F44">
        <w:tblPrEx>
          <w:tblCellMar>
            <w:top w:w="0" w:type="dxa"/>
            <w:left w:w="108" w:type="dxa"/>
            <w:bottom w:w="0" w:type="dxa"/>
            <w:right w:w="108" w:type="dxa"/>
          </w:tblCellMar>
        </w:tblPrEx>
        <w:trPr>
          <w:trHeight w:val="454" w:hRule="atLeast"/>
          <w:tblHeader/>
          <w:jc w:val="center"/>
        </w:trPr>
        <w:tc>
          <w:tcPr>
            <w:tcW w:w="1285" w:type="dxa"/>
            <w:tcBorders>
              <w:top w:val="single" w:color="000000" w:sz="4" w:space="0"/>
              <w:left w:val="single" w:color="000000" w:sz="4" w:space="0"/>
              <w:bottom w:val="single" w:color="000000" w:sz="4" w:space="0"/>
              <w:right w:val="single" w:color="000000" w:sz="4" w:space="0"/>
            </w:tcBorders>
            <w:vAlign w:val="center"/>
          </w:tcPr>
          <w:p w14:paraId="11DB29EA">
            <w:pPr>
              <w:spacing w:line="240" w:lineRule="auto"/>
              <w:ind w:firstLine="0" w:firstLineChars="0"/>
              <w:jc w:val="center"/>
              <w:textAlignment w:val="center"/>
              <w:rPr>
                <w:rStyle w:val="18"/>
                <w:rFonts w:ascii="Times New Roman" w:hAnsi="Times New Roman" w:eastAsia="黑体" w:cs="Times New Roman"/>
                <w:b w:val="0"/>
                <w:bCs w:val="0"/>
                <w:color w:val="auto"/>
                <w:sz w:val="28"/>
                <w:szCs w:val="28"/>
                <w:lang w:bidi="ar"/>
              </w:rPr>
            </w:pPr>
            <w:r>
              <w:rPr>
                <w:rStyle w:val="18"/>
                <w:rFonts w:ascii="Times New Roman" w:hAnsi="Times New Roman" w:eastAsia="黑体" w:cs="Times New Roman"/>
                <w:b w:val="0"/>
                <w:bCs w:val="0"/>
                <w:color w:val="auto"/>
                <w:sz w:val="28"/>
                <w:szCs w:val="28"/>
                <w:lang w:bidi="ar"/>
              </w:rPr>
              <w:t>指标类别</w:t>
            </w:r>
          </w:p>
        </w:tc>
        <w:tc>
          <w:tcPr>
            <w:tcW w:w="751" w:type="dxa"/>
            <w:tcBorders>
              <w:top w:val="single" w:color="000000" w:sz="4" w:space="0"/>
              <w:left w:val="single" w:color="000000" w:sz="4" w:space="0"/>
              <w:bottom w:val="single" w:color="000000" w:sz="4" w:space="0"/>
              <w:right w:val="single" w:color="000000" w:sz="4" w:space="0"/>
            </w:tcBorders>
            <w:vAlign w:val="center"/>
          </w:tcPr>
          <w:p w14:paraId="7ED93F5D">
            <w:pPr>
              <w:spacing w:line="240" w:lineRule="auto"/>
              <w:ind w:firstLine="0" w:firstLineChars="0"/>
              <w:jc w:val="center"/>
              <w:textAlignment w:val="center"/>
              <w:rPr>
                <w:rFonts w:eastAsia="黑体"/>
                <w:szCs w:val="28"/>
              </w:rPr>
            </w:pPr>
            <w:r>
              <w:rPr>
                <w:rStyle w:val="18"/>
                <w:rFonts w:ascii="Times New Roman" w:hAnsi="Times New Roman" w:eastAsia="黑体" w:cs="Times New Roman"/>
                <w:b w:val="0"/>
                <w:bCs w:val="0"/>
                <w:color w:val="auto"/>
                <w:sz w:val="28"/>
                <w:szCs w:val="28"/>
                <w:lang w:bidi="ar"/>
              </w:rPr>
              <w:t>序号</w:t>
            </w:r>
          </w:p>
        </w:tc>
        <w:tc>
          <w:tcPr>
            <w:tcW w:w="2541" w:type="dxa"/>
            <w:tcBorders>
              <w:top w:val="single" w:color="000000" w:sz="4" w:space="0"/>
              <w:left w:val="single" w:color="000000" w:sz="4" w:space="0"/>
              <w:bottom w:val="single" w:color="000000" w:sz="4" w:space="0"/>
              <w:right w:val="single" w:color="000000" w:sz="4" w:space="0"/>
            </w:tcBorders>
            <w:vAlign w:val="center"/>
          </w:tcPr>
          <w:p w14:paraId="3E077365">
            <w:pPr>
              <w:spacing w:line="240" w:lineRule="auto"/>
              <w:ind w:firstLine="0" w:firstLineChars="0"/>
              <w:jc w:val="center"/>
              <w:textAlignment w:val="center"/>
              <w:rPr>
                <w:rFonts w:eastAsia="黑体"/>
                <w:szCs w:val="28"/>
              </w:rPr>
            </w:pPr>
            <w:r>
              <w:rPr>
                <w:rStyle w:val="18"/>
                <w:rFonts w:ascii="Times New Roman" w:hAnsi="Times New Roman" w:eastAsia="黑体" w:cs="Times New Roman"/>
                <w:b w:val="0"/>
                <w:bCs w:val="0"/>
                <w:color w:val="auto"/>
                <w:sz w:val="28"/>
                <w:szCs w:val="28"/>
                <w:lang w:bidi="ar"/>
              </w:rPr>
              <w:t>指标名称</w:t>
            </w:r>
          </w:p>
        </w:tc>
        <w:tc>
          <w:tcPr>
            <w:tcW w:w="2746" w:type="dxa"/>
            <w:tcBorders>
              <w:top w:val="single" w:color="000000" w:sz="4" w:space="0"/>
              <w:left w:val="single" w:color="000000" w:sz="4" w:space="0"/>
              <w:bottom w:val="single" w:color="000000" w:sz="4" w:space="0"/>
              <w:right w:val="single" w:color="000000" w:sz="4" w:space="0"/>
            </w:tcBorders>
            <w:vAlign w:val="center"/>
          </w:tcPr>
          <w:p w14:paraId="593114F1">
            <w:pPr>
              <w:spacing w:line="240" w:lineRule="auto"/>
              <w:ind w:firstLine="0" w:firstLineChars="0"/>
              <w:jc w:val="center"/>
              <w:textAlignment w:val="center"/>
              <w:rPr>
                <w:rFonts w:eastAsia="黑体"/>
                <w:szCs w:val="28"/>
              </w:rPr>
            </w:pPr>
            <w:r>
              <w:rPr>
                <w:rStyle w:val="18"/>
                <w:rFonts w:ascii="Times New Roman" w:hAnsi="Times New Roman" w:eastAsia="黑体" w:cs="Times New Roman"/>
                <w:b w:val="0"/>
                <w:bCs w:val="0"/>
                <w:color w:val="auto"/>
                <w:sz w:val="28"/>
                <w:szCs w:val="28"/>
                <w:lang w:bidi="ar"/>
              </w:rPr>
              <w:t>指标要求</w:t>
            </w:r>
          </w:p>
        </w:tc>
        <w:tc>
          <w:tcPr>
            <w:tcW w:w="1989" w:type="dxa"/>
            <w:tcBorders>
              <w:top w:val="single" w:color="000000" w:sz="4" w:space="0"/>
              <w:left w:val="single" w:color="000000" w:sz="4" w:space="0"/>
              <w:bottom w:val="single" w:color="000000" w:sz="4" w:space="0"/>
              <w:right w:val="single" w:color="000000" w:sz="4" w:space="0"/>
            </w:tcBorders>
            <w:vAlign w:val="center"/>
          </w:tcPr>
          <w:p w14:paraId="6DE38D0B">
            <w:pPr>
              <w:spacing w:line="240" w:lineRule="auto"/>
              <w:ind w:firstLine="0" w:firstLineChars="0"/>
              <w:jc w:val="center"/>
              <w:textAlignment w:val="center"/>
              <w:rPr>
                <w:rFonts w:eastAsia="黑体"/>
                <w:szCs w:val="28"/>
              </w:rPr>
            </w:pPr>
            <w:r>
              <w:rPr>
                <w:rStyle w:val="18"/>
                <w:rFonts w:ascii="Times New Roman" w:hAnsi="Times New Roman" w:eastAsia="黑体" w:cs="Times New Roman"/>
                <w:b w:val="0"/>
                <w:bCs w:val="0"/>
                <w:color w:val="auto"/>
                <w:sz w:val="28"/>
                <w:szCs w:val="28"/>
                <w:lang w:bidi="ar"/>
              </w:rPr>
              <w:t>指标类型</w:t>
            </w:r>
          </w:p>
        </w:tc>
      </w:tr>
      <w:tr w14:paraId="4C770BF4">
        <w:tblPrEx>
          <w:tblCellMar>
            <w:top w:w="0" w:type="dxa"/>
            <w:left w:w="108" w:type="dxa"/>
            <w:bottom w:w="0" w:type="dxa"/>
            <w:right w:w="108" w:type="dxa"/>
          </w:tblCellMar>
        </w:tblPrEx>
        <w:trPr>
          <w:trHeight w:val="454" w:hRule="atLeast"/>
          <w:jc w:val="center"/>
        </w:trPr>
        <w:tc>
          <w:tcPr>
            <w:tcW w:w="1285" w:type="dxa"/>
            <w:vMerge w:val="restart"/>
            <w:tcBorders>
              <w:top w:val="single" w:color="000000" w:sz="4" w:space="0"/>
              <w:left w:val="single" w:color="000000" w:sz="4" w:space="0"/>
              <w:right w:val="single" w:color="000000" w:sz="4" w:space="0"/>
            </w:tcBorders>
            <w:vAlign w:val="center"/>
          </w:tcPr>
          <w:p w14:paraId="08EFA034">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rStyle w:val="19"/>
                <w:rFonts w:ascii="Times New Roman" w:hAnsi="Times New Roman" w:eastAsia="仿宋_GB2312" w:cs="Times New Roman"/>
                <w:color w:val="auto"/>
                <w:sz w:val="28"/>
                <w:szCs w:val="28"/>
                <w:lang w:bidi="ar"/>
              </w:rPr>
              <w:t>源头减碳</w:t>
            </w:r>
          </w:p>
        </w:tc>
        <w:tc>
          <w:tcPr>
            <w:tcW w:w="751" w:type="dxa"/>
            <w:tcBorders>
              <w:top w:val="single" w:color="000000" w:sz="4" w:space="0"/>
              <w:left w:val="single" w:color="000000" w:sz="4" w:space="0"/>
              <w:bottom w:val="single" w:color="000000" w:sz="4" w:space="0"/>
              <w:right w:val="single" w:color="000000" w:sz="4" w:space="0"/>
            </w:tcBorders>
            <w:vAlign w:val="center"/>
          </w:tcPr>
          <w:p w14:paraId="436B7822">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rStyle w:val="19"/>
                <w:rFonts w:ascii="Times New Roman" w:hAnsi="Times New Roman" w:eastAsia="仿宋_GB2312" w:cs="Times New Roman"/>
                <w:color w:val="auto"/>
                <w:sz w:val="28"/>
                <w:szCs w:val="28"/>
                <w:lang w:bidi="ar"/>
              </w:rPr>
              <w:t>1</w:t>
            </w:r>
          </w:p>
        </w:tc>
        <w:tc>
          <w:tcPr>
            <w:tcW w:w="2541" w:type="dxa"/>
            <w:tcBorders>
              <w:top w:val="single" w:color="000000" w:sz="4" w:space="0"/>
              <w:left w:val="single" w:color="000000" w:sz="4" w:space="0"/>
              <w:bottom w:val="single" w:color="000000" w:sz="4" w:space="0"/>
              <w:right w:val="single" w:color="000000" w:sz="4" w:space="0"/>
            </w:tcBorders>
            <w:vAlign w:val="center"/>
          </w:tcPr>
          <w:p w14:paraId="004F98FB">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rStyle w:val="19"/>
                <w:rFonts w:ascii="Times New Roman" w:hAnsi="Times New Roman" w:eastAsia="仿宋_GB2312" w:cs="Times New Roman"/>
                <w:color w:val="auto"/>
                <w:sz w:val="28"/>
                <w:szCs w:val="28"/>
                <w:lang w:bidi="ar"/>
              </w:rPr>
              <w:t>单位能耗碳排放</w:t>
            </w:r>
          </w:p>
        </w:tc>
        <w:tc>
          <w:tcPr>
            <w:tcW w:w="2746" w:type="dxa"/>
            <w:tcBorders>
              <w:top w:val="single" w:color="000000" w:sz="4" w:space="0"/>
              <w:left w:val="single" w:color="000000" w:sz="4" w:space="0"/>
              <w:bottom w:val="single" w:color="000000" w:sz="4" w:space="0"/>
              <w:right w:val="single" w:color="000000" w:sz="4" w:space="0"/>
            </w:tcBorders>
            <w:vAlign w:val="center"/>
          </w:tcPr>
          <w:p w14:paraId="3D0208C1">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rStyle w:val="19"/>
                <w:rFonts w:ascii="Times New Roman" w:hAnsi="Times New Roman" w:eastAsia="仿宋_GB2312" w:cs="Times New Roman"/>
                <w:color w:val="auto"/>
                <w:sz w:val="28"/>
                <w:szCs w:val="28"/>
                <w:lang w:bidi="ar"/>
              </w:rPr>
              <w:t>申报时≤1.8 tCO</w:t>
            </w:r>
            <w:r>
              <w:rPr>
                <w:rStyle w:val="19"/>
                <w:rFonts w:ascii="Times New Roman" w:hAnsi="Times New Roman" w:eastAsia="仿宋_GB2312" w:cs="Times New Roman"/>
                <w:color w:val="auto"/>
                <w:sz w:val="28"/>
                <w:szCs w:val="28"/>
                <w:vertAlign w:val="subscript"/>
                <w:lang w:bidi="ar"/>
              </w:rPr>
              <w:t>2</w:t>
            </w:r>
            <w:r>
              <w:rPr>
                <w:rStyle w:val="19"/>
                <w:rFonts w:ascii="Times New Roman" w:hAnsi="Times New Roman" w:eastAsia="仿宋_GB2312" w:cs="Times New Roman"/>
                <w:color w:val="auto"/>
                <w:sz w:val="28"/>
                <w:szCs w:val="28"/>
                <w:lang w:bidi="ar"/>
              </w:rPr>
              <w:t>/tce；建设期满≤0.</w:t>
            </w:r>
            <w:r>
              <w:rPr>
                <w:rStyle w:val="19"/>
                <w:rFonts w:hint="eastAsia" w:cs="Times New Roman"/>
                <w:color w:val="auto"/>
                <w:sz w:val="28"/>
                <w:szCs w:val="28"/>
                <w:lang w:bidi="ar"/>
              </w:rPr>
              <w:t>2</w:t>
            </w:r>
            <w:r>
              <w:rPr>
                <w:rStyle w:val="19"/>
                <w:rFonts w:ascii="Times New Roman" w:hAnsi="Times New Roman" w:eastAsia="仿宋_GB2312" w:cs="Times New Roman"/>
                <w:color w:val="auto"/>
                <w:sz w:val="28"/>
                <w:szCs w:val="28"/>
                <w:lang w:bidi="ar"/>
              </w:rPr>
              <w:t>tCO</w:t>
            </w:r>
            <w:r>
              <w:rPr>
                <w:rStyle w:val="19"/>
                <w:rFonts w:ascii="Times New Roman" w:hAnsi="Times New Roman" w:eastAsia="仿宋_GB2312" w:cs="Times New Roman"/>
                <w:color w:val="auto"/>
                <w:sz w:val="28"/>
                <w:szCs w:val="28"/>
                <w:vertAlign w:val="subscript"/>
                <w:lang w:bidi="ar"/>
              </w:rPr>
              <w:t>2</w:t>
            </w:r>
            <w:r>
              <w:rPr>
                <w:rStyle w:val="19"/>
                <w:rFonts w:ascii="Times New Roman" w:hAnsi="Times New Roman" w:eastAsia="仿宋_GB2312" w:cs="Times New Roman"/>
                <w:color w:val="auto"/>
                <w:sz w:val="28"/>
                <w:szCs w:val="28"/>
                <w:lang w:bidi="ar"/>
              </w:rPr>
              <w:t>/tce</w:t>
            </w:r>
          </w:p>
        </w:tc>
        <w:tc>
          <w:tcPr>
            <w:tcW w:w="1989" w:type="dxa"/>
            <w:tcBorders>
              <w:top w:val="single" w:color="000000" w:sz="4" w:space="0"/>
              <w:left w:val="single" w:color="000000" w:sz="4" w:space="0"/>
              <w:bottom w:val="single" w:color="000000" w:sz="4" w:space="0"/>
              <w:right w:val="single" w:color="000000" w:sz="4" w:space="0"/>
            </w:tcBorders>
            <w:vAlign w:val="center"/>
          </w:tcPr>
          <w:p w14:paraId="7631CD74">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rStyle w:val="19"/>
                <w:rFonts w:ascii="Times New Roman" w:hAnsi="Times New Roman" w:eastAsia="仿宋_GB2312" w:cs="Times New Roman"/>
                <w:color w:val="auto"/>
                <w:sz w:val="28"/>
                <w:szCs w:val="28"/>
                <w:lang w:bidi="ar"/>
              </w:rPr>
              <w:t>核心指标</w:t>
            </w:r>
          </w:p>
        </w:tc>
      </w:tr>
      <w:tr w14:paraId="74240FE2">
        <w:tblPrEx>
          <w:tblCellMar>
            <w:top w:w="0" w:type="dxa"/>
            <w:left w:w="108" w:type="dxa"/>
            <w:bottom w:w="0" w:type="dxa"/>
            <w:right w:w="108" w:type="dxa"/>
          </w:tblCellMar>
        </w:tblPrEx>
        <w:trPr>
          <w:trHeight w:val="454" w:hRule="atLeast"/>
          <w:jc w:val="center"/>
        </w:trPr>
        <w:tc>
          <w:tcPr>
            <w:tcW w:w="1285" w:type="dxa"/>
            <w:vMerge w:val="continue"/>
            <w:tcBorders>
              <w:left w:val="single" w:color="000000" w:sz="4" w:space="0"/>
              <w:right w:val="single" w:color="000000" w:sz="4" w:space="0"/>
            </w:tcBorders>
            <w:vAlign w:val="center"/>
          </w:tcPr>
          <w:p w14:paraId="4D157278">
            <w:pPr>
              <w:spacing w:line="240" w:lineRule="auto"/>
              <w:ind w:firstLine="0" w:firstLineChars="0"/>
              <w:jc w:val="center"/>
              <w:textAlignment w:val="center"/>
              <w:rPr>
                <w:szCs w:val="28"/>
                <w:lang w:bidi="ar"/>
              </w:rPr>
            </w:pPr>
          </w:p>
        </w:tc>
        <w:tc>
          <w:tcPr>
            <w:tcW w:w="751" w:type="dxa"/>
            <w:tcBorders>
              <w:top w:val="single" w:color="000000" w:sz="4" w:space="0"/>
              <w:left w:val="single" w:color="000000" w:sz="4" w:space="0"/>
              <w:bottom w:val="single" w:color="000000" w:sz="4" w:space="0"/>
              <w:right w:val="single" w:color="000000" w:sz="4" w:space="0"/>
            </w:tcBorders>
            <w:vAlign w:val="center"/>
          </w:tcPr>
          <w:p w14:paraId="721720C8">
            <w:pPr>
              <w:spacing w:line="240" w:lineRule="auto"/>
              <w:ind w:firstLine="0" w:firstLineChars="0"/>
              <w:jc w:val="center"/>
              <w:textAlignment w:val="center"/>
              <w:rPr>
                <w:szCs w:val="28"/>
              </w:rPr>
            </w:pPr>
            <w:r>
              <w:rPr>
                <w:szCs w:val="28"/>
                <w:lang w:bidi="ar"/>
              </w:rPr>
              <w:t>2</w:t>
            </w:r>
          </w:p>
        </w:tc>
        <w:tc>
          <w:tcPr>
            <w:tcW w:w="2541" w:type="dxa"/>
            <w:tcBorders>
              <w:top w:val="single" w:color="000000" w:sz="4" w:space="0"/>
              <w:left w:val="single" w:color="000000" w:sz="4" w:space="0"/>
              <w:bottom w:val="single" w:color="000000" w:sz="4" w:space="0"/>
              <w:right w:val="single" w:color="000000" w:sz="4" w:space="0"/>
            </w:tcBorders>
            <w:vAlign w:val="center"/>
          </w:tcPr>
          <w:p w14:paraId="58FD9BF0">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rStyle w:val="19"/>
                <w:rFonts w:ascii="Times New Roman" w:hAnsi="Times New Roman" w:eastAsia="仿宋_GB2312" w:cs="Times New Roman"/>
                <w:color w:val="auto"/>
                <w:sz w:val="28"/>
                <w:szCs w:val="28"/>
                <w:lang w:bidi="ar"/>
              </w:rPr>
              <w:t>非化石能源消费占比</w:t>
            </w:r>
          </w:p>
        </w:tc>
        <w:tc>
          <w:tcPr>
            <w:tcW w:w="2746" w:type="dxa"/>
            <w:tcBorders>
              <w:top w:val="single" w:color="000000" w:sz="4" w:space="0"/>
              <w:left w:val="single" w:color="000000" w:sz="4" w:space="0"/>
              <w:bottom w:val="single" w:color="000000" w:sz="4" w:space="0"/>
              <w:right w:val="single" w:color="000000" w:sz="4" w:space="0"/>
            </w:tcBorders>
            <w:vAlign w:val="center"/>
          </w:tcPr>
          <w:p w14:paraId="71C95422">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rStyle w:val="19"/>
                <w:rFonts w:ascii="Times New Roman" w:hAnsi="Times New Roman" w:eastAsia="仿宋_GB2312" w:cs="Times New Roman"/>
                <w:color w:val="auto"/>
                <w:sz w:val="28"/>
                <w:szCs w:val="28"/>
                <w:lang w:bidi="ar"/>
              </w:rPr>
              <w:t>申报时≥30%；建设期满≥9</w:t>
            </w:r>
            <w:r>
              <w:rPr>
                <w:rStyle w:val="19"/>
                <w:rFonts w:hint="eastAsia" w:cs="Times New Roman"/>
                <w:color w:val="auto"/>
                <w:sz w:val="28"/>
                <w:szCs w:val="28"/>
                <w:lang w:bidi="ar"/>
              </w:rPr>
              <w:t>5</w:t>
            </w:r>
            <w:r>
              <w:rPr>
                <w:rStyle w:val="19"/>
                <w:rFonts w:ascii="Times New Roman" w:hAnsi="Times New Roman" w:eastAsia="仿宋_GB2312" w:cs="Times New Roman"/>
                <w:color w:val="auto"/>
                <w:sz w:val="28"/>
                <w:szCs w:val="28"/>
                <w:lang w:bidi="ar"/>
              </w:rPr>
              <w:t>%</w:t>
            </w:r>
          </w:p>
        </w:tc>
        <w:tc>
          <w:tcPr>
            <w:tcW w:w="1989" w:type="dxa"/>
            <w:tcBorders>
              <w:top w:val="single" w:color="000000" w:sz="4" w:space="0"/>
              <w:left w:val="single" w:color="000000" w:sz="4" w:space="0"/>
              <w:bottom w:val="single" w:color="000000" w:sz="4" w:space="0"/>
              <w:right w:val="single" w:color="000000" w:sz="4" w:space="0"/>
            </w:tcBorders>
            <w:vAlign w:val="center"/>
          </w:tcPr>
          <w:p w14:paraId="0D8C0A15">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rStyle w:val="19"/>
                <w:rFonts w:ascii="Times New Roman" w:hAnsi="Times New Roman" w:eastAsia="仿宋_GB2312" w:cs="Times New Roman"/>
                <w:color w:val="auto"/>
                <w:sz w:val="28"/>
                <w:szCs w:val="28"/>
                <w:lang w:bidi="ar"/>
              </w:rPr>
              <w:t>核心指标</w:t>
            </w:r>
          </w:p>
        </w:tc>
      </w:tr>
      <w:tr w14:paraId="2CC0D1CD">
        <w:tblPrEx>
          <w:tblCellMar>
            <w:top w:w="0" w:type="dxa"/>
            <w:left w:w="108" w:type="dxa"/>
            <w:bottom w:w="0" w:type="dxa"/>
            <w:right w:w="108" w:type="dxa"/>
          </w:tblCellMar>
        </w:tblPrEx>
        <w:trPr>
          <w:trHeight w:val="454" w:hRule="atLeast"/>
          <w:jc w:val="center"/>
        </w:trPr>
        <w:tc>
          <w:tcPr>
            <w:tcW w:w="1285" w:type="dxa"/>
            <w:vMerge w:val="continue"/>
            <w:tcBorders>
              <w:left w:val="single" w:color="000000" w:sz="4" w:space="0"/>
              <w:right w:val="single" w:color="000000" w:sz="4" w:space="0"/>
            </w:tcBorders>
            <w:vAlign w:val="center"/>
          </w:tcPr>
          <w:p w14:paraId="07124001">
            <w:pPr>
              <w:spacing w:line="240" w:lineRule="auto"/>
              <w:ind w:firstLine="0" w:firstLineChars="0"/>
              <w:jc w:val="center"/>
              <w:textAlignment w:val="center"/>
              <w:rPr>
                <w:szCs w:val="28"/>
                <w:lang w:bidi="ar"/>
              </w:rPr>
            </w:pPr>
          </w:p>
        </w:tc>
        <w:tc>
          <w:tcPr>
            <w:tcW w:w="751" w:type="dxa"/>
            <w:tcBorders>
              <w:top w:val="single" w:color="000000" w:sz="4" w:space="0"/>
              <w:left w:val="single" w:color="000000" w:sz="4" w:space="0"/>
              <w:bottom w:val="single" w:color="000000" w:sz="4" w:space="0"/>
              <w:right w:val="single" w:color="000000" w:sz="4" w:space="0"/>
            </w:tcBorders>
            <w:vAlign w:val="center"/>
          </w:tcPr>
          <w:p w14:paraId="4ABBC560">
            <w:pPr>
              <w:spacing w:line="240" w:lineRule="auto"/>
              <w:ind w:firstLine="0" w:firstLineChars="0"/>
              <w:jc w:val="center"/>
              <w:textAlignment w:val="center"/>
              <w:rPr>
                <w:szCs w:val="28"/>
                <w:lang w:bidi="ar"/>
              </w:rPr>
            </w:pPr>
            <w:r>
              <w:rPr>
                <w:szCs w:val="28"/>
                <w:lang w:bidi="ar"/>
              </w:rPr>
              <w:t>3</w:t>
            </w:r>
          </w:p>
        </w:tc>
        <w:tc>
          <w:tcPr>
            <w:tcW w:w="2541" w:type="dxa"/>
            <w:tcBorders>
              <w:top w:val="single" w:color="000000" w:sz="4" w:space="0"/>
              <w:left w:val="single" w:color="000000" w:sz="4" w:space="0"/>
              <w:bottom w:val="single" w:color="000000" w:sz="4" w:space="0"/>
              <w:right w:val="single" w:color="000000" w:sz="4" w:space="0"/>
            </w:tcBorders>
            <w:vAlign w:val="center"/>
          </w:tcPr>
          <w:p w14:paraId="2EDAD459">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lang w:bidi="ar"/>
              </w:rPr>
              <w:t>非化石能源电力消费物理认定量占比</w:t>
            </w:r>
          </w:p>
        </w:tc>
        <w:tc>
          <w:tcPr>
            <w:tcW w:w="2746" w:type="dxa"/>
            <w:tcBorders>
              <w:top w:val="single" w:color="000000" w:sz="4" w:space="0"/>
              <w:left w:val="single" w:color="000000" w:sz="4" w:space="0"/>
              <w:bottom w:val="single" w:color="000000" w:sz="4" w:space="0"/>
              <w:right w:val="single" w:color="000000" w:sz="4" w:space="0"/>
            </w:tcBorders>
            <w:vAlign w:val="center"/>
          </w:tcPr>
          <w:p w14:paraId="41C99D86">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lang w:bidi="ar"/>
              </w:rPr>
              <w:t>申报时≥10%；建设期满≥35%。适用于年电力消费量500万千瓦时以上的申报单位</w:t>
            </w:r>
          </w:p>
        </w:tc>
        <w:tc>
          <w:tcPr>
            <w:tcW w:w="1989" w:type="dxa"/>
            <w:tcBorders>
              <w:top w:val="single" w:color="000000" w:sz="4" w:space="0"/>
              <w:left w:val="single" w:color="000000" w:sz="4" w:space="0"/>
              <w:bottom w:val="single" w:color="000000" w:sz="4" w:space="0"/>
              <w:right w:val="single" w:color="000000" w:sz="4" w:space="0"/>
            </w:tcBorders>
            <w:vAlign w:val="center"/>
          </w:tcPr>
          <w:p w14:paraId="6FE9751B">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lang w:bidi="ar"/>
              </w:rPr>
              <w:t>核心指标</w:t>
            </w:r>
          </w:p>
        </w:tc>
      </w:tr>
      <w:tr w14:paraId="4316EDA5">
        <w:tblPrEx>
          <w:tblCellMar>
            <w:top w:w="0" w:type="dxa"/>
            <w:left w:w="108" w:type="dxa"/>
            <w:bottom w:w="0" w:type="dxa"/>
            <w:right w:w="108" w:type="dxa"/>
          </w:tblCellMar>
        </w:tblPrEx>
        <w:trPr>
          <w:trHeight w:val="454" w:hRule="atLeast"/>
          <w:jc w:val="center"/>
        </w:trPr>
        <w:tc>
          <w:tcPr>
            <w:tcW w:w="1285" w:type="dxa"/>
            <w:vMerge w:val="continue"/>
            <w:tcBorders>
              <w:left w:val="single" w:color="000000" w:sz="4" w:space="0"/>
              <w:right w:val="single" w:color="000000" w:sz="4" w:space="0"/>
            </w:tcBorders>
            <w:vAlign w:val="center"/>
          </w:tcPr>
          <w:p w14:paraId="6ADF500B">
            <w:pPr>
              <w:spacing w:line="240" w:lineRule="auto"/>
              <w:ind w:firstLine="0" w:firstLineChars="0"/>
              <w:jc w:val="center"/>
              <w:textAlignment w:val="center"/>
              <w:rPr>
                <w:szCs w:val="28"/>
                <w:lang w:bidi="ar"/>
              </w:rPr>
            </w:pPr>
          </w:p>
        </w:tc>
        <w:tc>
          <w:tcPr>
            <w:tcW w:w="751" w:type="dxa"/>
            <w:tcBorders>
              <w:top w:val="single" w:color="000000" w:sz="4" w:space="0"/>
              <w:left w:val="single" w:color="000000" w:sz="4" w:space="0"/>
              <w:bottom w:val="single" w:color="000000" w:sz="4" w:space="0"/>
              <w:right w:val="single" w:color="000000" w:sz="4" w:space="0"/>
            </w:tcBorders>
            <w:vAlign w:val="center"/>
          </w:tcPr>
          <w:p w14:paraId="0ACBE8AD">
            <w:pPr>
              <w:spacing w:line="240" w:lineRule="auto"/>
              <w:ind w:firstLine="0" w:firstLineChars="0"/>
              <w:jc w:val="center"/>
              <w:textAlignment w:val="center"/>
              <w:rPr>
                <w:szCs w:val="28"/>
                <w:lang w:bidi="ar"/>
              </w:rPr>
            </w:pPr>
            <w:r>
              <w:rPr>
                <w:szCs w:val="28"/>
                <w:lang w:bidi="ar"/>
              </w:rPr>
              <w:t>4</w:t>
            </w:r>
          </w:p>
        </w:tc>
        <w:tc>
          <w:tcPr>
            <w:tcW w:w="2541" w:type="dxa"/>
            <w:tcBorders>
              <w:top w:val="single" w:color="000000" w:sz="4" w:space="0"/>
              <w:left w:val="single" w:color="000000" w:sz="4" w:space="0"/>
              <w:bottom w:val="single" w:color="000000" w:sz="4" w:space="0"/>
              <w:right w:val="single" w:color="000000" w:sz="4" w:space="0"/>
            </w:tcBorders>
            <w:vAlign w:val="center"/>
          </w:tcPr>
          <w:p w14:paraId="2D34BFE4">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lang w:bidi="ar"/>
              </w:rPr>
              <w:t>清洁低碳氢替代应用情况</w:t>
            </w:r>
          </w:p>
        </w:tc>
        <w:tc>
          <w:tcPr>
            <w:tcW w:w="2746" w:type="dxa"/>
            <w:tcBorders>
              <w:top w:val="single" w:color="000000" w:sz="4" w:space="0"/>
              <w:left w:val="single" w:color="000000" w:sz="4" w:space="0"/>
              <w:bottom w:val="single" w:color="000000" w:sz="4" w:space="0"/>
              <w:right w:val="single" w:color="000000" w:sz="4" w:space="0"/>
            </w:tcBorders>
            <w:vAlign w:val="center"/>
          </w:tcPr>
          <w:p w14:paraId="3349A504">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lang w:bidi="ar"/>
              </w:rPr>
              <w:t>采用绿色氢氨醇等一体化项目，具有清洁低碳氢、氢冶金、绿色甲醇、绿色合成氨、燃料电池汽车、氢动力船舶、航空、轨道交通装备等应用场景。</w:t>
            </w:r>
          </w:p>
        </w:tc>
        <w:tc>
          <w:tcPr>
            <w:tcW w:w="1989" w:type="dxa"/>
            <w:tcBorders>
              <w:top w:val="single" w:color="000000" w:sz="4" w:space="0"/>
              <w:left w:val="single" w:color="000000" w:sz="4" w:space="0"/>
              <w:bottom w:val="single" w:color="000000" w:sz="4" w:space="0"/>
              <w:right w:val="single" w:color="000000" w:sz="4" w:space="0"/>
            </w:tcBorders>
            <w:vAlign w:val="center"/>
          </w:tcPr>
          <w:p w14:paraId="7F114699">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lang w:bidi="ar"/>
              </w:rPr>
              <w:t>引导指标</w:t>
            </w:r>
          </w:p>
        </w:tc>
      </w:tr>
      <w:tr w14:paraId="78225D76">
        <w:tblPrEx>
          <w:tblCellMar>
            <w:top w:w="0" w:type="dxa"/>
            <w:left w:w="108" w:type="dxa"/>
            <w:bottom w:w="0" w:type="dxa"/>
            <w:right w:w="108" w:type="dxa"/>
          </w:tblCellMar>
        </w:tblPrEx>
        <w:trPr>
          <w:trHeight w:val="454" w:hRule="atLeast"/>
          <w:jc w:val="center"/>
        </w:trPr>
        <w:tc>
          <w:tcPr>
            <w:tcW w:w="1285" w:type="dxa"/>
            <w:vMerge w:val="restart"/>
            <w:tcBorders>
              <w:top w:val="single" w:color="000000" w:sz="4" w:space="0"/>
              <w:left w:val="single" w:color="000000" w:sz="4" w:space="0"/>
              <w:right w:val="single" w:color="000000" w:sz="4" w:space="0"/>
            </w:tcBorders>
            <w:vAlign w:val="center"/>
          </w:tcPr>
          <w:p w14:paraId="40A27D4E">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rStyle w:val="19"/>
                <w:rFonts w:ascii="Times New Roman" w:hAnsi="Times New Roman" w:eastAsia="仿宋_GB2312" w:cs="Times New Roman"/>
                <w:color w:val="auto"/>
                <w:sz w:val="28"/>
                <w:szCs w:val="28"/>
                <w:lang w:bidi="ar"/>
              </w:rPr>
              <w:t>过程脱碳</w:t>
            </w:r>
          </w:p>
        </w:tc>
        <w:tc>
          <w:tcPr>
            <w:tcW w:w="751" w:type="dxa"/>
            <w:tcBorders>
              <w:top w:val="single" w:color="000000" w:sz="4" w:space="0"/>
              <w:left w:val="single" w:color="000000" w:sz="4" w:space="0"/>
              <w:bottom w:val="single" w:color="000000" w:sz="4" w:space="0"/>
              <w:right w:val="single" w:color="000000" w:sz="4" w:space="0"/>
            </w:tcBorders>
            <w:vAlign w:val="center"/>
          </w:tcPr>
          <w:p w14:paraId="276FC240">
            <w:pPr>
              <w:spacing w:line="240" w:lineRule="auto"/>
              <w:ind w:firstLine="0" w:firstLineChars="0"/>
              <w:jc w:val="center"/>
              <w:textAlignment w:val="center"/>
              <w:rPr>
                <w:szCs w:val="28"/>
                <w:lang w:bidi="ar"/>
              </w:rPr>
            </w:pPr>
            <w:r>
              <w:rPr>
                <w:szCs w:val="28"/>
                <w:lang w:bidi="ar"/>
              </w:rPr>
              <w:t>5</w:t>
            </w:r>
          </w:p>
        </w:tc>
        <w:tc>
          <w:tcPr>
            <w:tcW w:w="2541" w:type="dxa"/>
            <w:tcBorders>
              <w:top w:val="single" w:color="000000" w:sz="4" w:space="0"/>
              <w:left w:val="single" w:color="000000" w:sz="4" w:space="0"/>
              <w:bottom w:val="single" w:color="000000" w:sz="4" w:space="0"/>
              <w:right w:val="single" w:color="000000" w:sz="4" w:space="0"/>
            </w:tcBorders>
            <w:vAlign w:val="center"/>
          </w:tcPr>
          <w:p w14:paraId="11EA249D">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lang w:bidi="ar"/>
              </w:rPr>
              <w:t>单位工业增加值能耗</w:t>
            </w:r>
          </w:p>
        </w:tc>
        <w:tc>
          <w:tcPr>
            <w:tcW w:w="2746" w:type="dxa"/>
            <w:tcBorders>
              <w:top w:val="single" w:color="000000" w:sz="4" w:space="0"/>
              <w:left w:val="single" w:color="000000" w:sz="4" w:space="0"/>
              <w:bottom w:val="single" w:color="000000" w:sz="4" w:space="0"/>
              <w:right w:val="single" w:color="000000" w:sz="4" w:space="0"/>
            </w:tcBorders>
            <w:vAlign w:val="center"/>
          </w:tcPr>
          <w:p w14:paraId="3CFEE8C4">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lang w:bidi="ar"/>
              </w:rPr>
              <w:t>建设期内持续下降，年均降幅≥3%（以2025年为价格基期按不变价核算）</w:t>
            </w:r>
            <w:r>
              <w:rPr>
                <w:rFonts w:hint="eastAsia"/>
                <w:szCs w:val="28"/>
                <w:lang w:bidi="ar"/>
              </w:rPr>
              <w:t>。</w:t>
            </w:r>
          </w:p>
        </w:tc>
        <w:tc>
          <w:tcPr>
            <w:tcW w:w="1989" w:type="dxa"/>
            <w:tcBorders>
              <w:top w:val="single" w:color="000000" w:sz="4" w:space="0"/>
              <w:left w:val="single" w:color="000000" w:sz="4" w:space="0"/>
              <w:bottom w:val="single" w:color="000000" w:sz="4" w:space="0"/>
              <w:right w:val="single" w:color="000000" w:sz="4" w:space="0"/>
            </w:tcBorders>
            <w:vAlign w:val="center"/>
          </w:tcPr>
          <w:p w14:paraId="7334C16B">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lang w:bidi="ar"/>
              </w:rPr>
              <w:t>引导指标</w:t>
            </w:r>
          </w:p>
        </w:tc>
      </w:tr>
      <w:tr w14:paraId="29E66635">
        <w:tblPrEx>
          <w:tblCellMar>
            <w:top w:w="0" w:type="dxa"/>
            <w:left w:w="108" w:type="dxa"/>
            <w:bottom w:w="0" w:type="dxa"/>
            <w:right w:w="108" w:type="dxa"/>
          </w:tblCellMar>
        </w:tblPrEx>
        <w:trPr>
          <w:trHeight w:val="454" w:hRule="atLeast"/>
          <w:jc w:val="center"/>
        </w:trPr>
        <w:tc>
          <w:tcPr>
            <w:tcW w:w="1285" w:type="dxa"/>
            <w:vMerge w:val="continue"/>
            <w:tcBorders>
              <w:left w:val="single" w:color="000000" w:sz="4" w:space="0"/>
              <w:right w:val="single" w:color="000000" w:sz="4" w:space="0"/>
            </w:tcBorders>
            <w:vAlign w:val="center"/>
          </w:tcPr>
          <w:p w14:paraId="25C82C8E">
            <w:pPr>
              <w:spacing w:line="240" w:lineRule="auto"/>
              <w:ind w:firstLine="0" w:firstLineChars="0"/>
              <w:jc w:val="center"/>
              <w:textAlignment w:val="center"/>
              <w:rPr>
                <w:szCs w:val="28"/>
                <w:lang w:bidi="ar"/>
              </w:rPr>
            </w:pPr>
          </w:p>
        </w:tc>
        <w:tc>
          <w:tcPr>
            <w:tcW w:w="751" w:type="dxa"/>
            <w:tcBorders>
              <w:top w:val="single" w:color="000000" w:sz="4" w:space="0"/>
              <w:left w:val="single" w:color="000000" w:sz="4" w:space="0"/>
              <w:bottom w:val="single" w:color="000000" w:sz="4" w:space="0"/>
              <w:right w:val="single" w:color="000000" w:sz="4" w:space="0"/>
            </w:tcBorders>
            <w:vAlign w:val="center"/>
          </w:tcPr>
          <w:p w14:paraId="2E3A1AAD">
            <w:pPr>
              <w:spacing w:line="240" w:lineRule="auto"/>
              <w:ind w:firstLine="0" w:firstLineChars="0"/>
              <w:jc w:val="center"/>
              <w:textAlignment w:val="center"/>
              <w:rPr>
                <w:szCs w:val="28"/>
                <w:lang w:bidi="ar"/>
              </w:rPr>
            </w:pPr>
            <w:r>
              <w:rPr>
                <w:szCs w:val="28"/>
                <w:lang w:bidi="ar"/>
              </w:rPr>
              <w:t>6</w:t>
            </w:r>
          </w:p>
        </w:tc>
        <w:tc>
          <w:tcPr>
            <w:tcW w:w="2541" w:type="dxa"/>
            <w:tcBorders>
              <w:top w:val="single" w:color="000000" w:sz="4" w:space="0"/>
              <w:left w:val="single" w:color="000000" w:sz="4" w:space="0"/>
              <w:bottom w:val="single" w:color="000000" w:sz="4" w:space="0"/>
              <w:right w:val="single" w:color="000000" w:sz="4" w:space="0"/>
            </w:tcBorders>
            <w:vAlign w:val="center"/>
          </w:tcPr>
          <w:p w14:paraId="27D12AD8">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lang w:bidi="ar"/>
              </w:rPr>
              <w:t>节能装备应用占比</w:t>
            </w:r>
          </w:p>
        </w:tc>
        <w:tc>
          <w:tcPr>
            <w:tcW w:w="2746" w:type="dxa"/>
            <w:tcBorders>
              <w:top w:val="single" w:color="000000" w:sz="4" w:space="0"/>
              <w:left w:val="single" w:color="000000" w:sz="4" w:space="0"/>
              <w:bottom w:val="single" w:color="000000" w:sz="4" w:space="0"/>
              <w:right w:val="single" w:color="000000" w:sz="4" w:space="0"/>
            </w:tcBorders>
            <w:vAlign w:val="center"/>
          </w:tcPr>
          <w:p w14:paraId="07ED20E8">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lang w:bidi="ar"/>
              </w:rPr>
              <w:t>指达到或优于能效强制性国家标准2级水平和《重点用能产品设备能效先进水平、节能水平和准入水平》节能水平的装备累计额定总功率占比</w:t>
            </w:r>
          </w:p>
        </w:tc>
        <w:tc>
          <w:tcPr>
            <w:tcW w:w="1989" w:type="dxa"/>
            <w:tcBorders>
              <w:top w:val="single" w:color="000000" w:sz="4" w:space="0"/>
              <w:left w:val="single" w:color="000000" w:sz="4" w:space="0"/>
              <w:bottom w:val="single" w:color="000000" w:sz="4" w:space="0"/>
              <w:right w:val="single" w:color="000000" w:sz="4" w:space="0"/>
            </w:tcBorders>
            <w:vAlign w:val="center"/>
          </w:tcPr>
          <w:p w14:paraId="7D134F61">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lang w:bidi="ar"/>
              </w:rPr>
              <w:t>引导指标</w:t>
            </w:r>
          </w:p>
        </w:tc>
      </w:tr>
      <w:tr w14:paraId="5598EBB5">
        <w:tblPrEx>
          <w:tblCellMar>
            <w:top w:w="0" w:type="dxa"/>
            <w:left w:w="108" w:type="dxa"/>
            <w:bottom w:w="0" w:type="dxa"/>
            <w:right w:w="108" w:type="dxa"/>
          </w:tblCellMar>
        </w:tblPrEx>
        <w:trPr>
          <w:trHeight w:val="454" w:hRule="atLeast"/>
          <w:jc w:val="center"/>
        </w:trPr>
        <w:tc>
          <w:tcPr>
            <w:tcW w:w="1285" w:type="dxa"/>
            <w:vMerge w:val="continue"/>
            <w:tcBorders>
              <w:left w:val="single" w:color="000000" w:sz="4" w:space="0"/>
              <w:right w:val="single" w:color="000000" w:sz="4" w:space="0"/>
            </w:tcBorders>
            <w:vAlign w:val="center"/>
          </w:tcPr>
          <w:p w14:paraId="6DEBDD4B">
            <w:pPr>
              <w:spacing w:line="240" w:lineRule="auto"/>
              <w:ind w:firstLine="0" w:firstLineChars="0"/>
              <w:jc w:val="center"/>
              <w:textAlignment w:val="center"/>
              <w:rPr>
                <w:szCs w:val="28"/>
                <w:lang w:bidi="ar"/>
              </w:rPr>
            </w:pPr>
          </w:p>
        </w:tc>
        <w:tc>
          <w:tcPr>
            <w:tcW w:w="751" w:type="dxa"/>
            <w:tcBorders>
              <w:top w:val="single" w:color="000000" w:sz="4" w:space="0"/>
              <w:left w:val="single" w:color="000000" w:sz="4" w:space="0"/>
              <w:bottom w:val="single" w:color="000000" w:sz="4" w:space="0"/>
              <w:right w:val="single" w:color="000000" w:sz="4" w:space="0"/>
            </w:tcBorders>
            <w:vAlign w:val="center"/>
          </w:tcPr>
          <w:p w14:paraId="62582DD5">
            <w:pPr>
              <w:spacing w:line="240" w:lineRule="auto"/>
              <w:ind w:firstLine="0" w:firstLineChars="0"/>
              <w:jc w:val="center"/>
              <w:textAlignment w:val="center"/>
              <w:rPr>
                <w:szCs w:val="28"/>
                <w:lang w:bidi="ar"/>
              </w:rPr>
            </w:pPr>
            <w:r>
              <w:rPr>
                <w:szCs w:val="28"/>
                <w:lang w:bidi="ar"/>
              </w:rPr>
              <w:t>7</w:t>
            </w:r>
          </w:p>
        </w:tc>
        <w:tc>
          <w:tcPr>
            <w:tcW w:w="2541" w:type="dxa"/>
            <w:tcBorders>
              <w:top w:val="single" w:color="000000" w:sz="4" w:space="0"/>
              <w:left w:val="single" w:color="000000" w:sz="4" w:space="0"/>
              <w:bottom w:val="single" w:color="000000" w:sz="4" w:space="0"/>
              <w:right w:val="single" w:color="000000" w:sz="4" w:space="0"/>
            </w:tcBorders>
            <w:vAlign w:val="center"/>
          </w:tcPr>
          <w:p w14:paraId="6B4E2E9D">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lang w:bidi="ar"/>
              </w:rPr>
              <w:t>碳清除率</w:t>
            </w:r>
          </w:p>
        </w:tc>
        <w:tc>
          <w:tcPr>
            <w:tcW w:w="2746" w:type="dxa"/>
            <w:tcBorders>
              <w:top w:val="single" w:color="000000" w:sz="4" w:space="0"/>
              <w:left w:val="single" w:color="000000" w:sz="4" w:space="0"/>
              <w:bottom w:val="single" w:color="000000" w:sz="4" w:space="0"/>
              <w:right w:val="single" w:color="000000" w:sz="4" w:space="0"/>
            </w:tcBorders>
            <w:vAlign w:val="center"/>
          </w:tcPr>
          <w:p w14:paraId="775580FD">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lang w:bidi="ar"/>
              </w:rPr>
              <w:t>仅适用于存在化石燃料燃烧、过程排放、废弃物处理等二氧化碳直接排放的申报单位。鼓励通过碳捕集与封存、直接空气捕集、固碳技术等工程技术手段持续提升，不含碳汇</w:t>
            </w:r>
          </w:p>
        </w:tc>
        <w:tc>
          <w:tcPr>
            <w:tcW w:w="1989" w:type="dxa"/>
            <w:tcBorders>
              <w:top w:val="single" w:color="000000" w:sz="4" w:space="0"/>
              <w:left w:val="single" w:color="000000" w:sz="4" w:space="0"/>
              <w:bottom w:val="single" w:color="000000" w:sz="4" w:space="0"/>
              <w:right w:val="single" w:color="000000" w:sz="4" w:space="0"/>
            </w:tcBorders>
            <w:vAlign w:val="center"/>
          </w:tcPr>
          <w:p w14:paraId="176E21C6">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lang w:bidi="ar"/>
              </w:rPr>
              <w:t>引导指标</w:t>
            </w:r>
          </w:p>
        </w:tc>
      </w:tr>
      <w:tr w14:paraId="484E188F">
        <w:tblPrEx>
          <w:tblCellMar>
            <w:top w:w="0" w:type="dxa"/>
            <w:left w:w="108" w:type="dxa"/>
            <w:bottom w:w="0" w:type="dxa"/>
            <w:right w:w="108" w:type="dxa"/>
          </w:tblCellMar>
        </w:tblPrEx>
        <w:trPr>
          <w:trHeight w:val="454" w:hRule="atLeast"/>
          <w:jc w:val="center"/>
        </w:trPr>
        <w:tc>
          <w:tcPr>
            <w:tcW w:w="1285" w:type="dxa"/>
            <w:vMerge w:val="restart"/>
            <w:tcBorders>
              <w:top w:val="single" w:color="000000" w:sz="4" w:space="0"/>
              <w:left w:val="single" w:color="000000" w:sz="4" w:space="0"/>
              <w:right w:val="single" w:color="000000" w:sz="4" w:space="0"/>
            </w:tcBorders>
            <w:vAlign w:val="center"/>
          </w:tcPr>
          <w:p w14:paraId="67213079">
            <w:pPr>
              <w:spacing w:line="240" w:lineRule="auto"/>
              <w:ind w:firstLine="0" w:firstLineChars="0"/>
              <w:jc w:val="center"/>
              <w:textAlignment w:val="center"/>
              <w:rPr>
                <w:szCs w:val="28"/>
                <w:lang w:bidi="ar"/>
              </w:rPr>
            </w:pPr>
            <w:r>
              <w:t>协同降碳</w:t>
            </w:r>
          </w:p>
        </w:tc>
        <w:tc>
          <w:tcPr>
            <w:tcW w:w="751" w:type="dxa"/>
            <w:tcBorders>
              <w:top w:val="single" w:color="000000" w:sz="4" w:space="0"/>
              <w:left w:val="single" w:color="000000" w:sz="4" w:space="0"/>
              <w:bottom w:val="single" w:color="000000" w:sz="4" w:space="0"/>
              <w:right w:val="single" w:color="000000" w:sz="4" w:space="0"/>
            </w:tcBorders>
            <w:vAlign w:val="center"/>
          </w:tcPr>
          <w:p w14:paraId="70100216">
            <w:pPr>
              <w:spacing w:line="240" w:lineRule="auto"/>
              <w:ind w:firstLine="0" w:firstLineChars="0"/>
              <w:jc w:val="center"/>
              <w:textAlignment w:val="center"/>
              <w:rPr>
                <w:szCs w:val="28"/>
                <w:lang w:bidi="ar"/>
              </w:rPr>
            </w:pPr>
            <w:r>
              <w:rPr>
                <w:szCs w:val="28"/>
              </w:rPr>
              <w:t>8</w:t>
            </w:r>
          </w:p>
        </w:tc>
        <w:tc>
          <w:tcPr>
            <w:tcW w:w="2541" w:type="dxa"/>
            <w:tcBorders>
              <w:top w:val="single" w:color="000000" w:sz="4" w:space="0"/>
              <w:left w:val="single" w:color="000000" w:sz="4" w:space="0"/>
              <w:bottom w:val="single" w:color="000000" w:sz="4" w:space="0"/>
              <w:right w:val="single" w:color="000000" w:sz="4" w:space="0"/>
            </w:tcBorders>
            <w:vAlign w:val="center"/>
          </w:tcPr>
          <w:p w14:paraId="2B862EED">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rPr>
              <w:t>开展产品碳足迹分析占比（含产品碳足迹核算评价或标识认证）</w:t>
            </w:r>
          </w:p>
        </w:tc>
        <w:tc>
          <w:tcPr>
            <w:tcW w:w="2746" w:type="dxa"/>
            <w:tcBorders>
              <w:top w:val="single" w:color="000000" w:sz="4" w:space="0"/>
              <w:left w:val="single" w:color="000000" w:sz="4" w:space="0"/>
              <w:bottom w:val="single" w:color="000000" w:sz="4" w:space="0"/>
              <w:right w:val="single" w:color="000000" w:sz="4" w:space="0"/>
            </w:tcBorders>
            <w:vAlign w:val="center"/>
          </w:tcPr>
          <w:p w14:paraId="14E90F64">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lang w:bidi="ar"/>
              </w:rPr>
              <w:t>≥</w:t>
            </w:r>
            <w:r>
              <w:rPr>
                <w:rFonts w:hint="eastAsia"/>
                <w:szCs w:val="28"/>
                <w:lang w:bidi="ar"/>
              </w:rPr>
              <w:t>5</w:t>
            </w:r>
            <w:r>
              <w:rPr>
                <w:szCs w:val="28"/>
                <w:lang w:bidi="ar"/>
              </w:rPr>
              <w:t>0%</w:t>
            </w:r>
          </w:p>
        </w:tc>
        <w:tc>
          <w:tcPr>
            <w:tcW w:w="1989" w:type="dxa"/>
            <w:tcBorders>
              <w:top w:val="single" w:color="000000" w:sz="4" w:space="0"/>
              <w:left w:val="single" w:color="000000" w:sz="4" w:space="0"/>
              <w:bottom w:val="single" w:color="000000" w:sz="4" w:space="0"/>
              <w:right w:val="single" w:color="000000" w:sz="4" w:space="0"/>
            </w:tcBorders>
            <w:vAlign w:val="center"/>
          </w:tcPr>
          <w:p w14:paraId="47D0B36A">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lang w:bidi="ar"/>
              </w:rPr>
              <w:t>引导指标</w:t>
            </w:r>
          </w:p>
        </w:tc>
      </w:tr>
      <w:tr w14:paraId="40F7F7D6">
        <w:tblPrEx>
          <w:tblCellMar>
            <w:top w:w="0" w:type="dxa"/>
            <w:left w:w="108" w:type="dxa"/>
            <w:bottom w:w="0" w:type="dxa"/>
            <w:right w:w="108" w:type="dxa"/>
          </w:tblCellMar>
        </w:tblPrEx>
        <w:trPr>
          <w:trHeight w:val="454" w:hRule="atLeast"/>
          <w:jc w:val="center"/>
        </w:trPr>
        <w:tc>
          <w:tcPr>
            <w:tcW w:w="1285" w:type="dxa"/>
            <w:vMerge w:val="continue"/>
            <w:tcBorders>
              <w:left w:val="single" w:color="000000" w:sz="4" w:space="0"/>
              <w:right w:val="single" w:color="000000" w:sz="4" w:space="0"/>
            </w:tcBorders>
            <w:vAlign w:val="center"/>
          </w:tcPr>
          <w:p w14:paraId="2425B5DE">
            <w:pPr>
              <w:spacing w:line="240" w:lineRule="auto"/>
              <w:ind w:firstLine="0" w:firstLineChars="0"/>
              <w:jc w:val="center"/>
              <w:textAlignment w:val="center"/>
              <w:rPr>
                <w:szCs w:val="28"/>
                <w:lang w:bidi="ar"/>
              </w:rPr>
            </w:pPr>
          </w:p>
        </w:tc>
        <w:tc>
          <w:tcPr>
            <w:tcW w:w="751" w:type="dxa"/>
            <w:tcBorders>
              <w:top w:val="single" w:color="000000" w:sz="4" w:space="0"/>
              <w:left w:val="single" w:color="000000" w:sz="4" w:space="0"/>
              <w:bottom w:val="single" w:color="000000" w:sz="4" w:space="0"/>
              <w:right w:val="single" w:color="000000" w:sz="4" w:space="0"/>
            </w:tcBorders>
            <w:vAlign w:val="center"/>
          </w:tcPr>
          <w:p w14:paraId="0BFD681A">
            <w:pPr>
              <w:spacing w:line="240" w:lineRule="auto"/>
              <w:ind w:firstLine="0" w:firstLineChars="0"/>
              <w:jc w:val="center"/>
              <w:textAlignment w:val="center"/>
              <w:rPr>
                <w:szCs w:val="28"/>
                <w:lang w:bidi="ar"/>
              </w:rPr>
            </w:pPr>
            <w:r>
              <w:rPr>
                <w:szCs w:val="28"/>
                <w:lang w:bidi="ar"/>
              </w:rPr>
              <w:t>9</w:t>
            </w:r>
          </w:p>
        </w:tc>
        <w:tc>
          <w:tcPr>
            <w:tcW w:w="2541" w:type="dxa"/>
            <w:tcBorders>
              <w:top w:val="single" w:color="000000" w:sz="4" w:space="0"/>
              <w:left w:val="single" w:color="000000" w:sz="4" w:space="0"/>
              <w:bottom w:val="single" w:color="000000" w:sz="4" w:space="0"/>
              <w:right w:val="single" w:color="000000" w:sz="4" w:space="0"/>
            </w:tcBorders>
            <w:vAlign w:val="center"/>
          </w:tcPr>
          <w:p w14:paraId="22FF46FD">
            <w:pPr>
              <w:spacing w:line="240" w:lineRule="auto"/>
              <w:ind w:firstLine="0" w:firstLineChars="0"/>
              <w:jc w:val="center"/>
              <w:textAlignment w:val="center"/>
              <w:rPr>
                <w:szCs w:val="28"/>
              </w:rPr>
            </w:pPr>
            <w:r>
              <w:rPr>
                <w:rStyle w:val="19"/>
                <w:rFonts w:ascii="Times New Roman" w:hAnsi="Times New Roman" w:eastAsia="仿宋_GB2312" w:cs="Times New Roman"/>
                <w:color w:val="auto"/>
                <w:sz w:val="28"/>
                <w:szCs w:val="28"/>
                <w:lang w:bidi="ar"/>
              </w:rPr>
              <w:t>重点工业产品碳足迹下降率</w:t>
            </w:r>
          </w:p>
        </w:tc>
        <w:tc>
          <w:tcPr>
            <w:tcW w:w="2746" w:type="dxa"/>
            <w:tcBorders>
              <w:top w:val="single" w:color="000000" w:sz="4" w:space="0"/>
              <w:left w:val="single" w:color="000000" w:sz="4" w:space="0"/>
              <w:bottom w:val="single" w:color="000000" w:sz="4" w:space="0"/>
              <w:right w:val="single" w:color="000000" w:sz="4" w:space="0"/>
            </w:tcBorders>
            <w:vAlign w:val="center"/>
          </w:tcPr>
          <w:p w14:paraId="53F22C2B">
            <w:pPr>
              <w:spacing w:line="240" w:lineRule="auto"/>
              <w:ind w:firstLine="0" w:firstLineChars="0"/>
              <w:jc w:val="center"/>
              <w:textAlignment w:val="center"/>
              <w:rPr>
                <w:szCs w:val="28"/>
                <w:lang w:bidi="ar"/>
              </w:rPr>
            </w:pPr>
            <w:r>
              <w:rPr>
                <w:rStyle w:val="19"/>
                <w:rFonts w:ascii="Times New Roman" w:hAnsi="Times New Roman" w:eastAsia="仿宋_GB2312" w:cs="Times New Roman"/>
                <w:color w:val="auto"/>
                <w:sz w:val="28"/>
                <w:szCs w:val="28"/>
                <w:lang w:bidi="ar"/>
              </w:rPr>
              <w:t>较基准年下降率≥8%</w:t>
            </w:r>
          </w:p>
        </w:tc>
        <w:tc>
          <w:tcPr>
            <w:tcW w:w="1989" w:type="dxa"/>
            <w:tcBorders>
              <w:top w:val="single" w:color="000000" w:sz="4" w:space="0"/>
              <w:left w:val="single" w:color="000000" w:sz="4" w:space="0"/>
              <w:bottom w:val="single" w:color="000000" w:sz="4" w:space="0"/>
              <w:right w:val="single" w:color="000000" w:sz="4" w:space="0"/>
            </w:tcBorders>
            <w:vAlign w:val="center"/>
          </w:tcPr>
          <w:p w14:paraId="208AC8FB">
            <w:pPr>
              <w:spacing w:line="240" w:lineRule="auto"/>
              <w:ind w:firstLine="0" w:firstLineChars="0"/>
              <w:jc w:val="center"/>
              <w:textAlignment w:val="center"/>
              <w:rPr>
                <w:szCs w:val="28"/>
                <w:lang w:bidi="ar"/>
              </w:rPr>
            </w:pPr>
            <w:r>
              <w:rPr>
                <w:rStyle w:val="19"/>
                <w:rFonts w:ascii="Times New Roman" w:hAnsi="Times New Roman" w:eastAsia="仿宋_GB2312" w:cs="Times New Roman"/>
                <w:color w:val="auto"/>
                <w:sz w:val="28"/>
                <w:szCs w:val="28"/>
                <w:lang w:bidi="ar"/>
              </w:rPr>
              <w:t>引导指标</w:t>
            </w:r>
          </w:p>
        </w:tc>
      </w:tr>
      <w:tr w14:paraId="160FF411">
        <w:tblPrEx>
          <w:tblCellMar>
            <w:top w:w="0" w:type="dxa"/>
            <w:left w:w="108" w:type="dxa"/>
            <w:bottom w:w="0" w:type="dxa"/>
            <w:right w:w="108" w:type="dxa"/>
          </w:tblCellMar>
        </w:tblPrEx>
        <w:trPr>
          <w:trHeight w:val="454" w:hRule="atLeast"/>
          <w:jc w:val="center"/>
        </w:trPr>
        <w:tc>
          <w:tcPr>
            <w:tcW w:w="1285" w:type="dxa"/>
            <w:vMerge w:val="continue"/>
            <w:tcBorders>
              <w:left w:val="single" w:color="000000" w:sz="4" w:space="0"/>
              <w:right w:val="single" w:color="000000" w:sz="4" w:space="0"/>
            </w:tcBorders>
            <w:vAlign w:val="center"/>
          </w:tcPr>
          <w:p w14:paraId="2AFFAD2F">
            <w:pPr>
              <w:spacing w:line="240" w:lineRule="auto"/>
              <w:ind w:firstLine="0" w:firstLineChars="0"/>
              <w:jc w:val="center"/>
              <w:textAlignment w:val="center"/>
              <w:rPr>
                <w:szCs w:val="28"/>
                <w:lang w:bidi="ar"/>
              </w:rPr>
            </w:pPr>
          </w:p>
        </w:tc>
        <w:tc>
          <w:tcPr>
            <w:tcW w:w="751" w:type="dxa"/>
            <w:tcBorders>
              <w:top w:val="single" w:color="000000" w:sz="4" w:space="0"/>
              <w:left w:val="single" w:color="000000" w:sz="4" w:space="0"/>
              <w:bottom w:val="single" w:color="000000" w:sz="4" w:space="0"/>
              <w:right w:val="single" w:color="000000" w:sz="4" w:space="0"/>
            </w:tcBorders>
            <w:vAlign w:val="center"/>
          </w:tcPr>
          <w:p w14:paraId="5AB6279A">
            <w:pPr>
              <w:spacing w:line="240" w:lineRule="auto"/>
              <w:ind w:firstLine="0" w:firstLineChars="0"/>
              <w:jc w:val="center"/>
              <w:textAlignment w:val="center"/>
              <w:rPr>
                <w:szCs w:val="28"/>
                <w:lang w:bidi="ar"/>
              </w:rPr>
            </w:pPr>
            <w:r>
              <w:rPr>
                <w:szCs w:val="28"/>
                <w:lang w:bidi="ar"/>
              </w:rPr>
              <w:t>10</w:t>
            </w:r>
          </w:p>
        </w:tc>
        <w:tc>
          <w:tcPr>
            <w:tcW w:w="2541" w:type="dxa"/>
            <w:tcBorders>
              <w:top w:val="single" w:color="000000" w:sz="4" w:space="0"/>
              <w:left w:val="single" w:color="000000" w:sz="4" w:space="0"/>
              <w:bottom w:val="single" w:color="000000" w:sz="4" w:space="0"/>
              <w:right w:val="single" w:color="000000" w:sz="4" w:space="0"/>
            </w:tcBorders>
            <w:vAlign w:val="center"/>
          </w:tcPr>
          <w:p w14:paraId="2BFD16CA">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lang w:bidi="ar"/>
              </w:rPr>
              <w:t>零碳供应链管理措施符合项数</w:t>
            </w:r>
          </w:p>
        </w:tc>
        <w:tc>
          <w:tcPr>
            <w:tcW w:w="2746" w:type="dxa"/>
            <w:tcBorders>
              <w:top w:val="single" w:color="000000" w:sz="4" w:space="0"/>
              <w:left w:val="single" w:color="000000" w:sz="4" w:space="0"/>
              <w:bottom w:val="single" w:color="000000" w:sz="4" w:space="0"/>
              <w:right w:val="single" w:color="000000" w:sz="4" w:space="0"/>
            </w:tcBorders>
            <w:vAlign w:val="center"/>
          </w:tcPr>
          <w:p w14:paraId="42EE2A32">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lang w:bidi="ar"/>
              </w:rPr>
              <w:t>6项管理措施及成效中符合项数≥4项，建设期满≥5项；其中推行绿色低碳物流的，清洁运输比例不低于85%、建设期满达到100%</w:t>
            </w:r>
          </w:p>
        </w:tc>
        <w:tc>
          <w:tcPr>
            <w:tcW w:w="1989" w:type="dxa"/>
            <w:tcBorders>
              <w:top w:val="single" w:color="000000" w:sz="4" w:space="0"/>
              <w:left w:val="single" w:color="000000" w:sz="4" w:space="0"/>
              <w:bottom w:val="single" w:color="000000" w:sz="4" w:space="0"/>
              <w:right w:val="single" w:color="000000" w:sz="4" w:space="0"/>
            </w:tcBorders>
            <w:vAlign w:val="center"/>
          </w:tcPr>
          <w:p w14:paraId="3D39FEE9">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lang w:bidi="ar"/>
              </w:rPr>
              <w:t>引导指标</w:t>
            </w:r>
          </w:p>
        </w:tc>
      </w:tr>
      <w:tr w14:paraId="6368AD1A">
        <w:tblPrEx>
          <w:tblCellMar>
            <w:top w:w="0" w:type="dxa"/>
            <w:left w:w="108" w:type="dxa"/>
            <w:bottom w:w="0" w:type="dxa"/>
            <w:right w:w="108" w:type="dxa"/>
          </w:tblCellMar>
        </w:tblPrEx>
        <w:trPr>
          <w:trHeight w:val="454" w:hRule="atLeast"/>
          <w:jc w:val="center"/>
        </w:trPr>
        <w:tc>
          <w:tcPr>
            <w:tcW w:w="1285" w:type="dxa"/>
            <w:vMerge w:val="restart"/>
            <w:tcBorders>
              <w:top w:val="single" w:color="000000" w:sz="4" w:space="0"/>
              <w:left w:val="single" w:color="000000" w:sz="4" w:space="0"/>
              <w:right w:val="single" w:color="000000" w:sz="4" w:space="0"/>
            </w:tcBorders>
            <w:vAlign w:val="center"/>
          </w:tcPr>
          <w:p w14:paraId="3F24B8B6">
            <w:pPr>
              <w:spacing w:line="240" w:lineRule="auto"/>
              <w:ind w:firstLine="0" w:firstLineChars="0"/>
              <w:jc w:val="center"/>
              <w:textAlignment w:val="center"/>
              <w:rPr>
                <w:szCs w:val="28"/>
                <w:lang w:bidi="ar"/>
              </w:rPr>
            </w:pPr>
            <w:r>
              <w:t>智能控碳</w:t>
            </w:r>
          </w:p>
        </w:tc>
        <w:tc>
          <w:tcPr>
            <w:tcW w:w="751" w:type="dxa"/>
            <w:tcBorders>
              <w:top w:val="single" w:color="000000" w:sz="4" w:space="0"/>
              <w:left w:val="single" w:color="000000" w:sz="4" w:space="0"/>
              <w:bottom w:val="single" w:color="000000" w:sz="4" w:space="0"/>
              <w:right w:val="single" w:color="000000" w:sz="4" w:space="0"/>
            </w:tcBorders>
            <w:vAlign w:val="center"/>
          </w:tcPr>
          <w:p w14:paraId="2CFB70B3">
            <w:pPr>
              <w:spacing w:line="240" w:lineRule="auto"/>
              <w:ind w:firstLine="0" w:firstLineChars="0"/>
              <w:jc w:val="center"/>
              <w:textAlignment w:val="center"/>
              <w:rPr>
                <w:szCs w:val="28"/>
                <w:lang w:bidi="ar"/>
              </w:rPr>
            </w:pPr>
            <w:r>
              <w:rPr>
                <w:szCs w:val="28"/>
                <w:lang w:bidi="ar"/>
              </w:rPr>
              <w:t>11</w:t>
            </w:r>
          </w:p>
        </w:tc>
        <w:tc>
          <w:tcPr>
            <w:tcW w:w="2541" w:type="dxa"/>
            <w:tcBorders>
              <w:top w:val="single" w:color="000000" w:sz="4" w:space="0"/>
              <w:left w:val="single" w:color="000000" w:sz="4" w:space="0"/>
              <w:bottom w:val="single" w:color="000000" w:sz="4" w:space="0"/>
              <w:right w:val="single" w:color="000000" w:sz="4" w:space="0"/>
            </w:tcBorders>
            <w:vAlign w:val="center"/>
          </w:tcPr>
          <w:p w14:paraId="1A30692A">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lang w:bidi="ar"/>
              </w:rPr>
              <w:t>能碳管理中心能源数据自动采集率</w:t>
            </w:r>
          </w:p>
        </w:tc>
        <w:tc>
          <w:tcPr>
            <w:tcW w:w="2746" w:type="dxa"/>
            <w:tcBorders>
              <w:top w:val="single" w:color="000000" w:sz="4" w:space="0"/>
              <w:left w:val="single" w:color="000000" w:sz="4" w:space="0"/>
              <w:bottom w:val="single" w:color="000000" w:sz="4" w:space="0"/>
              <w:right w:val="single" w:color="000000" w:sz="4" w:space="0"/>
            </w:tcBorders>
            <w:vAlign w:val="center"/>
          </w:tcPr>
          <w:p w14:paraId="7384CCD4">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lang w:bidi="ar"/>
              </w:rPr>
              <w:t>≥90%，建设期满100%。申报单位能源计量器具配备率应符合GB 17167—2025要求</w:t>
            </w:r>
          </w:p>
        </w:tc>
        <w:tc>
          <w:tcPr>
            <w:tcW w:w="1989" w:type="dxa"/>
            <w:tcBorders>
              <w:top w:val="single" w:color="000000" w:sz="4" w:space="0"/>
              <w:left w:val="single" w:color="000000" w:sz="4" w:space="0"/>
              <w:bottom w:val="single" w:color="000000" w:sz="4" w:space="0"/>
              <w:right w:val="single" w:color="000000" w:sz="4" w:space="0"/>
            </w:tcBorders>
            <w:vAlign w:val="center"/>
          </w:tcPr>
          <w:p w14:paraId="2CB50AD6">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lang w:bidi="ar"/>
              </w:rPr>
              <w:t>核心指标</w:t>
            </w:r>
          </w:p>
        </w:tc>
      </w:tr>
      <w:tr w14:paraId="756BAE65">
        <w:tblPrEx>
          <w:tblCellMar>
            <w:top w:w="0" w:type="dxa"/>
            <w:left w:w="108" w:type="dxa"/>
            <w:bottom w:w="0" w:type="dxa"/>
            <w:right w:w="108" w:type="dxa"/>
          </w:tblCellMar>
        </w:tblPrEx>
        <w:trPr>
          <w:trHeight w:val="454" w:hRule="atLeast"/>
          <w:jc w:val="center"/>
        </w:trPr>
        <w:tc>
          <w:tcPr>
            <w:tcW w:w="1285" w:type="dxa"/>
            <w:vMerge w:val="continue"/>
            <w:tcBorders>
              <w:left w:val="single" w:color="000000" w:sz="4" w:space="0"/>
              <w:bottom w:val="single" w:color="auto" w:sz="4" w:space="0"/>
              <w:right w:val="single" w:color="000000" w:sz="4" w:space="0"/>
            </w:tcBorders>
            <w:vAlign w:val="center"/>
          </w:tcPr>
          <w:p w14:paraId="79DE6103">
            <w:pPr>
              <w:spacing w:line="240" w:lineRule="auto"/>
              <w:ind w:firstLine="0" w:firstLineChars="0"/>
              <w:jc w:val="center"/>
              <w:textAlignment w:val="center"/>
              <w:rPr>
                <w:szCs w:val="28"/>
                <w:lang w:bidi="ar"/>
              </w:rPr>
            </w:pPr>
          </w:p>
        </w:tc>
        <w:tc>
          <w:tcPr>
            <w:tcW w:w="751" w:type="dxa"/>
            <w:tcBorders>
              <w:top w:val="single" w:color="000000" w:sz="4" w:space="0"/>
              <w:left w:val="single" w:color="000000" w:sz="4" w:space="0"/>
              <w:bottom w:val="single" w:color="auto" w:sz="4" w:space="0"/>
              <w:right w:val="single" w:color="000000" w:sz="4" w:space="0"/>
            </w:tcBorders>
            <w:vAlign w:val="center"/>
          </w:tcPr>
          <w:p w14:paraId="5EAF757D">
            <w:pPr>
              <w:spacing w:line="240" w:lineRule="auto"/>
              <w:ind w:firstLine="0" w:firstLineChars="0"/>
              <w:jc w:val="center"/>
              <w:textAlignment w:val="center"/>
              <w:rPr>
                <w:szCs w:val="28"/>
                <w:lang w:bidi="ar"/>
              </w:rPr>
            </w:pPr>
            <w:r>
              <w:rPr>
                <w:szCs w:val="28"/>
                <w:lang w:bidi="ar"/>
              </w:rPr>
              <w:t>12</w:t>
            </w:r>
          </w:p>
        </w:tc>
        <w:tc>
          <w:tcPr>
            <w:tcW w:w="2541" w:type="dxa"/>
            <w:tcBorders>
              <w:top w:val="single" w:color="000000" w:sz="4" w:space="0"/>
              <w:left w:val="single" w:color="000000" w:sz="4" w:space="0"/>
              <w:bottom w:val="single" w:color="auto" w:sz="4" w:space="0"/>
              <w:right w:val="single" w:color="000000" w:sz="4" w:space="0"/>
            </w:tcBorders>
            <w:vAlign w:val="center"/>
          </w:tcPr>
          <w:p w14:paraId="363F05DB">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lang w:bidi="ar"/>
              </w:rPr>
              <w:t>能碳管理中心功能符合项数</w:t>
            </w:r>
          </w:p>
        </w:tc>
        <w:tc>
          <w:tcPr>
            <w:tcW w:w="2746" w:type="dxa"/>
            <w:tcBorders>
              <w:top w:val="single" w:color="000000" w:sz="4" w:space="0"/>
              <w:left w:val="single" w:color="000000" w:sz="4" w:space="0"/>
              <w:bottom w:val="single" w:color="auto" w:sz="4" w:space="0"/>
              <w:right w:val="single" w:color="000000" w:sz="4" w:space="0"/>
            </w:tcBorders>
            <w:vAlign w:val="center"/>
          </w:tcPr>
          <w:p w14:paraId="47C760B7">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rPr>
              <w:t>按照《工业企业和园区数字化能碳管理中心建设指南》建设运营数字化能碳管理平台并稳定运行1年以上，13项功能中符合项数≥10项，建设期满达到13项</w:t>
            </w:r>
          </w:p>
        </w:tc>
        <w:tc>
          <w:tcPr>
            <w:tcW w:w="1989" w:type="dxa"/>
            <w:tcBorders>
              <w:top w:val="single" w:color="000000" w:sz="4" w:space="0"/>
              <w:left w:val="single" w:color="000000" w:sz="4" w:space="0"/>
              <w:bottom w:val="single" w:color="auto" w:sz="4" w:space="0"/>
              <w:right w:val="single" w:color="000000" w:sz="4" w:space="0"/>
            </w:tcBorders>
            <w:vAlign w:val="center"/>
          </w:tcPr>
          <w:p w14:paraId="784EF385">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lang w:bidi="ar"/>
              </w:rPr>
              <w:t>核心指标</w:t>
            </w:r>
          </w:p>
        </w:tc>
      </w:tr>
      <w:tr w14:paraId="69D90CAA">
        <w:tblPrEx>
          <w:tblCellMar>
            <w:top w:w="0" w:type="dxa"/>
            <w:left w:w="108" w:type="dxa"/>
            <w:bottom w:w="0" w:type="dxa"/>
            <w:right w:w="108" w:type="dxa"/>
          </w:tblCellMar>
        </w:tblPrEx>
        <w:trPr>
          <w:trHeight w:val="454" w:hRule="atLeast"/>
          <w:jc w:val="center"/>
        </w:trPr>
        <w:tc>
          <w:tcPr>
            <w:tcW w:w="1285" w:type="dxa"/>
            <w:vMerge w:val="restart"/>
            <w:tcBorders>
              <w:top w:val="single" w:color="auto" w:sz="4" w:space="0"/>
              <w:left w:val="single" w:color="auto" w:sz="4" w:space="0"/>
              <w:bottom w:val="single" w:color="auto" w:sz="4" w:space="0"/>
              <w:right w:val="single" w:color="auto" w:sz="4" w:space="0"/>
            </w:tcBorders>
            <w:vAlign w:val="center"/>
          </w:tcPr>
          <w:p w14:paraId="44506029">
            <w:pPr>
              <w:spacing w:line="240" w:lineRule="auto"/>
              <w:ind w:firstLine="0" w:firstLineChars="0"/>
              <w:jc w:val="center"/>
              <w:textAlignment w:val="center"/>
              <w:rPr>
                <w:szCs w:val="28"/>
                <w:lang w:bidi="ar"/>
              </w:rPr>
            </w:pPr>
            <w:r>
              <w:rPr>
                <w:rStyle w:val="19"/>
                <w:rFonts w:ascii="Times New Roman" w:hAnsi="Times New Roman" w:eastAsia="仿宋_GB2312" w:cs="Times New Roman"/>
                <w:color w:val="auto"/>
                <w:sz w:val="28"/>
                <w:szCs w:val="28"/>
                <w:lang w:bidi="ar"/>
              </w:rPr>
              <w:t>碳抵销和信息披露</w:t>
            </w:r>
          </w:p>
        </w:tc>
        <w:tc>
          <w:tcPr>
            <w:tcW w:w="751" w:type="dxa"/>
            <w:tcBorders>
              <w:top w:val="single" w:color="auto" w:sz="4" w:space="0"/>
              <w:left w:val="single" w:color="auto" w:sz="4" w:space="0"/>
              <w:bottom w:val="single" w:color="auto" w:sz="4" w:space="0"/>
              <w:right w:val="single" w:color="auto" w:sz="4" w:space="0"/>
            </w:tcBorders>
            <w:vAlign w:val="center"/>
          </w:tcPr>
          <w:p w14:paraId="73AC8BBB">
            <w:pPr>
              <w:spacing w:line="240" w:lineRule="auto"/>
              <w:ind w:firstLine="0" w:firstLineChars="0"/>
              <w:jc w:val="center"/>
              <w:textAlignment w:val="center"/>
              <w:rPr>
                <w:szCs w:val="28"/>
                <w:lang w:bidi="ar"/>
              </w:rPr>
            </w:pPr>
            <w:r>
              <w:rPr>
                <w:szCs w:val="28"/>
                <w:lang w:bidi="ar"/>
              </w:rPr>
              <w:t>13</w:t>
            </w:r>
          </w:p>
        </w:tc>
        <w:tc>
          <w:tcPr>
            <w:tcW w:w="2541" w:type="dxa"/>
            <w:tcBorders>
              <w:top w:val="single" w:color="auto" w:sz="4" w:space="0"/>
              <w:left w:val="single" w:color="auto" w:sz="4" w:space="0"/>
              <w:bottom w:val="single" w:color="auto" w:sz="4" w:space="0"/>
              <w:right w:val="single" w:color="auto" w:sz="4" w:space="0"/>
            </w:tcBorders>
            <w:vAlign w:val="center"/>
          </w:tcPr>
          <w:p w14:paraId="3B71D879">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lang w:bidi="ar"/>
              </w:rPr>
              <w:t>碳排放信息披露透明度与质量</w:t>
            </w:r>
          </w:p>
        </w:tc>
        <w:tc>
          <w:tcPr>
            <w:tcW w:w="2746" w:type="dxa"/>
            <w:tcBorders>
              <w:top w:val="single" w:color="auto" w:sz="4" w:space="0"/>
              <w:left w:val="single" w:color="auto" w:sz="4" w:space="0"/>
              <w:bottom w:val="single" w:color="auto" w:sz="4" w:space="0"/>
              <w:right w:val="single" w:color="auto" w:sz="4" w:space="0"/>
            </w:tcBorders>
            <w:vAlign w:val="center"/>
          </w:tcPr>
          <w:p w14:paraId="3037C3CE">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lang w:bidi="ar"/>
              </w:rPr>
              <w:t>按年度通过可持续发展报告、环境社会和公司治理（ESG）报告、零碳工厂建设报告等载体，公开披露碳排放信息、产品碳足迹信息、碳抵销情况及建设成效，披露率100%且数据经第三方核查</w:t>
            </w:r>
          </w:p>
        </w:tc>
        <w:tc>
          <w:tcPr>
            <w:tcW w:w="1989" w:type="dxa"/>
            <w:tcBorders>
              <w:top w:val="single" w:color="auto" w:sz="4" w:space="0"/>
              <w:left w:val="single" w:color="auto" w:sz="4" w:space="0"/>
              <w:bottom w:val="single" w:color="auto" w:sz="4" w:space="0"/>
              <w:right w:val="single" w:color="auto" w:sz="4" w:space="0"/>
            </w:tcBorders>
            <w:vAlign w:val="center"/>
          </w:tcPr>
          <w:p w14:paraId="27095DBE">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lang w:bidi="ar"/>
              </w:rPr>
              <w:t>核心指标</w:t>
            </w:r>
          </w:p>
        </w:tc>
      </w:tr>
      <w:tr w14:paraId="42618037">
        <w:tblPrEx>
          <w:tblCellMar>
            <w:top w:w="0" w:type="dxa"/>
            <w:left w:w="108" w:type="dxa"/>
            <w:bottom w:w="0" w:type="dxa"/>
            <w:right w:w="108" w:type="dxa"/>
          </w:tblCellMar>
        </w:tblPrEx>
        <w:trPr>
          <w:trHeight w:val="3640" w:hRule="atLeast"/>
          <w:jc w:val="center"/>
        </w:trPr>
        <w:tc>
          <w:tcPr>
            <w:tcW w:w="1285" w:type="dxa"/>
            <w:vMerge w:val="continue"/>
            <w:tcBorders>
              <w:top w:val="single" w:color="auto" w:sz="4" w:space="0"/>
              <w:left w:val="single" w:color="auto" w:sz="4" w:space="0"/>
              <w:bottom w:val="single" w:color="auto" w:sz="4" w:space="0"/>
              <w:right w:val="single" w:color="auto" w:sz="4" w:space="0"/>
            </w:tcBorders>
            <w:vAlign w:val="center"/>
          </w:tcPr>
          <w:p w14:paraId="3906A94A">
            <w:pPr>
              <w:spacing w:line="240" w:lineRule="auto"/>
              <w:ind w:firstLine="0" w:firstLineChars="0"/>
              <w:jc w:val="center"/>
              <w:textAlignment w:val="center"/>
              <w:rPr>
                <w:szCs w:val="28"/>
                <w:lang w:bidi="ar"/>
              </w:rPr>
            </w:pPr>
          </w:p>
        </w:tc>
        <w:tc>
          <w:tcPr>
            <w:tcW w:w="751" w:type="dxa"/>
            <w:tcBorders>
              <w:top w:val="single" w:color="auto" w:sz="4" w:space="0"/>
              <w:left w:val="single" w:color="auto" w:sz="4" w:space="0"/>
              <w:bottom w:val="single" w:color="auto" w:sz="4" w:space="0"/>
              <w:right w:val="single" w:color="auto" w:sz="4" w:space="0"/>
            </w:tcBorders>
            <w:vAlign w:val="center"/>
          </w:tcPr>
          <w:p w14:paraId="071D4991">
            <w:pPr>
              <w:spacing w:line="240" w:lineRule="auto"/>
              <w:ind w:firstLine="0" w:firstLineChars="0"/>
              <w:jc w:val="center"/>
              <w:textAlignment w:val="center"/>
              <w:rPr>
                <w:szCs w:val="28"/>
                <w:lang w:bidi="ar"/>
              </w:rPr>
            </w:pPr>
            <w:r>
              <w:rPr>
                <w:szCs w:val="28"/>
                <w:lang w:bidi="ar"/>
              </w:rPr>
              <w:t>14</w:t>
            </w:r>
          </w:p>
        </w:tc>
        <w:tc>
          <w:tcPr>
            <w:tcW w:w="2541" w:type="dxa"/>
            <w:tcBorders>
              <w:top w:val="single" w:color="auto" w:sz="4" w:space="0"/>
              <w:left w:val="single" w:color="auto" w:sz="4" w:space="0"/>
              <w:bottom w:val="single" w:color="auto" w:sz="4" w:space="0"/>
              <w:right w:val="single" w:color="auto" w:sz="4" w:space="0"/>
            </w:tcBorders>
            <w:vAlign w:val="center"/>
          </w:tcPr>
          <w:p w14:paraId="4E07DA99">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lang w:bidi="ar"/>
              </w:rPr>
              <w:t>碳抵销情况</w:t>
            </w:r>
          </w:p>
        </w:tc>
        <w:tc>
          <w:tcPr>
            <w:tcW w:w="2746" w:type="dxa"/>
            <w:tcBorders>
              <w:top w:val="single" w:color="auto" w:sz="4" w:space="0"/>
              <w:left w:val="single" w:color="auto" w:sz="4" w:space="0"/>
              <w:bottom w:val="single" w:color="auto" w:sz="4" w:space="0"/>
              <w:right w:val="single" w:color="auto" w:sz="4" w:space="0"/>
            </w:tcBorders>
            <w:vAlign w:val="center"/>
          </w:tcPr>
          <w:p w14:paraId="5E9A8C67">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lang w:bidi="ar"/>
              </w:rPr>
              <w:t>优先实施自身减排，剩余排放可采用国家核证自愿减排量（CCER）、广东省碳普惠核证减排量（PHCER）等符合规定的碳信用抵销，并披露抵销量、来源项目、产生年份及注销凭证</w:t>
            </w:r>
          </w:p>
        </w:tc>
        <w:tc>
          <w:tcPr>
            <w:tcW w:w="1989" w:type="dxa"/>
            <w:tcBorders>
              <w:top w:val="single" w:color="auto" w:sz="4" w:space="0"/>
              <w:left w:val="single" w:color="auto" w:sz="4" w:space="0"/>
              <w:bottom w:val="single" w:color="auto" w:sz="4" w:space="0"/>
              <w:right w:val="single" w:color="auto" w:sz="4" w:space="0"/>
            </w:tcBorders>
            <w:vAlign w:val="center"/>
          </w:tcPr>
          <w:p w14:paraId="6B8EA6C2">
            <w:pPr>
              <w:spacing w:line="240" w:lineRule="auto"/>
              <w:ind w:firstLine="0" w:firstLineChars="0"/>
              <w:jc w:val="center"/>
              <w:textAlignment w:val="center"/>
              <w:rPr>
                <w:rStyle w:val="19"/>
                <w:rFonts w:ascii="Times New Roman" w:hAnsi="Times New Roman" w:eastAsia="仿宋_GB2312" w:cs="Times New Roman"/>
                <w:color w:val="auto"/>
                <w:sz w:val="28"/>
                <w:szCs w:val="28"/>
                <w:lang w:bidi="ar"/>
              </w:rPr>
            </w:pPr>
            <w:r>
              <w:rPr>
                <w:szCs w:val="28"/>
                <w:lang w:bidi="ar"/>
              </w:rPr>
              <w:t>引导指标</w:t>
            </w:r>
          </w:p>
        </w:tc>
      </w:tr>
    </w:tbl>
    <w:p w14:paraId="4096ADE7">
      <w:pPr>
        <w:ind w:firstLine="0" w:firstLineChars="0"/>
        <w:jc w:val="left"/>
        <w:rPr>
          <w:sz w:val="30"/>
          <w:szCs w:val="30"/>
        </w:rPr>
      </w:pPr>
    </w:p>
    <w:p w14:paraId="10E282A9">
      <w:pPr>
        <w:ind w:firstLine="640"/>
        <w:jc w:val="left"/>
        <w:rPr>
          <w:rStyle w:val="19"/>
          <w:rFonts w:ascii="Times New Roman" w:hAnsi="Times New Roman" w:eastAsia="仿宋_GB2312" w:cs="Times New Roman"/>
          <w:color w:val="auto"/>
          <w:sz w:val="32"/>
          <w:szCs w:val="32"/>
          <w:lang w:bidi="ar"/>
        </w:rPr>
      </w:pPr>
      <w:r>
        <w:rPr>
          <w:sz w:val="32"/>
          <w:szCs w:val="32"/>
        </w:rPr>
        <w:t>注</w:t>
      </w:r>
      <w:r>
        <w:rPr>
          <w:rFonts w:hint="eastAsia"/>
          <w:sz w:val="32"/>
          <w:szCs w:val="32"/>
        </w:rPr>
        <w:t>1：</w:t>
      </w:r>
      <w:r>
        <w:rPr>
          <w:sz w:val="32"/>
          <w:szCs w:val="32"/>
        </w:rPr>
        <w:t>“核心指标”的为必达指标，其要求不低于国家级零碳工厂基本要求；其中新一代电子信息、半导体与集成电路、超高清视频显示、锂电池等以电力为主要用能品种的行业，</w:t>
      </w:r>
      <w:r>
        <w:rPr>
          <w:rStyle w:val="19"/>
          <w:rFonts w:ascii="Times New Roman" w:hAnsi="Times New Roman" w:eastAsia="仿宋_GB2312" w:cs="Times New Roman"/>
          <w:color w:val="auto"/>
          <w:sz w:val="32"/>
          <w:szCs w:val="32"/>
          <w:lang w:bidi="ar"/>
        </w:rPr>
        <w:t>单位能耗碳排放基本要求为1.</w:t>
      </w:r>
      <w:r>
        <w:rPr>
          <w:rStyle w:val="19"/>
          <w:rFonts w:ascii="Times New Roman" w:hAnsi="Times New Roman" w:cs="Times New Roman"/>
          <w:color w:val="auto"/>
          <w:sz w:val="32"/>
          <w:szCs w:val="32"/>
          <w:lang w:bidi="ar"/>
        </w:rPr>
        <w:t>5</w:t>
      </w:r>
      <w:r>
        <w:rPr>
          <w:rStyle w:val="19"/>
          <w:rFonts w:ascii="Times New Roman" w:hAnsi="Times New Roman" w:eastAsia="仿宋_GB2312" w:cs="Times New Roman"/>
          <w:color w:val="auto"/>
          <w:sz w:val="32"/>
          <w:szCs w:val="32"/>
          <w:lang w:bidi="ar"/>
        </w:rPr>
        <w:t>tCO</w:t>
      </w:r>
      <w:r>
        <w:rPr>
          <w:rStyle w:val="19"/>
          <w:rFonts w:ascii="Times New Roman" w:hAnsi="Times New Roman" w:eastAsia="仿宋_GB2312" w:cs="Times New Roman"/>
          <w:color w:val="auto"/>
          <w:sz w:val="32"/>
          <w:szCs w:val="32"/>
          <w:vertAlign w:val="subscript"/>
          <w:lang w:bidi="ar"/>
        </w:rPr>
        <w:t>2</w:t>
      </w:r>
      <w:r>
        <w:rPr>
          <w:rStyle w:val="19"/>
          <w:rFonts w:ascii="Times New Roman" w:hAnsi="Times New Roman" w:eastAsia="仿宋_GB2312" w:cs="Times New Roman"/>
          <w:color w:val="auto"/>
          <w:sz w:val="32"/>
          <w:szCs w:val="32"/>
          <w:lang w:bidi="ar"/>
        </w:rPr>
        <w:t>/tce；</w:t>
      </w:r>
    </w:p>
    <w:p w14:paraId="48DB642C">
      <w:pPr>
        <w:ind w:firstLine="640"/>
        <w:jc w:val="left"/>
        <w:rPr>
          <w:sz w:val="32"/>
          <w:szCs w:val="32"/>
          <w:lang w:bidi="ar"/>
        </w:rPr>
      </w:pPr>
      <w:r>
        <w:rPr>
          <w:sz w:val="32"/>
          <w:szCs w:val="32"/>
          <w:lang w:bidi="ar"/>
        </w:rPr>
        <w:t>注2：</w:t>
      </w:r>
      <w:r>
        <w:rPr>
          <w:sz w:val="32"/>
          <w:szCs w:val="32"/>
        </w:rPr>
        <w:t>引导指标鼓励达标，作为择优确定名单和评估验收的参考依据</w:t>
      </w:r>
      <w:r>
        <w:rPr>
          <w:rFonts w:hint="eastAsia"/>
          <w:sz w:val="32"/>
          <w:szCs w:val="32"/>
        </w:rPr>
        <w:t>；</w:t>
      </w:r>
    </w:p>
    <w:p w14:paraId="2782A969">
      <w:pPr>
        <w:ind w:firstLine="640"/>
        <w:jc w:val="left"/>
        <w:rPr>
          <w:sz w:val="32"/>
          <w:szCs w:val="32"/>
        </w:rPr>
      </w:pPr>
      <w:r>
        <w:rPr>
          <w:rStyle w:val="19"/>
          <w:rFonts w:hint="eastAsia" w:ascii="Times New Roman" w:hAnsi="Times New Roman" w:cs="Times New Roman"/>
          <w:color w:val="auto"/>
          <w:sz w:val="32"/>
          <w:szCs w:val="32"/>
          <w:lang w:bidi="ar"/>
        </w:rPr>
        <w:t>注</w:t>
      </w:r>
      <w:r>
        <w:rPr>
          <w:rStyle w:val="19"/>
          <w:rFonts w:hint="eastAsia" w:cs="Times New Roman"/>
          <w:color w:val="auto"/>
          <w:sz w:val="32"/>
          <w:szCs w:val="32"/>
          <w:lang w:bidi="ar"/>
        </w:rPr>
        <w:t>3</w:t>
      </w:r>
      <w:r>
        <w:rPr>
          <w:rStyle w:val="19"/>
          <w:rFonts w:hint="eastAsia" w:ascii="Times New Roman" w:hAnsi="Times New Roman" w:cs="Times New Roman"/>
          <w:color w:val="auto"/>
          <w:sz w:val="32"/>
          <w:szCs w:val="32"/>
          <w:lang w:bidi="ar"/>
        </w:rPr>
        <w:t>：</w:t>
      </w:r>
      <w:r>
        <w:rPr>
          <w:sz w:val="32"/>
          <w:szCs w:val="32"/>
        </w:rPr>
        <w:t>验收时各项指标达成情况原则上应较申报时持续改善</w:t>
      </w:r>
      <w:r>
        <w:rPr>
          <w:rFonts w:hint="eastAsia"/>
          <w:sz w:val="32"/>
          <w:szCs w:val="32"/>
        </w:rPr>
        <w:t>；</w:t>
      </w:r>
    </w:p>
    <w:p w14:paraId="46C0B2A2">
      <w:pPr>
        <w:ind w:firstLine="640"/>
        <w:jc w:val="left"/>
        <w:rPr>
          <w:sz w:val="32"/>
          <w:szCs w:val="32"/>
          <w:lang w:bidi="ar"/>
        </w:rPr>
      </w:pPr>
      <w:r>
        <w:rPr>
          <w:sz w:val="32"/>
          <w:szCs w:val="32"/>
          <w:lang w:bidi="ar"/>
        </w:rPr>
        <w:t>注</w:t>
      </w:r>
      <w:r>
        <w:rPr>
          <w:rFonts w:hint="eastAsia"/>
          <w:sz w:val="32"/>
          <w:szCs w:val="32"/>
          <w:lang w:bidi="ar"/>
        </w:rPr>
        <w:t>4</w:t>
      </w:r>
      <w:r>
        <w:rPr>
          <w:sz w:val="32"/>
          <w:szCs w:val="32"/>
          <w:lang w:bidi="ar"/>
        </w:rPr>
        <w:t>：“单位工业增加值能耗”不适用于算力设施。</w:t>
      </w:r>
    </w:p>
    <w:p w14:paraId="63E3A613">
      <w:pPr>
        <w:pStyle w:val="2"/>
        <w:numPr>
          <w:ilvl w:val="0"/>
          <w:numId w:val="1"/>
        </w:numPr>
        <w:rPr>
          <w:rFonts w:hint="eastAsia"/>
        </w:rPr>
      </w:pPr>
      <w:r>
        <w:t>指标说明</w:t>
      </w:r>
    </w:p>
    <w:p w14:paraId="02024F7D">
      <w:pPr>
        <w:pStyle w:val="3"/>
        <w:spacing w:before="120" w:after="60"/>
        <w:ind w:firstLine="640"/>
      </w:pPr>
      <w:r>
        <w:t>（一）</w:t>
      </w:r>
      <w:r>
        <w:rPr>
          <w:rFonts w:hint="eastAsia"/>
        </w:rPr>
        <w:t>国家指标</w:t>
      </w:r>
    </w:p>
    <w:p w14:paraId="328C9674">
      <w:pPr>
        <w:ind w:firstLine="640"/>
      </w:pPr>
      <w:r>
        <w:rPr>
          <w:sz w:val="32"/>
          <w:szCs w:val="32"/>
        </w:rPr>
        <w:t>单位能耗碳排放、非化石能源消费占比、非化石能源电力消费物理认定量占比、单位工业增加值能耗、节能装备应用占比、碳清除率、开展产品碳足迹分析占比、零碳供应链管理措施符合项数、能碳管理中心能源数据自动采集率、能碳管理中心功能符合项数、碳排放信息披露透明度与质量等指标，其指标定义、计算方法、核算边界、排放因子取值、能源折标系数及各项注释，均按照《国家级零碳工厂建设评估指标体系及指标说明（试行）》（工信厅节函〔2026〕334号附件1）执行，本说明不再重复规定。国家有关标准、规范和政策调整的，从其规定。</w:t>
      </w:r>
    </w:p>
    <w:p w14:paraId="7F3F84B7">
      <w:pPr>
        <w:pStyle w:val="3"/>
        <w:spacing w:before="120" w:after="60"/>
        <w:ind w:firstLine="640"/>
      </w:pPr>
      <w:r>
        <w:t>（二）</w:t>
      </w:r>
      <w:r>
        <w:rPr>
          <w:rFonts w:hint="eastAsia"/>
        </w:rPr>
        <w:t>我省</w:t>
      </w:r>
      <w:r>
        <w:t>特色指标</w:t>
      </w:r>
    </w:p>
    <w:p w14:paraId="103A3540">
      <w:pPr>
        <w:ind w:firstLine="643"/>
      </w:pPr>
      <w:r>
        <w:rPr>
          <w:rFonts w:hint="eastAsia" w:eastAsia="楷体_GB2312"/>
          <w:b/>
          <w:bCs/>
          <w:sz w:val="32"/>
          <w:szCs w:val="32"/>
        </w:rPr>
        <w:t>1.</w:t>
      </w:r>
      <w:r>
        <w:rPr>
          <w:rFonts w:eastAsia="楷体_GB2312"/>
          <w:b/>
          <w:bCs/>
          <w:sz w:val="32"/>
          <w:szCs w:val="32"/>
        </w:rPr>
        <w:t xml:space="preserve"> 清洁低碳氢替代应用情况</w:t>
      </w:r>
    </w:p>
    <w:p w14:paraId="20713F2C">
      <w:pPr>
        <w:ind w:firstLine="640"/>
        <w:rPr>
          <w:sz w:val="32"/>
          <w:szCs w:val="32"/>
        </w:rPr>
      </w:pPr>
      <w:r>
        <w:rPr>
          <w:sz w:val="32"/>
          <w:szCs w:val="32"/>
        </w:rPr>
        <w:t>指统计期内申报单位在生产工艺、动力供应、厂内运输等环节，以清洁低碳氢及其衍生物（绿氨、绿色甲醇等）替代化石能源或化石基原料的应用情况，以应用场景符合项数和清洁低碳氢替代率共同表征。</w:t>
      </w:r>
    </w:p>
    <w:p w14:paraId="46A7F542">
      <w:pPr>
        <w:ind w:firstLine="640"/>
      </w:pPr>
      <w:r>
        <w:rPr>
          <w:sz w:val="32"/>
          <w:szCs w:val="32"/>
        </w:rPr>
        <w:t>应用场景包括：</w:t>
      </w:r>
    </w:p>
    <w:p w14:paraId="44AB9666">
      <w:pPr>
        <w:ind w:firstLine="640"/>
      </w:pPr>
      <w:r>
        <w:rPr>
          <w:sz w:val="32"/>
          <w:szCs w:val="32"/>
        </w:rPr>
        <w:t>（1）氢冶金、氢基化工等工艺用氢替代；</w:t>
      </w:r>
    </w:p>
    <w:p w14:paraId="6EBD7F3B">
      <w:pPr>
        <w:ind w:firstLine="640"/>
      </w:pPr>
      <w:r>
        <w:rPr>
          <w:sz w:val="32"/>
          <w:szCs w:val="32"/>
        </w:rPr>
        <w:t>（2）工业窑炉、工业锅炉掺氢或全氢燃烧；</w:t>
      </w:r>
    </w:p>
    <w:p w14:paraId="0D5A0B40">
      <w:pPr>
        <w:ind w:firstLine="640"/>
      </w:pPr>
      <w:r>
        <w:rPr>
          <w:sz w:val="32"/>
          <w:szCs w:val="32"/>
        </w:rPr>
        <w:t>（3）绿氨、绿色甲醇作为燃料或原料替代化石燃料、化石基原料；</w:t>
      </w:r>
    </w:p>
    <w:p w14:paraId="6DF1222D">
      <w:pPr>
        <w:ind w:firstLine="640"/>
      </w:pPr>
      <w:r>
        <w:rPr>
          <w:sz w:val="32"/>
          <w:szCs w:val="32"/>
        </w:rPr>
        <w:t>（4）氢燃料电池汽车、叉车等厂内运输装备应用；</w:t>
      </w:r>
    </w:p>
    <w:p w14:paraId="11851945">
      <w:pPr>
        <w:ind w:firstLine="640"/>
      </w:pPr>
      <w:r>
        <w:rPr>
          <w:sz w:val="32"/>
          <w:szCs w:val="32"/>
        </w:rPr>
        <w:t>（5）氢动力船舶、航空、轨道交通装备配套产品供应或示范应用；</w:t>
      </w:r>
    </w:p>
    <w:p w14:paraId="5D3B22A0">
      <w:pPr>
        <w:ind w:firstLine="640"/>
      </w:pPr>
      <w:r>
        <w:rPr>
          <w:sz w:val="32"/>
          <w:szCs w:val="32"/>
        </w:rPr>
        <w:t>（6）氢储能、氢电耦合参与厂区调峰。</w:t>
      </w:r>
    </w:p>
    <w:p w14:paraId="4C2BD6DD">
      <w:pPr>
        <w:ind w:firstLine="640"/>
        <w:rPr>
          <w:highlight w:val="yellow"/>
        </w:rPr>
      </w:pPr>
      <w:r>
        <w:rPr>
          <w:sz w:val="32"/>
          <w:szCs w:val="32"/>
        </w:rPr>
        <w:t>清洁低碳氢替代率按下式计算。</w:t>
      </w:r>
    </w:p>
    <w:p w14:paraId="36354E93">
      <w:pPr>
        <w:ind w:firstLine="640"/>
        <w:jc w:val="center"/>
      </w:pPr>
      <w:r>
        <w:rPr>
          <w:sz w:val="32"/>
          <w:szCs w:val="32"/>
        </w:rPr>
        <w:t>R</w:t>
      </w:r>
      <w:r>
        <w:rPr>
          <w:sz w:val="32"/>
          <w:szCs w:val="32"/>
          <w:vertAlign w:val="subscript"/>
        </w:rPr>
        <w:t>h</w:t>
      </w:r>
      <w:r>
        <w:rPr>
          <w:sz w:val="32"/>
          <w:szCs w:val="32"/>
        </w:rPr>
        <w:t>＝E</w:t>
      </w:r>
      <w:r>
        <w:rPr>
          <w:sz w:val="32"/>
          <w:szCs w:val="32"/>
          <w:vertAlign w:val="subscript"/>
        </w:rPr>
        <w:t>h</w:t>
      </w:r>
      <w:r>
        <w:rPr>
          <w:sz w:val="32"/>
          <w:szCs w:val="32"/>
        </w:rPr>
        <w:t>/（E</w:t>
      </w:r>
      <w:r>
        <w:rPr>
          <w:sz w:val="32"/>
          <w:szCs w:val="32"/>
          <w:vertAlign w:val="subscript"/>
        </w:rPr>
        <w:t>h</w:t>
      </w:r>
      <w:r>
        <w:rPr>
          <w:sz w:val="32"/>
          <w:szCs w:val="32"/>
        </w:rPr>
        <w:t>＋E</w:t>
      </w:r>
      <w:r>
        <w:rPr>
          <w:sz w:val="32"/>
          <w:szCs w:val="32"/>
          <w:vertAlign w:val="subscript"/>
        </w:rPr>
        <w:t>f</w:t>
      </w:r>
      <w:r>
        <w:rPr>
          <w:sz w:val="32"/>
          <w:szCs w:val="32"/>
        </w:rPr>
        <w:t>）×100%</w:t>
      </w:r>
    </w:p>
    <w:p w14:paraId="162869F4">
      <w:pPr>
        <w:ind w:firstLine="640"/>
      </w:pPr>
      <w:r>
        <w:rPr>
          <w:sz w:val="32"/>
          <w:szCs w:val="32"/>
        </w:rPr>
        <w:t>式中：</w:t>
      </w:r>
    </w:p>
    <w:p w14:paraId="7835F624">
      <w:pPr>
        <w:ind w:firstLine="640"/>
      </w:pPr>
      <w:r>
        <w:rPr>
          <w:sz w:val="32"/>
          <w:szCs w:val="32"/>
        </w:rPr>
        <w:t>R</w:t>
      </w:r>
      <w:r>
        <w:rPr>
          <w:sz w:val="32"/>
          <w:szCs w:val="32"/>
          <w:vertAlign w:val="subscript"/>
        </w:rPr>
        <w:t>h</w:t>
      </w:r>
      <w:r>
        <w:rPr>
          <w:sz w:val="32"/>
          <w:szCs w:val="32"/>
        </w:rPr>
        <w:t>——清洁低碳氢替代率，单位为百分比（%）；</w:t>
      </w:r>
    </w:p>
    <w:p w14:paraId="43D8D413">
      <w:pPr>
        <w:ind w:firstLine="640"/>
      </w:pPr>
      <w:r>
        <w:rPr>
          <w:sz w:val="32"/>
          <w:szCs w:val="32"/>
        </w:rPr>
        <w:t>E</w:t>
      </w:r>
      <w:r>
        <w:rPr>
          <w:sz w:val="32"/>
          <w:szCs w:val="32"/>
          <w:vertAlign w:val="subscript"/>
        </w:rPr>
        <w:t>h</w:t>
      </w:r>
      <w:r>
        <w:rPr>
          <w:sz w:val="32"/>
          <w:szCs w:val="32"/>
        </w:rPr>
        <w:t>——统计期内消费的清洁低碳氢及其衍生物折算的能源量，单位为吨标准煤（tce）；</w:t>
      </w:r>
    </w:p>
    <w:p w14:paraId="58872171">
      <w:pPr>
        <w:ind w:firstLine="640"/>
      </w:pPr>
      <w:r>
        <w:rPr>
          <w:sz w:val="32"/>
          <w:szCs w:val="32"/>
        </w:rPr>
        <w:t>E</w:t>
      </w:r>
      <w:r>
        <w:rPr>
          <w:sz w:val="32"/>
          <w:szCs w:val="32"/>
          <w:vertAlign w:val="subscript"/>
        </w:rPr>
        <w:t>f</w:t>
      </w:r>
      <w:r>
        <w:rPr>
          <w:sz w:val="32"/>
          <w:szCs w:val="32"/>
        </w:rPr>
        <w:t>——统计期内被替代环节消费的化石能源量，单位为吨标准煤（tce）。</w:t>
      </w:r>
    </w:p>
    <w:p w14:paraId="65511285">
      <w:pPr>
        <w:ind w:firstLine="640"/>
      </w:pPr>
      <w:r>
        <w:rPr>
          <w:sz w:val="32"/>
          <w:szCs w:val="32"/>
        </w:rPr>
        <w:t>注1：清洁低碳氢指按照国家和行业现行有效的低碳氢、清洁氢评价标准。</w:t>
      </w:r>
    </w:p>
    <w:p w14:paraId="56973315">
      <w:pPr>
        <w:ind w:firstLine="640"/>
      </w:pPr>
      <w:r>
        <w:rPr>
          <w:sz w:val="32"/>
          <w:szCs w:val="32"/>
        </w:rPr>
        <w:t>注2：能源折标系数。氢及其衍生物按低位发热量折算标准煤，其中氢气取4.09吨标准煤/吨，绿氨、绿色甲醇按其实际低位发热量折算；掺氢燃烧的，按掺入氢气的实际计量量折算。被替代的化石能源折标系数按《综合能耗计算通则》（GB/T 2589—2020）执行，无实测值的采用国家统计部门公布的折标准煤参考系数。</w:t>
      </w:r>
    </w:p>
    <w:p w14:paraId="7B4AD468">
      <w:pPr>
        <w:ind w:firstLine="640"/>
      </w:pPr>
      <w:r>
        <w:rPr>
          <w:sz w:val="32"/>
          <w:szCs w:val="32"/>
        </w:rPr>
        <w:t>注3：清洁低碳氢及其衍生物作为能源使用的，可同时计入指标2非化石能源消费量；作为原料使用的，计入本指标但不计入非化石能源消费量，与指标2口径保持一致，不重复计算。</w:t>
      </w:r>
    </w:p>
    <w:p w14:paraId="212CF5E2">
      <w:pPr>
        <w:ind w:firstLine="640"/>
      </w:pPr>
      <w:r>
        <w:rPr>
          <w:sz w:val="32"/>
          <w:szCs w:val="32"/>
        </w:rPr>
        <w:t>注</w:t>
      </w:r>
      <w:r>
        <w:rPr>
          <w:rFonts w:hint="eastAsia"/>
          <w:sz w:val="32"/>
          <w:szCs w:val="32"/>
        </w:rPr>
        <w:t>4</w:t>
      </w:r>
      <w:r>
        <w:rPr>
          <w:sz w:val="32"/>
          <w:szCs w:val="32"/>
        </w:rPr>
        <w:t>：氢燃料电池汽车用于厂外运输的，其减排效果计入指标10零碳供应链管理措施中的绿色低碳物流，不重复计入本指标。</w:t>
      </w:r>
    </w:p>
    <w:p w14:paraId="5B9EF18A">
      <w:pPr>
        <w:ind w:firstLine="643"/>
      </w:pPr>
      <w:r>
        <w:rPr>
          <w:rFonts w:hint="eastAsia" w:eastAsia="楷体_GB2312"/>
          <w:b/>
          <w:bCs/>
          <w:sz w:val="32"/>
          <w:szCs w:val="32"/>
        </w:rPr>
        <w:t>2.</w:t>
      </w:r>
      <w:r>
        <w:rPr>
          <w:rFonts w:eastAsia="楷体_GB2312"/>
          <w:b/>
          <w:bCs/>
          <w:sz w:val="32"/>
          <w:szCs w:val="32"/>
        </w:rPr>
        <w:t>重点工业产品碳足迹下降率</w:t>
      </w:r>
    </w:p>
    <w:p w14:paraId="03BAC050">
      <w:pPr>
        <w:ind w:firstLine="640"/>
      </w:pPr>
      <w:r>
        <w:rPr>
          <w:sz w:val="32"/>
          <w:szCs w:val="32"/>
        </w:rPr>
        <w:t>指统计期内申报单位重点工业产品的单位产品碳足迹较基准年下降的幅度。按下式计算。</w:t>
      </w:r>
    </w:p>
    <w:p w14:paraId="643C29EA">
      <w:pPr>
        <w:ind w:firstLine="640"/>
        <w:jc w:val="center"/>
      </w:pPr>
      <w:r>
        <w:rPr>
          <w:sz w:val="32"/>
          <w:szCs w:val="32"/>
        </w:rPr>
        <w:t>R</w:t>
      </w:r>
      <w:r>
        <w:rPr>
          <w:sz w:val="32"/>
          <w:szCs w:val="32"/>
          <w:vertAlign w:val="subscript"/>
        </w:rPr>
        <w:t>d</w:t>
      </w:r>
      <w:r>
        <w:rPr>
          <w:sz w:val="32"/>
          <w:szCs w:val="32"/>
        </w:rPr>
        <w:t>＝（C</w:t>
      </w:r>
      <w:r>
        <w:rPr>
          <w:sz w:val="32"/>
          <w:szCs w:val="32"/>
          <w:vertAlign w:val="subscript"/>
        </w:rPr>
        <w:t>f0</w:t>
      </w:r>
      <w:r>
        <w:rPr>
          <w:sz w:val="32"/>
          <w:szCs w:val="32"/>
        </w:rPr>
        <w:t>－C</w:t>
      </w:r>
      <w:r>
        <w:rPr>
          <w:sz w:val="32"/>
          <w:szCs w:val="32"/>
          <w:vertAlign w:val="subscript"/>
        </w:rPr>
        <w:t>ft</w:t>
      </w:r>
      <w:r>
        <w:rPr>
          <w:sz w:val="32"/>
          <w:szCs w:val="32"/>
        </w:rPr>
        <w:t>）/C</w:t>
      </w:r>
      <w:r>
        <w:rPr>
          <w:sz w:val="32"/>
          <w:szCs w:val="32"/>
          <w:vertAlign w:val="subscript"/>
        </w:rPr>
        <w:t>f0</w:t>
      </w:r>
      <w:r>
        <w:rPr>
          <w:sz w:val="32"/>
          <w:szCs w:val="32"/>
        </w:rPr>
        <w:t>×100%</w:t>
      </w:r>
    </w:p>
    <w:p w14:paraId="44F9FFB2">
      <w:pPr>
        <w:ind w:firstLine="640"/>
      </w:pPr>
      <w:r>
        <w:rPr>
          <w:sz w:val="32"/>
          <w:szCs w:val="32"/>
        </w:rPr>
        <w:t>式中：</w:t>
      </w:r>
    </w:p>
    <w:p w14:paraId="5309F6E6">
      <w:pPr>
        <w:ind w:firstLine="640"/>
      </w:pPr>
      <w:r>
        <w:rPr>
          <w:sz w:val="32"/>
          <w:szCs w:val="32"/>
        </w:rPr>
        <w:t>R</w:t>
      </w:r>
      <w:r>
        <w:rPr>
          <w:sz w:val="32"/>
          <w:szCs w:val="32"/>
          <w:vertAlign w:val="subscript"/>
        </w:rPr>
        <w:t>d</w:t>
      </w:r>
      <w:r>
        <w:rPr>
          <w:sz w:val="32"/>
          <w:szCs w:val="32"/>
        </w:rPr>
        <w:t>——重点工业产品碳足迹下降率，单位为百分比（%）；</w:t>
      </w:r>
    </w:p>
    <w:p w14:paraId="529EF0DC">
      <w:pPr>
        <w:ind w:firstLine="640"/>
      </w:pPr>
      <w:r>
        <w:rPr>
          <w:sz w:val="32"/>
          <w:szCs w:val="32"/>
        </w:rPr>
        <w:t>C</w:t>
      </w:r>
      <w:r>
        <w:rPr>
          <w:sz w:val="32"/>
          <w:szCs w:val="32"/>
          <w:vertAlign w:val="subscript"/>
        </w:rPr>
        <w:t>f0</w:t>
      </w:r>
      <w:r>
        <w:rPr>
          <w:sz w:val="32"/>
          <w:szCs w:val="32"/>
        </w:rPr>
        <w:t>——基准年重点工业产品单位产品碳足迹，单位为千克二氧化碳当量每功能单位（kgCO</w:t>
      </w:r>
      <w:r>
        <w:rPr>
          <w:sz w:val="32"/>
          <w:szCs w:val="32"/>
          <w:vertAlign w:val="subscript"/>
        </w:rPr>
        <w:t>2</w:t>
      </w:r>
      <w:r>
        <w:rPr>
          <w:sz w:val="32"/>
          <w:szCs w:val="32"/>
        </w:rPr>
        <w:t>e/功能单位）；</w:t>
      </w:r>
    </w:p>
    <w:p w14:paraId="13CB2809">
      <w:pPr>
        <w:ind w:firstLine="640"/>
      </w:pPr>
      <w:r>
        <w:rPr>
          <w:sz w:val="32"/>
          <w:szCs w:val="32"/>
        </w:rPr>
        <w:t>C</w:t>
      </w:r>
      <w:r>
        <w:rPr>
          <w:sz w:val="32"/>
          <w:szCs w:val="32"/>
          <w:vertAlign w:val="subscript"/>
        </w:rPr>
        <w:t>ft</w:t>
      </w:r>
      <w:r>
        <w:rPr>
          <w:sz w:val="32"/>
          <w:szCs w:val="32"/>
        </w:rPr>
        <w:t>——统计期重点工业产品单位产品碳足迹，单位为千克二氧化碳当量每功能单位（kgCO</w:t>
      </w:r>
      <w:r>
        <w:rPr>
          <w:sz w:val="32"/>
          <w:szCs w:val="32"/>
          <w:vertAlign w:val="subscript"/>
        </w:rPr>
        <w:t>2</w:t>
      </w:r>
      <w:r>
        <w:rPr>
          <w:sz w:val="32"/>
          <w:szCs w:val="32"/>
        </w:rPr>
        <w:t>e/功能单位）。</w:t>
      </w:r>
    </w:p>
    <w:p w14:paraId="06A35471">
      <w:pPr>
        <w:ind w:firstLine="640"/>
      </w:pPr>
      <w:r>
        <w:rPr>
          <w:sz w:val="32"/>
          <w:szCs w:val="32"/>
        </w:rPr>
        <w:t>注1：重点工业产品指申报单位产量或产值排名靠前</w:t>
      </w:r>
      <w:r>
        <w:rPr>
          <w:rFonts w:hint="eastAsia"/>
          <w:sz w:val="32"/>
          <w:szCs w:val="32"/>
        </w:rPr>
        <w:t>且</w:t>
      </w:r>
      <w:r>
        <w:rPr>
          <w:sz w:val="32"/>
          <w:szCs w:val="32"/>
        </w:rPr>
        <w:t>已按《温室气体　产品碳足迹量化要求和指南》（GB/T 24067—2024）等相关国家标准、行业标准或工业和信息化部等部门推荐的团体标准开展碳足迹核算的产品，原则上不少于1个产品类别。涉及多个产品类别的，按产量加权平均计算。</w:t>
      </w:r>
    </w:p>
    <w:p w14:paraId="40F7A441">
      <w:pPr>
        <w:ind w:firstLine="640"/>
      </w:pPr>
      <w:r>
        <w:rPr>
          <w:sz w:val="32"/>
          <w:szCs w:val="32"/>
        </w:rPr>
        <w:t>注2：基准年为零碳工厂建设起始年度（统计期）。申报时填报基准年数值，建设期内各年度与基准年比较，建设期满时下降率应达到指标要求。</w:t>
      </w:r>
    </w:p>
    <w:p w14:paraId="5F4F2EE1">
      <w:pPr>
        <w:ind w:firstLine="640"/>
      </w:pPr>
      <w:r>
        <w:rPr>
          <w:sz w:val="32"/>
          <w:szCs w:val="32"/>
        </w:rPr>
        <w:t>注3：基准年与统计期的碳足迹核算应采用同一核算标准、同一系统边界、同一功能单位和同一数据质量要求。核算标准、系统边界或核算方法发生变化的，应对基准年数据进行追溯调整并说明调整依据。</w:t>
      </w:r>
    </w:p>
    <w:p w14:paraId="01898259">
      <w:pPr>
        <w:ind w:firstLine="640"/>
      </w:pPr>
      <w:r>
        <w:rPr>
          <w:sz w:val="32"/>
          <w:szCs w:val="32"/>
        </w:rPr>
        <w:t>注4：碳足迹下降应通过原料替代、工艺改进、能效提升、非化石能源替代、包装和物流优化等实质性减排措施实现。通过购买碳信用抵销形成的减排量不计入本指标。</w:t>
      </w:r>
    </w:p>
    <w:p w14:paraId="27557DC3">
      <w:pPr>
        <w:ind w:firstLine="640"/>
      </w:pPr>
      <w:r>
        <w:rPr>
          <w:sz w:val="32"/>
          <w:szCs w:val="32"/>
        </w:rPr>
        <w:t>注5：因产品结构调整导致重点工业产品类别发生变化的，应重新确定基准年数据并作出说明。</w:t>
      </w:r>
    </w:p>
    <w:p w14:paraId="29E0D85C">
      <w:pPr>
        <w:ind w:firstLine="640"/>
      </w:pPr>
      <w:r>
        <w:rPr>
          <w:sz w:val="32"/>
          <w:szCs w:val="32"/>
        </w:rPr>
        <w:t>注6：纳入本指标核算的产品应属于已开展产品碳足迹分析的产品类别。</w:t>
      </w:r>
    </w:p>
    <w:p w14:paraId="51158CAB">
      <w:pPr>
        <w:ind w:firstLine="643"/>
      </w:pPr>
      <w:r>
        <w:rPr>
          <w:rFonts w:hint="eastAsia" w:eastAsia="楷体_GB2312"/>
          <w:b/>
          <w:bCs/>
          <w:sz w:val="32"/>
          <w:szCs w:val="32"/>
        </w:rPr>
        <w:t>3.</w:t>
      </w:r>
      <w:r>
        <w:rPr>
          <w:rFonts w:eastAsia="楷体_GB2312"/>
          <w:b/>
          <w:bCs/>
          <w:sz w:val="32"/>
          <w:szCs w:val="32"/>
        </w:rPr>
        <w:t xml:space="preserve"> 碳抵销情况</w:t>
      </w:r>
    </w:p>
    <w:p w14:paraId="082982FD">
      <w:pPr>
        <w:ind w:firstLine="640"/>
      </w:pPr>
      <w:r>
        <w:rPr>
          <w:sz w:val="32"/>
          <w:szCs w:val="32"/>
        </w:rPr>
        <w:t>指统计期内申报单位在充分实施自身减排的基础上，采用符合规定的碳信用对剩余二氧化碳排放进行抵销的数量及规范性。按下式计算。</w:t>
      </w:r>
    </w:p>
    <w:p w14:paraId="7AC45057">
      <w:pPr>
        <w:ind w:firstLine="640"/>
        <w:jc w:val="center"/>
        <w:rPr>
          <w:sz w:val="32"/>
          <w:szCs w:val="32"/>
          <w:vertAlign w:val="subscript"/>
        </w:rPr>
      </w:pPr>
      <w:r>
        <w:rPr>
          <w:sz w:val="32"/>
          <w:szCs w:val="32"/>
        </w:rPr>
        <w:t>C</w:t>
      </w:r>
      <w:r>
        <w:rPr>
          <w:sz w:val="32"/>
          <w:szCs w:val="32"/>
          <w:vertAlign w:val="subscript"/>
        </w:rPr>
        <w:t>o</w:t>
      </w:r>
      <w:r>
        <w:rPr>
          <w:sz w:val="32"/>
          <w:szCs w:val="32"/>
        </w:rPr>
        <w:t>＝ΣC</w:t>
      </w:r>
      <w:r>
        <w:rPr>
          <w:sz w:val="32"/>
          <w:szCs w:val="32"/>
          <w:vertAlign w:val="subscript"/>
        </w:rPr>
        <w:t>i</w:t>
      </w:r>
    </w:p>
    <w:p w14:paraId="59995FD6">
      <w:pPr>
        <w:ind w:firstLine="640"/>
        <w:jc w:val="center"/>
      </w:pPr>
      <w:r>
        <w:rPr>
          <w:sz w:val="32"/>
          <w:szCs w:val="32"/>
        </w:rPr>
        <w:t>R</w:t>
      </w:r>
      <w:r>
        <w:rPr>
          <w:sz w:val="32"/>
          <w:szCs w:val="32"/>
          <w:vertAlign w:val="subscript"/>
        </w:rPr>
        <w:t>o</w:t>
      </w:r>
      <w:r>
        <w:rPr>
          <w:sz w:val="32"/>
          <w:szCs w:val="32"/>
        </w:rPr>
        <w:t>＝C</w:t>
      </w:r>
      <w:r>
        <w:rPr>
          <w:sz w:val="32"/>
          <w:szCs w:val="32"/>
          <w:vertAlign w:val="subscript"/>
        </w:rPr>
        <w:t>o</w:t>
      </w:r>
      <w:r>
        <w:rPr>
          <w:sz w:val="32"/>
          <w:szCs w:val="32"/>
        </w:rPr>
        <w:t>/C×100%</w:t>
      </w:r>
    </w:p>
    <w:p w14:paraId="02BA4F50">
      <w:pPr>
        <w:ind w:firstLine="640"/>
      </w:pPr>
      <w:r>
        <w:rPr>
          <w:sz w:val="32"/>
          <w:szCs w:val="32"/>
        </w:rPr>
        <w:t>式中：</w:t>
      </w:r>
    </w:p>
    <w:p w14:paraId="03BBAC6A">
      <w:pPr>
        <w:ind w:firstLine="640"/>
      </w:pPr>
      <w:r>
        <w:rPr>
          <w:sz w:val="32"/>
          <w:szCs w:val="32"/>
        </w:rPr>
        <w:t>C</w:t>
      </w:r>
      <w:r>
        <w:rPr>
          <w:sz w:val="32"/>
          <w:szCs w:val="32"/>
          <w:vertAlign w:val="subscript"/>
        </w:rPr>
        <w:t>o</w:t>
      </w:r>
      <w:r>
        <w:rPr>
          <w:sz w:val="32"/>
          <w:szCs w:val="32"/>
        </w:rPr>
        <w:t>——碳抵销量，单位为吨二氧化碳（tCO</w:t>
      </w:r>
      <w:r>
        <w:rPr>
          <w:sz w:val="32"/>
          <w:szCs w:val="32"/>
          <w:vertAlign w:val="subscript"/>
        </w:rPr>
        <w:t>2</w:t>
      </w:r>
      <w:r>
        <w:rPr>
          <w:sz w:val="32"/>
          <w:szCs w:val="32"/>
        </w:rPr>
        <w:t>）；</w:t>
      </w:r>
    </w:p>
    <w:p w14:paraId="2978036B">
      <w:pPr>
        <w:ind w:firstLine="640"/>
      </w:pPr>
      <w:r>
        <w:rPr>
          <w:sz w:val="32"/>
          <w:szCs w:val="32"/>
        </w:rPr>
        <w:t>C</w:t>
      </w:r>
      <w:r>
        <w:rPr>
          <w:sz w:val="32"/>
          <w:szCs w:val="32"/>
          <w:vertAlign w:val="subscript"/>
        </w:rPr>
        <w:t>i</w:t>
      </w:r>
      <w:r>
        <w:rPr>
          <w:sz w:val="32"/>
          <w:szCs w:val="32"/>
        </w:rPr>
        <w:t>——第i类碳信用的注销量，单位为吨二氧化碳（tCO</w:t>
      </w:r>
      <w:r>
        <w:rPr>
          <w:sz w:val="32"/>
          <w:szCs w:val="32"/>
          <w:vertAlign w:val="subscript"/>
        </w:rPr>
        <w:t>2</w:t>
      </w:r>
      <w:r>
        <w:rPr>
          <w:sz w:val="32"/>
          <w:szCs w:val="32"/>
        </w:rPr>
        <w:t>）；</w:t>
      </w:r>
    </w:p>
    <w:p w14:paraId="3A803D1B">
      <w:pPr>
        <w:ind w:firstLine="640"/>
      </w:pPr>
      <w:r>
        <w:rPr>
          <w:sz w:val="32"/>
          <w:szCs w:val="32"/>
        </w:rPr>
        <w:t>R</w:t>
      </w:r>
      <w:r>
        <w:rPr>
          <w:sz w:val="32"/>
          <w:szCs w:val="32"/>
          <w:vertAlign w:val="subscript"/>
        </w:rPr>
        <w:t>o</w:t>
      </w:r>
      <w:r>
        <w:rPr>
          <w:sz w:val="32"/>
          <w:szCs w:val="32"/>
        </w:rPr>
        <w:t>——碳抵销比例，单位为百分比（%）；</w:t>
      </w:r>
    </w:p>
    <w:p w14:paraId="1AE7CB6A">
      <w:pPr>
        <w:ind w:firstLine="640"/>
      </w:pPr>
      <w:r>
        <w:rPr>
          <w:sz w:val="32"/>
          <w:szCs w:val="32"/>
        </w:rPr>
        <w:t>C——二氧化碳排放量，同指标1，单位为吨二氧化碳（tCO</w:t>
      </w:r>
      <w:r>
        <w:rPr>
          <w:sz w:val="32"/>
          <w:szCs w:val="32"/>
          <w:vertAlign w:val="subscript"/>
        </w:rPr>
        <w:t>2</w:t>
      </w:r>
      <w:r>
        <w:rPr>
          <w:sz w:val="32"/>
          <w:szCs w:val="32"/>
        </w:rPr>
        <w:t>）。</w:t>
      </w:r>
    </w:p>
    <w:p w14:paraId="359CBABF">
      <w:pPr>
        <w:ind w:firstLine="640"/>
      </w:pPr>
      <w:r>
        <w:rPr>
          <w:sz w:val="32"/>
          <w:szCs w:val="32"/>
        </w:rPr>
        <w:t>注1：可用于抵销的碳信用包括全国温室气体自愿减排交易机制产生的核证自愿减排量（CCER）、广东省碳普惠核证减排量（PHCER），以及国家认可的其他碳信用。通过跨境碳交易方式抵销的，所用减排量应是《巴黎协定》第六条碳市场机制产生的国际转让减缓成果（ITMOs）。</w:t>
      </w:r>
    </w:p>
    <w:p w14:paraId="02EABFA0">
      <w:pPr>
        <w:ind w:firstLine="640"/>
      </w:pPr>
      <w:r>
        <w:rPr>
          <w:sz w:val="32"/>
          <w:szCs w:val="32"/>
        </w:rPr>
        <w:t>注2：碳信用应由申报单位作为注销主体完成注销并取得注销凭证，不得重复使用，不得与其他主体的减排声明重复主张。碳信用对应减排量的产生年份原则上不早于抵销年度前5年，并按对应年份计入相应核算年度。</w:t>
      </w:r>
    </w:p>
    <w:p w14:paraId="0B19E499">
      <w:pPr>
        <w:ind w:firstLine="640"/>
      </w:pPr>
      <w:r>
        <w:rPr>
          <w:sz w:val="32"/>
          <w:szCs w:val="32"/>
        </w:rPr>
        <w:t>注3：坚持“应减尽减、先减后抵”。申报单位应先说明自身节能降碳改造、非化石能源替代、工艺革新等减排措施及成效，在“降无可降”的基础上开展抵销，不得以碳抵销替代实质性减排。</w:t>
      </w:r>
    </w:p>
    <w:p w14:paraId="7223ECC2">
      <w:pPr>
        <w:ind w:firstLine="640"/>
      </w:pPr>
      <w:r>
        <w:rPr>
          <w:sz w:val="32"/>
          <w:szCs w:val="32"/>
        </w:rPr>
        <w:t>注4：碳抵销量不计入指标1单位能耗碳排放及指标2、指标3的核算，应单独列示并说明。</w:t>
      </w:r>
    </w:p>
    <w:p w14:paraId="7B70B75D">
      <w:pPr>
        <w:ind w:firstLine="640"/>
      </w:pPr>
      <w:r>
        <w:rPr>
          <w:sz w:val="32"/>
          <w:szCs w:val="32"/>
        </w:rPr>
        <w:t>注5：已纳入全国碳排放权交易市场或广东省碳排放权交易市场的申报单位，用于履约清缴的配额和抵销机制减排量，不得重复计入本指标。</w:t>
      </w:r>
    </w:p>
    <w:p w14:paraId="5C0161B1">
      <w:pPr>
        <w:ind w:firstLine="0" w:firstLineChars="0"/>
        <w:rPr>
          <w:rFonts w:eastAsia="黑体"/>
          <w:kern w:val="2"/>
          <w:sz w:val="32"/>
          <w:szCs w:val="32"/>
        </w:rPr>
        <w:sectPr>
          <w:footerReference r:id="rId6" w:type="default"/>
          <w:pgSz w:w="11905" w:h="16840"/>
          <w:pgMar w:top="1440" w:right="1800" w:bottom="1440" w:left="1800" w:header="720" w:footer="720" w:gutter="0"/>
          <w:pgNumType w:start="1"/>
          <w:cols w:space="720" w:num="1"/>
        </w:sectPr>
      </w:pPr>
    </w:p>
    <w:p w14:paraId="2CBC9185">
      <w:pPr>
        <w:pStyle w:val="2"/>
        <w:ind w:firstLineChars="0"/>
        <w:rPr>
          <w:rFonts w:hint="eastAsia"/>
        </w:rPr>
      </w:pPr>
      <w:r>
        <w:t>附件2</w:t>
      </w:r>
    </w:p>
    <w:p w14:paraId="0B94D86F">
      <w:pPr>
        <w:spacing w:line="600" w:lineRule="exact"/>
        <w:ind w:firstLine="0" w:firstLineChars="0"/>
        <w:jc w:val="center"/>
        <w:rPr>
          <w:rFonts w:eastAsia="方正小标宋简体"/>
          <w:kern w:val="2"/>
          <w:sz w:val="44"/>
          <w:szCs w:val="24"/>
        </w:rPr>
      </w:pPr>
    </w:p>
    <w:p w14:paraId="57DB39AE">
      <w:pPr>
        <w:tabs>
          <w:tab w:val="left" w:pos="5220"/>
        </w:tabs>
        <w:ind w:firstLine="1040"/>
        <w:jc w:val="center"/>
        <w:rPr>
          <w:rFonts w:eastAsia="黑体"/>
          <w:sz w:val="52"/>
          <w:szCs w:val="52"/>
        </w:rPr>
      </w:pPr>
    </w:p>
    <w:p w14:paraId="45B00487">
      <w:pPr>
        <w:tabs>
          <w:tab w:val="left" w:pos="5220"/>
        </w:tabs>
        <w:ind w:firstLine="0" w:firstLineChars="0"/>
        <w:jc w:val="center"/>
        <w:rPr>
          <w:rFonts w:eastAsia="黑体"/>
          <w:sz w:val="52"/>
          <w:szCs w:val="52"/>
        </w:rPr>
      </w:pPr>
    </w:p>
    <w:p w14:paraId="0F8FADDA">
      <w:pPr>
        <w:ind w:firstLine="0" w:firstLineChars="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广东省零碳工厂建设方案</w:t>
      </w:r>
    </w:p>
    <w:p w14:paraId="27BFE09B">
      <w:pPr>
        <w:ind w:firstLine="0" w:firstLineChars="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（大纲）</w:t>
      </w:r>
    </w:p>
    <w:p w14:paraId="289C14A0">
      <w:pPr>
        <w:tabs>
          <w:tab w:val="left" w:pos="5220"/>
        </w:tabs>
        <w:ind w:firstLine="643"/>
        <w:rPr>
          <w:b/>
          <w:sz w:val="32"/>
          <w:szCs w:val="32"/>
        </w:rPr>
      </w:pPr>
    </w:p>
    <w:p w14:paraId="7B0A18E7">
      <w:pPr>
        <w:tabs>
          <w:tab w:val="left" w:pos="5220"/>
        </w:tabs>
        <w:ind w:firstLine="643"/>
        <w:rPr>
          <w:b/>
          <w:sz w:val="32"/>
          <w:szCs w:val="32"/>
        </w:rPr>
      </w:pPr>
    </w:p>
    <w:p w14:paraId="64D1C1E8">
      <w:pPr>
        <w:tabs>
          <w:tab w:val="left" w:pos="5220"/>
        </w:tabs>
        <w:ind w:firstLine="643"/>
        <w:rPr>
          <w:b/>
          <w:sz w:val="32"/>
          <w:szCs w:val="32"/>
        </w:rPr>
      </w:pPr>
    </w:p>
    <w:p w14:paraId="469A32DD">
      <w:pPr>
        <w:ind w:firstLine="640"/>
        <w:rPr>
          <w:rFonts w:eastAsia="黑体"/>
          <w:sz w:val="32"/>
          <w:szCs w:val="20"/>
        </w:rPr>
      </w:pPr>
    </w:p>
    <w:p w14:paraId="6E607A95">
      <w:pPr>
        <w:ind w:firstLine="640"/>
        <w:rPr>
          <w:rFonts w:eastAsia="黑体"/>
          <w:sz w:val="32"/>
          <w:szCs w:val="20"/>
        </w:rPr>
      </w:pPr>
    </w:p>
    <w:p w14:paraId="0EDACDEC">
      <w:pPr>
        <w:ind w:firstLine="640"/>
        <w:rPr>
          <w:rFonts w:eastAsia="黑体"/>
          <w:sz w:val="32"/>
          <w:szCs w:val="20"/>
        </w:rPr>
      </w:pPr>
    </w:p>
    <w:p w14:paraId="2D7F4EC6">
      <w:pPr>
        <w:spacing w:line="600" w:lineRule="exact"/>
        <w:ind w:firstLine="640"/>
        <w:rPr>
          <w:rFonts w:eastAsia="仿宋"/>
          <w:bCs/>
          <w:sz w:val="32"/>
          <w:szCs w:val="32"/>
          <w:lang w:bidi="ar"/>
        </w:rPr>
      </w:pPr>
    </w:p>
    <w:p w14:paraId="119DBCBD">
      <w:pPr>
        <w:spacing w:line="600" w:lineRule="exact"/>
        <w:ind w:firstLine="640"/>
        <w:rPr>
          <w:rFonts w:eastAsia="仿宋"/>
          <w:bCs/>
          <w:sz w:val="32"/>
          <w:szCs w:val="32"/>
          <w:lang w:bidi="ar"/>
        </w:rPr>
      </w:pPr>
    </w:p>
    <w:p w14:paraId="00BAC677">
      <w:pPr>
        <w:ind w:firstLine="720"/>
        <w:rPr>
          <w:rFonts w:eastAsia="黑体"/>
          <w:sz w:val="36"/>
          <w:szCs w:val="36"/>
          <w:u w:val="single"/>
        </w:rPr>
      </w:pPr>
      <w:r>
        <w:rPr>
          <w:rFonts w:hint="eastAsia" w:ascii="仿宋_GB2312" w:hAnsi="仿宋_GB2312" w:cs="仿宋_GB2312"/>
          <w:bCs/>
          <w:kern w:val="2"/>
          <w:sz w:val="36"/>
          <w:szCs w:val="36"/>
          <w:lang w:bidi="ar"/>
        </w:rPr>
        <w:t>申报单位（盖章）</w:t>
      </w:r>
      <w:r>
        <w:rPr>
          <w:rFonts w:hint="eastAsia" w:ascii="仿宋_GB2312" w:hAnsi="仿宋_GB2312" w:cs="仿宋_GB2312"/>
          <w:sz w:val="36"/>
          <w:szCs w:val="36"/>
        </w:rPr>
        <w:t>：</w:t>
      </w:r>
      <w:r>
        <w:rPr>
          <w:rFonts w:eastAsia="黑体"/>
          <w:sz w:val="36"/>
          <w:szCs w:val="36"/>
          <w:u w:val="single"/>
        </w:rPr>
        <w:t xml:space="preserve">                    </w:t>
      </w:r>
    </w:p>
    <w:p w14:paraId="78D5369A">
      <w:pPr>
        <w:ind w:firstLine="720"/>
        <w:rPr>
          <w:rFonts w:eastAsia="黑体"/>
          <w:sz w:val="36"/>
          <w:szCs w:val="36"/>
        </w:rPr>
      </w:pPr>
    </w:p>
    <w:p w14:paraId="03F720AD">
      <w:pPr>
        <w:ind w:firstLine="720"/>
        <w:rPr>
          <w:rFonts w:eastAsia="黑体"/>
          <w:sz w:val="32"/>
        </w:rPr>
      </w:pPr>
      <w:r>
        <w:rPr>
          <w:rFonts w:hint="eastAsia" w:ascii="仿宋_GB2312" w:hAnsi="仿宋_GB2312" w:cs="仿宋_GB2312"/>
          <w:bCs/>
          <w:kern w:val="2"/>
          <w:sz w:val="36"/>
          <w:szCs w:val="36"/>
          <w:lang w:bidi="ar"/>
        </w:rPr>
        <w:t xml:space="preserve">所  属  行  业  </w:t>
      </w:r>
      <w:r>
        <w:rPr>
          <w:rFonts w:hint="eastAsia" w:ascii="仿宋_GB2312" w:hAnsi="仿宋_GB2312" w:cs="仿宋_GB2312"/>
          <w:sz w:val="36"/>
          <w:szCs w:val="36"/>
        </w:rPr>
        <w:t>：</w:t>
      </w:r>
      <w:r>
        <w:rPr>
          <w:rFonts w:eastAsia="黑体"/>
          <w:sz w:val="36"/>
          <w:szCs w:val="36"/>
          <w:u w:val="single"/>
        </w:rPr>
        <w:t xml:space="preserve">                    </w:t>
      </w:r>
    </w:p>
    <w:p w14:paraId="40E4F41A">
      <w:pPr>
        <w:ind w:firstLine="800"/>
        <w:rPr>
          <w:rFonts w:eastAsia="仿宋"/>
          <w:bCs/>
          <w:kern w:val="2"/>
          <w:sz w:val="40"/>
          <w:szCs w:val="40"/>
          <w:lang w:bidi="ar"/>
        </w:rPr>
      </w:pPr>
    </w:p>
    <w:p w14:paraId="5EC9B223">
      <w:pPr>
        <w:ind w:firstLine="800"/>
        <w:rPr>
          <w:rFonts w:eastAsia="仿宋"/>
          <w:bCs/>
          <w:kern w:val="2"/>
          <w:sz w:val="40"/>
          <w:szCs w:val="40"/>
          <w:lang w:bidi="ar"/>
        </w:rPr>
      </w:pPr>
    </w:p>
    <w:p w14:paraId="000BAB97">
      <w:pPr>
        <w:ind w:firstLine="720"/>
        <w:jc w:val="center"/>
        <w:rPr>
          <w:bCs/>
          <w:kern w:val="2"/>
          <w:sz w:val="36"/>
          <w:szCs w:val="32"/>
          <w:lang w:bidi="ar"/>
        </w:rPr>
      </w:pPr>
    </w:p>
    <w:p w14:paraId="4A2168A8">
      <w:pPr>
        <w:ind w:firstLine="0" w:firstLineChars="0"/>
        <w:jc w:val="center"/>
        <w:rPr>
          <w:bCs/>
          <w:kern w:val="2"/>
          <w:sz w:val="36"/>
          <w:szCs w:val="32"/>
          <w:lang w:bidi="ar"/>
        </w:rPr>
      </w:pPr>
      <w:r>
        <w:rPr>
          <w:bCs/>
          <w:kern w:val="2"/>
          <w:sz w:val="32"/>
          <w:szCs w:val="32"/>
          <w:lang w:bidi="ar"/>
        </w:rPr>
        <w:t>202</w:t>
      </w:r>
      <w:r>
        <w:rPr>
          <w:rFonts w:hint="eastAsia"/>
          <w:bCs/>
          <w:kern w:val="2"/>
          <w:sz w:val="32"/>
          <w:szCs w:val="32"/>
          <w:lang w:bidi="ar"/>
        </w:rPr>
        <w:t xml:space="preserve">  </w:t>
      </w:r>
      <w:r>
        <w:rPr>
          <w:bCs/>
          <w:kern w:val="2"/>
          <w:sz w:val="32"/>
          <w:szCs w:val="32"/>
          <w:lang w:bidi="ar"/>
        </w:rPr>
        <w:t>年    月    日</w:t>
      </w:r>
    </w:p>
    <w:p w14:paraId="45E4CAB3">
      <w:pPr>
        <w:tabs>
          <w:tab w:val="center" w:pos="4153"/>
        </w:tabs>
        <w:ind w:firstLine="720"/>
        <w:rPr>
          <w:bCs/>
          <w:sz w:val="36"/>
          <w:szCs w:val="32"/>
          <w:lang w:bidi="ar"/>
        </w:rPr>
      </w:pPr>
    </w:p>
    <w:p w14:paraId="25D5610A">
      <w:pPr>
        <w:tabs>
          <w:tab w:val="left" w:pos="5220"/>
        </w:tabs>
        <w:ind w:firstLine="800"/>
        <w:jc w:val="center"/>
        <w:rPr>
          <w:rFonts w:eastAsia="黑体"/>
          <w:sz w:val="40"/>
          <w:szCs w:val="40"/>
        </w:rPr>
        <w:sectPr>
          <w:footerReference r:id="rId7" w:type="default"/>
          <w:pgSz w:w="11906" w:h="16838"/>
          <w:pgMar w:top="2098" w:right="1474" w:bottom="1984" w:left="1474" w:header="851" w:footer="992" w:gutter="0"/>
          <w:pgNumType w:start="1"/>
          <w:cols w:space="425" w:num="1"/>
          <w:docGrid w:type="lines" w:linePitch="312" w:charSpace="0"/>
        </w:sectPr>
      </w:pPr>
    </w:p>
    <w:p w14:paraId="4FA0F92D">
      <w:pPr>
        <w:tabs>
          <w:tab w:val="left" w:pos="5220"/>
        </w:tabs>
        <w:ind w:firstLine="0" w:firstLineChars="0"/>
        <w:jc w:val="center"/>
        <w:rPr>
          <w:rFonts w:eastAsia="黑体"/>
          <w:sz w:val="40"/>
          <w:szCs w:val="40"/>
        </w:rPr>
      </w:pPr>
      <w:r>
        <w:rPr>
          <w:rFonts w:eastAsia="黑体"/>
          <w:sz w:val="40"/>
          <w:szCs w:val="40"/>
        </w:rPr>
        <w:t>填 写 说 明</w:t>
      </w:r>
    </w:p>
    <w:p w14:paraId="1F27F0CD">
      <w:pPr>
        <w:pStyle w:val="23"/>
        <w:tabs>
          <w:tab w:val="center" w:pos="4153"/>
        </w:tabs>
        <w:ind w:firstLine="0" w:firstLineChars="0"/>
        <w:rPr>
          <w:bCs/>
          <w:sz w:val="36"/>
          <w:szCs w:val="32"/>
          <w:lang w:bidi="ar"/>
        </w:rPr>
      </w:pPr>
    </w:p>
    <w:p w14:paraId="0A69A470">
      <w:pPr>
        <w:pStyle w:val="23"/>
        <w:tabs>
          <w:tab w:val="left" w:pos="2901"/>
        </w:tabs>
        <w:ind w:firstLine="640"/>
        <w:rPr>
          <w:bCs/>
          <w:sz w:val="32"/>
          <w:szCs w:val="32"/>
          <w:lang w:bidi="ar"/>
        </w:rPr>
      </w:pPr>
      <w:r>
        <w:rPr>
          <w:bCs/>
          <w:sz w:val="32"/>
          <w:szCs w:val="32"/>
          <w:lang w:bidi="ar"/>
        </w:rPr>
        <w:t>一、申报单位应按照本文件要求编制零碳工厂</w:t>
      </w:r>
      <w:r>
        <w:rPr>
          <w:rFonts w:hint="eastAsia"/>
          <w:bCs/>
          <w:sz w:val="32"/>
          <w:szCs w:val="32"/>
          <w:lang w:bidi="ar"/>
        </w:rPr>
        <w:t>（含零碳算力设施，下同）</w:t>
      </w:r>
      <w:r>
        <w:rPr>
          <w:bCs/>
          <w:sz w:val="32"/>
          <w:szCs w:val="32"/>
          <w:lang w:bidi="ar"/>
        </w:rPr>
        <w:t>建设</w:t>
      </w:r>
      <w:r>
        <w:rPr>
          <w:rFonts w:hint="eastAsia"/>
          <w:bCs/>
          <w:sz w:val="32"/>
          <w:szCs w:val="32"/>
          <w:lang w:bidi="ar"/>
        </w:rPr>
        <w:t>方案，并根据申报类型（零碳工厂或零碳算力设施）修改文中相关表述</w:t>
      </w:r>
      <w:r>
        <w:rPr>
          <w:bCs/>
          <w:sz w:val="32"/>
          <w:szCs w:val="32"/>
          <w:lang w:bidi="ar"/>
        </w:rPr>
        <w:t>。</w:t>
      </w:r>
    </w:p>
    <w:p w14:paraId="5B1E8DC3">
      <w:pPr>
        <w:pStyle w:val="23"/>
        <w:tabs>
          <w:tab w:val="left" w:pos="2901"/>
        </w:tabs>
        <w:ind w:firstLine="640"/>
        <w:rPr>
          <w:bCs/>
          <w:sz w:val="32"/>
          <w:szCs w:val="32"/>
          <w:lang w:bidi="ar"/>
        </w:rPr>
      </w:pPr>
      <w:r>
        <w:rPr>
          <w:bCs/>
          <w:sz w:val="32"/>
          <w:szCs w:val="32"/>
          <w:lang w:bidi="ar"/>
        </w:rPr>
        <w:t>二、</w:t>
      </w:r>
      <w:r>
        <w:rPr>
          <w:rFonts w:hint="eastAsia"/>
          <w:bCs/>
          <w:sz w:val="32"/>
          <w:szCs w:val="32"/>
          <w:lang w:bidi="ar"/>
        </w:rPr>
        <w:t>方案内容应真实、准确、完整，能够全面反映申报单位概况、建设基础、建设目标分析、建设路径、预期成效。</w:t>
      </w:r>
    </w:p>
    <w:p w14:paraId="1D33A8E3">
      <w:pPr>
        <w:pStyle w:val="23"/>
        <w:tabs>
          <w:tab w:val="left" w:pos="2901"/>
        </w:tabs>
        <w:ind w:firstLine="640"/>
        <w:rPr>
          <w:bCs/>
          <w:sz w:val="32"/>
          <w:szCs w:val="32"/>
          <w:lang w:bidi="ar"/>
        </w:rPr>
      </w:pPr>
      <w:r>
        <w:rPr>
          <w:rFonts w:hint="eastAsia"/>
          <w:bCs/>
          <w:sz w:val="32"/>
          <w:szCs w:val="32"/>
          <w:lang w:bidi="ar"/>
        </w:rPr>
        <w:t>三、若</w:t>
      </w:r>
      <w:r>
        <w:rPr>
          <w:rFonts w:hint="eastAsia"/>
          <w:bCs/>
          <w:lang w:bidi="ar"/>
        </w:rPr>
        <w:t>已达到核心指标目标要求，建设方案第三、四、五部分应结合持续巩固提升要求填写，重点说明各项指标持续改善、建设成效巩固提升等方面的目标、路径和预期成效。</w:t>
      </w:r>
    </w:p>
    <w:p w14:paraId="3B9FD9CA">
      <w:pPr>
        <w:pStyle w:val="23"/>
        <w:tabs>
          <w:tab w:val="left" w:pos="2901"/>
        </w:tabs>
        <w:ind w:firstLine="640"/>
        <w:rPr>
          <w:bCs/>
          <w:sz w:val="32"/>
          <w:szCs w:val="32"/>
          <w:lang w:bidi="ar"/>
        </w:rPr>
      </w:pPr>
      <w:r>
        <w:rPr>
          <w:rFonts w:hint="eastAsia"/>
          <w:bCs/>
          <w:sz w:val="32"/>
          <w:szCs w:val="32"/>
          <w:lang w:bidi="ar"/>
        </w:rPr>
        <w:t>四</w:t>
      </w:r>
      <w:r>
        <w:rPr>
          <w:bCs/>
          <w:sz w:val="32"/>
          <w:szCs w:val="32"/>
          <w:lang w:bidi="ar"/>
        </w:rPr>
        <w:t>、</w:t>
      </w:r>
      <w:r>
        <w:rPr>
          <w:rFonts w:hint="eastAsia"/>
          <w:bCs/>
          <w:sz w:val="32"/>
          <w:szCs w:val="32"/>
          <w:lang w:bidi="ar"/>
        </w:rPr>
        <w:t>统计期为申报上一年度1月1日至12月31日。</w:t>
      </w:r>
    </w:p>
    <w:p w14:paraId="59FA7973">
      <w:pPr>
        <w:pStyle w:val="23"/>
        <w:tabs>
          <w:tab w:val="left" w:pos="2901"/>
        </w:tabs>
        <w:ind w:firstLine="640"/>
        <w:rPr>
          <w:bCs/>
          <w:sz w:val="32"/>
          <w:szCs w:val="32"/>
          <w:lang w:bidi="ar"/>
        </w:rPr>
      </w:pPr>
      <w:r>
        <w:rPr>
          <w:rFonts w:hint="eastAsia"/>
          <w:bCs/>
          <w:sz w:val="32"/>
          <w:szCs w:val="32"/>
          <w:lang w:bidi="ar"/>
        </w:rPr>
        <w:t>五</w:t>
      </w:r>
      <w:r>
        <w:rPr>
          <w:bCs/>
          <w:sz w:val="32"/>
          <w:szCs w:val="32"/>
          <w:lang w:bidi="ar"/>
        </w:rPr>
        <w:t>、</w:t>
      </w:r>
      <w:r>
        <w:rPr>
          <w:rFonts w:hint="eastAsia"/>
          <w:bCs/>
          <w:sz w:val="32"/>
          <w:szCs w:val="32"/>
          <w:lang w:bidi="ar"/>
        </w:rPr>
        <w:t>正文各部分涉及的数据、指标、结果、做法、项目及有关说明，应写明数据来源、统计口径、计算过程及判定依据，并注明对应证明材料名称及页码。所列证明材料不足以证实相关结论的，评审时不予认可。</w:t>
      </w:r>
    </w:p>
    <w:p w14:paraId="6BD439B1">
      <w:pPr>
        <w:pStyle w:val="23"/>
        <w:tabs>
          <w:tab w:val="left" w:pos="2901"/>
        </w:tabs>
        <w:ind w:firstLine="640"/>
        <w:rPr>
          <w:bCs/>
          <w:sz w:val="32"/>
          <w:szCs w:val="32"/>
          <w:lang w:bidi="ar"/>
        </w:rPr>
      </w:pPr>
      <w:r>
        <w:rPr>
          <w:rFonts w:hint="eastAsia"/>
          <w:bCs/>
          <w:sz w:val="32"/>
          <w:szCs w:val="32"/>
          <w:lang w:bidi="ar"/>
        </w:rPr>
        <w:t>六、证明材料应作为单独附件提交，并编制证明材料目录。</w:t>
      </w:r>
    </w:p>
    <w:p w14:paraId="45A1EFBC">
      <w:pPr>
        <w:pStyle w:val="23"/>
        <w:tabs>
          <w:tab w:val="left" w:pos="2901"/>
        </w:tabs>
        <w:ind w:firstLine="0" w:firstLineChars="0"/>
        <w:rPr>
          <w:bCs/>
          <w:sz w:val="32"/>
          <w:szCs w:val="32"/>
          <w:lang w:bidi="ar"/>
        </w:rPr>
      </w:pPr>
    </w:p>
    <w:p w14:paraId="1B582B80">
      <w:pPr>
        <w:tabs>
          <w:tab w:val="left" w:pos="2901"/>
        </w:tabs>
        <w:spacing w:line="600" w:lineRule="exact"/>
        <w:ind w:firstLine="600"/>
        <w:rPr>
          <w:bCs/>
          <w:sz w:val="30"/>
          <w:szCs w:val="30"/>
          <w:lang w:bidi="ar"/>
        </w:rPr>
      </w:pPr>
    </w:p>
    <w:p w14:paraId="2C1CCE3A">
      <w:pPr>
        <w:pStyle w:val="7"/>
        <w:ind w:firstLine="600"/>
        <w:rPr>
          <w:rFonts w:ascii="Times New Roman" w:hAnsi="Times New Roman" w:eastAsia="仿宋_GB2312" w:cs="Times New Roman"/>
          <w:bCs/>
          <w:sz w:val="30"/>
          <w:szCs w:val="30"/>
          <w:lang w:eastAsia="zh-CN" w:bidi="ar"/>
        </w:rPr>
      </w:pPr>
    </w:p>
    <w:p w14:paraId="5D8BD226">
      <w:pPr>
        <w:pStyle w:val="11"/>
        <w:ind w:firstLine="880"/>
        <w:rPr>
          <w:rFonts w:hint="eastAsia" w:eastAsia="仿宋_GB2312"/>
        </w:rPr>
        <w:sectPr>
          <w:footerReference r:id="rId8" w:type="default"/>
          <w:pgSz w:w="11906" w:h="16838"/>
          <w:pgMar w:top="2098" w:right="1474" w:bottom="1984" w:left="1474" w:header="851" w:footer="992" w:gutter="0"/>
          <w:cols w:space="0" w:num="1"/>
          <w:docGrid w:type="lines" w:linePitch="439" w:charSpace="0"/>
        </w:sectPr>
      </w:pPr>
    </w:p>
    <w:p w14:paraId="3BE0495C">
      <w:pPr>
        <w:pStyle w:val="2"/>
        <w:ind w:firstLine="0" w:firstLineChars="0"/>
        <w:jc w:val="center"/>
        <w:rPr>
          <w:rFonts w:ascii="Times New Roman" w:hAnsi="Times New Roman" w:cs="Times New Roman"/>
        </w:rPr>
      </w:pPr>
      <w:bookmarkStart w:id="0" w:name="_Toc227169785"/>
      <w:r>
        <w:rPr>
          <w:rFonts w:ascii="Times New Roman" w:hAnsi="Times New Roman" w:cs="Times New Roman"/>
        </w:rPr>
        <w:t>基本信息表</w:t>
      </w:r>
    </w:p>
    <w:tbl>
      <w:tblPr>
        <w:tblStyle w:val="13"/>
        <w:tblW w:w="8522"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505"/>
        <w:gridCol w:w="2015"/>
        <w:gridCol w:w="1938"/>
        <w:gridCol w:w="2064"/>
      </w:tblGrid>
      <w:tr w14:paraId="45FFDEB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0" w:hRule="atLeast"/>
        </w:trPr>
        <w:tc>
          <w:tcPr>
            <w:tcW w:w="2505" w:type="dxa"/>
            <w:tcBorders>
              <w:tl2br w:val="nil"/>
              <w:tr2bl w:val="nil"/>
            </w:tcBorders>
            <w:vAlign w:val="center"/>
          </w:tcPr>
          <w:p w14:paraId="369150DF">
            <w:pPr>
              <w:widowControl/>
              <w:adjustRightInd w:val="0"/>
              <w:snapToGrid w:val="0"/>
              <w:spacing w:line="400" w:lineRule="exact"/>
              <w:ind w:firstLine="0" w:firstLineChars="0"/>
              <w:jc w:val="center"/>
              <w:textAlignment w:val="center"/>
              <w:rPr>
                <w:szCs w:val="28"/>
              </w:rPr>
            </w:pPr>
            <w:r>
              <w:rPr>
                <w:szCs w:val="28"/>
                <w:lang w:bidi="ar"/>
              </w:rPr>
              <w:t>单位名称</w:t>
            </w:r>
          </w:p>
        </w:tc>
        <w:tc>
          <w:tcPr>
            <w:tcW w:w="6017" w:type="dxa"/>
            <w:gridSpan w:val="3"/>
            <w:tcBorders>
              <w:tl2br w:val="nil"/>
              <w:tr2bl w:val="nil"/>
            </w:tcBorders>
            <w:vAlign w:val="center"/>
          </w:tcPr>
          <w:p w14:paraId="3A123EFC">
            <w:pPr>
              <w:widowControl/>
              <w:adjustRightInd w:val="0"/>
              <w:snapToGrid w:val="0"/>
              <w:spacing w:line="400" w:lineRule="exact"/>
              <w:ind w:firstLine="0" w:firstLineChars="0"/>
              <w:jc w:val="center"/>
              <w:rPr>
                <w:szCs w:val="28"/>
              </w:rPr>
            </w:pPr>
          </w:p>
        </w:tc>
      </w:tr>
      <w:tr w14:paraId="67AC772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505" w:type="dxa"/>
            <w:tcBorders>
              <w:tl2br w:val="nil"/>
              <w:tr2bl w:val="nil"/>
            </w:tcBorders>
            <w:vAlign w:val="center"/>
          </w:tcPr>
          <w:p w14:paraId="2D10D2FB">
            <w:pPr>
              <w:widowControl/>
              <w:adjustRightInd w:val="0"/>
              <w:snapToGrid w:val="0"/>
              <w:spacing w:line="400" w:lineRule="exact"/>
              <w:ind w:firstLine="0" w:firstLineChars="0"/>
              <w:jc w:val="center"/>
              <w:textAlignment w:val="center"/>
              <w:rPr>
                <w:szCs w:val="28"/>
              </w:rPr>
            </w:pPr>
            <w:r>
              <w:rPr>
                <w:szCs w:val="28"/>
              </w:rPr>
              <w:t>单位地址</w:t>
            </w:r>
          </w:p>
        </w:tc>
        <w:tc>
          <w:tcPr>
            <w:tcW w:w="6017" w:type="dxa"/>
            <w:gridSpan w:val="3"/>
            <w:tcBorders>
              <w:tl2br w:val="nil"/>
              <w:tr2bl w:val="nil"/>
            </w:tcBorders>
            <w:vAlign w:val="center"/>
          </w:tcPr>
          <w:p w14:paraId="7C79EFD5">
            <w:pPr>
              <w:widowControl/>
              <w:adjustRightInd w:val="0"/>
              <w:snapToGrid w:val="0"/>
              <w:spacing w:line="400" w:lineRule="exact"/>
              <w:ind w:firstLine="0" w:firstLineChars="0"/>
              <w:jc w:val="center"/>
              <w:rPr>
                <w:szCs w:val="28"/>
              </w:rPr>
            </w:pPr>
          </w:p>
        </w:tc>
      </w:tr>
      <w:tr w14:paraId="6567032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95" w:hRule="atLeast"/>
        </w:trPr>
        <w:tc>
          <w:tcPr>
            <w:tcW w:w="2505" w:type="dxa"/>
            <w:vMerge w:val="restart"/>
            <w:tcBorders>
              <w:tl2br w:val="nil"/>
              <w:tr2bl w:val="nil"/>
            </w:tcBorders>
            <w:vAlign w:val="center"/>
          </w:tcPr>
          <w:p w14:paraId="75B800FA">
            <w:pPr>
              <w:widowControl/>
              <w:adjustRightInd w:val="0"/>
              <w:snapToGrid w:val="0"/>
              <w:spacing w:line="400" w:lineRule="exact"/>
              <w:ind w:firstLine="0" w:firstLineChars="0"/>
              <w:jc w:val="center"/>
              <w:textAlignment w:val="center"/>
              <w:rPr>
                <w:szCs w:val="28"/>
                <w:lang w:bidi="ar"/>
              </w:rPr>
            </w:pPr>
            <w:r>
              <w:rPr>
                <w:szCs w:val="28"/>
                <w:lang w:bidi="ar"/>
              </w:rPr>
              <w:t>所属行业</w:t>
            </w:r>
          </w:p>
        </w:tc>
        <w:tc>
          <w:tcPr>
            <w:tcW w:w="6017" w:type="dxa"/>
            <w:gridSpan w:val="3"/>
            <w:tcBorders>
              <w:tl2br w:val="nil"/>
              <w:tr2bl w:val="nil"/>
            </w:tcBorders>
            <w:vAlign w:val="center"/>
          </w:tcPr>
          <w:p w14:paraId="48E67704">
            <w:pPr>
              <w:widowControl/>
              <w:adjustRightInd w:val="0"/>
              <w:snapToGrid w:val="0"/>
              <w:spacing w:line="400" w:lineRule="exact"/>
              <w:ind w:firstLine="0" w:firstLineChars="0"/>
              <w:textAlignment w:val="center"/>
              <w:rPr>
                <w:szCs w:val="28"/>
                <w:lang w:bidi="ar"/>
              </w:rPr>
            </w:pPr>
            <w:r>
              <w:rPr>
                <w:szCs w:val="28"/>
                <w:lang w:bidi="ar"/>
              </w:rPr>
              <w:t xml:space="preserve">□汽车 □锂电池 □光伏 □电子电器 □轻工 </w:t>
            </w:r>
          </w:p>
          <w:p w14:paraId="51F28199">
            <w:pPr>
              <w:widowControl/>
              <w:adjustRightInd w:val="0"/>
              <w:snapToGrid w:val="0"/>
              <w:spacing w:line="400" w:lineRule="exact"/>
              <w:ind w:firstLine="0" w:firstLineChars="0"/>
              <w:textAlignment w:val="center"/>
              <w:rPr>
                <w:szCs w:val="28"/>
                <w:lang w:bidi="ar"/>
              </w:rPr>
            </w:pPr>
            <w:r>
              <w:rPr>
                <w:szCs w:val="28"/>
                <w:lang w:bidi="ar"/>
              </w:rPr>
              <w:t>□机械 □</w:t>
            </w:r>
            <w:r>
              <w:rPr>
                <w:rFonts w:hint="eastAsia"/>
                <w:szCs w:val="28"/>
                <w:lang w:bidi="ar"/>
              </w:rPr>
              <w:t>纺织</w:t>
            </w:r>
            <w:r>
              <w:rPr>
                <w:szCs w:val="28"/>
                <w:lang w:bidi="ar"/>
              </w:rPr>
              <w:t xml:space="preserve"> □</w:t>
            </w:r>
            <w:r>
              <w:rPr>
                <w:rFonts w:hint="eastAsia"/>
                <w:szCs w:val="28"/>
                <w:lang w:bidi="ar"/>
              </w:rPr>
              <w:t>有色金属</w:t>
            </w:r>
            <w:r>
              <w:rPr>
                <w:szCs w:val="28"/>
                <w:lang w:bidi="ar"/>
              </w:rPr>
              <w:t xml:space="preserve"> □</w:t>
            </w:r>
            <w:r>
              <w:rPr>
                <w:rFonts w:hint="eastAsia"/>
                <w:szCs w:val="28"/>
                <w:lang w:bidi="ar"/>
              </w:rPr>
              <w:t xml:space="preserve">钢铁 </w:t>
            </w:r>
            <w:r>
              <w:rPr>
                <w:szCs w:val="28"/>
                <w:lang w:bidi="ar"/>
              </w:rPr>
              <w:t>□</w:t>
            </w:r>
            <w:r>
              <w:rPr>
                <w:rFonts w:hint="eastAsia"/>
                <w:szCs w:val="28"/>
                <w:lang w:bidi="ar"/>
              </w:rPr>
              <w:t xml:space="preserve">建材 </w:t>
            </w:r>
          </w:p>
          <w:p w14:paraId="77FC3AAE">
            <w:pPr>
              <w:widowControl/>
              <w:adjustRightInd w:val="0"/>
              <w:snapToGrid w:val="0"/>
              <w:spacing w:line="400" w:lineRule="exact"/>
              <w:ind w:firstLine="0" w:firstLineChars="0"/>
              <w:textAlignment w:val="center"/>
              <w:rPr>
                <w:szCs w:val="28"/>
              </w:rPr>
            </w:pPr>
            <w:r>
              <w:rPr>
                <w:szCs w:val="28"/>
                <w:lang w:bidi="ar"/>
              </w:rPr>
              <w:t>□</w:t>
            </w:r>
            <w:r>
              <w:rPr>
                <w:rFonts w:hint="eastAsia"/>
                <w:szCs w:val="28"/>
                <w:lang w:bidi="ar"/>
              </w:rPr>
              <w:t>石化化工</w:t>
            </w:r>
            <w:r>
              <w:rPr>
                <w:szCs w:val="28"/>
                <w:lang w:bidi="ar"/>
              </w:rPr>
              <w:t xml:space="preserve"> □算力设施 □其他</w:t>
            </w:r>
            <w:r>
              <w:rPr>
                <w:rFonts w:hint="eastAsia"/>
                <w:szCs w:val="28"/>
                <w:lang w:bidi="ar"/>
              </w:rPr>
              <w:t>制造业：</w:t>
            </w:r>
            <w:r>
              <w:rPr>
                <w:szCs w:val="28"/>
                <w:u w:val="single"/>
                <w:lang w:bidi="ar"/>
              </w:rPr>
              <w:t xml:space="preserve">       </w:t>
            </w:r>
            <w:r>
              <w:rPr>
                <w:rFonts w:hint="eastAsia"/>
                <w:szCs w:val="28"/>
                <w:u w:val="single"/>
                <w:lang w:bidi="ar"/>
              </w:rPr>
              <w:t xml:space="preserve"> </w:t>
            </w:r>
          </w:p>
        </w:tc>
      </w:tr>
      <w:tr w14:paraId="4BE50F4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505" w:type="dxa"/>
            <w:tcBorders>
              <w:tl2br w:val="nil"/>
              <w:tr2bl w:val="nil"/>
            </w:tcBorders>
            <w:vAlign w:val="center"/>
          </w:tcPr>
          <w:p w14:paraId="39A4E63A">
            <w:pPr>
              <w:widowControl/>
              <w:adjustRightInd w:val="0"/>
              <w:snapToGrid w:val="0"/>
              <w:spacing w:line="400" w:lineRule="exact"/>
              <w:ind w:firstLine="0" w:firstLineChars="0"/>
              <w:jc w:val="center"/>
              <w:textAlignment w:val="center"/>
              <w:rPr>
                <w:szCs w:val="28"/>
                <w:lang w:bidi="ar"/>
              </w:rPr>
            </w:pPr>
            <w:r>
              <w:rPr>
                <w:szCs w:val="28"/>
              </w:rPr>
              <w:t>主要产品（服务）</w:t>
            </w:r>
          </w:p>
        </w:tc>
        <w:tc>
          <w:tcPr>
            <w:tcW w:w="6017" w:type="dxa"/>
            <w:gridSpan w:val="3"/>
            <w:tcBorders>
              <w:tl2br w:val="nil"/>
              <w:tr2bl w:val="nil"/>
            </w:tcBorders>
            <w:vAlign w:val="center"/>
          </w:tcPr>
          <w:p w14:paraId="48226F8B">
            <w:pPr>
              <w:widowControl/>
              <w:adjustRightInd w:val="0"/>
              <w:snapToGrid w:val="0"/>
              <w:spacing w:line="400" w:lineRule="exact"/>
              <w:ind w:firstLine="0" w:firstLineChars="0"/>
              <w:jc w:val="center"/>
              <w:rPr>
                <w:szCs w:val="28"/>
              </w:rPr>
            </w:pPr>
          </w:p>
        </w:tc>
      </w:tr>
      <w:tr w14:paraId="6112B9F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48" w:hRule="atLeast"/>
        </w:trPr>
        <w:tc>
          <w:tcPr>
            <w:tcW w:w="2505" w:type="dxa"/>
            <w:tcBorders>
              <w:tl2br w:val="nil"/>
              <w:tr2bl w:val="nil"/>
            </w:tcBorders>
            <w:vAlign w:val="center"/>
          </w:tcPr>
          <w:p w14:paraId="7C447690">
            <w:pPr>
              <w:widowControl/>
              <w:adjustRightInd w:val="0"/>
              <w:snapToGrid w:val="0"/>
              <w:spacing w:line="400" w:lineRule="exact"/>
              <w:ind w:firstLine="0" w:firstLineChars="0"/>
              <w:jc w:val="center"/>
              <w:textAlignment w:val="center"/>
              <w:rPr>
                <w:szCs w:val="28"/>
              </w:rPr>
            </w:pPr>
            <w:r>
              <w:rPr>
                <w:szCs w:val="28"/>
                <w:lang w:bidi="ar"/>
              </w:rPr>
              <w:t>单位性质</w:t>
            </w:r>
          </w:p>
        </w:tc>
        <w:tc>
          <w:tcPr>
            <w:tcW w:w="6017" w:type="dxa"/>
            <w:gridSpan w:val="3"/>
            <w:tcBorders>
              <w:tl2br w:val="nil"/>
              <w:tr2bl w:val="nil"/>
            </w:tcBorders>
            <w:vAlign w:val="center"/>
          </w:tcPr>
          <w:p w14:paraId="2FD5A3B2">
            <w:pPr>
              <w:widowControl/>
              <w:adjustRightInd w:val="0"/>
              <w:snapToGrid w:val="0"/>
              <w:spacing w:line="400" w:lineRule="exact"/>
              <w:ind w:firstLine="0" w:firstLineChars="0"/>
              <w:jc w:val="left"/>
              <w:textAlignment w:val="center"/>
              <w:rPr>
                <w:szCs w:val="28"/>
                <w:lang w:bidi="ar"/>
              </w:rPr>
            </w:pPr>
            <w:r>
              <w:rPr>
                <w:szCs w:val="28"/>
                <w:lang w:bidi="ar"/>
              </w:rPr>
              <w:t xml:space="preserve">内资（□国有 □集体 □民营）□中外合资 </w:t>
            </w:r>
          </w:p>
          <w:p w14:paraId="44F39A51">
            <w:pPr>
              <w:widowControl/>
              <w:adjustRightInd w:val="0"/>
              <w:snapToGrid w:val="0"/>
              <w:spacing w:line="400" w:lineRule="exact"/>
              <w:ind w:firstLine="0" w:firstLineChars="0"/>
              <w:jc w:val="left"/>
              <w:textAlignment w:val="center"/>
              <w:rPr>
                <w:sz w:val="32"/>
                <w:szCs w:val="32"/>
                <w:lang w:bidi="ar"/>
              </w:rPr>
            </w:pPr>
            <w:r>
              <w:rPr>
                <w:szCs w:val="28"/>
                <w:lang w:bidi="ar"/>
              </w:rPr>
              <w:t>□港澳台 □外商独资</w:t>
            </w:r>
          </w:p>
        </w:tc>
      </w:tr>
      <w:tr w14:paraId="5409C2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505" w:type="dxa"/>
            <w:tcBorders>
              <w:tl2br w:val="nil"/>
              <w:tr2bl w:val="nil"/>
            </w:tcBorders>
            <w:vAlign w:val="center"/>
          </w:tcPr>
          <w:p w14:paraId="0C3B3669">
            <w:pPr>
              <w:widowControl/>
              <w:adjustRightInd w:val="0"/>
              <w:snapToGrid w:val="0"/>
              <w:spacing w:line="400" w:lineRule="exact"/>
              <w:ind w:firstLine="0" w:firstLineChars="0"/>
              <w:jc w:val="center"/>
              <w:textAlignment w:val="center"/>
              <w:rPr>
                <w:szCs w:val="28"/>
              </w:rPr>
            </w:pPr>
            <w:r>
              <w:rPr>
                <w:szCs w:val="28"/>
              </w:rPr>
              <w:t>统一社会信用代码</w:t>
            </w:r>
          </w:p>
        </w:tc>
        <w:tc>
          <w:tcPr>
            <w:tcW w:w="2015" w:type="dxa"/>
            <w:tcBorders>
              <w:tl2br w:val="nil"/>
              <w:tr2bl w:val="nil"/>
            </w:tcBorders>
            <w:vAlign w:val="center"/>
          </w:tcPr>
          <w:p w14:paraId="034F9A37">
            <w:pPr>
              <w:widowControl/>
              <w:adjustRightInd w:val="0"/>
              <w:snapToGrid w:val="0"/>
              <w:spacing w:line="400" w:lineRule="exact"/>
              <w:ind w:firstLine="0" w:firstLineChars="0"/>
              <w:jc w:val="center"/>
              <w:rPr>
                <w:szCs w:val="28"/>
              </w:rPr>
            </w:pPr>
          </w:p>
        </w:tc>
        <w:tc>
          <w:tcPr>
            <w:tcW w:w="1938" w:type="dxa"/>
            <w:tcBorders>
              <w:tl2br w:val="nil"/>
              <w:tr2bl w:val="nil"/>
            </w:tcBorders>
            <w:vAlign w:val="center"/>
          </w:tcPr>
          <w:p w14:paraId="62D6EDE1">
            <w:pPr>
              <w:widowControl/>
              <w:adjustRightInd w:val="0"/>
              <w:snapToGrid w:val="0"/>
              <w:spacing w:line="400" w:lineRule="exact"/>
              <w:ind w:firstLine="0" w:firstLineChars="0"/>
              <w:jc w:val="center"/>
              <w:rPr>
                <w:szCs w:val="28"/>
              </w:rPr>
            </w:pPr>
            <w:r>
              <w:rPr>
                <w:szCs w:val="28"/>
              </w:rPr>
              <w:t>法定代表人</w:t>
            </w:r>
          </w:p>
        </w:tc>
        <w:tc>
          <w:tcPr>
            <w:tcW w:w="2064" w:type="dxa"/>
            <w:tcBorders>
              <w:tl2br w:val="nil"/>
              <w:tr2bl w:val="nil"/>
            </w:tcBorders>
            <w:vAlign w:val="center"/>
          </w:tcPr>
          <w:p w14:paraId="0DE010BD">
            <w:pPr>
              <w:widowControl/>
              <w:adjustRightInd w:val="0"/>
              <w:snapToGrid w:val="0"/>
              <w:spacing w:line="400" w:lineRule="exact"/>
              <w:ind w:firstLine="0" w:firstLineChars="0"/>
              <w:jc w:val="center"/>
              <w:rPr>
                <w:szCs w:val="28"/>
              </w:rPr>
            </w:pPr>
          </w:p>
        </w:tc>
      </w:tr>
      <w:tr w14:paraId="63CCADF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505" w:type="dxa"/>
            <w:tcBorders>
              <w:tl2br w:val="nil"/>
              <w:tr2bl w:val="nil"/>
            </w:tcBorders>
            <w:vAlign w:val="center"/>
          </w:tcPr>
          <w:p w14:paraId="56B9C813">
            <w:pPr>
              <w:widowControl/>
              <w:adjustRightInd w:val="0"/>
              <w:snapToGrid w:val="0"/>
              <w:spacing w:line="400" w:lineRule="exact"/>
              <w:ind w:firstLine="0" w:firstLineChars="0"/>
              <w:jc w:val="center"/>
              <w:textAlignment w:val="center"/>
              <w:rPr>
                <w:szCs w:val="28"/>
              </w:rPr>
            </w:pPr>
            <w:r>
              <w:rPr>
                <w:szCs w:val="28"/>
              </w:rPr>
              <w:t>申报工作联系部门</w:t>
            </w:r>
          </w:p>
        </w:tc>
        <w:tc>
          <w:tcPr>
            <w:tcW w:w="2015" w:type="dxa"/>
            <w:tcBorders>
              <w:tl2br w:val="nil"/>
              <w:tr2bl w:val="nil"/>
            </w:tcBorders>
            <w:vAlign w:val="center"/>
          </w:tcPr>
          <w:p w14:paraId="12D023C7">
            <w:pPr>
              <w:widowControl/>
              <w:adjustRightInd w:val="0"/>
              <w:snapToGrid w:val="0"/>
              <w:spacing w:line="400" w:lineRule="exact"/>
              <w:ind w:firstLine="0" w:firstLineChars="0"/>
              <w:jc w:val="center"/>
              <w:rPr>
                <w:szCs w:val="28"/>
              </w:rPr>
            </w:pPr>
          </w:p>
        </w:tc>
        <w:tc>
          <w:tcPr>
            <w:tcW w:w="1938" w:type="dxa"/>
            <w:tcBorders>
              <w:tl2br w:val="nil"/>
              <w:tr2bl w:val="nil"/>
            </w:tcBorders>
            <w:vAlign w:val="center"/>
          </w:tcPr>
          <w:p w14:paraId="4CC8ED07">
            <w:pPr>
              <w:widowControl/>
              <w:adjustRightInd w:val="0"/>
              <w:snapToGrid w:val="0"/>
              <w:spacing w:line="400" w:lineRule="exact"/>
              <w:ind w:firstLine="0" w:firstLineChars="0"/>
              <w:jc w:val="center"/>
              <w:textAlignment w:val="center"/>
              <w:rPr>
                <w:szCs w:val="28"/>
                <w:lang w:bidi="ar"/>
              </w:rPr>
            </w:pPr>
            <w:r>
              <w:rPr>
                <w:szCs w:val="28"/>
                <w:lang w:bidi="ar"/>
              </w:rPr>
              <w:t>联系人</w:t>
            </w:r>
          </w:p>
        </w:tc>
        <w:tc>
          <w:tcPr>
            <w:tcW w:w="2064" w:type="dxa"/>
            <w:tcBorders>
              <w:tl2br w:val="nil"/>
              <w:tr2bl w:val="nil"/>
            </w:tcBorders>
            <w:vAlign w:val="center"/>
          </w:tcPr>
          <w:p w14:paraId="6940CF67">
            <w:pPr>
              <w:widowControl/>
              <w:adjustRightInd w:val="0"/>
              <w:snapToGrid w:val="0"/>
              <w:spacing w:line="400" w:lineRule="exact"/>
              <w:ind w:firstLine="0" w:firstLineChars="0"/>
              <w:jc w:val="center"/>
              <w:rPr>
                <w:szCs w:val="28"/>
              </w:rPr>
            </w:pPr>
          </w:p>
        </w:tc>
      </w:tr>
      <w:tr w14:paraId="274647C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505" w:type="dxa"/>
            <w:tcBorders>
              <w:tl2br w:val="nil"/>
              <w:tr2bl w:val="nil"/>
            </w:tcBorders>
            <w:vAlign w:val="center"/>
          </w:tcPr>
          <w:p w14:paraId="60F3BB61">
            <w:pPr>
              <w:widowControl/>
              <w:adjustRightInd w:val="0"/>
              <w:snapToGrid w:val="0"/>
              <w:spacing w:line="400" w:lineRule="exact"/>
              <w:ind w:firstLine="0" w:firstLineChars="0"/>
              <w:jc w:val="center"/>
              <w:textAlignment w:val="center"/>
              <w:rPr>
                <w:szCs w:val="28"/>
              </w:rPr>
            </w:pPr>
            <w:r>
              <w:rPr>
                <w:szCs w:val="28"/>
              </w:rPr>
              <w:t>联系电话</w:t>
            </w:r>
          </w:p>
        </w:tc>
        <w:tc>
          <w:tcPr>
            <w:tcW w:w="2015" w:type="dxa"/>
            <w:tcBorders>
              <w:tl2br w:val="nil"/>
              <w:tr2bl w:val="nil"/>
            </w:tcBorders>
            <w:vAlign w:val="center"/>
          </w:tcPr>
          <w:p w14:paraId="66E3A259">
            <w:pPr>
              <w:widowControl/>
              <w:adjustRightInd w:val="0"/>
              <w:snapToGrid w:val="0"/>
              <w:spacing w:line="400" w:lineRule="exact"/>
              <w:ind w:firstLine="0" w:firstLineChars="0"/>
              <w:jc w:val="center"/>
              <w:rPr>
                <w:szCs w:val="28"/>
              </w:rPr>
            </w:pPr>
          </w:p>
        </w:tc>
        <w:tc>
          <w:tcPr>
            <w:tcW w:w="1938" w:type="dxa"/>
            <w:tcBorders>
              <w:tl2br w:val="nil"/>
              <w:tr2bl w:val="nil"/>
            </w:tcBorders>
            <w:vAlign w:val="center"/>
          </w:tcPr>
          <w:p w14:paraId="01A85DA0">
            <w:pPr>
              <w:widowControl/>
              <w:adjustRightInd w:val="0"/>
              <w:snapToGrid w:val="0"/>
              <w:spacing w:line="400" w:lineRule="exact"/>
              <w:ind w:firstLine="0" w:firstLineChars="0"/>
              <w:jc w:val="center"/>
              <w:textAlignment w:val="center"/>
              <w:rPr>
                <w:szCs w:val="28"/>
                <w:lang w:bidi="ar"/>
              </w:rPr>
            </w:pPr>
            <w:r>
              <w:rPr>
                <w:szCs w:val="28"/>
                <w:lang w:bidi="ar"/>
              </w:rPr>
              <w:t>电子邮箱</w:t>
            </w:r>
          </w:p>
        </w:tc>
        <w:tc>
          <w:tcPr>
            <w:tcW w:w="2064" w:type="dxa"/>
            <w:tcBorders>
              <w:tl2br w:val="nil"/>
              <w:tr2bl w:val="nil"/>
            </w:tcBorders>
            <w:vAlign w:val="center"/>
          </w:tcPr>
          <w:p w14:paraId="604AEC53">
            <w:pPr>
              <w:widowControl/>
              <w:adjustRightInd w:val="0"/>
              <w:snapToGrid w:val="0"/>
              <w:spacing w:line="400" w:lineRule="exact"/>
              <w:ind w:firstLine="0" w:firstLineChars="0"/>
              <w:jc w:val="center"/>
              <w:rPr>
                <w:szCs w:val="28"/>
              </w:rPr>
            </w:pPr>
          </w:p>
        </w:tc>
      </w:tr>
      <w:tr w14:paraId="07FA5EB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959" w:hRule="atLeast"/>
        </w:trPr>
        <w:tc>
          <w:tcPr>
            <w:tcW w:w="2505" w:type="dxa"/>
            <w:tcBorders>
              <w:tl2br w:val="nil"/>
              <w:tr2bl w:val="nil"/>
            </w:tcBorders>
            <w:vAlign w:val="center"/>
          </w:tcPr>
          <w:p w14:paraId="01EE1A4C">
            <w:pPr>
              <w:widowControl/>
              <w:adjustRightInd w:val="0"/>
              <w:snapToGrid w:val="0"/>
              <w:spacing w:line="400" w:lineRule="exact"/>
              <w:ind w:firstLine="0" w:firstLineChars="0"/>
              <w:jc w:val="center"/>
              <w:textAlignment w:val="center"/>
              <w:rPr>
                <w:szCs w:val="28"/>
              </w:rPr>
            </w:pPr>
            <w:r>
              <w:rPr>
                <w:szCs w:val="28"/>
                <w:lang w:bidi="ar"/>
              </w:rPr>
              <w:t>零碳工厂建设亮点</w:t>
            </w:r>
          </w:p>
        </w:tc>
        <w:tc>
          <w:tcPr>
            <w:tcW w:w="6017" w:type="dxa"/>
            <w:gridSpan w:val="3"/>
            <w:tcBorders>
              <w:tl2br w:val="nil"/>
              <w:tr2bl w:val="nil"/>
            </w:tcBorders>
            <w:vAlign w:val="center"/>
          </w:tcPr>
          <w:p w14:paraId="2FFD432D">
            <w:pPr>
              <w:widowControl/>
              <w:adjustRightInd w:val="0"/>
              <w:snapToGrid w:val="0"/>
              <w:spacing w:line="400" w:lineRule="exact"/>
              <w:ind w:firstLine="0" w:firstLineChars="0"/>
              <w:textAlignment w:val="center"/>
              <w:rPr>
                <w:szCs w:val="28"/>
                <w:lang w:bidi="ar"/>
              </w:rPr>
            </w:pPr>
          </w:p>
          <w:p w14:paraId="14234DA2">
            <w:pPr>
              <w:widowControl/>
              <w:adjustRightInd w:val="0"/>
              <w:snapToGrid w:val="0"/>
              <w:spacing w:line="400" w:lineRule="exact"/>
              <w:ind w:firstLine="0" w:firstLineChars="0"/>
              <w:textAlignment w:val="center"/>
              <w:rPr>
                <w:szCs w:val="28"/>
                <w:lang w:bidi="ar"/>
              </w:rPr>
            </w:pPr>
            <w:r>
              <w:rPr>
                <w:szCs w:val="28"/>
                <w:lang w:bidi="ar"/>
              </w:rPr>
              <w:t>（</w:t>
            </w:r>
            <w:r>
              <w:rPr>
                <w:rFonts w:hint="eastAsia"/>
                <w:szCs w:val="28"/>
                <w:lang w:bidi="ar"/>
              </w:rPr>
              <w:t>简述</w:t>
            </w:r>
            <w:r>
              <w:rPr>
                <w:szCs w:val="28"/>
                <w:lang w:bidi="ar"/>
              </w:rPr>
              <w:t>科学算碳、源头减碳、过程脱碳、协同降碳、智能控碳</w:t>
            </w:r>
            <w:r>
              <w:rPr>
                <w:rFonts w:hint="eastAsia"/>
                <w:szCs w:val="28"/>
                <w:lang w:bidi="ar"/>
              </w:rPr>
              <w:t>、碳抵销与信息披露</w:t>
            </w:r>
            <w:r>
              <w:rPr>
                <w:szCs w:val="28"/>
                <w:lang w:bidi="ar"/>
              </w:rPr>
              <w:t>等方面情况，</w:t>
            </w:r>
            <w:r>
              <w:rPr>
                <w:rFonts w:hint="eastAsia"/>
                <w:szCs w:val="28"/>
                <w:lang w:bidi="ar"/>
              </w:rPr>
              <w:t>3</w:t>
            </w:r>
            <w:r>
              <w:rPr>
                <w:szCs w:val="28"/>
                <w:lang w:bidi="ar"/>
              </w:rPr>
              <w:t>00字以内）</w:t>
            </w:r>
          </w:p>
          <w:p w14:paraId="47F3277D">
            <w:pPr>
              <w:spacing w:line="400" w:lineRule="exact"/>
              <w:ind w:firstLine="560"/>
            </w:pPr>
          </w:p>
        </w:tc>
      </w:tr>
      <w:tr w14:paraId="2FA43F2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22" w:type="dxa"/>
            <w:gridSpan w:val="4"/>
            <w:tcBorders>
              <w:tl2br w:val="nil"/>
              <w:tr2bl w:val="nil"/>
            </w:tcBorders>
          </w:tcPr>
          <w:p w14:paraId="789EBCE7">
            <w:pPr>
              <w:widowControl/>
              <w:adjustRightInd w:val="0"/>
              <w:snapToGrid w:val="0"/>
              <w:spacing w:line="400" w:lineRule="exact"/>
              <w:ind w:firstLine="0" w:firstLineChars="0"/>
              <w:textAlignment w:val="center"/>
              <w:rPr>
                <w:b/>
                <w:bCs/>
                <w:szCs w:val="28"/>
                <w:lang w:bidi="ar"/>
              </w:rPr>
            </w:pPr>
            <w:r>
              <w:rPr>
                <w:rFonts w:hint="eastAsia"/>
                <w:b/>
                <w:bCs/>
                <w:szCs w:val="28"/>
                <w:lang w:bidi="ar"/>
              </w:rPr>
              <w:t>单位</w:t>
            </w:r>
            <w:r>
              <w:rPr>
                <w:b/>
                <w:bCs/>
                <w:szCs w:val="28"/>
                <w:lang w:bidi="ar"/>
              </w:rPr>
              <w:t>承诺：</w:t>
            </w:r>
          </w:p>
          <w:p w14:paraId="4CA2FFC5">
            <w:pPr>
              <w:widowControl/>
              <w:adjustRightInd w:val="0"/>
              <w:snapToGrid w:val="0"/>
              <w:spacing w:line="400" w:lineRule="exact"/>
              <w:ind w:firstLine="560"/>
              <w:textAlignment w:val="center"/>
              <w:rPr>
                <w:szCs w:val="28"/>
              </w:rPr>
            </w:pPr>
            <w:r>
              <w:rPr>
                <w:rFonts w:hint="eastAsia"/>
                <w:szCs w:val="28"/>
              </w:rPr>
              <w:t>近三年不存在下列情况：发生较大及以上级别的安全（含网络安全、数据安全、生产安全等）、质量、环境污染等事故；从事《中华人民共和国反垄断法》规定的垄断行为；在国务院及有关部门相关督查工作中被发现存在严重问题；被列入工业节能监察整改名单且未按要求完成整改；被列入电信业务经营不良名单和失信名单；受到有关行政主管部门比较重大以上行政处罚；被列为失信被执行人；因专利权、商标权、著作权、所有权、使用权等权属纠纷被生效法律文书认定应承担法律责任。零碳工厂建设在不影响电力安全供应和系统稳定运行的前提下进行。</w:t>
            </w:r>
            <w:r>
              <w:rPr>
                <w:szCs w:val="28"/>
              </w:rPr>
              <w:t>所提交的所有材料均真实、有效，愿接受并积极配合主管部门的监督抽查和核验。如有违反，愿承担由此产生的相应责任。</w:t>
            </w:r>
          </w:p>
          <w:p w14:paraId="41114746">
            <w:pPr>
              <w:widowControl/>
              <w:adjustRightInd w:val="0"/>
              <w:snapToGrid w:val="0"/>
              <w:spacing w:line="400" w:lineRule="exact"/>
              <w:ind w:right="560" w:firstLine="0" w:firstLineChars="0"/>
              <w:jc w:val="center"/>
              <w:rPr>
                <w:szCs w:val="28"/>
              </w:rPr>
            </w:pPr>
            <w:r>
              <w:rPr>
                <w:szCs w:val="28"/>
              </w:rPr>
              <w:t xml:space="preserve">                           法定代表人签</w:t>
            </w:r>
            <w:r>
              <w:rPr>
                <w:rFonts w:hint="eastAsia"/>
                <w:szCs w:val="28"/>
              </w:rPr>
              <w:t>字</w:t>
            </w:r>
            <w:r>
              <w:rPr>
                <w:szCs w:val="28"/>
              </w:rPr>
              <w:t xml:space="preserve">：              </w:t>
            </w:r>
          </w:p>
          <w:p w14:paraId="366C930B">
            <w:pPr>
              <w:widowControl/>
              <w:adjustRightInd w:val="0"/>
              <w:snapToGrid w:val="0"/>
              <w:spacing w:line="400" w:lineRule="exact"/>
              <w:ind w:right="560" w:firstLine="0" w:firstLineChars="0"/>
              <w:jc w:val="center"/>
              <w:rPr>
                <w:szCs w:val="28"/>
              </w:rPr>
            </w:pPr>
            <w:r>
              <w:rPr>
                <w:szCs w:val="28"/>
              </w:rPr>
              <w:t xml:space="preserve">                          </w:t>
            </w:r>
            <w:r>
              <w:rPr>
                <w:rFonts w:hint="eastAsia"/>
                <w:szCs w:val="28"/>
              </w:rPr>
              <w:t xml:space="preserve">（单 位 </w:t>
            </w:r>
            <w:r>
              <w:rPr>
                <w:szCs w:val="28"/>
              </w:rPr>
              <w:t>公</w:t>
            </w:r>
            <w:r>
              <w:rPr>
                <w:rFonts w:hint="eastAsia"/>
                <w:szCs w:val="28"/>
              </w:rPr>
              <w:t xml:space="preserve"> </w:t>
            </w:r>
            <w:r>
              <w:rPr>
                <w:szCs w:val="28"/>
              </w:rPr>
              <w:t>章</w:t>
            </w:r>
            <w:r>
              <w:rPr>
                <w:rFonts w:hint="eastAsia"/>
                <w:szCs w:val="28"/>
              </w:rPr>
              <w:t>）</w:t>
            </w:r>
            <w:r>
              <w:rPr>
                <w:szCs w:val="28"/>
              </w:rPr>
              <w:t xml:space="preserve">            </w:t>
            </w:r>
          </w:p>
          <w:p w14:paraId="2C66EF11">
            <w:pPr>
              <w:widowControl/>
              <w:adjustRightInd w:val="0"/>
              <w:snapToGrid w:val="0"/>
              <w:spacing w:line="400" w:lineRule="exact"/>
              <w:ind w:right="560" w:firstLine="0" w:firstLineChars="0"/>
              <w:jc w:val="center"/>
              <w:textAlignment w:val="top"/>
              <w:rPr>
                <w:szCs w:val="28"/>
              </w:rPr>
            </w:pPr>
            <w:r>
              <w:rPr>
                <w:szCs w:val="28"/>
              </w:rPr>
              <w:t xml:space="preserve">                         </w:t>
            </w:r>
            <w:r>
              <w:rPr>
                <w:rFonts w:hint="eastAsia"/>
                <w:szCs w:val="28"/>
              </w:rPr>
              <w:t xml:space="preserve">             </w:t>
            </w:r>
            <w:r>
              <w:rPr>
                <w:szCs w:val="28"/>
              </w:rPr>
              <w:t xml:space="preserve"> 年     月     日               </w:t>
            </w:r>
          </w:p>
        </w:tc>
      </w:tr>
    </w:tbl>
    <w:p w14:paraId="422A663C">
      <w:pPr>
        <w:pStyle w:val="7"/>
        <w:ind w:firstLine="620"/>
        <w:rPr>
          <w:rFonts w:hint="eastAsia"/>
        </w:rPr>
        <w:sectPr>
          <w:pgSz w:w="11906" w:h="16838"/>
          <w:pgMar w:top="1440" w:right="1800" w:bottom="1440" w:left="1800" w:header="851" w:footer="992" w:gutter="0"/>
          <w:cols w:space="425" w:num="1"/>
          <w:docGrid w:type="lines" w:linePitch="312" w:charSpace="0"/>
        </w:sectPr>
      </w:pPr>
    </w:p>
    <w:p w14:paraId="530DC3B1">
      <w:pPr>
        <w:pStyle w:val="2"/>
        <w:rPr>
          <w:rFonts w:ascii="Times New Roman" w:hAnsi="Times New Roman" w:cs="Times New Roman"/>
        </w:rPr>
      </w:pPr>
      <w:r>
        <w:rPr>
          <w:rFonts w:ascii="Times New Roman" w:hAnsi="Times New Roman" w:cs="Times New Roman"/>
        </w:rPr>
        <w:t>一、</w:t>
      </w:r>
      <w:bookmarkEnd w:id="0"/>
      <w:r>
        <w:rPr>
          <w:rFonts w:ascii="Times New Roman" w:hAnsi="Times New Roman" w:cs="Times New Roman"/>
        </w:rPr>
        <w:t>概况</w:t>
      </w:r>
    </w:p>
    <w:p w14:paraId="2038B8F6">
      <w:pPr>
        <w:ind w:firstLine="640"/>
        <w:rPr>
          <w:rFonts w:hint="eastAsia" w:ascii="楷体_GB2312" w:hAnsi="楷体_GB2312" w:eastAsia="楷体_GB2312" w:cs="楷体_GB2312"/>
          <w:sz w:val="32"/>
          <w:szCs w:val="32"/>
        </w:rPr>
      </w:pPr>
      <w:bookmarkStart w:id="1" w:name="_Toc227169786"/>
      <w:r>
        <w:rPr>
          <w:rFonts w:hint="eastAsia" w:ascii="楷体_GB2312" w:hAnsi="楷体_GB2312" w:eastAsia="楷体_GB2312" w:cs="楷体_GB2312"/>
          <w:sz w:val="32"/>
          <w:szCs w:val="32"/>
        </w:rPr>
        <w:t>（一）申报单位基本情况</w:t>
      </w:r>
      <w:bookmarkEnd w:id="1"/>
    </w:p>
    <w:p w14:paraId="11ECDC86">
      <w:pPr>
        <w:ind w:firstLine="640"/>
        <w:rPr>
          <w:sz w:val="32"/>
          <w:szCs w:val="32"/>
        </w:rPr>
      </w:pPr>
      <w:r>
        <w:rPr>
          <w:sz w:val="32"/>
          <w:szCs w:val="32"/>
        </w:rPr>
        <w:t>简述申报单位主营业务、主要产品或服务能力、生产经营情况、行业地位、荣誉资质等</w:t>
      </w:r>
      <w:r>
        <w:rPr>
          <w:rFonts w:hint="eastAsia"/>
          <w:sz w:val="32"/>
          <w:szCs w:val="32"/>
        </w:rPr>
        <w:t>情况</w:t>
      </w:r>
      <w:r>
        <w:rPr>
          <w:sz w:val="32"/>
          <w:szCs w:val="32"/>
        </w:rPr>
        <w:t>。</w:t>
      </w:r>
      <w:r>
        <w:rPr>
          <w:rFonts w:hint="eastAsia"/>
          <w:sz w:val="32"/>
          <w:szCs w:val="32"/>
        </w:rPr>
        <w:t>内容包括但不限于近三年</w:t>
      </w:r>
      <w:r>
        <w:rPr>
          <w:sz w:val="32"/>
          <w:szCs w:val="32"/>
        </w:rPr>
        <w:t>（2023—2025年</w:t>
      </w:r>
      <w:r>
        <w:rPr>
          <w:rFonts w:hint="eastAsia"/>
          <w:sz w:val="32"/>
          <w:szCs w:val="32"/>
        </w:rPr>
        <w:t>，下同</w:t>
      </w:r>
      <w:r>
        <w:rPr>
          <w:sz w:val="32"/>
          <w:szCs w:val="32"/>
        </w:rPr>
        <w:t>）营业收入、利润总额、工业总产值、工业增加值</w:t>
      </w:r>
      <w:r>
        <w:rPr>
          <w:rFonts w:hint="eastAsia"/>
          <w:sz w:val="32"/>
          <w:szCs w:val="32"/>
        </w:rPr>
        <w:t>、研发投入</w:t>
      </w:r>
      <w:r>
        <w:rPr>
          <w:sz w:val="32"/>
          <w:szCs w:val="32"/>
        </w:rPr>
        <w:t>等主要指标，以及开展零碳工厂建设在资金、技术、人才和管理等方面的基础条件。</w:t>
      </w:r>
    </w:p>
    <w:p w14:paraId="58DFDAB3">
      <w:pPr>
        <w:ind w:firstLine="64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（二）主要生产工艺或算力设施运行情况</w:t>
      </w:r>
    </w:p>
    <w:p w14:paraId="1ED8C42E">
      <w:pPr>
        <w:ind w:firstLine="640"/>
        <w:rPr>
          <w:sz w:val="32"/>
          <w:szCs w:val="32"/>
        </w:rPr>
      </w:pPr>
      <w:r>
        <w:rPr>
          <w:sz w:val="32"/>
          <w:szCs w:val="32"/>
        </w:rPr>
        <w:t>制造型企业简述主要产品、工艺技术路线、关键生产工序</w:t>
      </w:r>
      <w:r>
        <w:rPr>
          <w:rFonts w:hint="eastAsia"/>
          <w:sz w:val="32"/>
          <w:szCs w:val="32"/>
        </w:rPr>
        <w:t>及</w:t>
      </w:r>
      <w:r>
        <w:rPr>
          <w:sz w:val="32"/>
          <w:szCs w:val="32"/>
        </w:rPr>
        <w:t>主要耗能环节</w:t>
      </w:r>
      <w:r>
        <w:rPr>
          <w:rFonts w:hint="eastAsia"/>
          <w:sz w:val="32"/>
          <w:szCs w:val="32"/>
        </w:rPr>
        <w:t>等</w:t>
      </w:r>
      <w:r>
        <w:rPr>
          <w:sz w:val="32"/>
          <w:szCs w:val="32"/>
        </w:rPr>
        <w:t>情况；算力设施简述算力服务类型、机架部署</w:t>
      </w:r>
      <w:r>
        <w:rPr>
          <w:rFonts w:hint="eastAsia"/>
          <w:sz w:val="32"/>
          <w:szCs w:val="32"/>
        </w:rPr>
        <w:t>（算力设施标准机架数根据全部已安装机柜的设计功率总和换算，以功率2.5千瓦为一个标准机架）</w:t>
      </w:r>
      <w:r>
        <w:rPr>
          <w:sz w:val="32"/>
          <w:szCs w:val="32"/>
        </w:rPr>
        <w:t>、上架率、运行负荷、电力保障方式、制冷方式及主要耗能环节等情况。</w:t>
      </w:r>
    </w:p>
    <w:p w14:paraId="1CD73AD4">
      <w:pPr>
        <w:ind w:firstLine="64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（三）能源利用状况</w:t>
      </w:r>
    </w:p>
    <w:p w14:paraId="7F2A6543">
      <w:pPr>
        <w:ind w:firstLine="640"/>
        <w:rPr>
          <w:sz w:val="32"/>
          <w:szCs w:val="32"/>
        </w:rPr>
      </w:pPr>
      <w:r>
        <w:rPr>
          <w:sz w:val="32"/>
          <w:szCs w:val="32"/>
        </w:rPr>
        <w:t>简述近三年能源</w:t>
      </w:r>
      <w:r>
        <w:rPr>
          <w:rFonts w:hint="eastAsia"/>
          <w:sz w:val="32"/>
          <w:szCs w:val="32"/>
        </w:rPr>
        <w:t>利用</w:t>
      </w:r>
      <w:r>
        <w:rPr>
          <w:sz w:val="32"/>
          <w:szCs w:val="32"/>
        </w:rPr>
        <w:t>总体情况，</w:t>
      </w:r>
      <w:r>
        <w:rPr>
          <w:rFonts w:hint="eastAsia"/>
          <w:sz w:val="32"/>
          <w:szCs w:val="32"/>
        </w:rPr>
        <w:t>内容</w:t>
      </w:r>
      <w:r>
        <w:rPr>
          <w:sz w:val="32"/>
          <w:szCs w:val="32"/>
        </w:rPr>
        <w:t>包括</w:t>
      </w:r>
      <w:r>
        <w:rPr>
          <w:rFonts w:hint="eastAsia"/>
          <w:sz w:val="32"/>
          <w:szCs w:val="32"/>
        </w:rPr>
        <w:t>但不限于能源消费情况、能源利用效率、节能目标完成情况和能源资源节约成本分析、节能措施等内容，</w:t>
      </w:r>
      <w:r>
        <w:rPr>
          <w:sz w:val="32"/>
          <w:szCs w:val="32"/>
        </w:rPr>
        <w:t>以及能源供</w:t>
      </w:r>
      <w:r>
        <w:rPr>
          <w:rFonts w:hint="eastAsia"/>
          <w:sz w:val="32"/>
          <w:szCs w:val="32"/>
        </w:rPr>
        <w:t>应现状及</w:t>
      </w:r>
      <w:r>
        <w:rPr>
          <w:sz w:val="32"/>
          <w:szCs w:val="32"/>
        </w:rPr>
        <w:t>变化情况。简述近三年电力消费情况</w:t>
      </w:r>
      <w:r>
        <w:rPr>
          <w:rFonts w:hint="eastAsia"/>
          <w:sz w:val="32"/>
          <w:szCs w:val="32"/>
        </w:rPr>
        <w:t>和电力来源构成，内容包括但不限于化石能源电力消费量、非化石能源电力消费物理认定量、参与电能量交易的非化石能源电力消费认定量、参与绿证交易的非化石能源电力消费认定量等情况。</w:t>
      </w:r>
    </w:p>
    <w:p w14:paraId="102F7D22">
      <w:pPr>
        <w:ind w:firstLine="64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（四）碳排放情况</w:t>
      </w:r>
    </w:p>
    <w:p w14:paraId="2B5B17AD">
      <w:pPr>
        <w:ind w:firstLine="640"/>
        <w:rPr>
          <w:sz w:val="32"/>
          <w:szCs w:val="32"/>
        </w:rPr>
      </w:pPr>
      <w:r>
        <w:rPr>
          <w:rFonts w:hint="eastAsia"/>
          <w:sz w:val="32"/>
          <w:szCs w:val="32"/>
        </w:rPr>
        <w:t>简述近三年碳排放计量统计及其管理体系运行情况，以及碳排放核算边界变化情况，内容包括但不限于碳排放总量和强度、碳减排成本和收益、主要碳排放设施和排放源、碳排放趋势及影响因素等情况。对钢铁、建材、石化化工、有色金属等行业企业，需简述温室气体排放环境影响评价有关情况。</w:t>
      </w:r>
    </w:p>
    <w:p w14:paraId="4E7BF367">
      <w:pPr>
        <w:pStyle w:val="2"/>
        <w:rPr>
          <w:rFonts w:ascii="Times New Roman" w:hAnsi="Times New Roman" w:eastAsia="仿宋_GB2312" w:cs="Times New Roman"/>
        </w:rPr>
      </w:pPr>
      <w:r>
        <w:rPr>
          <w:rFonts w:ascii="Times New Roman" w:hAnsi="Times New Roman" w:cs="Times New Roman"/>
        </w:rPr>
        <w:t>二、建设基础</w:t>
      </w:r>
    </w:p>
    <w:p w14:paraId="40BE14D7">
      <w:pPr>
        <w:ind w:firstLine="640"/>
        <w:rPr>
          <w:sz w:val="32"/>
          <w:szCs w:val="32"/>
        </w:rPr>
      </w:pPr>
      <w:r>
        <w:rPr>
          <w:sz w:val="32"/>
          <w:szCs w:val="32"/>
        </w:rPr>
        <w:t>结合</w:t>
      </w:r>
      <w:r>
        <w:rPr>
          <w:rFonts w:hint="eastAsia"/>
          <w:sz w:val="32"/>
          <w:szCs w:val="32"/>
        </w:rPr>
        <w:t>统计期</w:t>
      </w:r>
      <w:r>
        <w:rPr>
          <w:sz w:val="32"/>
          <w:szCs w:val="32"/>
        </w:rPr>
        <w:t>情况，围绕零碳工厂建设路径，对现有基础、建设条件、薄弱环节和潜力方向进行系统</w:t>
      </w:r>
      <w:r>
        <w:rPr>
          <w:rFonts w:hint="eastAsia"/>
          <w:sz w:val="32"/>
          <w:szCs w:val="32"/>
        </w:rPr>
        <w:t>说明。</w:t>
      </w:r>
    </w:p>
    <w:p w14:paraId="0E48B102">
      <w:pPr>
        <w:ind w:firstLine="64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（一）科学算碳</w:t>
      </w:r>
    </w:p>
    <w:p w14:paraId="7CA01DDC">
      <w:pPr>
        <w:ind w:firstLine="640"/>
        <w:rPr>
          <w:sz w:val="32"/>
          <w:szCs w:val="32"/>
        </w:rPr>
      </w:pPr>
      <w:r>
        <w:rPr>
          <w:rFonts w:hint="eastAsia"/>
          <w:sz w:val="32"/>
          <w:szCs w:val="32"/>
        </w:rPr>
        <w:t>说明碳排放核算体系建立及运行有关情况。</w:t>
      </w:r>
    </w:p>
    <w:p w14:paraId="6FB50BCA">
      <w:pPr>
        <w:ind w:firstLine="64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（二）源头减碳</w:t>
      </w:r>
    </w:p>
    <w:p w14:paraId="58D5803C">
      <w:pPr>
        <w:spacing w:after="0"/>
        <w:ind w:firstLine="640"/>
        <w:rPr>
          <w:sz w:val="32"/>
          <w:szCs w:val="32"/>
        </w:rPr>
      </w:pPr>
      <w:r>
        <w:rPr>
          <w:rFonts w:hint="eastAsia"/>
          <w:sz w:val="32"/>
          <w:szCs w:val="32"/>
        </w:rPr>
        <w:t>说明在推动实现零碳电力、热力、氢能和燃料供应，因地制宜开发利用分布式光伏、分散式风电、生物质发电等，探索开展绿电直连，提高可再生能源使用比例的情况。包括但不限于建设工业绿色微电网，一体化应用光伏、风电、余热回收以及新型储能、高效热泵等，发展绿色氢氨醇，推进清洁低碳氢应用，推广终端用能电气化等技术和燃煤自备锅炉替代，推进内部作业车辆和机械新能源更新改造等情况。列明单位能耗碳排放、非化石能源消费占比、非化石能源电力消费物理认定量占比等指标情况。</w:t>
      </w:r>
    </w:p>
    <w:p w14:paraId="437704B2">
      <w:pPr>
        <w:ind w:firstLine="64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（三）过程脱碳</w:t>
      </w:r>
    </w:p>
    <w:p w14:paraId="28B70011">
      <w:pPr>
        <w:spacing w:line="600" w:lineRule="exact"/>
        <w:ind w:firstLine="640"/>
        <w:rPr>
          <w:sz w:val="32"/>
          <w:szCs w:val="32"/>
        </w:rPr>
      </w:pPr>
      <w:r>
        <w:rPr>
          <w:rFonts w:hint="eastAsia"/>
          <w:sz w:val="32"/>
          <w:szCs w:val="32"/>
        </w:rPr>
        <w:t>说明生产过程系统性优化、能效提升和工艺流程脱碳有关情况，重点说明企业开展节能降碳诊断、技术改造和设备更新、工艺流程优化、节能高效装备应用、余热余压利用、节能降碳新型材料应用、低碳零碳和再生原料替代、生产废弃物减量化及高效回收和综合利用，以及通过工程技术手段开展二氧化碳清除等方面工作形成的脱碳成效。列明单位工业增加值能耗、节能装备应用占比、碳清除率等指标情况。</w:t>
      </w:r>
    </w:p>
    <w:p w14:paraId="6C81F648">
      <w:pPr>
        <w:ind w:firstLine="64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（四）协同降碳</w:t>
      </w:r>
    </w:p>
    <w:p w14:paraId="3CE01FE6">
      <w:pPr>
        <w:spacing w:after="0"/>
        <w:ind w:firstLine="640"/>
        <w:rPr>
          <w:rFonts w:eastAsia="宋体"/>
          <w:sz w:val="32"/>
          <w:szCs w:val="32"/>
        </w:rPr>
      </w:pPr>
      <w:r>
        <w:rPr>
          <w:rFonts w:hint="eastAsia"/>
          <w:sz w:val="32"/>
          <w:szCs w:val="32"/>
        </w:rPr>
        <w:t>说明开展重点产品碳足迹分析，推行零碳供应链管理，采购绿色低碳产品、采用绿色低碳物流，提升清洁运输比例，带动产业链上下游落实节能降碳措施情况。列明开展产品碳足迹分析占比、零碳供应链管理措施符合项数等指标情况。</w:t>
      </w:r>
    </w:p>
    <w:p w14:paraId="738F958B">
      <w:pPr>
        <w:ind w:firstLine="64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（五）智能控碳</w:t>
      </w:r>
    </w:p>
    <w:p w14:paraId="684C3F4B">
      <w:pPr>
        <w:pStyle w:val="7"/>
        <w:spacing w:after="0"/>
        <w:ind w:firstLine="640"/>
        <w:rPr>
          <w:rFonts w:hint="eastAsia" w:eastAsia="仿宋_GB2312"/>
          <w:sz w:val="32"/>
          <w:szCs w:val="32"/>
          <w:lang w:eastAsia="zh-CN"/>
        </w:rPr>
      </w:pPr>
      <w:r>
        <w:rPr>
          <w:rFonts w:hint="eastAsia"/>
          <w:sz w:val="32"/>
          <w:szCs w:val="32"/>
          <w:lang w:eastAsia="zh-CN"/>
        </w:rPr>
        <w:t>说明数字化能碳管理体系建设和应用情况，重点说明数字化能碳管理中心建设运营、数字化技术应用，能耗与碳排放数据精准计量、精细管控、智能决策和可视化呈现等情况。列明能碳管理中心能源数据自动采集率、能碳管理中心功能符合项数等指标情况。</w:t>
      </w:r>
    </w:p>
    <w:p w14:paraId="5B961538">
      <w:pPr>
        <w:ind w:firstLine="64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（六）碳抵销和信息披露</w:t>
      </w:r>
    </w:p>
    <w:p w14:paraId="1347B983">
      <w:pPr>
        <w:pStyle w:val="7"/>
        <w:spacing w:after="0"/>
        <w:ind w:firstLine="640"/>
        <w:rPr>
          <w:rFonts w:hint="eastAsia"/>
          <w:sz w:val="32"/>
          <w:szCs w:val="32"/>
          <w:lang w:eastAsia="zh-CN"/>
        </w:rPr>
      </w:pPr>
      <w:bookmarkStart w:id="2" w:name="_Toc227169788"/>
      <w:r>
        <w:rPr>
          <w:rFonts w:hint="eastAsia"/>
          <w:sz w:val="32"/>
          <w:szCs w:val="32"/>
          <w:lang w:eastAsia="zh-CN"/>
        </w:rPr>
        <w:t>说明碳抵销和信息披露等有关情况。为保障碳抵销的减排效果，如通过跨境碳交易方式进行抵销，所用减排量应是《巴黎协定》第六条碳市场机制产生的国际转让减缓成果（ITMOs）；如使用国内减排量进行抵销，抵销量应是全国温室气体自愿减排交易机制产生的核证自愿减排量（CCER）、广东省碳普惠核证减排量（PHCER）等符合规定的碳信用。</w:t>
      </w:r>
    </w:p>
    <w:p w14:paraId="40E7D3E8">
      <w:pPr>
        <w:pStyle w:val="2"/>
        <w:rPr>
          <w:rFonts w:ascii="Times New Roman" w:hAnsi="Times New Roman" w:cs="Times New Roman"/>
        </w:rPr>
      </w:pPr>
      <w:r>
        <w:rPr>
          <w:rFonts w:ascii="Times New Roman" w:hAnsi="Times New Roman" w:cs="Times New Roman"/>
        </w:rPr>
        <w:t>三、</w:t>
      </w:r>
      <w:bookmarkEnd w:id="2"/>
      <w:r>
        <w:rPr>
          <w:rFonts w:hint="eastAsia" w:ascii="Times New Roman" w:hAnsi="Times New Roman" w:cs="Times New Roman"/>
        </w:rPr>
        <w:t>建设</w:t>
      </w:r>
      <w:r>
        <w:rPr>
          <w:rFonts w:ascii="Times New Roman" w:hAnsi="Times New Roman" w:cs="Times New Roman"/>
        </w:rPr>
        <w:t>目标分析</w:t>
      </w:r>
    </w:p>
    <w:p w14:paraId="61648E00">
      <w:pPr>
        <w:ind w:firstLine="64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（一）能源消费、碳排放趋势及目标可达性分析</w:t>
      </w:r>
    </w:p>
    <w:p w14:paraId="2D0FA1BE">
      <w:pPr>
        <w:pStyle w:val="10"/>
        <w:spacing w:line="600" w:lineRule="exact"/>
        <w:ind w:firstLine="640"/>
        <w:jc w:val="both"/>
        <w:rPr>
          <w:sz w:val="32"/>
          <w:szCs w:val="32"/>
        </w:rPr>
      </w:pPr>
      <w:r>
        <w:rPr>
          <w:rFonts w:hint="eastAsia"/>
          <w:sz w:val="32"/>
          <w:szCs w:val="32"/>
        </w:rPr>
        <w:t>以申报单位近三年能源消费和碳排放现状数据为基础，结合发展规划、主营业务变化、产品结构调整、产能变化（算力负荷变化）、核算边界变化、重点项目建设安排及资源能源条件、技术工艺水平、投资能力、管理基础和外部配套条件等，分析建设期内能源消费和碳排放变化趋势，研判核心指标目标要求的可达程度，明确实现路径和阶段安排。</w:t>
      </w:r>
      <w:bookmarkStart w:id="3" w:name="_Toc227169794"/>
    </w:p>
    <w:p w14:paraId="0E09CAD5">
      <w:pPr>
        <w:ind w:firstLine="64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（二）建设目标</w:t>
      </w:r>
    </w:p>
    <w:p w14:paraId="68A83AB9">
      <w:pPr>
        <w:pStyle w:val="10"/>
        <w:ind w:firstLine="640"/>
        <w:rPr>
          <w:sz w:val="32"/>
          <w:szCs w:val="32"/>
        </w:rPr>
      </w:pPr>
      <w:r>
        <w:rPr>
          <w:rFonts w:hint="eastAsia"/>
          <w:sz w:val="32"/>
          <w:szCs w:val="32"/>
        </w:rPr>
        <w:t>以统计期为基准年，围绕核心指标目标要求提出建设目标，合理确定零碳工厂建设期，明确建设路线图、时间表和不同阶段建设重点。</w:t>
      </w:r>
    </w:p>
    <w:p w14:paraId="3093B4EE">
      <w:pPr>
        <w:pStyle w:val="10"/>
        <w:ind w:firstLine="640"/>
        <w:rPr>
          <w:sz w:val="32"/>
          <w:szCs w:val="32"/>
        </w:rPr>
      </w:pPr>
      <w:r>
        <w:rPr>
          <w:rFonts w:hint="eastAsia"/>
          <w:sz w:val="32"/>
          <w:szCs w:val="32"/>
        </w:rPr>
        <w:t>建设期评估指标年度目标表见表1。</w:t>
      </w:r>
    </w:p>
    <w:p w14:paraId="385921B5">
      <w:pPr>
        <w:pStyle w:val="2"/>
        <w:rPr>
          <w:rFonts w:ascii="Times New Roman" w:hAnsi="Times New Roman" w:eastAsia="仿宋_GB2312" w:cs="Times New Roman"/>
        </w:rPr>
      </w:pPr>
      <w:r>
        <w:rPr>
          <w:rFonts w:ascii="Times New Roman" w:hAnsi="Times New Roman" w:cs="Times New Roman"/>
        </w:rPr>
        <w:t>四、建设路径</w:t>
      </w:r>
    </w:p>
    <w:p w14:paraId="763D0A09">
      <w:pPr>
        <w:ind w:firstLine="64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（一）主要任务</w:t>
      </w:r>
    </w:p>
    <w:p w14:paraId="6BBE5979">
      <w:pPr>
        <w:pStyle w:val="10"/>
        <w:spacing w:line="600" w:lineRule="exact"/>
        <w:ind w:firstLine="640"/>
        <w:jc w:val="both"/>
        <w:rPr>
          <w:sz w:val="32"/>
          <w:szCs w:val="32"/>
        </w:rPr>
      </w:pPr>
      <w:r>
        <w:rPr>
          <w:rFonts w:hint="eastAsia"/>
          <w:sz w:val="32"/>
          <w:szCs w:val="32"/>
        </w:rPr>
        <w:t>结合实际和行业特点围绕科学算碳、源头减碳、过程脱碳、协同降碳、智能控碳、碳抵销和信息披露等建设路径，提出实现零碳工厂建设目标的具体举措，说明各建设路径相关指标在建设期内拟达到的预期水平和阶段性变化。申报单位可结合自身实际，创新提出其他有利于零碳工厂建设的主要任务。</w:t>
      </w:r>
    </w:p>
    <w:p w14:paraId="652A1CEF">
      <w:pPr>
        <w:pStyle w:val="10"/>
        <w:ind w:firstLine="0" w:firstLineChars="0"/>
        <w:rPr>
          <w:sz w:val="32"/>
          <w:szCs w:val="32"/>
        </w:rPr>
        <w:sectPr>
          <w:pgSz w:w="11906" w:h="16838"/>
          <w:pgMar w:top="1440" w:right="1800" w:bottom="1440" w:left="1800" w:header="851" w:footer="992" w:gutter="0"/>
          <w:cols w:space="425" w:num="1"/>
          <w:docGrid w:type="lines" w:linePitch="312" w:charSpace="0"/>
        </w:sectPr>
      </w:pPr>
    </w:p>
    <w:p w14:paraId="6371026D">
      <w:pPr>
        <w:pStyle w:val="5"/>
        <w:spacing w:before="156" w:beforeLines="50" w:after="156" w:afterLines="50" w:line="240" w:lineRule="auto"/>
        <w:ind w:firstLine="641" w:firstLineChars="0"/>
        <w:rPr>
          <w:kern w:val="2"/>
        </w:rPr>
      </w:pPr>
      <w:r>
        <w:rPr>
          <w:rFonts w:hint="eastAsia"/>
          <w:kern w:val="2"/>
        </w:rPr>
        <w:t>表1  广东省零碳工厂建设期评估指标年度目标表</w:t>
      </w:r>
    </w:p>
    <w:tbl>
      <w:tblPr>
        <w:tblStyle w:val="13"/>
        <w:tblW w:w="14018" w:type="dxa"/>
        <w:jc w:val="center"/>
        <w:tblLayout w:type="fixed"/>
        <w:tblCellMar>
          <w:top w:w="0" w:type="dxa"/>
          <w:left w:w="108" w:type="dxa"/>
          <w:bottom w:w="0" w:type="dxa"/>
          <w:right w:w="108" w:type="dxa"/>
        </w:tblCellMar>
      </w:tblPr>
      <w:tblGrid>
        <w:gridCol w:w="1517"/>
        <w:gridCol w:w="4769"/>
        <w:gridCol w:w="1145"/>
        <w:gridCol w:w="1042"/>
        <w:gridCol w:w="1077"/>
        <w:gridCol w:w="1077"/>
        <w:gridCol w:w="705"/>
        <w:gridCol w:w="1743"/>
        <w:gridCol w:w="943"/>
      </w:tblGrid>
      <w:tr w14:paraId="5193EF31">
        <w:tblPrEx>
          <w:tblCellMar>
            <w:top w:w="0" w:type="dxa"/>
            <w:left w:w="108" w:type="dxa"/>
            <w:bottom w:w="0" w:type="dxa"/>
            <w:right w:w="108" w:type="dxa"/>
          </w:tblCellMar>
        </w:tblPrEx>
        <w:trPr>
          <w:trHeight w:val="417" w:hRule="atLeast"/>
          <w:jc w:val="center"/>
        </w:trPr>
        <w:tc>
          <w:tcPr>
            <w:tcW w:w="1517" w:type="dxa"/>
            <w:vMerge w:val="restart"/>
            <w:tcBorders>
              <w:top w:val="single" w:color="auto" w:sz="4" w:space="0"/>
              <w:left w:val="single" w:color="auto" w:sz="4" w:space="0"/>
              <w:bottom w:val="single" w:color="auto" w:sz="4" w:space="0"/>
              <w:right w:val="single" w:color="auto" w:sz="4" w:space="0"/>
            </w:tcBorders>
            <w:vAlign w:val="center"/>
          </w:tcPr>
          <w:p w14:paraId="477C9D97">
            <w:pPr>
              <w:widowControl/>
              <w:adjustRightInd w:val="0"/>
              <w:snapToGrid w:val="0"/>
              <w:spacing w:line="240" w:lineRule="auto"/>
              <w:ind w:firstLine="0" w:firstLineChars="0"/>
              <w:jc w:val="center"/>
              <w:rPr>
                <w:rStyle w:val="24"/>
                <w:rFonts w:eastAsia="黑体"/>
                <w:color w:val="000000"/>
                <w:kern w:val="2"/>
                <w:sz w:val="24"/>
                <w:szCs w:val="24"/>
                <w:lang w:bidi="ar"/>
              </w:rPr>
            </w:pPr>
            <w:r>
              <w:rPr>
                <w:rStyle w:val="24"/>
                <w:rFonts w:eastAsia="黑体"/>
                <w:color w:val="000000"/>
                <w:kern w:val="2"/>
                <w:sz w:val="24"/>
                <w:szCs w:val="24"/>
                <w:lang w:bidi="ar"/>
              </w:rPr>
              <w:t>类别</w:t>
            </w:r>
          </w:p>
        </w:tc>
        <w:tc>
          <w:tcPr>
            <w:tcW w:w="4769" w:type="dxa"/>
            <w:vMerge w:val="restart"/>
            <w:tcBorders>
              <w:top w:val="single" w:color="auto" w:sz="4" w:space="0"/>
              <w:left w:val="single" w:color="auto" w:sz="4" w:space="0"/>
              <w:bottom w:val="single" w:color="auto" w:sz="4" w:space="0"/>
              <w:right w:val="single" w:color="auto" w:sz="4" w:space="0"/>
            </w:tcBorders>
            <w:vAlign w:val="center"/>
          </w:tcPr>
          <w:p w14:paraId="0DE3DB32">
            <w:pPr>
              <w:widowControl/>
              <w:adjustRightInd w:val="0"/>
              <w:snapToGrid w:val="0"/>
              <w:spacing w:line="240" w:lineRule="auto"/>
              <w:ind w:firstLine="0" w:firstLineChars="0"/>
              <w:jc w:val="center"/>
              <w:rPr>
                <w:rStyle w:val="24"/>
                <w:rFonts w:eastAsia="黑体"/>
                <w:color w:val="000000"/>
                <w:kern w:val="2"/>
                <w:sz w:val="24"/>
                <w:szCs w:val="24"/>
                <w:lang w:bidi="ar"/>
              </w:rPr>
            </w:pPr>
            <w:r>
              <w:rPr>
                <w:rStyle w:val="24"/>
                <w:rFonts w:eastAsia="黑体"/>
                <w:color w:val="000000"/>
                <w:kern w:val="2"/>
                <w:sz w:val="24"/>
                <w:szCs w:val="24"/>
                <w:lang w:bidi="ar"/>
              </w:rPr>
              <w:t>指标</w:t>
            </w:r>
          </w:p>
        </w:tc>
        <w:tc>
          <w:tcPr>
            <w:tcW w:w="1145" w:type="dxa"/>
            <w:vMerge w:val="restart"/>
            <w:tcBorders>
              <w:top w:val="single" w:color="auto" w:sz="4" w:space="0"/>
              <w:left w:val="single" w:color="auto" w:sz="4" w:space="0"/>
              <w:bottom w:val="single" w:color="auto" w:sz="4" w:space="0"/>
              <w:right w:val="single" w:color="auto" w:sz="4" w:space="0"/>
            </w:tcBorders>
            <w:vAlign w:val="center"/>
          </w:tcPr>
          <w:p w14:paraId="2BE82C48">
            <w:pPr>
              <w:widowControl/>
              <w:adjustRightInd w:val="0"/>
              <w:snapToGrid w:val="0"/>
              <w:spacing w:line="240" w:lineRule="auto"/>
              <w:ind w:firstLine="0" w:firstLineChars="0"/>
              <w:jc w:val="center"/>
              <w:rPr>
                <w:rStyle w:val="24"/>
                <w:rFonts w:eastAsia="黑体"/>
                <w:color w:val="000000"/>
                <w:kern w:val="2"/>
                <w:sz w:val="24"/>
                <w:szCs w:val="24"/>
                <w:lang w:bidi="ar"/>
              </w:rPr>
            </w:pPr>
            <w:r>
              <w:rPr>
                <w:rStyle w:val="24"/>
                <w:rFonts w:eastAsia="黑体"/>
                <w:color w:val="000000"/>
                <w:kern w:val="2"/>
                <w:sz w:val="24"/>
                <w:szCs w:val="24"/>
                <w:lang w:bidi="ar"/>
              </w:rPr>
              <w:t>单位</w:t>
            </w:r>
          </w:p>
        </w:tc>
        <w:tc>
          <w:tcPr>
            <w:tcW w:w="1042" w:type="dxa"/>
            <w:vMerge w:val="restart"/>
            <w:tcBorders>
              <w:top w:val="single" w:color="auto" w:sz="4" w:space="0"/>
              <w:left w:val="single" w:color="auto" w:sz="4" w:space="0"/>
              <w:bottom w:val="single" w:color="auto" w:sz="4" w:space="0"/>
              <w:right w:val="single" w:color="auto" w:sz="4" w:space="0"/>
            </w:tcBorders>
            <w:vAlign w:val="center"/>
          </w:tcPr>
          <w:p w14:paraId="26864498">
            <w:pPr>
              <w:widowControl/>
              <w:adjustRightInd w:val="0"/>
              <w:snapToGrid w:val="0"/>
              <w:spacing w:line="240" w:lineRule="auto"/>
              <w:ind w:firstLine="0" w:firstLineChars="0"/>
              <w:jc w:val="center"/>
              <w:rPr>
                <w:rStyle w:val="24"/>
                <w:rFonts w:eastAsia="黑体"/>
                <w:color w:val="000000"/>
                <w:kern w:val="2"/>
                <w:sz w:val="24"/>
                <w:szCs w:val="24"/>
                <w:lang w:bidi="ar"/>
              </w:rPr>
            </w:pPr>
            <w:r>
              <w:rPr>
                <w:rStyle w:val="24"/>
                <w:rFonts w:eastAsia="黑体"/>
                <w:color w:val="000000"/>
                <w:kern w:val="2"/>
                <w:sz w:val="24"/>
                <w:szCs w:val="24"/>
                <w:lang w:bidi="ar"/>
              </w:rPr>
              <w:t>2025年实际值</w:t>
            </w:r>
          </w:p>
        </w:tc>
        <w:tc>
          <w:tcPr>
            <w:tcW w:w="4602" w:type="dxa"/>
            <w:gridSpan w:val="4"/>
            <w:tcBorders>
              <w:top w:val="single" w:color="auto" w:sz="4" w:space="0"/>
              <w:left w:val="single" w:color="auto" w:sz="4" w:space="0"/>
              <w:bottom w:val="single" w:color="auto" w:sz="4" w:space="0"/>
              <w:right w:val="single" w:color="auto" w:sz="4" w:space="0"/>
            </w:tcBorders>
            <w:vAlign w:val="center"/>
          </w:tcPr>
          <w:p w14:paraId="3340FD1C">
            <w:pPr>
              <w:widowControl/>
              <w:adjustRightInd w:val="0"/>
              <w:snapToGrid w:val="0"/>
              <w:spacing w:line="240" w:lineRule="auto"/>
              <w:ind w:firstLine="0" w:firstLineChars="0"/>
              <w:jc w:val="center"/>
              <w:rPr>
                <w:rStyle w:val="24"/>
                <w:rFonts w:eastAsia="黑体"/>
                <w:color w:val="000000"/>
                <w:kern w:val="2"/>
                <w:sz w:val="24"/>
                <w:szCs w:val="24"/>
                <w:lang w:bidi="ar"/>
              </w:rPr>
            </w:pPr>
            <w:r>
              <w:rPr>
                <w:rStyle w:val="24"/>
                <w:rFonts w:eastAsia="黑体"/>
                <w:color w:val="000000"/>
                <w:kern w:val="2"/>
                <w:sz w:val="24"/>
                <w:szCs w:val="24"/>
                <w:lang w:bidi="ar"/>
              </w:rPr>
              <w:t>目标值</w:t>
            </w:r>
          </w:p>
        </w:tc>
        <w:tc>
          <w:tcPr>
            <w:tcW w:w="943" w:type="dxa"/>
            <w:vMerge w:val="restart"/>
            <w:tcBorders>
              <w:top w:val="single" w:color="auto" w:sz="4" w:space="0"/>
              <w:left w:val="single" w:color="auto" w:sz="4" w:space="0"/>
              <w:bottom w:val="single" w:color="auto" w:sz="4" w:space="0"/>
              <w:right w:val="single" w:color="auto" w:sz="4" w:space="0"/>
            </w:tcBorders>
            <w:vAlign w:val="center"/>
          </w:tcPr>
          <w:p w14:paraId="3983C311">
            <w:pPr>
              <w:widowControl/>
              <w:adjustRightInd w:val="0"/>
              <w:snapToGrid w:val="0"/>
              <w:spacing w:line="240" w:lineRule="auto"/>
              <w:ind w:firstLine="0" w:firstLineChars="0"/>
              <w:jc w:val="center"/>
              <w:rPr>
                <w:rStyle w:val="24"/>
                <w:rFonts w:eastAsia="黑体"/>
                <w:color w:val="000000"/>
                <w:kern w:val="2"/>
                <w:sz w:val="24"/>
                <w:szCs w:val="24"/>
                <w:lang w:bidi="ar"/>
              </w:rPr>
            </w:pPr>
            <w:r>
              <w:rPr>
                <w:rStyle w:val="24"/>
                <w:rFonts w:eastAsia="黑体"/>
                <w:color w:val="000000"/>
                <w:kern w:val="2"/>
                <w:sz w:val="24"/>
                <w:szCs w:val="24"/>
                <w:lang w:bidi="ar"/>
              </w:rPr>
              <w:t>备注</w:t>
            </w:r>
          </w:p>
        </w:tc>
      </w:tr>
      <w:tr w14:paraId="05A8B8A6">
        <w:tblPrEx>
          <w:tblCellMar>
            <w:top w:w="0" w:type="dxa"/>
            <w:left w:w="108" w:type="dxa"/>
            <w:bottom w:w="0" w:type="dxa"/>
            <w:right w:w="108" w:type="dxa"/>
          </w:tblCellMar>
        </w:tblPrEx>
        <w:trPr>
          <w:trHeight w:val="624" w:hRule="atLeast"/>
          <w:jc w:val="center"/>
        </w:trPr>
        <w:tc>
          <w:tcPr>
            <w:tcW w:w="1517" w:type="dxa"/>
            <w:vMerge w:val="continue"/>
            <w:tcBorders>
              <w:top w:val="single" w:color="auto" w:sz="4" w:space="0"/>
              <w:left w:val="single" w:color="auto" w:sz="4" w:space="0"/>
              <w:bottom w:val="single" w:color="auto" w:sz="4" w:space="0"/>
              <w:right w:val="single" w:color="auto" w:sz="4" w:space="0"/>
            </w:tcBorders>
            <w:vAlign w:val="center"/>
          </w:tcPr>
          <w:p w14:paraId="77DE1917">
            <w:pPr>
              <w:widowControl/>
              <w:adjustRightInd w:val="0"/>
              <w:snapToGrid w:val="0"/>
              <w:spacing w:line="240" w:lineRule="auto"/>
              <w:ind w:firstLine="0" w:firstLineChars="0"/>
              <w:jc w:val="center"/>
              <w:rPr>
                <w:rStyle w:val="24"/>
                <w:rFonts w:eastAsia="黑体"/>
                <w:b/>
                <w:bCs/>
                <w:color w:val="000000"/>
                <w:kern w:val="2"/>
                <w:sz w:val="24"/>
                <w:szCs w:val="24"/>
              </w:rPr>
            </w:pPr>
          </w:p>
        </w:tc>
        <w:tc>
          <w:tcPr>
            <w:tcW w:w="4769" w:type="dxa"/>
            <w:vMerge w:val="continue"/>
            <w:tcBorders>
              <w:top w:val="single" w:color="auto" w:sz="4" w:space="0"/>
              <w:left w:val="single" w:color="auto" w:sz="4" w:space="0"/>
              <w:bottom w:val="single" w:color="auto" w:sz="4" w:space="0"/>
              <w:right w:val="single" w:color="auto" w:sz="4" w:space="0"/>
            </w:tcBorders>
            <w:vAlign w:val="center"/>
          </w:tcPr>
          <w:p w14:paraId="6C61280C">
            <w:pPr>
              <w:widowControl/>
              <w:adjustRightInd w:val="0"/>
              <w:snapToGrid w:val="0"/>
              <w:spacing w:line="240" w:lineRule="auto"/>
              <w:ind w:firstLine="0" w:firstLineChars="0"/>
              <w:jc w:val="center"/>
              <w:rPr>
                <w:rStyle w:val="24"/>
                <w:rFonts w:eastAsia="黑体"/>
                <w:b/>
                <w:bCs/>
                <w:color w:val="000000"/>
                <w:kern w:val="2"/>
                <w:sz w:val="24"/>
                <w:szCs w:val="24"/>
              </w:rPr>
            </w:pPr>
          </w:p>
        </w:tc>
        <w:tc>
          <w:tcPr>
            <w:tcW w:w="1145" w:type="dxa"/>
            <w:vMerge w:val="continue"/>
            <w:tcBorders>
              <w:top w:val="single" w:color="auto" w:sz="4" w:space="0"/>
              <w:left w:val="single" w:color="auto" w:sz="4" w:space="0"/>
              <w:bottom w:val="single" w:color="auto" w:sz="4" w:space="0"/>
              <w:right w:val="single" w:color="auto" w:sz="4" w:space="0"/>
            </w:tcBorders>
            <w:vAlign w:val="center"/>
          </w:tcPr>
          <w:p w14:paraId="1DBE6208">
            <w:pPr>
              <w:widowControl/>
              <w:adjustRightInd w:val="0"/>
              <w:snapToGrid w:val="0"/>
              <w:spacing w:line="240" w:lineRule="auto"/>
              <w:ind w:firstLine="0" w:firstLineChars="0"/>
              <w:jc w:val="center"/>
              <w:rPr>
                <w:rStyle w:val="24"/>
                <w:rFonts w:eastAsia="黑体"/>
                <w:b/>
                <w:bCs/>
                <w:color w:val="000000"/>
                <w:kern w:val="2"/>
                <w:sz w:val="24"/>
                <w:szCs w:val="24"/>
              </w:rPr>
            </w:pPr>
          </w:p>
        </w:tc>
        <w:tc>
          <w:tcPr>
            <w:tcW w:w="1042" w:type="dxa"/>
            <w:vMerge w:val="continue"/>
            <w:tcBorders>
              <w:top w:val="single" w:color="auto" w:sz="4" w:space="0"/>
              <w:left w:val="single" w:color="auto" w:sz="4" w:space="0"/>
              <w:bottom w:val="single" w:color="auto" w:sz="4" w:space="0"/>
              <w:right w:val="single" w:color="auto" w:sz="4" w:space="0"/>
            </w:tcBorders>
            <w:vAlign w:val="center"/>
          </w:tcPr>
          <w:p w14:paraId="6D2D5355">
            <w:pPr>
              <w:widowControl/>
              <w:adjustRightInd w:val="0"/>
              <w:snapToGrid w:val="0"/>
              <w:spacing w:line="240" w:lineRule="auto"/>
              <w:ind w:firstLine="0" w:firstLineChars="0"/>
              <w:jc w:val="center"/>
              <w:rPr>
                <w:rStyle w:val="24"/>
                <w:rFonts w:eastAsia="黑体"/>
                <w:b/>
                <w:bCs/>
                <w:color w:val="000000"/>
                <w:kern w:val="2"/>
                <w:sz w:val="24"/>
                <w:szCs w:val="24"/>
              </w:rPr>
            </w:pPr>
          </w:p>
        </w:tc>
        <w:tc>
          <w:tcPr>
            <w:tcW w:w="1077" w:type="dxa"/>
            <w:tcBorders>
              <w:top w:val="single" w:color="auto" w:sz="4" w:space="0"/>
              <w:left w:val="single" w:color="auto" w:sz="4" w:space="0"/>
              <w:bottom w:val="single" w:color="auto" w:sz="4" w:space="0"/>
              <w:right w:val="single" w:color="auto" w:sz="4" w:space="0"/>
            </w:tcBorders>
            <w:vAlign w:val="center"/>
          </w:tcPr>
          <w:p w14:paraId="51D8FCD5">
            <w:pPr>
              <w:widowControl/>
              <w:adjustRightInd w:val="0"/>
              <w:snapToGrid w:val="0"/>
              <w:spacing w:line="240" w:lineRule="auto"/>
              <w:ind w:firstLine="0" w:firstLineChars="0"/>
              <w:jc w:val="center"/>
              <w:rPr>
                <w:rStyle w:val="24"/>
                <w:rFonts w:eastAsia="黑体"/>
                <w:color w:val="000000"/>
                <w:kern w:val="2"/>
                <w:sz w:val="24"/>
                <w:szCs w:val="24"/>
              </w:rPr>
            </w:pPr>
            <w:r>
              <w:rPr>
                <w:rStyle w:val="24"/>
                <w:rFonts w:eastAsia="黑体"/>
                <w:color w:val="000000"/>
                <w:kern w:val="2"/>
                <w:sz w:val="24"/>
                <w:szCs w:val="24"/>
                <w:lang w:bidi="ar"/>
              </w:rPr>
              <w:t>2026</w:t>
            </w:r>
            <w:r>
              <w:rPr>
                <w:rStyle w:val="24"/>
                <w:rFonts w:hint="eastAsia" w:eastAsia="黑体"/>
                <w:color w:val="000000"/>
                <w:kern w:val="2"/>
                <w:sz w:val="24"/>
                <w:szCs w:val="24"/>
              </w:rPr>
              <w:t>年</w:t>
            </w:r>
          </w:p>
        </w:tc>
        <w:tc>
          <w:tcPr>
            <w:tcW w:w="1077" w:type="dxa"/>
            <w:tcBorders>
              <w:top w:val="single" w:color="auto" w:sz="4" w:space="0"/>
              <w:left w:val="single" w:color="auto" w:sz="4" w:space="0"/>
              <w:bottom w:val="single" w:color="auto" w:sz="4" w:space="0"/>
              <w:right w:val="single" w:color="auto" w:sz="4" w:space="0"/>
            </w:tcBorders>
            <w:vAlign w:val="center"/>
          </w:tcPr>
          <w:p w14:paraId="063DAC72">
            <w:pPr>
              <w:widowControl/>
              <w:adjustRightInd w:val="0"/>
              <w:snapToGrid w:val="0"/>
              <w:spacing w:line="240" w:lineRule="auto"/>
              <w:ind w:firstLine="0" w:firstLineChars="0"/>
              <w:jc w:val="center"/>
              <w:rPr>
                <w:rStyle w:val="24"/>
                <w:rFonts w:eastAsia="黑体"/>
                <w:color w:val="000000"/>
                <w:kern w:val="2"/>
                <w:sz w:val="24"/>
                <w:szCs w:val="24"/>
              </w:rPr>
            </w:pPr>
            <w:r>
              <w:rPr>
                <w:rStyle w:val="24"/>
                <w:rFonts w:eastAsia="黑体"/>
                <w:color w:val="000000"/>
                <w:kern w:val="2"/>
                <w:sz w:val="24"/>
                <w:szCs w:val="24"/>
                <w:lang w:bidi="ar"/>
              </w:rPr>
              <w:t>2027年</w:t>
            </w:r>
          </w:p>
        </w:tc>
        <w:tc>
          <w:tcPr>
            <w:tcW w:w="705" w:type="dxa"/>
            <w:tcBorders>
              <w:top w:val="single" w:color="auto" w:sz="4" w:space="0"/>
              <w:left w:val="single" w:color="auto" w:sz="4" w:space="0"/>
              <w:bottom w:val="single" w:color="auto" w:sz="4" w:space="0"/>
              <w:right w:val="single" w:color="auto" w:sz="4" w:space="0"/>
            </w:tcBorders>
            <w:vAlign w:val="center"/>
          </w:tcPr>
          <w:p w14:paraId="2AD1B4A0">
            <w:pPr>
              <w:widowControl/>
              <w:adjustRightInd w:val="0"/>
              <w:snapToGrid w:val="0"/>
              <w:spacing w:line="240" w:lineRule="auto"/>
              <w:ind w:firstLine="0" w:firstLineChars="0"/>
              <w:jc w:val="center"/>
              <w:rPr>
                <w:rStyle w:val="24"/>
                <w:rFonts w:eastAsia="黑体"/>
                <w:color w:val="000000"/>
                <w:kern w:val="2"/>
                <w:sz w:val="24"/>
                <w:szCs w:val="24"/>
              </w:rPr>
            </w:pPr>
            <w:r>
              <w:rPr>
                <w:rStyle w:val="24"/>
                <w:rFonts w:eastAsia="黑体"/>
                <w:color w:val="000000"/>
                <w:kern w:val="2"/>
                <w:sz w:val="24"/>
                <w:szCs w:val="24"/>
                <w:lang w:bidi="ar"/>
              </w:rPr>
              <w:t>…</w:t>
            </w:r>
          </w:p>
        </w:tc>
        <w:tc>
          <w:tcPr>
            <w:tcW w:w="1743" w:type="dxa"/>
            <w:tcBorders>
              <w:top w:val="single" w:color="auto" w:sz="4" w:space="0"/>
              <w:left w:val="single" w:color="auto" w:sz="4" w:space="0"/>
              <w:bottom w:val="single" w:color="auto" w:sz="4" w:space="0"/>
              <w:right w:val="single" w:color="auto" w:sz="4" w:space="0"/>
            </w:tcBorders>
            <w:vAlign w:val="center"/>
          </w:tcPr>
          <w:p w14:paraId="79E36A0C">
            <w:pPr>
              <w:widowControl/>
              <w:adjustRightInd w:val="0"/>
              <w:snapToGrid w:val="0"/>
              <w:spacing w:line="240" w:lineRule="auto"/>
              <w:ind w:firstLine="0" w:firstLineChars="0"/>
              <w:jc w:val="center"/>
              <w:rPr>
                <w:rStyle w:val="24"/>
                <w:rFonts w:eastAsia="黑体"/>
                <w:color w:val="000000"/>
                <w:kern w:val="2"/>
                <w:sz w:val="24"/>
                <w:szCs w:val="24"/>
              </w:rPr>
            </w:pPr>
            <w:r>
              <w:rPr>
                <w:rStyle w:val="24"/>
                <w:rFonts w:eastAsia="黑体"/>
                <w:color w:val="000000"/>
                <w:kern w:val="2"/>
                <w:sz w:val="24"/>
                <w:szCs w:val="24"/>
                <w:lang w:bidi="ar"/>
              </w:rPr>
              <w:t>目标达成年（20__年）</w:t>
            </w:r>
          </w:p>
        </w:tc>
        <w:tc>
          <w:tcPr>
            <w:tcW w:w="943" w:type="dxa"/>
            <w:vMerge w:val="continue"/>
            <w:tcBorders>
              <w:top w:val="single" w:color="auto" w:sz="4" w:space="0"/>
              <w:left w:val="single" w:color="auto" w:sz="4" w:space="0"/>
              <w:bottom w:val="single" w:color="auto" w:sz="4" w:space="0"/>
              <w:right w:val="single" w:color="auto" w:sz="4" w:space="0"/>
            </w:tcBorders>
            <w:vAlign w:val="center"/>
          </w:tcPr>
          <w:p w14:paraId="7163A2EB">
            <w:pPr>
              <w:widowControl/>
              <w:adjustRightInd w:val="0"/>
              <w:snapToGrid w:val="0"/>
              <w:spacing w:line="240" w:lineRule="auto"/>
              <w:ind w:firstLine="0" w:firstLineChars="0"/>
              <w:jc w:val="center"/>
              <w:rPr>
                <w:rStyle w:val="24"/>
                <w:rFonts w:eastAsia="黑体"/>
                <w:b/>
                <w:bCs/>
                <w:color w:val="000000"/>
                <w:kern w:val="2"/>
                <w:sz w:val="24"/>
                <w:szCs w:val="24"/>
              </w:rPr>
            </w:pPr>
          </w:p>
        </w:tc>
      </w:tr>
      <w:tr w14:paraId="35BE881D">
        <w:tblPrEx>
          <w:tblCellMar>
            <w:top w:w="0" w:type="dxa"/>
            <w:left w:w="108" w:type="dxa"/>
            <w:bottom w:w="0" w:type="dxa"/>
            <w:right w:w="108" w:type="dxa"/>
          </w:tblCellMar>
        </w:tblPrEx>
        <w:trPr>
          <w:trHeight w:val="439" w:hRule="atLeast"/>
          <w:jc w:val="center"/>
        </w:trPr>
        <w:tc>
          <w:tcPr>
            <w:tcW w:w="1517" w:type="dxa"/>
            <w:vMerge w:val="restart"/>
            <w:tcBorders>
              <w:top w:val="single" w:color="auto" w:sz="4" w:space="0"/>
              <w:left w:val="single" w:color="auto" w:sz="4" w:space="0"/>
              <w:bottom w:val="single" w:color="auto" w:sz="4" w:space="0"/>
              <w:right w:val="single" w:color="auto" w:sz="4" w:space="0"/>
            </w:tcBorders>
            <w:vAlign w:val="center"/>
          </w:tcPr>
          <w:p w14:paraId="3AE30E1F">
            <w:pPr>
              <w:widowControl/>
              <w:adjustRightInd w:val="0"/>
              <w:snapToGrid w:val="0"/>
              <w:spacing w:line="240" w:lineRule="auto"/>
              <w:ind w:firstLine="0" w:firstLineChars="0"/>
              <w:jc w:val="center"/>
              <w:rPr>
                <w:rStyle w:val="24"/>
                <w:rFonts w:ascii="Times New Roman Regular" w:hAnsi="Times New Roman Regular" w:cs="Times New Roman Regular"/>
                <w:color w:val="000000"/>
                <w:kern w:val="2"/>
                <w:sz w:val="24"/>
                <w:szCs w:val="24"/>
              </w:rPr>
            </w:pPr>
            <w:r>
              <w:rPr>
                <w:rStyle w:val="24"/>
                <w:rFonts w:ascii="Times New Roman Regular" w:hAnsi="Times New Roman Regular" w:cs="Times New Roman Regular"/>
                <w:color w:val="000000"/>
                <w:kern w:val="2"/>
                <w:sz w:val="24"/>
                <w:szCs w:val="24"/>
                <w:lang w:bidi="ar"/>
              </w:rPr>
              <w:t>源头减碳</w:t>
            </w:r>
          </w:p>
        </w:tc>
        <w:tc>
          <w:tcPr>
            <w:tcW w:w="4769" w:type="dxa"/>
            <w:tcBorders>
              <w:top w:val="single" w:color="auto" w:sz="4" w:space="0"/>
              <w:left w:val="single" w:color="auto" w:sz="4" w:space="0"/>
              <w:bottom w:val="single" w:color="auto" w:sz="4" w:space="0"/>
              <w:right w:val="single" w:color="auto" w:sz="4" w:space="0"/>
            </w:tcBorders>
            <w:vAlign w:val="center"/>
          </w:tcPr>
          <w:p w14:paraId="1874E2B0">
            <w:pPr>
              <w:widowControl/>
              <w:adjustRightInd w:val="0"/>
              <w:snapToGrid w:val="0"/>
              <w:spacing w:line="240" w:lineRule="auto"/>
              <w:ind w:firstLine="0" w:firstLineChars="0"/>
              <w:jc w:val="left"/>
              <w:rPr>
                <w:rStyle w:val="24"/>
                <w:rFonts w:ascii="Times New Roman Regular" w:hAnsi="Times New Roman Regular" w:cs="Times New Roman Regular"/>
                <w:color w:val="000000"/>
                <w:kern w:val="2"/>
                <w:sz w:val="24"/>
                <w:szCs w:val="24"/>
              </w:rPr>
            </w:pPr>
            <w:r>
              <w:rPr>
                <w:rStyle w:val="24"/>
                <w:rFonts w:hint="eastAsia" w:ascii="Times New Roman Regular" w:hAnsi="Times New Roman Regular" w:cs="Times New Roman Regular"/>
                <w:color w:val="000000"/>
                <w:kern w:val="2"/>
                <w:sz w:val="24"/>
                <w:szCs w:val="24"/>
                <w:lang w:bidi="ar"/>
              </w:rPr>
              <w:t>1.</w:t>
            </w:r>
            <w:r>
              <w:rPr>
                <w:rStyle w:val="24"/>
                <w:rFonts w:ascii="Times New Roman Regular" w:hAnsi="Times New Roman Regular" w:cs="Times New Roman Regular"/>
                <w:color w:val="000000"/>
                <w:kern w:val="2"/>
                <w:sz w:val="24"/>
                <w:szCs w:val="24"/>
                <w:lang w:bidi="ar"/>
              </w:rPr>
              <w:t xml:space="preserve"> 单位能耗碳排放*</w:t>
            </w:r>
          </w:p>
        </w:tc>
        <w:tc>
          <w:tcPr>
            <w:tcW w:w="1145" w:type="dxa"/>
            <w:tcBorders>
              <w:top w:val="single" w:color="auto" w:sz="4" w:space="0"/>
              <w:left w:val="single" w:color="auto" w:sz="4" w:space="0"/>
              <w:bottom w:val="single" w:color="auto" w:sz="4" w:space="0"/>
              <w:right w:val="single" w:color="auto" w:sz="4" w:space="0"/>
            </w:tcBorders>
            <w:vAlign w:val="center"/>
          </w:tcPr>
          <w:p w14:paraId="1E6CF6AC">
            <w:pPr>
              <w:widowControl/>
              <w:adjustRightInd w:val="0"/>
              <w:snapToGrid w:val="0"/>
              <w:spacing w:line="240" w:lineRule="auto"/>
              <w:ind w:firstLine="0" w:firstLineChars="0"/>
              <w:jc w:val="center"/>
              <w:rPr>
                <w:rStyle w:val="24"/>
                <w:rFonts w:ascii="Times New Roman Regular" w:hAnsi="Times New Roman Regular" w:cs="Times New Roman Regular"/>
                <w:color w:val="000000"/>
                <w:kern w:val="2"/>
                <w:sz w:val="24"/>
                <w:szCs w:val="24"/>
              </w:rPr>
            </w:pPr>
            <w:r>
              <w:rPr>
                <w:rStyle w:val="24"/>
                <w:rFonts w:ascii="Times New Roman Regular" w:hAnsi="Times New Roman Regular" w:cs="Times New Roman Regular"/>
                <w:color w:val="000000"/>
                <w:kern w:val="2"/>
                <w:sz w:val="24"/>
                <w:szCs w:val="24"/>
                <w:lang w:bidi="ar"/>
              </w:rPr>
              <w:t>tCO2/tce</w:t>
            </w:r>
          </w:p>
        </w:tc>
        <w:tc>
          <w:tcPr>
            <w:tcW w:w="1042" w:type="dxa"/>
            <w:tcBorders>
              <w:top w:val="single" w:color="auto" w:sz="4" w:space="0"/>
              <w:left w:val="single" w:color="auto" w:sz="4" w:space="0"/>
              <w:bottom w:val="single" w:color="auto" w:sz="4" w:space="0"/>
              <w:right w:val="single" w:color="auto" w:sz="4" w:space="0"/>
            </w:tcBorders>
            <w:vAlign w:val="center"/>
          </w:tcPr>
          <w:p w14:paraId="0096252D">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077" w:type="dxa"/>
            <w:tcBorders>
              <w:top w:val="single" w:color="auto" w:sz="4" w:space="0"/>
              <w:left w:val="single" w:color="auto" w:sz="4" w:space="0"/>
              <w:bottom w:val="single" w:color="auto" w:sz="4" w:space="0"/>
              <w:right w:val="single" w:color="auto" w:sz="4" w:space="0"/>
            </w:tcBorders>
            <w:vAlign w:val="center"/>
          </w:tcPr>
          <w:p w14:paraId="0918F181">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077" w:type="dxa"/>
            <w:tcBorders>
              <w:top w:val="single" w:color="auto" w:sz="4" w:space="0"/>
              <w:left w:val="single" w:color="auto" w:sz="4" w:space="0"/>
              <w:bottom w:val="single" w:color="auto" w:sz="4" w:space="0"/>
              <w:right w:val="single" w:color="auto" w:sz="4" w:space="0"/>
            </w:tcBorders>
            <w:vAlign w:val="center"/>
          </w:tcPr>
          <w:p w14:paraId="64403FA8">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705" w:type="dxa"/>
            <w:tcBorders>
              <w:top w:val="single" w:color="auto" w:sz="4" w:space="0"/>
              <w:left w:val="single" w:color="auto" w:sz="4" w:space="0"/>
              <w:bottom w:val="single" w:color="auto" w:sz="4" w:space="0"/>
              <w:right w:val="single" w:color="auto" w:sz="4" w:space="0"/>
            </w:tcBorders>
            <w:vAlign w:val="center"/>
          </w:tcPr>
          <w:p w14:paraId="6D71A9DC">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743" w:type="dxa"/>
            <w:tcBorders>
              <w:top w:val="single" w:color="auto" w:sz="4" w:space="0"/>
              <w:left w:val="single" w:color="auto" w:sz="4" w:space="0"/>
              <w:bottom w:val="single" w:color="auto" w:sz="4" w:space="0"/>
              <w:right w:val="single" w:color="auto" w:sz="4" w:space="0"/>
            </w:tcBorders>
            <w:vAlign w:val="center"/>
          </w:tcPr>
          <w:p w14:paraId="2CDFA4CF">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943" w:type="dxa"/>
            <w:tcBorders>
              <w:top w:val="single" w:color="auto" w:sz="4" w:space="0"/>
              <w:left w:val="single" w:color="auto" w:sz="4" w:space="0"/>
              <w:bottom w:val="single" w:color="auto" w:sz="4" w:space="0"/>
              <w:right w:val="single" w:color="auto" w:sz="4" w:space="0"/>
            </w:tcBorders>
            <w:vAlign w:val="center"/>
          </w:tcPr>
          <w:p w14:paraId="380B9955">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r>
      <w:tr w14:paraId="3D5006B1">
        <w:tblPrEx>
          <w:tblCellMar>
            <w:top w:w="0" w:type="dxa"/>
            <w:left w:w="108" w:type="dxa"/>
            <w:bottom w:w="0" w:type="dxa"/>
            <w:right w:w="108" w:type="dxa"/>
          </w:tblCellMar>
        </w:tblPrEx>
        <w:trPr>
          <w:trHeight w:val="323" w:hRule="atLeast"/>
          <w:jc w:val="center"/>
        </w:trPr>
        <w:tc>
          <w:tcPr>
            <w:tcW w:w="1517" w:type="dxa"/>
            <w:vMerge w:val="continue"/>
            <w:tcBorders>
              <w:top w:val="single" w:color="auto" w:sz="4" w:space="0"/>
              <w:left w:val="single" w:color="auto" w:sz="4" w:space="0"/>
              <w:bottom w:val="single" w:color="auto" w:sz="4" w:space="0"/>
              <w:right w:val="single" w:color="auto" w:sz="4" w:space="0"/>
            </w:tcBorders>
            <w:vAlign w:val="center"/>
          </w:tcPr>
          <w:p w14:paraId="318984E8">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4769" w:type="dxa"/>
            <w:tcBorders>
              <w:top w:val="single" w:color="auto" w:sz="4" w:space="0"/>
              <w:left w:val="single" w:color="auto" w:sz="4" w:space="0"/>
              <w:bottom w:val="single" w:color="auto" w:sz="4" w:space="0"/>
              <w:right w:val="single" w:color="auto" w:sz="4" w:space="0"/>
            </w:tcBorders>
            <w:vAlign w:val="center"/>
          </w:tcPr>
          <w:p w14:paraId="34E272A7">
            <w:pPr>
              <w:widowControl/>
              <w:adjustRightInd w:val="0"/>
              <w:snapToGrid w:val="0"/>
              <w:spacing w:line="240" w:lineRule="auto"/>
              <w:ind w:firstLine="0" w:firstLineChars="0"/>
              <w:jc w:val="left"/>
              <w:rPr>
                <w:rStyle w:val="24"/>
                <w:rFonts w:ascii="Times New Roman Regular" w:hAnsi="Times New Roman Regular" w:cs="Times New Roman Regular"/>
                <w:color w:val="000000"/>
                <w:kern w:val="2"/>
                <w:sz w:val="24"/>
                <w:szCs w:val="24"/>
              </w:rPr>
            </w:pPr>
            <w:r>
              <w:rPr>
                <w:rStyle w:val="24"/>
                <w:rFonts w:hint="eastAsia" w:ascii="Times New Roman Regular" w:hAnsi="Times New Roman Regular" w:cs="Times New Roman Regular"/>
                <w:color w:val="000000"/>
                <w:kern w:val="2"/>
                <w:sz w:val="24"/>
                <w:szCs w:val="24"/>
                <w:lang w:bidi="ar"/>
              </w:rPr>
              <w:t>2.</w:t>
            </w:r>
            <w:r>
              <w:rPr>
                <w:rStyle w:val="24"/>
                <w:rFonts w:ascii="Times New Roman Regular" w:hAnsi="Times New Roman Regular" w:cs="Times New Roman Regular"/>
                <w:color w:val="000000"/>
                <w:kern w:val="2"/>
                <w:sz w:val="24"/>
                <w:szCs w:val="24"/>
                <w:lang w:bidi="ar"/>
              </w:rPr>
              <w:t>非化石能源消费占比*</w:t>
            </w:r>
          </w:p>
        </w:tc>
        <w:tc>
          <w:tcPr>
            <w:tcW w:w="1145" w:type="dxa"/>
            <w:tcBorders>
              <w:top w:val="single" w:color="auto" w:sz="4" w:space="0"/>
              <w:left w:val="single" w:color="auto" w:sz="4" w:space="0"/>
              <w:bottom w:val="single" w:color="auto" w:sz="4" w:space="0"/>
              <w:right w:val="single" w:color="auto" w:sz="4" w:space="0"/>
            </w:tcBorders>
            <w:vAlign w:val="center"/>
          </w:tcPr>
          <w:p w14:paraId="5A82874B">
            <w:pPr>
              <w:widowControl/>
              <w:adjustRightInd w:val="0"/>
              <w:snapToGrid w:val="0"/>
              <w:spacing w:line="240" w:lineRule="auto"/>
              <w:ind w:firstLine="0" w:firstLineChars="0"/>
              <w:jc w:val="center"/>
              <w:rPr>
                <w:rStyle w:val="24"/>
                <w:rFonts w:ascii="Times New Roman Regular" w:hAnsi="Times New Roman Regular" w:cs="Times New Roman Regular"/>
                <w:color w:val="000000"/>
                <w:kern w:val="2"/>
                <w:sz w:val="24"/>
                <w:szCs w:val="24"/>
              </w:rPr>
            </w:pPr>
            <w:r>
              <w:rPr>
                <w:rStyle w:val="24"/>
                <w:rFonts w:ascii="Times New Roman Regular" w:hAnsi="Times New Roman Regular" w:cs="Times New Roman Regular"/>
                <w:color w:val="000000"/>
                <w:kern w:val="2"/>
                <w:sz w:val="24"/>
                <w:szCs w:val="24"/>
                <w:lang w:bidi="ar"/>
              </w:rPr>
              <w:t>%</w:t>
            </w:r>
          </w:p>
        </w:tc>
        <w:tc>
          <w:tcPr>
            <w:tcW w:w="1042" w:type="dxa"/>
            <w:tcBorders>
              <w:top w:val="single" w:color="auto" w:sz="4" w:space="0"/>
              <w:left w:val="single" w:color="auto" w:sz="4" w:space="0"/>
              <w:bottom w:val="single" w:color="auto" w:sz="4" w:space="0"/>
              <w:right w:val="single" w:color="auto" w:sz="4" w:space="0"/>
            </w:tcBorders>
            <w:vAlign w:val="center"/>
          </w:tcPr>
          <w:p w14:paraId="336D6B22">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077" w:type="dxa"/>
            <w:tcBorders>
              <w:top w:val="single" w:color="auto" w:sz="4" w:space="0"/>
              <w:left w:val="single" w:color="auto" w:sz="4" w:space="0"/>
              <w:bottom w:val="single" w:color="auto" w:sz="4" w:space="0"/>
              <w:right w:val="single" w:color="auto" w:sz="4" w:space="0"/>
            </w:tcBorders>
            <w:vAlign w:val="center"/>
          </w:tcPr>
          <w:p w14:paraId="08F41141">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077" w:type="dxa"/>
            <w:tcBorders>
              <w:top w:val="single" w:color="auto" w:sz="4" w:space="0"/>
              <w:left w:val="single" w:color="auto" w:sz="4" w:space="0"/>
              <w:bottom w:val="single" w:color="auto" w:sz="4" w:space="0"/>
              <w:right w:val="single" w:color="auto" w:sz="4" w:space="0"/>
            </w:tcBorders>
            <w:vAlign w:val="center"/>
          </w:tcPr>
          <w:p w14:paraId="44D263E1">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705" w:type="dxa"/>
            <w:tcBorders>
              <w:top w:val="single" w:color="auto" w:sz="4" w:space="0"/>
              <w:left w:val="single" w:color="auto" w:sz="4" w:space="0"/>
              <w:bottom w:val="single" w:color="auto" w:sz="4" w:space="0"/>
              <w:right w:val="single" w:color="auto" w:sz="4" w:space="0"/>
            </w:tcBorders>
            <w:vAlign w:val="center"/>
          </w:tcPr>
          <w:p w14:paraId="505E083B">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743" w:type="dxa"/>
            <w:tcBorders>
              <w:top w:val="single" w:color="auto" w:sz="4" w:space="0"/>
              <w:left w:val="single" w:color="auto" w:sz="4" w:space="0"/>
              <w:bottom w:val="single" w:color="auto" w:sz="4" w:space="0"/>
              <w:right w:val="single" w:color="auto" w:sz="4" w:space="0"/>
            </w:tcBorders>
            <w:vAlign w:val="center"/>
          </w:tcPr>
          <w:p w14:paraId="2476D782">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943" w:type="dxa"/>
            <w:tcBorders>
              <w:top w:val="single" w:color="auto" w:sz="4" w:space="0"/>
              <w:left w:val="single" w:color="auto" w:sz="4" w:space="0"/>
              <w:bottom w:val="single" w:color="auto" w:sz="4" w:space="0"/>
              <w:right w:val="single" w:color="auto" w:sz="4" w:space="0"/>
            </w:tcBorders>
            <w:vAlign w:val="center"/>
          </w:tcPr>
          <w:p w14:paraId="1ECB2DB0">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r>
      <w:tr w14:paraId="49189809">
        <w:tblPrEx>
          <w:tblCellMar>
            <w:top w:w="0" w:type="dxa"/>
            <w:left w:w="108" w:type="dxa"/>
            <w:bottom w:w="0" w:type="dxa"/>
            <w:right w:w="108" w:type="dxa"/>
          </w:tblCellMar>
        </w:tblPrEx>
        <w:trPr>
          <w:trHeight w:val="323" w:hRule="atLeast"/>
          <w:jc w:val="center"/>
        </w:trPr>
        <w:tc>
          <w:tcPr>
            <w:tcW w:w="1517" w:type="dxa"/>
            <w:vMerge w:val="continue"/>
            <w:tcBorders>
              <w:top w:val="single" w:color="auto" w:sz="4" w:space="0"/>
              <w:left w:val="single" w:color="auto" w:sz="4" w:space="0"/>
              <w:bottom w:val="single" w:color="auto" w:sz="4" w:space="0"/>
              <w:right w:val="single" w:color="auto" w:sz="4" w:space="0"/>
            </w:tcBorders>
            <w:vAlign w:val="center"/>
          </w:tcPr>
          <w:p w14:paraId="0599DA89">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4769" w:type="dxa"/>
            <w:tcBorders>
              <w:top w:val="single" w:color="auto" w:sz="4" w:space="0"/>
              <w:left w:val="single" w:color="auto" w:sz="4" w:space="0"/>
              <w:bottom w:val="single" w:color="auto" w:sz="4" w:space="0"/>
              <w:right w:val="single" w:color="auto" w:sz="4" w:space="0"/>
            </w:tcBorders>
            <w:vAlign w:val="center"/>
          </w:tcPr>
          <w:p w14:paraId="5E91655D">
            <w:pPr>
              <w:widowControl/>
              <w:adjustRightInd w:val="0"/>
              <w:snapToGrid w:val="0"/>
              <w:spacing w:line="240" w:lineRule="auto"/>
              <w:ind w:firstLine="0" w:firstLineChars="0"/>
              <w:jc w:val="left"/>
              <w:rPr>
                <w:rStyle w:val="24"/>
                <w:rFonts w:ascii="Times New Roman Regular" w:hAnsi="Times New Roman Regular" w:cs="Times New Roman Regular"/>
                <w:color w:val="000000"/>
                <w:kern w:val="2"/>
                <w:sz w:val="24"/>
                <w:szCs w:val="24"/>
              </w:rPr>
            </w:pPr>
            <w:r>
              <w:rPr>
                <w:rStyle w:val="24"/>
                <w:rFonts w:hint="eastAsia" w:ascii="Times New Roman Regular" w:hAnsi="Times New Roman Regular" w:cs="Times New Roman Regular"/>
                <w:color w:val="000000"/>
                <w:kern w:val="2"/>
                <w:sz w:val="24"/>
                <w:szCs w:val="24"/>
                <w:lang w:bidi="ar"/>
              </w:rPr>
              <w:t>3.</w:t>
            </w:r>
            <w:r>
              <w:rPr>
                <w:rStyle w:val="24"/>
                <w:rFonts w:ascii="Times New Roman Regular" w:hAnsi="Times New Roman Regular" w:cs="Times New Roman Regular"/>
                <w:color w:val="000000"/>
                <w:kern w:val="2"/>
                <w:sz w:val="24"/>
                <w:szCs w:val="24"/>
                <w:lang w:bidi="ar"/>
              </w:rPr>
              <w:t xml:space="preserve"> 非化石能源电力消费物理认定量占比*</w:t>
            </w:r>
          </w:p>
        </w:tc>
        <w:tc>
          <w:tcPr>
            <w:tcW w:w="1145" w:type="dxa"/>
            <w:tcBorders>
              <w:top w:val="single" w:color="auto" w:sz="4" w:space="0"/>
              <w:left w:val="single" w:color="auto" w:sz="4" w:space="0"/>
              <w:bottom w:val="single" w:color="auto" w:sz="4" w:space="0"/>
              <w:right w:val="single" w:color="auto" w:sz="4" w:space="0"/>
            </w:tcBorders>
            <w:vAlign w:val="center"/>
          </w:tcPr>
          <w:p w14:paraId="2A4CED5C">
            <w:pPr>
              <w:widowControl/>
              <w:adjustRightInd w:val="0"/>
              <w:snapToGrid w:val="0"/>
              <w:spacing w:line="240" w:lineRule="auto"/>
              <w:ind w:firstLine="0" w:firstLineChars="0"/>
              <w:jc w:val="center"/>
              <w:rPr>
                <w:rStyle w:val="24"/>
                <w:rFonts w:ascii="Times New Roman Regular" w:hAnsi="Times New Roman Regular" w:cs="Times New Roman Regular"/>
                <w:color w:val="000000"/>
                <w:kern w:val="2"/>
                <w:sz w:val="24"/>
                <w:szCs w:val="24"/>
              </w:rPr>
            </w:pPr>
            <w:r>
              <w:rPr>
                <w:rStyle w:val="24"/>
                <w:rFonts w:ascii="Times New Roman Regular" w:hAnsi="Times New Roman Regular" w:cs="Times New Roman Regular"/>
                <w:color w:val="000000"/>
                <w:kern w:val="2"/>
                <w:sz w:val="24"/>
                <w:szCs w:val="24"/>
                <w:lang w:bidi="ar"/>
              </w:rPr>
              <w:t>%</w:t>
            </w:r>
          </w:p>
        </w:tc>
        <w:tc>
          <w:tcPr>
            <w:tcW w:w="1042" w:type="dxa"/>
            <w:tcBorders>
              <w:top w:val="single" w:color="auto" w:sz="4" w:space="0"/>
              <w:left w:val="single" w:color="auto" w:sz="4" w:space="0"/>
              <w:bottom w:val="single" w:color="auto" w:sz="4" w:space="0"/>
              <w:right w:val="single" w:color="auto" w:sz="4" w:space="0"/>
            </w:tcBorders>
            <w:vAlign w:val="center"/>
          </w:tcPr>
          <w:p w14:paraId="6BB93171">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077" w:type="dxa"/>
            <w:tcBorders>
              <w:top w:val="single" w:color="auto" w:sz="4" w:space="0"/>
              <w:left w:val="single" w:color="auto" w:sz="4" w:space="0"/>
              <w:bottom w:val="single" w:color="auto" w:sz="4" w:space="0"/>
              <w:right w:val="single" w:color="auto" w:sz="4" w:space="0"/>
            </w:tcBorders>
            <w:vAlign w:val="center"/>
          </w:tcPr>
          <w:p w14:paraId="40841C63">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077" w:type="dxa"/>
            <w:tcBorders>
              <w:top w:val="single" w:color="auto" w:sz="4" w:space="0"/>
              <w:left w:val="single" w:color="auto" w:sz="4" w:space="0"/>
              <w:bottom w:val="single" w:color="auto" w:sz="4" w:space="0"/>
              <w:right w:val="single" w:color="auto" w:sz="4" w:space="0"/>
            </w:tcBorders>
            <w:vAlign w:val="center"/>
          </w:tcPr>
          <w:p w14:paraId="28092A3D">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705" w:type="dxa"/>
            <w:tcBorders>
              <w:top w:val="single" w:color="auto" w:sz="4" w:space="0"/>
              <w:left w:val="single" w:color="auto" w:sz="4" w:space="0"/>
              <w:bottom w:val="single" w:color="auto" w:sz="4" w:space="0"/>
              <w:right w:val="single" w:color="auto" w:sz="4" w:space="0"/>
            </w:tcBorders>
            <w:vAlign w:val="center"/>
          </w:tcPr>
          <w:p w14:paraId="5608E0B2">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743" w:type="dxa"/>
            <w:tcBorders>
              <w:top w:val="single" w:color="auto" w:sz="4" w:space="0"/>
              <w:left w:val="single" w:color="auto" w:sz="4" w:space="0"/>
              <w:bottom w:val="single" w:color="auto" w:sz="4" w:space="0"/>
              <w:right w:val="single" w:color="auto" w:sz="4" w:space="0"/>
            </w:tcBorders>
            <w:vAlign w:val="center"/>
          </w:tcPr>
          <w:p w14:paraId="5D222B66">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943" w:type="dxa"/>
            <w:tcBorders>
              <w:top w:val="single" w:color="auto" w:sz="4" w:space="0"/>
              <w:left w:val="single" w:color="auto" w:sz="4" w:space="0"/>
              <w:bottom w:val="single" w:color="auto" w:sz="4" w:space="0"/>
              <w:right w:val="single" w:color="auto" w:sz="4" w:space="0"/>
            </w:tcBorders>
            <w:vAlign w:val="center"/>
          </w:tcPr>
          <w:p w14:paraId="4559DA9D">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r>
      <w:tr w14:paraId="2A9C08F2">
        <w:tblPrEx>
          <w:tblCellMar>
            <w:top w:w="0" w:type="dxa"/>
            <w:left w:w="108" w:type="dxa"/>
            <w:bottom w:w="0" w:type="dxa"/>
            <w:right w:w="108" w:type="dxa"/>
          </w:tblCellMar>
        </w:tblPrEx>
        <w:trPr>
          <w:trHeight w:val="323" w:hRule="atLeast"/>
          <w:jc w:val="center"/>
        </w:trPr>
        <w:tc>
          <w:tcPr>
            <w:tcW w:w="1517" w:type="dxa"/>
            <w:vMerge w:val="continue"/>
            <w:tcBorders>
              <w:top w:val="single" w:color="auto" w:sz="4" w:space="0"/>
              <w:left w:val="single" w:color="auto" w:sz="4" w:space="0"/>
              <w:bottom w:val="single" w:color="auto" w:sz="4" w:space="0"/>
              <w:right w:val="single" w:color="auto" w:sz="4" w:space="0"/>
            </w:tcBorders>
            <w:vAlign w:val="center"/>
          </w:tcPr>
          <w:p w14:paraId="3A4212A3">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4769" w:type="dxa"/>
            <w:tcBorders>
              <w:top w:val="single" w:color="auto" w:sz="4" w:space="0"/>
              <w:left w:val="single" w:color="auto" w:sz="4" w:space="0"/>
              <w:bottom w:val="single" w:color="auto" w:sz="4" w:space="0"/>
              <w:right w:val="single" w:color="auto" w:sz="4" w:space="0"/>
            </w:tcBorders>
            <w:vAlign w:val="center"/>
          </w:tcPr>
          <w:p w14:paraId="538EA3ED">
            <w:pPr>
              <w:widowControl/>
              <w:adjustRightInd w:val="0"/>
              <w:snapToGrid w:val="0"/>
              <w:spacing w:line="240" w:lineRule="auto"/>
              <w:ind w:firstLine="0" w:firstLineChars="0"/>
              <w:jc w:val="left"/>
              <w:rPr>
                <w:rStyle w:val="24"/>
                <w:rFonts w:ascii="Times New Roman Regular" w:hAnsi="Times New Roman Regular" w:cs="Times New Roman Regular"/>
                <w:color w:val="000000"/>
                <w:kern w:val="2"/>
                <w:sz w:val="24"/>
                <w:szCs w:val="24"/>
              </w:rPr>
            </w:pPr>
            <w:r>
              <w:rPr>
                <w:rStyle w:val="24"/>
                <w:rFonts w:hint="eastAsia" w:ascii="Times New Roman Regular" w:hAnsi="Times New Roman Regular" w:cs="Times New Roman Regular"/>
                <w:color w:val="000000"/>
                <w:kern w:val="2"/>
                <w:sz w:val="24"/>
                <w:szCs w:val="24"/>
                <w:lang w:bidi="ar"/>
              </w:rPr>
              <w:t>4.</w:t>
            </w:r>
            <w:r>
              <w:rPr>
                <w:rStyle w:val="24"/>
                <w:rFonts w:ascii="Times New Roman Regular" w:hAnsi="Times New Roman Regular" w:cs="Times New Roman Regular"/>
                <w:color w:val="000000"/>
                <w:kern w:val="2"/>
                <w:sz w:val="24"/>
                <w:szCs w:val="24"/>
                <w:lang w:bidi="ar"/>
              </w:rPr>
              <w:t>清洁低碳氢替代应用情况</w:t>
            </w:r>
          </w:p>
        </w:tc>
        <w:tc>
          <w:tcPr>
            <w:tcW w:w="1145" w:type="dxa"/>
            <w:tcBorders>
              <w:top w:val="single" w:color="auto" w:sz="4" w:space="0"/>
              <w:left w:val="single" w:color="auto" w:sz="4" w:space="0"/>
              <w:bottom w:val="single" w:color="auto" w:sz="4" w:space="0"/>
              <w:right w:val="single" w:color="auto" w:sz="4" w:space="0"/>
            </w:tcBorders>
            <w:vAlign w:val="center"/>
          </w:tcPr>
          <w:p w14:paraId="2A2ADCB7">
            <w:pPr>
              <w:widowControl/>
              <w:adjustRightInd w:val="0"/>
              <w:snapToGrid w:val="0"/>
              <w:spacing w:line="240" w:lineRule="auto"/>
              <w:ind w:firstLine="0" w:firstLineChars="0"/>
              <w:jc w:val="center"/>
              <w:rPr>
                <w:rStyle w:val="24"/>
                <w:rFonts w:ascii="Times New Roman Regular" w:hAnsi="Times New Roman Regular" w:cs="Times New Roman Regular"/>
                <w:color w:val="000000"/>
                <w:kern w:val="2"/>
                <w:sz w:val="24"/>
                <w:szCs w:val="24"/>
              </w:rPr>
            </w:pPr>
            <w:r>
              <w:rPr>
                <w:rStyle w:val="24"/>
                <w:rFonts w:ascii="Times New Roman Regular" w:hAnsi="Times New Roman Regular" w:cs="Times New Roman Regular"/>
                <w:color w:val="000000"/>
                <w:kern w:val="2"/>
                <w:sz w:val="24"/>
                <w:szCs w:val="24"/>
                <w:lang w:bidi="ar"/>
              </w:rPr>
              <w:t>/</w:t>
            </w:r>
          </w:p>
        </w:tc>
        <w:tc>
          <w:tcPr>
            <w:tcW w:w="1042" w:type="dxa"/>
            <w:tcBorders>
              <w:top w:val="single" w:color="auto" w:sz="4" w:space="0"/>
              <w:left w:val="single" w:color="auto" w:sz="4" w:space="0"/>
              <w:bottom w:val="single" w:color="auto" w:sz="4" w:space="0"/>
              <w:right w:val="single" w:color="auto" w:sz="4" w:space="0"/>
            </w:tcBorders>
            <w:vAlign w:val="center"/>
          </w:tcPr>
          <w:p w14:paraId="68FD955A">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077" w:type="dxa"/>
            <w:tcBorders>
              <w:top w:val="single" w:color="auto" w:sz="4" w:space="0"/>
              <w:left w:val="single" w:color="auto" w:sz="4" w:space="0"/>
              <w:bottom w:val="single" w:color="auto" w:sz="4" w:space="0"/>
              <w:right w:val="single" w:color="auto" w:sz="4" w:space="0"/>
            </w:tcBorders>
            <w:vAlign w:val="center"/>
          </w:tcPr>
          <w:p w14:paraId="31BF47F7">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077" w:type="dxa"/>
            <w:tcBorders>
              <w:top w:val="single" w:color="auto" w:sz="4" w:space="0"/>
              <w:left w:val="single" w:color="auto" w:sz="4" w:space="0"/>
              <w:bottom w:val="single" w:color="auto" w:sz="4" w:space="0"/>
              <w:right w:val="single" w:color="auto" w:sz="4" w:space="0"/>
            </w:tcBorders>
            <w:vAlign w:val="center"/>
          </w:tcPr>
          <w:p w14:paraId="4E48DD7A">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705" w:type="dxa"/>
            <w:tcBorders>
              <w:top w:val="single" w:color="auto" w:sz="4" w:space="0"/>
              <w:left w:val="single" w:color="auto" w:sz="4" w:space="0"/>
              <w:bottom w:val="single" w:color="auto" w:sz="4" w:space="0"/>
              <w:right w:val="single" w:color="auto" w:sz="4" w:space="0"/>
            </w:tcBorders>
            <w:vAlign w:val="center"/>
          </w:tcPr>
          <w:p w14:paraId="3417707E">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743" w:type="dxa"/>
            <w:tcBorders>
              <w:top w:val="single" w:color="auto" w:sz="4" w:space="0"/>
              <w:left w:val="single" w:color="auto" w:sz="4" w:space="0"/>
              <w:bottom w:val="single" w:color="auto" w:sz="4" w:space="0"/>
              <w:right w:val="single" w:color="auto" w:sz="4" w:space="0"/>
            </w:tcBorders>
            <w:vAlign w:val="center"/>
          </w:tcPr>
          <w:p w14:paraId="5C2D13F7">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943" w:type="dxa"/>
            <w:tcBorders>
              <w:top w:val="single" w:color="auto" w:sz="4" w:space="0"/>
              <w:left w:val="single" w:color="auto" w:sz="4" w:space="0"/>
              <w:bottom w:val="single" w:color="auto" w:sz="4" w:space="0"/>
              <w:right w:val="single" w:color="auto" w:sz="4" w:space="0"/>
            </w:tcBorders>
            <w:vAlign w:val="center"/>
          </w:tcPr>
          <w:p w14:paraId="52253C8B">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r>
      <w:tr w14:paraId="6C4FDB3F">
        <w:tblPrEx>
          <w:tblCellMar>
            <w:top w:w="0" w:type="dxa"/>
            <w:left w:w="108" w:type="dxa"/>
            <w:bottom w:w="0" w:type="dxa"/>
            <w:right w:w="108" w:type="dxa"/>
          </w:tblCellMar>
        </w:tblPrEx>
        <w:trPr>
          <w:trHeight w:val="439" w:hRule="atLeast"/>
          <w:jc w:val="center"/>
        </w:trPr>
        <w:tc>
          <w:tcPr>
            <w:tcW w:w="1517" w:type="dxa"/>
            <w:vMerge w:val="restart"/>
            <w:tcBorders>
              <w:top w:val="single" w:color="auto" w:sz="4" w:space="0"/>
              <w:left w:val="single" w:color="auto" w:sz="4" w:space="0"/>
              <w:bottom w:val="single" w:color="auto" w:sz="4" w:space="0"/>
              <w:right w:val="single" w:color="auto" w:sz="4" w:space="0"/>
            </w:tcBorders>
            <w:vAlign w:val="center"/>
          </w:tcPr>
          <w:p w14:paraId="7FEC803D">
            <w:pPr>
              <w:widowControl/>
              <w:adjustRightInd w:val="0"/>
              <w:snapToGrid w:val="0"/>
              <w:spacing w:line="240" w:lineRule="auto"/>
              <w:ind w:firstLine="0" w:firstLineChars="0"/>
              <w:jc w:val="center"/>
              <w:rPr>
                <w:rStyle w:val="24"/>
                <w:rFonts w:ascii="Times New Roman Regular" w:hAnsi="Times New Roman Regular" w:cs="Times New Roman Regular"/>
                <w:color w:val="000000"/>
                <w:kern w:val="2"/>
                <w:sz w:val="24"/>
                <w:szCs w:val="24"/>
              </w:rPr>
            </w:pPr>
            <w:r>
              <w:rPr>
                <w:rStyle w:val="24"/>
                <w:rFonts w:ascii="Times New Roman Regular" w:hAnsi="Times New Roman Regular" w:cs="Times New Roman Regular"/>
                <w:color w:val="000000"/>
                <w:kern w:val="2"/>
                <w:sz w:val="24"/>
                <w:szCs w:val="24"/>
                <w:lang w:bidi="ar"/>
              </w:rPr>
              <w:t xml:space="preserve"> 过程脱碳</w:t>
            </w:r>
          </w:p>
        </w:tc>
        <w:tc>
          <w:tcPr>
            <w:tcW w:w="4769" w:type="dxa"/>
            <w:tcBorders>
              <w:top w:val="single" w:color="auto" w:sz="4" w:space="0"/>
              <w:left w:val="single" w:color="auto" w:sz="4" w:space="0"/>
              <w:bottom w:val="single" w:color="auto" w:sz="4" w:space="0"/>
              <w:right w:val="single" w:color="auto" w:sz="4" w:space="0"/>
            </w:tcBorders>
            <w:vAlign w:val="center"/>
          </w:tcPr>
          <w:p w14:paraId="5AB94A7B">
            <w:pPr>
              <w:widowControl/>
              <w:adjustRightInd w:val="0"/>
              <w:snapToGrid w:val="0"/>
              <w:spacing w:line="240" w:lineRule="auto"/>
              <w:ind w:firstLine="0" w:firstLineChars="0"/>
              <w:jc w:val="left"/>
              <w:rPr>
                <w:rStyle w:val="24"/>
                <w:rFonts w:ascii="Times New Roman Regular" w:hAnsi="Times New Roman Regular" w:cs="Times New Roman Regular"/>
                <w:color w:val="000000"/>
                <w:kern w:val="2"/>
                <w:sz w:val="24"/>
                <w:szCs w:val="24"/>
              </w:rPr>
            </w:pPr>
            <w:r>
              <w:rPr>
                <w:rStyle w:val="24"/>
                <w:rFonts w:hint="eastAsia" w:ascii="Times New Roman Regular" w:hAnsi="Times New Roman Regular" w:cs="Times New Roman Regular"/>
                <w:color w:val="000000"/>
                <w:kern w:val="2"/>
                <w:sz w:val="24"/>
                <w:szCs w:val="24"/>
                <w:lang w:bidi="ar"/>
              </w:rPr>
              <w:t>5.</w:t>
            </w:r>
            <w:r>
              <w:rPr>
                <w:rStyle w:val="24"/>
                <w:rFonts w:ascii="Times New Roman Regular" w:hAnsi="Times New Roman Regular" w:cs="Times New Roman Regular"/>
                <w:color w:val="000000"/>
                <w:kern w:val="2"/>
                <w:sz w:val="24"/>
                <w:szCs w:val="24"/>
                <w:lang w:bidi="ar"/>
              </w:rPr>
              <w:t xml:space="preserve"> 单位工业增加值能耗</w:t>
            </w:r>
          </w:p>
        </w:tc>
        <w:tc>
          <w:tcPr>
            <w:tcW w:w="1145" w:type="dxa"/>
            <w:tcBorders>
              <w:top w:val="single" w:color="auto" w:sz="4" w:space="0"/>
              <w:left w:val="single" w:color="auto" w:sz="4" w:space="0"/>
              <w:bottom w:val="single" w:color="auto" w:sz="4" w:space="0"/>
              <w:right w:val="single" w:color="auto" w:sz="4" w:space="0"/>
            </w:tcBorders>
            <w:vAlign w:val="center"/>
          </w:tcPr>
          <w:p w14:paraId="6EAC18E7">
            <w:pPr>
              <w:widowControl/>
              <w:adjustRightInd w:val="0"/>
              <w:snapToGrid w:val="0"/>
              <w:spacing w:line="240" w:lineRule="auto"/>
              <w:ind w:firstLine="0" w:firstLineChars="0"/>
              <w:jc w:val="center"/>
              <w:rPr>
                <w:rStyle w:val="24"/>
                <w:rFonts w:ascii="Times New Roman Regular" w:hAnsi="Times New Roman Regular" w:cs="Times New Roman Regular"/>
                <w:color w:val="000000"/>
                <w:kern w:val="2"/>
                <w:sz w:val="24"/>
                <w:szCs w:val="24"/>
              </w:rPr>
            </w:pPr>
            <w:r>
              <w:rPr>
                <w:rStyle w:val="24"/>
                <w:rFonts w:ascii="Times New Roman Regular" w:hAnsi="Times New Roman Regular" w:cs="Times New Roman Regular"/>
                <w:color w:val="000000"/>
                <w:kern w:val="2"/>
                <w:sz w:val="24"/>
                <w:szCs w:val="24"/>
                <w:lang w:bidi="ar"/>
              </w:rPr>
              <w:t>tce/万元</w:t>
            </w:r>
          </w:p>
        </w:tc>
        <w:tc>
          <w:tcPr>
            <w:tcW w:w="1042" w:type="dxa"/>
            <w:tcBorders>
              <w:top w:val="single" w:color="auto" w:sz="4" w:space="0"/>
              <w:left w:val="single" w:color="auto" w:sz="4" w:space="0"/>
              <w:bottom w:val="single" w:color="auto" w:sz="4" w:space="0"/>
              <w:right w:val="single" w:color="auto" w:sz="4" w:space="0"/>
            </w:tcBorders>
            <w:vAlign w:val="center"/>
          </w:tcPr>
          <w:p w14:paraId="3938FD23">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077" w:type="dxa"/>
            <w:tcBorders>
              <w:top w:val="single" w:color="auto" w:sz="4" w:space="0"/>
              <w:left w:val="single" w:color="auto" w:sz="4" w:space="0"/>
              <w:bottom w:val="single" w:color="auto" w:sz="4" w:space="0"/>
              <w:right w:val="single" w:color="auto" w:sz="4" w:space="0"/>
            </w:tcBorders>
            <w:vAlign w:val="center"/>
          </w:tcPr>
          <w:p w14:paraId="637EABC8">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077" w:type="dxa"/>
            <w:tcBorders>
              <w:top w:val="single" w:color="auto" w:sz="4" w:space="0"/>
              <w:left w:val="single" w:color="auto" w:sz="4" w:space="0"/>
              <w:bottom w:val="single" w:color="auto" w:sz="4" w:space="0"/>
              <w:right w:val="single" w:color="auto" w:sz="4" w:space="0"/>
            </w:tcBorders>
            <w:vAlign w:val="center"/>
          </w:tcPr>
          <w:p w14:paraId="7A8BDA6F">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705" w:type="dxa"/>
            <w:tcBorders>
              <w:top w:val="single" w:color="auto" w:sz="4" w:space="0"/>
              <w:left w:val="single" w:color="auto" w:sz="4" w:space="0"/>
              <w:bottom w:val="single" w:color="auto" w:sz="4" w:space="0"/>
              <w:right w:val="single" w:color="auto" w:sz="4" w:space="0"/>
            </w:tcBorders>
            <w:vAlign w:val="center"/>
          </w:tcPr>
          <w:p w14:paraId="373377F0">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743" w:type="dxa"/>
            <w:tcBorders>
              <w:top w:val="single" w:color="auto" w:sz="4" w:space="0"/>
              <w:left w:val="single" w:color="auto" w:sz="4" w:space="0"/>
              <w:bottom w:val="single" w:color="auto" w:sz="4" w:space="0"/>
              <w:right w:val="single" w:color="auto" w:sz="4" w:space="0"/>
            </w:tcBorders>
            <w:vAlign w:val="center"/>
          </w:tcPr>
          <w:p w14:paraId="4A3AB04A">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943" w:type="dxa"/>
            <w:tcBorders>
              <w:top w:val="single" w:color="auto" w:sz="4" w:space="0"/>
              <w:left w:val="single" w:color="auto" w:sz="4" w:space="0"/>
              <w:bottom w:val="single" w:color="auto" w:sz="4" w:space="0"/>
              <w:right w:val="single" w:color="auto" w:sz="4" w:space="0"/>
            </w:tcBorders>
            <w:vAlign w:val="center"/>
          </w:tcPr>
          <w:p w14:paraId="757CE7C5">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r>
      <w:tr w14:paraId="79507721">
        <w:tblPrEx>
          <w:tblCellMar>
            <w:top w:w="0" w:type="dxa"/>
            <w:left w:w="108" w:type="dxa"/>
            <w:bottom w:w="0" w:type="dxa"/>
            <w:right w:w="108" w:type="dxa"/>
          </w:tblCellMar>
        </w:tblPrEx>
        <w:trPr>
          <w:trHeight w:val="323" w:hRule="atLeast"/>
          <w:jc w:val="center"/>
        </w:trPr>
        <w:tc>
          <w:tcPr>
            <w:tcW w:w="1517" w:type="dxa"/>
            <w:vMerge w:val="continue"/>
            <w:tcBorders>
              <w:top w:val="single" w:color="auto" w:sz="4" w:space="0"/>
              <w:left w:val="single" w:color="auto" w:sz="4" w:space="0"/>
              <w:bottom w:val="single" w:color="auto" w:sz="4" w:space="0"/>
              <w:right w:val="single" w:color="auto" w:sz="4" w:space="0"/>
            </w:tcBorders>
            <w:vAlign w:val="center"/>
          </w:tcPr>
          <w:p w14:paraId="66EBCF18">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4769" w:type="dxa"/>
            <w:tcBorders>
              <w:top w:val="single" w:color="auto" w:sz="4" w:space="0"/>
              <w:left w:val="single" w:color="auto" w:sz="4" w:space="0"/>
              <w:bottom w:val="single" w:color="auto" w:sz="4" w:space="0"/>
              <w:right w:val="single" w:color="auto" w:sz="4" w:space="0"/>
            </w:tcBorders>
            <w:vAlign w:val="center"/>
          </w:tcPr>
          <w:p w14:paraId="30379C29">
            <w:pPr>
              <w:widowControl/>
              <w:adjustRightInd w:val="0"/>
              <w:snapToGrid w:val="0"/>
              <w:spacing w:line="240" w:lineRule="auto"/>
              <w:ind w:firstLine="0" w:firstLineChars="0"/>
              <w:jc w:val="left"/>
              <w:rPr>
                <w:rStyle w:val="24"/>
                <w:rFonts w:ascii="Times New Roman Regular" w:hAnsi="Times New Roman Regular" w:cs="Times New Roman Regular"/>
                <w:color w:val="000000"/>
                <w:kern w:val="2"/>
                <w:sz w:val="24"/>
                <w:szCs w:val="24"/>
              </w:rPr>
            </w:pPr>
            <w:r>
              <w:rPr>
                <w:rStyle w:val="24"/>
                <w:rFonts w:hint="eastAsia" w:ascii="Times New Roman Regular" w:hAnsi="Times New Roman Regular" w:cs="Times New Roman Regular"/>
                <w:color w:val="000000"/>
                <w:kern w:val="2"/>
                <w:sz w:val="24"/>
                <w:szCs w:val="24"/>
                <w:lang w:bidi="ar"/>
              </w:rPr>
              <w:t>6.</w:t>
            </w:r>
            <w:r>
              <w:rPr>
                <w:rStyle w:val="24"/>
                <w:rFonts w:ascii="Times New Roman Regular" w:hAnsi="Times New Roman Regular" w:cs="Times New Roman Regular"/>
                <w:color w:val="000000"/>
                <w:kern w:val="2"/>
                <w:sz w:val="24"/>
                <w:szCs w:val="24"/>
                <w:lang w:bidi="ar"/>
              </w:rPr>
              <w:t xml:space="preserve"> 节能装备应用占比</w:t>
            </w:r>
          </w:p>
        </w:tc>
        <w:tc>
          <w:tcPr>
            <w:tcW w:w="1145" w:type="dxa"/>
            <w:tcBorders>
              <w:top w:val="single" w:color="auto" w:sz="4" w:space="0"/>
              <w:left w:val="single" w:color="auto" w:sz="4" w:space="0"/>
              <w:bottom w:val="single" w:color="auto" w:sz="4" w:space="0"/>
              <w:right w:val="single" w:color="auto" w:sz="4" w:space="0"/>
            </w:tcBorders>
            <w:vAlign w:val="center"/>
          </w:tcPr>
          <w:p w14:paraId="7824514B">
            <w:pPr>
              <w:widowControl/>
              <w:adjustRightInd w:val="0"/>
              <w:snapToGrid w:val="0"/>
              <w:spacing w:line="240" w:lineRule="auto"/>
              <w:ind w:firstLine="0" w:firstLineChars="0"/>
              <w:jc w:val="center"/>
              <w:rPr>
                <w:rStyle w:val="24"/>
                <w:rFonts w:ascii="Times New Roman Regular" w:hAnsi="Times New Roman Regular" w:cs="Times New Roman Regular"/>
                <w:color w:val="000000"/>
                <w:kern w:val="2"/>
                <w:sz w:val="24"/>
                <w:szCs w:val="24"/>
              </w:rPr>
            </w:pPr>
            <w:r>
              <w:rPr>
                <w:rStyle w:val="24"/>
                <w:rFonts w:ascii="Times New Roman Regular" w:hAnsi="Times New Roman Regular" w:cs="Times New Roman Regular"/>
                <w:color w:val="000000"/>
                <w:kern w:val="2"/>
                <w:sz w:val="24"/>
                <w:szCs w:val="24"/>
                <w:lang w:bidi="ar"/>
              </w:rPr>
              <w:t>%</w:t>
            </w:r>
          </w:p>
        </w:tc>
        <w:tc>
          <w:tcPr>
            <w:tcW w:w="1042" w:type="dxa"/>
            <w:tcBorders>
              <w:top w:val="single" w:color="auto" w:sz="4" w:space="0"/>
              <w:left w:val="single" w:color="auto" w:sz="4" w:space="0"/>
              <w:bottom w:val="single" w:color="auto" w:sz="4" w:space="0"/>
              <w:right w:val="single" w:color="auto" w:sz="4" w:space="0"/>
            </w:tcBorders>
            <w:vAlign w:val="center"/>
          </w:tcPr>
          <w:p w14:paraId="4479FAF1">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077" w:type="dxa"/>
            <w:tcBorders>
              <w:top w:val="single" w:color="auto" w:sz="4" w:space="0"/>
              <w:left w:val="single" w:color="auto" w:sz="4" w:space="0"/>
              <w:bottom w:val="single" w:color="auto" w:sz="4" w:space="0"/>
              <w:right w:val="single" w:color="auto" w:sz="4" w:space="0"/>
            </w:tcBorders>
            <w:vAlign w:val="center"/>
          </w:tcPr>
          <w:p w14:paraId="5E83A733">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077" w:type="dxa"/>
            <w:tcBorders>
              <w:top w:val="single" w:color="auto" w:sz="4" w:space="0"/>
              <w:left w:val="single" w:color="auto" w:sz="4" w:space="0"/>
              <w:bottom w:val="single" w:color="auto" w:sz="4" w:space="0"/>
              <w:right w:val="single" w:color="auto" w:sz="4" w:space="0"/>
            </w:tcBorders>
            <w:vAlign w:val="center"/>
          </w:tcPr>
          <w:p w14:paraId="3EBB1ADE">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705" w:type="dxa"/>
            <w:tcBorders>
              <w:top w:val="single" w:color="auto" w:sz="4" w:space="0"/>
              <w:left w:val="single" w:color="auto" w:sz="4" w:space="0"/>
              <w:bottom w:val="single" w:color="auto" w:sz="4" w:space="0"/>
              <w:right w:val="single" w:color="auto" w:sz="4" w:space="0"/>
            </w:tcBorders>
            <w:vAlign w:val="center"/>
          </w:tcPr>
          <w:p w14:paraId="3468B026">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743" w:type="dxa"/>
            <w:tcBorders>
              <w:top w:val="single" w:color="auto" w:sz="4" w:space="0"/>
              <w:left w:val="single" w:color="auto" w:sz="4" w:space="0"/>
              <w:bottom w:val="single" w:color="auto" w:sz="4" w:space="0"/>
              <w:right w:val="single" w:color="auto" w:sz="4" w:space="0"/>
            </w:tcBorders>
            <w:vAlign w:val="center"/>
          </w:tcPr>
          <w:p w14:paraId="7AB6342A">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943" w:type="dxa"/>
            <w:tcBorders>
              <w:top w:val="single" w:color="auto" w:sz="4" w:space="0"/>
              <w:left w:val="single" w:color="auto" w:sz="4" w:space="0"/>
              <w:bottom w:val="single" w:color="auto" w:sz="4" w:space="0"/>
              <w:right w:val="single" w:color="auto" w:sz="4" w:space="0"/>
            </w:tcBorders>
            <w:vAlign w:val="center"/>
          </w:tcPr>
          <w:p w14:paraId="6A427C03">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r>
      <w:tr w14:paraId="40DEE531">
        <w:tblPrEx>
          <w:tblCellMar>
            <w:top w:w="0" w:type="dxa"/>
            <w:left w:w="108" w:type="dxa"/>
            <w:bottom w:w="0" w:type="dxa"/>
            <w:right w:w="108" w:type="dxa"/>
          </w:tblCellMar>
        </w:tblPrEx>
        <w:trPr>
          <w:trHeight w:val="323" w:hRule="atLeast"/>
          <w:jc w:val="center"/>
        </w:trPr>
        <w:tc>
          <w:tcPr>
            <w:tcW w:w="1517" w:type="dxa"/>
            <w:vMerge w:val="continue"/>
            <w:tcBorders>
              <w:top w:val="single" w:color="auto" w:sz="4" w:space="0"/>
              <w:left w:val="single" w:color="auto" w:sz="4" w:space="0"/>
              <w:bottom w:val="single" w:color="auto" w:sz="4" w:space="0"/>
              <w:right w:val="single" w:color="auto" w:sz="4" w:space="0"/>
            </w:tcBorders>
            <w:vAlign w:val="center"/>
          </w:tcPr>
          <w:p w14:paraId="39C6E826">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4769" w:type="dxa"/>
            <w:tcBorders>
              <w:top w:val="single" w:color="auto" w:sz="4" w:space="0"/>
              <w:left w:val="single" w:color="auto" w:sz="4" w:space="0"/>
              <w:bottom w:val="single" w:color="auto" w:sz="4" w:space="0"/>
              <w:right w:val="single" w:color="auto" w:sz="4" w:space="0"/>
            </w:tcBorders>
            <w:vAlign w:val="center"/>
          </w:tcPr>
          <w:p w14:paraId="6112FB0E">
            <w:pPr>
              <w:widowControl/>
              <w:adjustRightInd w:val="0"/>
              <w:snapToGrid w:val="0"/>
              <w:spacing w:line="240" w:lineRule="auto"/>
              <w:ind w:firstLine="0" w:firstLineChars="0"/>
              <w:jc w:val="left"/>
              <w:rPr>
                <w:rStyle w:val="24"/>
                <w:rFonts w:ascii="Times New Roman Regular" w:hAnsi="Times New Roman Regular" w:cs="Times New Roman Regular"/>
                <w:color w:val="000000"/>
                <w:kern w:val="2"/>
                <w:sz w:val="24"/>
                <w:szCs w:val="24"/>
              </w:rPr>
            </w:pPr>
            <w:r>
              <w:rPr>
                <w:rStyle w:val="24"/>
                <w:rFonts w:hint="eastAsia" w:ascii="Times New Roman Regular" w:hAnsi="Times New Roman Regular" w:cs="Times New Roman Regular"/>
                <w:color w:val="000000"/>
                <w:kern w:val="2"/>
                <w:sz w:val="24"/>
                <w:szCs w:val="24"/>
                <w:lang w:bidi="ar"/>
              </w:rPr>
              <w:t>7.</w:t>
            </w:r>
            <w:r>
              <w:rPr>
                <w:rStyle w:val="24"/>
                <w:rFonts w:ascii="Times New Roman Regular" w:hAnsi="Times New Roman Regular" w:cs="Times New Roman Regular"/>
                <w:color w:val="000000"/>
                <w:kern w:val="2"/>
                <w:sz w:val="24"/>
                <w:szCs w:val="24"/>
                <w:lang w:bidi="ar"/>
              </w:rPr>
              <w:t xml:space="preserve"> 碳清除率</w:t>
            </w:r>
          </w:p>
        </w:tc>
        <w:tc>
          <w:tcPr>
            <w:tcW w:w="1145" w:type="dxa"/>
            <w:tcBorders>
              <w:top w:val="single" w:color="auto" w:sz="4" w:space="0"/>
              <w:left w:val="single" w:color="auto" w:sz="4" w:space="0"/>
              <w:bottom w:val="single" w:color="auto" w:sz="4" w:space="0"/>
              <w:right w:val="single" w:color="auto" w:sz="4" w:space="0"/>
            </w:tcBorders>
            <w:vAlign w:val="center"/>
          </w:tcPr>
          <w:p w14:paraId="1DCA6C9D">
            <w:pPr>
              <w:widowControl/>
              <w:adjustRightInd w:val="0"/>
              <w:snapToGrid w:val="0"/>
              <w:spacing w:line="240" w:lineRule="auto"/>
              <w:ind w:firstLine="0" w:firstLineChars="0"/>
              <w:jc w:val="center"/>
              <w:rPr>
                <w:rStyle w:val="24"/>
                <w:rFonts w:ascii="Times New Roman Regular" w:hAnsi="Times New Roman Regular" w:cs="Times New Roman Regular"/>
                <w:color w:val="000000"/>
                <w:kern w:val="2"/>
                <w:sz w:val="24"/>
                <w:szCs w:val="24"/>
              </w:rPr>
            </w:pPr>
            <w:r>
              <w:rPr>
                <w:rStyle w:val="24"/>
                <w:rFonts w:ascii="Times New Roman Regular" w:hAnsi="Times New Roman Regular" w:cs="Times New Roman Regular"/>
                <w:color w:val="000000"/>
                <w:kern w:val="2"/>
                <w:sz w:val="24"/>
                <w:szCs w:val="24"/>
                <w:lang w:bidi="ar"/>
              </w:rPr>
              <w:t>%</w:t>
            </w:r>
          </w:p>
        </w:tc>
        <w:tc>
          <w:tcPr>
            <w:tcW w:w="1042" w:type="dxa"/>
            <w:tcBorders>
              <w:top w:val="single" w:color="auto" w:sz="4" w:space="0"/>
              <w:left w:val="single" w:color="auto" w:sz="4" w:space="0"/>
              <w:bottom w:val="single" w:color="auto" w:sz="4" w:space="0"/>
              <w:right w:val="single" w:color="auto" w:sz="4" w:space="0"/>
            </w:tcBorders>
            <w:vAlign w:val="center"/>
          </w:tcPr>
          <w:p w14:paraId="349B2385">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077" w:type="dxa"/>
            <w:tcBorders>
              <w:top w:val="single" w:color="auto" w:sz="4" w:space="0"/>
              <w:left w:val="single" w:color="auto" w:sz="4" w:space="0"/>
              <w:bottom w:val="single" w:color="auto" w:sz="4" w:space="0"/>
              <w:right w:val="single" w:color="auto" w:sz="4" w:space="0"/>
            </w:tcBorders>
            <w:vAlign w:val="center"/>
          </w:tcPr>
          <w:p w14:paraId="42DAB447">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077" w:type="dxa"/>
            <w:tcBorders>
              <w:top w:val="single" w:color="auto" w:sz="4" w:space="0"/>
              <w:left w:val="single" w:color="auto" w:sz="4" w:space="0"/>
              <w:bottom w:val="single" w:color="auto" w:sz="4" w:space="0"/>
              <w:right w:val="single" w:color="auto" w:sz="4" w:space="0"/>
            </w:tcBorders>
            <w:vAlign w:val="center"/>
          </w:tcPr>
          <w:p w14:paraId="7B81870B">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705" w:type="dxa"/>
            <w:tcBorders>
              <w:top w:val="single" w:color="auto" w:sz="4" w:space="0"/>
              <w:left w:val="single" w:color="auto" w:sz="4" w:space="0"/>
              <w:bottom w:val="single" w:color="auto" w:sz="4" w:space="0"/>
              <w:right w:val="single" w:color="auto" w:sz="4" w:space="0"/>
            </w:tcBorders>
            <w:vAlign w:val="center"/>
          </w:tcPr>
          <w:p w14:paraId="1743DDB5">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743" w:type="dxa"/>
            <w:tcBorders>
              <w:top w:val="single" w:color="auto" w:sz="4" w:space="0"/>
              <w:left w:val="single" w:color="auto" w:sz="4" w:space="0"/>
              <w:bottom w:val="single" w:color="auto" w:sz="4" w:space="0"/>
              <w:right w:val="single" w:color="auto" w:sz="4" w:space="0"/>
            </w:tcBorders>
            <w:vAlign w:val="center"/>
          </w:tcPr>
          <w:p w14:paraId="1E2B3180">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943" w:type="dxa"/>
            <w:tcBorders>
              <w:top w:val="single" w:color="auto" w:sz="4" w:space="0"/>
              <w:left w:val="single" w:color="auto" w:sz="4" w:space="0"/>
              <w:bottom w:val="single" w:color="auto" w:sz="4" w:space="0"/>
              <w:right w:val="single" w:color="auto" w:sz="4" w:space="0"/>
            </w:tcBorders>
            <w:vAlign w:val="center"/>
          </w:tcPr>
          <w:p w14:paraId="5F0A4560">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r>
      <w:tr w14:paraId="60788A19">
        <w:tblPrEx>
          <w:tblCellMar>
            <w:top w:w="0" w:type="dxa"/>
            <w:left w:w="108" w:type="dxa"/>
            <w:bottom w:w="0" w:type="dxa"/>
            <w:right w:w="108" w:type="dxa"/>
          </w:tblCellMar>
        </w:tblPrEx>
        <w:trPr>
          <w:trHeight w:val="439" w:hRule="atLeast"/>
          <w:jc w:val="center"/>
        </w:trPr>
        <w:tc>
          <w:tcPr>
            <w:tcW w:w="1517" w:type="dxa"/>
            <w:vMerge w:val="restart"/>
            <w:tcBorders>
              <w:top w:val="single" w:color="auto" w:sz="4" w:space="0"/>
              <w:left w:val="single" w:color="auto" w:sz="4" w:space="0"/>
              <w:bottom w:val="single" w:color="auto" w:sz="4" w:space="0"/>
              <w:right w:val="single" w:color="auto" w:sz="4" w:space="0"/>
            </w:tcBorders>
            <w:vAlign w:val="center"/>
          </w:tcPr>
          <w:p w14:paraId="492F4C85">
            <w:pPr>
              <w:widowControl/>
              <w:adjustRightInd w:val="0"/>
              <w:snapToGrid w:val="0"/>
              <w:spacing w:line="240" w:lineRule="auto"/>
              <w:ind w:firstLine="0" w:firstLineChars="0"/>
              <w:jc w:val="center"/>
              <w:rPr>
                <w:rStyle w:val="24"/>
                <w:rFonts w:ascii="Times New Roman Regular" w:hAnsi="Times New Roman Regular" w:cs="Times New Roman Regular"/>
                <w:color w:val="000000"/>
                <w:kern w:val="2"/>
                <w:sz w:val="24"/>
                <w:szCs w:val="24"/>
              </w:rPr>
            </w:pPr>
            <w:r>
              <w:rPr>
                <w:rStyle w:val="24"/>
                <w:rFonts w:ascii="Times New Roman Regular" w:hAnsi="Times New Roman Regular" w:cs="Times New Roman Regular"/>
                <w:color w:val="000000"/>
                <w:kern w:val="2"/>
                <w:sz w:val="24"/>
                <w:szCs w:val="24"/>
                <w:lang w:bidi="ar"/>
              </w:rPr>
              <w:t xml:space="preserve"> 协同降碳</w:t>
            </w:r>
          </w:p>
        </w:tc>
        <w:tc>
          <w:tcPr>
            <w:tcW w:w="4769" w:type="dxa"/>
            <w:tcBorders>
              <w:top w:val="single" w:color="auto" w:sz="4" w:space="0"/>
              <w:left w:val="single" w:color="auto" w:sz="4" w:space="0"/>
              <w:bottom w:val="single" w:color="auto" w:sz="4" w:space="0"/>
              <w:right w:val="single" w:color="auto" w:sz="4" w:space="0"/>
            </w:tcBorders>
            <w:vAlign w:val="center"/>
          </w:tcPr>
          <w:p w14:paraId="0125D5CE">
            <w:pPr>
              <w:widowControl/>
              <w:adjustRightInd w:val="0"/>
              <w:snapToGrid w:val="0"/>
              <w:spacing w:line="240" w:lineRule="auto"/>
              <w:ind w:firstLine="0" w:firstLineChars="0"/>
              <w:jc w:val="left"/>
              <w:rPr>
                <w:rStyle w:val="24"/>
                <w:rFonts w:ascii="Times New Roman Regular" w:hAnsi="Times New Roman Regular" w:cs="Times New Roman Regular"/>
                <w:color w:val="000000"/>
                <w:kern w:val="2"/>
                <w:sz w:val="24"/>
                <w:szCs w:val="24"/>
              </w:rPr>
            </w:pPr>
            <w:r>
              <w:rPr>
                <w:rStyle w:val="24"/>
                <w:rFonts w:hint="eastAsia" w:ascii="Times New Roman Regular" w:hAnsi="Times New Roman Regular" w:cs="Times New Roman Regular"/>
                <w:color w:val="000000"/>
                <w:kern w:val="2"/>
                <w:sz w:val="24"/>
                <w:szCs w:val="24"/>
                <w:lang w:bidi="ar"/>
              </w:rPr>
              <w:t>8.</w:t>
            </w:r>
            <w:r>
              <w:rPr>
                <w:rStyle w:val="24"/>
                <w:rFonts w:ascii="Times New Roman Regular" w:hAnsi="Times New Roman Regular" w:cs="Times New Roman Regular"/>
                <w:color w:val="000000"/>
                <w:kern w:val="2"/>
                <w:sz w:val="24"/>
                <w:szCs w:val="24"/>
                <w:lang w:bidi="ar"/>
              </w:rPr>
              <w:t xml:space="preserve"> 开展产品碳足迹分析占比</w:t>
            </w:r>
          </w:p>
        </w:tc>
        <w:tc>
          <w:tcPr>
            <w:tcW w:w="1145" w:type="dxa"/>
            <w:tcBorders>
              <w:top w:val="single" w:color="auto" w:sz="4" w:space="0"/>
              <w:left w:val="single" w:color="auto" w:sz="4" w:space="0"/>
              <w:bottom w:val="single" w:color="auto" w:sz="4" w:space="0"/>
              <w:right w:val="single" w:color="auto" w:sz="4" w:space="0"/>
            </w:tcBorders>
            <w:vAlign w:val="center"/>
          </w:tcPr>
          <w:p w14:paraId="18C0D58C">
            <w:pPr>
              <w:widowControl/>
              <w:adjustRightInd w:val="0"/>
              <w:snapToGrid w:val="0"/>
              <w:spacing w:line="240" w:lineRule="auto"/>
              <w:ind w:firstLine="0" w:firstLineChars="0"/>
              <w:jc w:val="center"/>
              <w:rPr>
                <w:rStyle w:val="24"/>
                <w:rFonts w:ascii="Times New Roman Regular" w:hAnsi="Times New Roman Regular" w:cs="Times New Roman Regular"/>
                <w:color w:val="000000"/>
                <w:kern w:val="2"/>
                <w:sz w:val="24"/>
                <w:szCs w:val="24"/>
              </w:rPr>
            </w:pPr>
            <w:r>
              <w:rPr>
                <w:rStyle w:val="24"/>
                <w:rFonts w:ascii="Times New Roman Regular" w:hAnsi="Times New Roman Regular" w:cs="Times New Roman Regular"/>
                <w:color w:val="000000"/>
                <w:kern w:val="2"/>
                <w:sz w:val="24"/>
                <w:szCs w:val="24"/>
                <w:lang w:bidi="ar"/>
              </w:rPr>
              <w:t>%</w:t>
            </w:r>
          </w:p>
        </w:tc>
        <w:tc>
          <w:tcPr>
            <w:tcW w:w="1042" w:type="dxa"/>
            <w:tcBorders>
              <w:top w:val="single" w:color="auto" w:sz="4" w:space="0"/>
              <w:left w:val="single" w:color="auto" w:sz="4" w:space="0"/>
              <w:bottom w:val="single" w:color="auto" w:sz="4" w:space="0"/>
              <w:right w:val="single" w:color="auto" w:sz="4" w:space="0"/>
            </w:tcBorders>
            <w:vAlign w:val="center"/>
          </w:tcPr>
          <w:p w14:paraId="1AF1AA4B">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077" w:type="dxa"/>
            <w:tcBorders>
              <w:top w:val="single" w:color="auto" w:sz="4" w:space="0"/>
              <w:left w:val="single" w:color="auto" w:sz="4" w:space="0"/>
              <w:bottom w:val="single" w:color="auto" w:sz="4" w:space="0"/>
              <w:right w:val="single" w:color="auto" w:sz="4" w:space="0"/>
            </w:tcBorders>
            <w:vAlign w:val="center"/>
          </w:tcPr>
          <w:p w14:paraId="5BB4C6E8">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077" w:type="dxa"/>
            <w:tcBorders>
              <w:top w:val="single" w:color="auto" w:sz="4" w:space="0"/>
              <w:left w:val="single" w:color="auto" w:sz="4" w:space="0"/>
              <w:bottom w:val="single" w:color="auto" w:sz="4" w:space="0"/>
              <w:right w:val="single" w:color="auto" w:sz="4" w:space="0"/>
            </w:tcBorders>
            <w:vAlign w:val="center"/>
          </w:tcPr>
          <w:p w14:paraId="0DC835C7">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705" w:type="dxa"/>
            <w:tcBorders>
              <w:top w:val="single" w:color="auto" w:sz="4" w:space="0"/>
              <w:left w:val="single" w:color="auto" w:sz="4" w:space="0"/>
              <w:bottom w:val="single" w:color="auto" w:sz="4" w:space="0"/>
              <w:right w:val="single" w:color="auto" w:sz="4" w:space="0"/>
            </w:tcBorders>
            <w:vAlign w:val="center"/>
          </w:tcPr>
          <w:p w14:paraId="77079610">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743" w:type="dxa"/>
            <w:tcBorders>
              <w:top w:val="single" w:color="auto" w:sz="4" w:space="0"/>
              <w:left w:val="single" w:color="auto" w:sz="4" w:space="0"/>
              <w:bottom w:val="single" w:color="auto" w:sz="4" w:space="0"/>
              <w:right w:val="single" w:color="auto" w:sz="4" w:space="0"/>
            </w:tcBorders>
            <w:vAlign w:val="center"/>
          </w:tcPr>
          <w:p w14:paraId="2E79D73D">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943" w:type="dxa"/>
            <w:tcBorders>
              <w:top w:val="single" w:color="auto" w:sz="4" w:space="0"/>
              <w:left w:val="single" w:color="auto" w:sz="4" w:space="0"/>
              <w:bottom w:val="single" w:color="auto" w:sz="4" w:space="0"/>
              <w:right w:val="single" w:color="auto" w:sz="4" w:space="0"/>
            </w:tcBorders>
            <w:vAlign w:val="center"/>
          </w:tcPr>
          <w:p w14:paraId="47E967B8">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r>
      <w:tr w14:paraId="1D6493C8">
        <w:tblPrEx>
          <w:tblCellMar>
            <w:top w:w="0" w:type="dxa"/>
            <w:left w:w="108" w:type="dxa"/>
            <w:bottom w:w="0" w:type="dxa"/>
            <w:right w:w="108" w:type="dxa"/>
          </w:tblCellMar>
        </w:tblPrEx>
        <w:trPr>
          <w:trHeight w:val="323" w:hRule="atLeast"/>
          <w:jc w:val="center"/>
        </w:trPr>
        <w:tc>
          <w:tcPr>
            <w:tcW w:w="1517" w:type="dxa"/>
            <w:vMerge w:val="continue"/>
            <w:tcBorders>
              <w:top w:val="single" w:color="auto" w:sz="4" w:space="0"/>
              <w:left w:val="single" w:color="auto" w:sz="4" w:space="0"/>
              <w:bottom w:val="single" w:color="auto" w:sz="4" w:space="0"/>
              <w:right w:val="single" w:color="auto" w:sz="4" w:space="0"/>
            </w:tcBorders>
            <w:vAlign w:val="center"/>
          </w:tcPr>
          <w:p w14:paraId="420D650B">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4769" w:type="dxa"/>
            <w:tcBorders>
              <w:top w:val="single" w:color="auto" w:sz="4" w:space="0"/>
              <w:left w:val="single" w:color="auto" w:sz="4" w:space="0"/>
              <w:bottom w:val="single" w:color="auto" w:sz="4" w:space="0"/>
              <w:right w:val="single" w:color="auto" w:sz="4" w:space="0"/>
            </w:tcBorders>
            <w:vAlign w:val="center"/>
          </w:tcPr>
          <w:p w14:paraId="4B8E8D5F">
            <w:pPr>
              <w:widowControl/>
              <w:adjustRightInd w:val="0"/>
              <w:snapToGrid w:val="0"/>
              <w:spacing w:line="240" w:lineRule="auto"/>
              <w:ind w:firstLine="0" w:firstLineChars="0"/>
              <w:jc w:val="left"/>
              <w:rPr>
                <w:rStyle w:val="24"/>
                <w:rFonts w:ascii="Times New Roman Regular" w:hAnsi="Times New Roman Regular" w:cs="Times New Roman Regular"/>
                <w:color w:val="000000"/>
                <w:kern w:val="2"/>
                <w:sz w:val="24"/>
                <w:szCs w:val="24"/>
              </w:rPr>
            </w:pPr>
            <w:r>
              <w:rPr>
                <w:rStyle w:val="24"/>
                <w:rFonts w:hint="eastAsia" w:ascii="Times New Roman Regular" w:hAnsi="Times New Roman Regular" w:cs="Times New Roman Regular"/>
                <w:color w:val="000000"/>
                <w:kern w:val="2"/>
                <w:sz w:val="24"/>
                <w:szCs w:val="24"/>
                <w:lang w:bidi="ar"/>
              </w:rPr>
              <w:t>9.</w:t>
            </w:r>
            <w:r>
              <w:rPr>
                <w:rStyle w:val="24"/>
                <w:rFonts w:ascii="Times New Roman Regular" w:hAnsi="Times New Roman Regular" w:cs="Times New Roman Regular"/>
                <w:color w:val="000000"/>
                <w:kern w:val="2"/>
                <w:sz w:val="24"/>
                <w:szCs w:val="24"/>
                <w:lang w:bidi="ar"/>
              </w:rPr>
              <w:t xml:space="preserve"> 重点工业产品碳足迹下降率</w:t>
            </w:r>
          </w:p>
        </w:tc>
        <w:tc>
          <w:tcPr>
            <w:tcW w:w="1145" w:type="dxa"/>
            <w:tcBorders>
              <w:top w:val="single" w:color="auto" w:sz="4" w:space="0"/>
              <w:left w:val="single" w:color="auto" w:sz="4" w:space="0"/>
              <w:bottom w:val="single" w:color="auto" w:sz="4" w:space="0"/>
              <w:right w:val="single" w:color="auto" w:sz="4" w:space="0"/>
            </w:tcBorders>
            <w:vAlign w:val="center"/>
          </w:tcPr>
          <w:p w14:paraId="145466DE">
            <w:pPr>
              <w:widowControl/>
              <w:adjustRightInd w:val="0"/>
              <w:snapToGrid w:val="0"/>
              <w:spacing w:line="240" w:lineRule="auto"/>
              <w:ind w:firstLine="0" w:firstLineChars="0"/>
              <w:jc w:val="center"/>
              <w:rPr>
                <w:rStyle w:val="24"/>
                <w:rFonts w:ascii="Times New Roman Regular" w:hAnsi="Times New Roman Regular" w:cs="Times New Roman Regular"/>
                <w:color w:val="000000"/>
                <w:kern w:val="2"/>
                <w:sz w:val="24"/>
                <w:szCs w:val="24"/>
              </w:rPr>
            </w:pPr>
            <w:r>
              <w:rPr>
                <w:rStyle w:val="24"/>
                <w:rFonts w:ascii="Times New Roman Regular" w:hAnsi="Times New Roman Regular" w:cs="Times New Roman Regular"/>
                <w:color w:val="000000"/>
                <w:kern w:val="2"/>
                <w:sz w:val="24"/>
                <w:szCs w:val="24"/>
                <w:lang w:bidi="ar"/>
              </w:rPr>
              <w:t>%</w:t>
            </w:r>
          </w:p>
        </w:tc>
        <w:tc>
          <w:tcPr>
            <w:tcW w:w="1042" w:type="dxa"/>
            <w:tcBorders>
              <w:top w:val="single" w:color="auto" w:sz="4" w:space="0"/>
              <w:left w:val="single" w:color="auto" w:sz="4" w:space="0"/>
              <w:bottom w:val="single" w:color="auto" w:sz="4" w:space="0"/>
              <w:right w:val="single" w:color="auto" w:sz="4" w:space="0"/>
            </w:tcBorders>
            <w:vAlign w:val="center"/>
          </w:tcPr>
          <w:p w14:paraId="60A0E140">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077" w:type="dxa"/>
            <w:tcBorders>
              <w:top w:val="single" w:color="auto" w:sz="4" w:space="0"/>
              <w:left w:val="single" w:color="auto" w:sz="4" w:space="0"/>
              <w:bottom w:val="single" w:color="auto" w:sz="4" w:space="0"/>
              <w:right w:val="single" w:color="auto" w:sz="4" w:space="0"/>
            </w:tcBorders>
            <w:vAlign w:val="center"/>
          </w:tcPr>
          <w:p w14:paraId="7695C132">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077" w:type="dxa"/>
            <w:tcBorders>
              <w:top w:val="single" w:color="auto" w:sz="4" w:space="0"/>
              <w:left w:val="single" w:color="auto" w:sz="4" w:space="0"/>
              <w:bottom w:val="single" w:color="auto" w:sz="4" w:space="0"/>
              <w:right w:val="single" w:color="auto" w:sz="4" w:space="0"/>
            </w:tcBorders>
            <w:vAlign w:val="center"/>
          </w:tcPr>
          <w:p w14:paraId="06CD50DB">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705" w:type="dxa"/>
            <w:tcBorders>
              <w:top w:val="single" w:color="auto" w:sz="4" w:space="0"/>
              <w:left w:val="single" w:color="auto" w:sz="4" w:space="0"/>
              <w:bottom w:val="single" w:color="auto" w:sz="4" w:space="0"/>
              <w:right w:val="single" w:color="auto" w:sz="4" w:space="0"/>
            </w:tcBorders>
            <w:vAlign w:val="center"/>
          </w:tcPr>
          <w:p w14:paraId="571F38D2">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743" w:type="dxa"/>
            <w:tcBorders>
              <w:top w:val="single" w:color="auto" w:sz="4" w:space="0"/>
              <w:left w:val="single" w:color="auto" w:sz="4" w:space="0"/>
              <w:bottom w:val="single" w:color="auto" w:sz="4" w:space="0"/>
              <w:right w:val="single" w:color="auto" w:sz="4" w:space="0"/>
            </w:tcBorders>
            <w:vAlign w:val="center"/>
          </w:tcPr>
          <w:p w14:paraId="76DFE262">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943" w:type="dxa"/>
            <w:tcBorders>
              <w:top w:val="single" w:color="auto" w:sz="4" w:space="0"/>
              <w:left w:val="single" w:color="auto" w:sz="4" w:space="0"/>
              <w:bottom w:val="single" w:color="auto" w:sz="4" w:space="0"/>
              <w:right w:val="single" w:color="auto" w:sz="4" w:space="0"/>
            </w:tcBorders>
            <w:vAlign w:val="center"/>
          </w:tcPr>
          <w:p w14:paraId="2DAB8726">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r>
      <w:tr w14:paraId="19D3F07B">
        <w:tblPrEx>
          <w:tblCellMar>
            <w:top w:w="0" w:type="dxa"/>
            <w:left w:w="108" w:type="dxa"/>
            <w:bottom w:w="0" w:type="dxa"/>
            <w:right w:w="108" w:type="dxa"/>
          </w:tblCellMar>
        </w:tblPrEx>
        <w:trPr>
          <w:trHeight w:val="323" w:hRule="atLeast"/>
          <w:jc w:val="center"/>
        </w:trPr>
        <w:tc>
          <w:tcPr>
            <w:tcW w:w="1517" w:type="dxa"/>
            <w:vMerge w:val="continue"/>
            <w:tcBorders>
              <w:top w:val="single" w:color="auto" w:sz="4" w:space="0"/>
              <w:left w:val="single" w:color="auto" w:sz="4" w:space="0"/>
              <w:bottom w:val="single" w:color="auto" w:sz="4" w:space="0"/>
              <w:right w:val="single" w:color="auto" w:sz="4" w:space="0"/>
            </w:tcBorders>
            <w:vAlign w:val="center"/>
          </w:tcPr>
          <w:p w14:paraId="4A3A51A9">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4769" w:type="dxa"/>
            <w:tcBorders>
              <w:top w:val="single" w:color="auto" w:sz="4" w:space="0"/>
              <w:left w:val="single" w:color="auto" w:sz="4" w:space="0"/>
              <w:bottom w:val="single" w:color="auto" w:sz="4" w:space="0"/>
              <w:right w:val="single" w:color="auto" w:sz="4" w:space="0"/>
            </w:tcBorders>
            <w:vAlign w:val="center"/>
          </w:tcPr>
          <w:p w14:paraId="20FFF0A9">
            <w:pPr>
              <w:widowControl/>
              <w:adjustRightInd w:val="0"/>
              <w:snapToGrid w:val="0"/>
              <w:spacing w:line="240" w:lineRule="auto"/>
              <w:ind w:firstLine="0" w:firstLineChars="0"/>
              <w:jc w:val="left"/>
              <w:rPr>
                <w:rStyle w:val="24"/>
                <w:rFonts w:ascii="Times New Roman Regular" w:hAnsi="Times New Roman Regular" w:cs="Times New Roman Regular"/>
                <w:color w:val="000000"/>
                <w:kern w:val="2"/>
                <w:sz w:val="24"/>
                <w:szCs w:val="24"/>
              </w:rPr>
            </w:pPr>
            <w:r>
              <w:rPr>
                <w:rStyle w:val="24"/>
                <w:rFonts w:hint="eastAsia" w:ascii="Times New Roman Regular" w:hAnsi="Times New Roman Regular" w:cs="Times New Roman Regular"/>
                <w:color w:val="000000"/>
                <w:kern w:val="2"/>
                <w:sz w:val="24"/>
                <w:szCs w:val="24"/>
                <w:lang w:bidi="ar"/>
              </w:rPr>
              <w:t>10.</w:t>
            </w:r>
            <w:r>
              <w:rPr>
                <w:rStyle w:val="24"/>
                <w:rFonts w:ascii="Times New Roman Regular" w:hAnsi="Times New Roman Regular" w:cs="Times New Roman Regular"/>
                <w:color w:val="000000"/>
                <w:kern w:val="2"/>
                <w:sz w:val="24"/>
                <w:szCs w:val="24"/>
                <w:lang w:bidi="ar"/>
              </w:rPr>
              <w:t xml:space="preserve"> 零碳供应链管理措施符合项数</w:t>
            </w:r>
          </w:p>
        </w:tc>
        <w:tc>
          <w:tcPr>
            <w:tcW w:w="1145" w:type="dxa"/>
            <w:tcBorders>
              <w:top w:val="single" w:color="auto" w:sz="4" w:space="0"/>
              <w:left w:val="single" w:color="auto" w:sz="4" w:space="0"/>
              <w:bottom w:val="single" w:color="auto" w:sz="4" w:space="0"/>
              <w:right w:val="single" w:color="auto" w:sz="4" w:space="0"/>
            </w:tcBorders>
            <w:vAlign w:val="center"/>
          </w:tcPr>
          <w:p w14:paraId="548ECCFD">
            <w:pPr>
              <w:widowControl/>
              <w:adjustRightInd w:val="0"/>
              <w:snapToGrid w:val="0"/>
              <w:spacing w:line="240" w:lineRule="auto"/>
              <w:ind w:firstLine="0" w:firstLineChars="0"/>
              <w:jc w:val="center"/>
              <w:rPr>
                <w:rStyle w:val="24"/>
                <w:rFonts w:ascii="Times New Roman Regular" w:hAnsi="Times New Roman Regular" w:cs="Times New Roman Regular"/>
                <w:color w:val="000000"/>
                <w:kern w:val="2"/>
                <w:sz w:val="24"/>
                <w:szCs w:val="24"/>
              </w:rPr>
            </w:pPr>
            <w:r>
              <w:rPr>
                <w:rStyle w:val="24"/>
                <w:rFonts w:ascii="Times New Roman Regular" w:hAnsi="Times New Roman Regular" w:cs="Times New Roman Regular"/>
                <w:color w:val="000000"/>
                <w:kern w:val="2"/>
                <w:sz w:val="24"/>
                <w:szCs w:val="24"/>
                <w:lang w:bidi="ar"/>
              </w:rPr>
              <w:t>项</w:t>
            </w:r>
          </w:p>
        </w:tc>
        <w:tc>
          <w:tcPr>
            <w:tcW w:w="1042" w:type="dxa"/>
            <w:tcBorders>
              <w:top w:val="single" w:color="auto" w:sz="4" w:space="0"/>
              <w:left w:val="single" w:color="auto" w:sz="4" w:space="0"/>
              <w:bottom w:val="single" w:color="auto" w:sz="4" w:space="0"/>
              <w:right w:val="single" w:color="auto" w:sz="4" w:space="0"/>
            </w:tcBorders>
            <w:vAlign w:val="center"/>
          </w:tcPr>
          <w:p w14:paraId="4E221041">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077" w:type="dxa"/>
            <w:tcBorders>
              <w:top w:val="single" w:color="auto" w:sz="4" w:space="0"/>
              <w:left w:val="single" w:color="auto" w:sz="4" w:space="0"/>
              <w:bottom w:val="single" w:color="auto" w:sz="4" w:space="0"/>
              <w:right w:val="single" w:color="auto" w:sz="4" w:space="0"/>
            </w:tcBorders>
            <w:vAlign w:val="center"/>
          </w:tcPr>
          <w:p w14:paraId="399E8927">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077" w:type="dxa"/>
            <w:tcBorders>
              <w:top w:val="single" w:color="auto" w:sz="4" w:space="0"/>
              <w:left w:val="single" w:color="auto" w:sz="4" w:space="0"/>
              <w:bottom w:val="single" w:color="auto" w:sz="4" w:space="0"/>
              <w:right w:val="single" w:color="auto" w:sz="4" w:space="0"/>
            </w:tcBorders>
            <w:vAlign w:val="center"/>
          </w:tcPr>
          <w:p w14:paraId="22D22DEE">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705" w:type="dxa"/>
            <w:tcBorders>
              <w:top w:val="single" w:color="auto" w:sz="4" w:space="0"/>
              <w:left w:val="single" w:color="auto" w:sz="4" w:space="0"/>
              <w:bottom w:val="single" w:color="auto" w:sz="4" w:space="0"/>
              <w:right w:val="single" w:color="auto" w:sz="4" w:space="0"/>
            </w:tcBorders>
            <w:vAlign w:val="center"/>
          </w:tcPr>
          <w:p w14:paraId="50FBB83D">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743" w:type="dxa"/>
            <w:tcBorders>
              <w:top w:val="single" w:color="auto" w:sz="4" w:space="0"/>
              <w:left w:val="single" w:color="auto" w:sz="4" w:space="0"/>
              <w:bottom w:val="single" w:color="auto" w:sz="4" w:space="0"/>
              <w:right w:val="single" w:color="auto" w:sz="4" w:space="0"/>
            </w:tcBorders>
            <w:vAlign w:val="center"/>
          </w:tcPr>
          <w:p w14:paraId="310295C2">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943" w:type="dxa"/>
            <w:tcBorders>
              <w:top w:val="single" w:color="auto" w:sz="4" w:space="0"/>
              <w:left w:val="single" w:color="auto" w:sz="4" w:space="0"/>
              <w:bottom w:val="single" w:color="auto" w:sz="4" w:space="0"/>
              <w:right w:val="single" w:color="auto" w:sz="4" w:space="0"/>
            </w:tcBorders>
            <w:vAlign w:val="center"/>
          </w:tcPr>
          <w:p w14:paraId="35B78D18">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r>
      <w:tr w14:paraId="51235C3D">
        <w:tblPrEx>
          <w:tblCellMar>
            <w:top w:w="0" w:type="dxa"/>
            <w:left w:w="108" w:type="dxa"/>
            <w:bottom w:w="0" w:type="dxa"/>
            <w:right w:w="108" w:type="dxa"/>
          </w:tblCellMar>
        </w:tblPrEx>
        <w:trPr>
          <w:trHeight w:val="439" w:hRule="atLeast"/>
          <w:jc w:val="center"/>
        </w:trPr>
        <w:tc>
          <w:tcPr>
            <w:tcW w:w="1517" w:type="dxa"/>
            <w:vMerge w:val="restart"/>
            <w:tcBorders>
              <w:top w:val="single" w:color="auto" w:sz="4" w:space="0"/>
              <w:left w:val="single" w:color="auto" w:sz="4" w:space="0"/>
              <w:bottom w:val="single" w:color="auto" w:sz="4" w:space="0"/>
              <w:right w:val="single" w:color="auto" w:sz="4" w:space="0"/>
            </w:tcBorders>
            <w:vAlign w:val="center"/>
          </w:tcPr>
          <w:p w14:paraId="4F49D370">
            <w:pPr>
              <w:widowControl/>
              <w:adjustRightInd w:val="0"/>
              <w:snapToGrid w:val="0"/>
              <w:spacing w:line="240" w:lineRule="auto"/>
              <w:ind w:firstLine="0" w:firstLineChars="0"/>
              <w:jc w:val="center"/>
              <w:rPr>
                <w:rStyle w:val="24"/>
                <w:rFonts w:ascii="Times New Roman Regular" w:hAnsi="Times New Roman Regular" w:cs="Times New Roman Regular"/>
                <w:color w:val="000000"/>
                <w:kern w:val="2"/>
                <w:sz w:val="24"/>
                <w:szCs w:val="24"/>
              </w:rPr>
            </w:pPr>
            <w:r>
              <w:rPr>
                <w:rStyle w:val="24"/>
                <w:rFonts w:ascii="Times New Roman Regular" w:hAnsi="Times New Roman Regular" w:cs="Times New Roman Regular"/>
                <w:color w:val="000000"/>
                <w:kern w:val="2"/>
                <w:sz w:val="24"/>
                <w:szCs w:val="24"/>
                <w:lang w:bidi="ar"/>
              </w:rPr>
              <w:t xml:space="preserve"> 智能控碳</w:t>
            </w:r>
          </w:p>
        </w:tc>
        <w:tc>
          <w:tcPr>
            <w:tcW w:w="4769" w:type="dxa"/>
            <w:tcBorders>
              <w:top w:val="single" w:color="auto" w:sz="4" w:space="0"/>
              <w:left w:val="single" w:color="auto" w:sz="4" w:space="0"/>
              <w:bottom w:val="single" w:color="auto" w:sz="4" w:space="0"/>
              <w:right w:val="single" w:color="auto" w:sz="4" w:space="0"/>
            </w:tcBorders>
            <w:vAlign w:val="center"/>
          </w:tcPr>
          <w:p w14:paraId="763ACD07">
            <w:pPr>
              <w:widowControl/>
              <w:adjustRightInd w:val="0"/>
              <w:snapToGrid w:val="0"/>
              <w:spacing w:line="240" w:lineRule="auto"/>
              <w:ind w:firstLine="0" w:firstLineChars="0"/>
              <w:jc w:val="left"/>
              <w:rPr>
                <w:rStyle w:val="24"/>
                <w:rFonts w:ascii="Times New Roman Regular" w:hAnsi="Times New Roman Regular" w:cs="Times New Roman Regular"/>
                <w:color w:val="000000"/>
                <w:kern w:val="2"/>
                <w:sz w:val="24"/>
                <w:szCs w:val="24"/>
              </w:rPr>
            </w:pPr>
            <w:r>
              <w:rPr>
                <w:rStyle w:val="24"/>
                <w:rFonts w:hint="eastAsia" w:ascii="Times New Roman Regular" w:hAnsi="Times New Roman Regular" w:cs="Times New Roman Regular"/>
                <w:color w:val="000000"/>
                <w:kern w:val="2"/>
                <w:sz w:val="24"/>
                <w:szCs w:val="24"/>
                <w:lang w:bidi="ar"/>
              </w:rPr>
              <w:t>11.</w:t>
            </w:r>
            <w:r>
              <w:rPr>
                <w:rStyle w:val="24"/>
                <w:rFonts w:ascii="Times New Roman Regular" w:hAnsi="Times New Roman Regular" w:cs="Times New Roman Regular"/>
                <w:color w:val="000000"/>
                <w:kern w:val="2"/>
                <w:sz w:val="24"/>
                <w:szCs w:val="24"/>
                <w:lang w:bidi="ar"/>
              </w:rPr>
              <w:t xml:space="preserve"> 能碳管理中心能源数据自动采集率*</w:t>
            </w:r>
          </w:p>
        </w:tc>
        <w:tc>
          <w:tcPr>
            <w:tcW w:w="1145" w:type="dxa"/>
            <w:tcBorders>
              <w:top w:val="single" w:color="auto" w:sz="4" w:space="0"/>
              <w:left w:val="single" w:color="auto" w:sz="4" w:space="0"/>
              <w:bottom w:val="single" w:color="auto" w:sz="4" w:space="0"/>
              <w:right w:val="single" w:color="auto" w:sz="4" w:space="0"/>
            </w:tcBorders>
            <w:vAlign w:val="center"/>
          </w:tcPr>
          <w:p w14:paraId="358EFAB4">
            <w:pPr>
              <w:widowControl/>
              <w:adjustRightInd w:val="0"/>
              <w:snapToGrid w:val="0"/>
              <w:spacing w:line="240" w:lineRule="auto"/>
              <w:ind w:firstLine="0" w:firstLineChars="0"/>
              <w:jc w:val="center"/>
              <w:rPr>
                <w:rStyle w:val="24"/>
                <w:rFonts w:ascii="Times New Roman Regular" w:hAnsi="Times New Roman Regular" w:cs="Times New Roman Regular"/>
                <w:color w:val="000000"/>
                <w:kern w:val="2"/>
                <w:sz w:val="24"/>
                <w:szCs w:val="24"/>
              </w:rPr>
            </w:pPr>
            <w:r>
              <w:rPr>
                <w:rStyle w:val="24"/>
                <w:rFonts w:ascii="Times New Roman Regular" w:hAnsi="Times New Roman Regular" w:cs="Times New Roman Regular"/>
                <w:color w:val="000000"/>
                <w:kern w:val="2"/>
                <w:sz w:val="24"/>
                <w:szCs w:val="24"/>
                <w:lang w:bidi="ar"/>
              </w:rPr>
              <w:t>%</w:t>
            </w:r>
          </w:p>
        </w:tc>
        <w:tc>
          <w:tcPr>
            <w:tcW w:w="1042" w:type="dxa"/>
            <w:tcBorders>
              <w:top w:val="single" w:color="auto" w:sz="4" w:space="0"/>
              <w:left w:val="single" w:color="auto" w:sz="4" w:space="0"/>
              <w:bottom w:val="single" w:color="auto" w:sz="4" w:space="0"/>
              <w:right w:val="single" w:color="auto" w:sz="4" w:space="0"/>
            </w:tcBorders>
            <w:vAlign w:val="center"/>
          </w:tcPr>
          <w:p w14:paraId="31E8CA90">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077" w:type="dxa"/>
            <w:tcBorders>
              <w:top w:val="single" w:color="auto" w:sz="4" w:space="0"/>
              <w:left w:val="single" w:color="auto" w:sz="4" w:space="0"/>
              <w:bottom w:val="single" w:color="auto" w:sz="4" w:space="0"/>
              <w:right w:val="single" w:color="auto" w:sz="4" w:space="0"/>
            </w:tcBorders>
            <w:vAlign w:val="center"/>
          </w:tcPr>
          <w:p w14:paraId="13818FC2">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077" w:type="dxa"/>
            <w:tcBorders>
              <w:top w:val="single" w:color="auto" w:sz="4" w:space="0"/>
              <w:left w:val="single" w:color="auto" w:sz="4" w:space="0"/>
              <w:bottom w:val="single" w:color="auto" w:sz="4" w:space="0"/>
              <w:right w:val="single" w:color="auto" w:sz="4" w:space="0"/>
            </w:tcBorders>
            <w:vAlign w:val="center"/>
          </w:tcPr>
          <w:p w14:paraId="4036552B">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705" w:type="dxa"/>
            <w:tcBorders>
              <w:top w:val="single" w:color="auto" w:sz="4" w:space="0"/>
              <w:left w:val="single" w:color="auto" w:sz="4" w:space="0"/>
              <w:bottom w:val="single" w:color="auto" w:sz="4" w:space="0"/>
              <w:right w:val="single" w:color="auto" w:sz="4" w:space="0"/>
            </w:tcBorders>
            <w:vAlign w:val="center"/>
          </w:tcPr>
          <w:p w14:paraId="570AA291">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743" w:type="dxa"/>
            <w:tcBorders>
              <w:top w:val="single" w:color="auto" w:sz="4" w:space="0"/>
              <w:left w:val="single" w:color="auto" w:sz="4" w:space="0"/>
              <w:bottom w:val="single" w:color="auto" w:sz="4" w:space="0"/>
              <w:right w:val="single" w:color="auto" w:sz="4" w:space="0"/>
            </w:tcBorders>
            <w:vAlign w:val="center"/>
          </w:tcPr>
          <w:p w14:paraId="6B82208F">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943" w:type="dxa"/>
            <w:tcBorders>
              <w:top w:val="single" w:color="auto" w:sz="4" w:space="0"/>
              <w:left w:val="single" w:color="auto" w:sz="4" w:space="0"/>
              <w:bottom w:val="single" w:color="auto" w:sz="4" w:space="0"/>
              <w:right w:val="single" w:color="auto" w:sz="4" w:space="0"/>
            </w:tcBorders>
            <w:vAlign w:val="center"/>
          </w:tcPr>
          <w:p w14:paraId="6067B305">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r>
      <w:tr w14:paraId="6A4311F3">
        <w:tblPrEx>
          <w:tblCellMar>
            <w:top w:w="0" w:type="dxa"/>
            <w:left w:w="108" w:type="dxa"/>
            <w:bottom w:w="0" w:type="dxa"/>
            <w:right w:w="108" w:type="dxa"/>
          </w:tblCellMar>
        </w:tblPrEx>
        <w:trPr>
          <w:trHeight w:val="323" w:hRule="atLeast"/>
          <w:jc w:val="center"/>
        </w:trPr>
        <w:tc>
          <w:tcPr>
            <w:tcW w:w="1517" w:type="dxa"/>
            <w:vMerge w:val="continue"/>
            <w:tcBorders>
              <w:top w:val="single" w:color="auto" w:sz="4" w:space="0"/>
              <w:left w:val="single" w:color="auto" w:sz="4" w:space="0"/>
              <w:bottom w:val="single" w:color="auto" w:sz="4" w:space="0"/>
              <w:right w:val="single" w:color="auto" w:sz="4" w:space="0"/>
            </w:tcBorders>
            <w:vAlign w:val="center"/>
          </w:tcPr>
          <w:p w14:paraId="70DF296A">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4769" w:type="dxa"/>
            <w:tcBorders>
              <w:top w:val="single" w:color="auto" w:sz="4" w:space="0"/>
              <w:left w:val="single" w:color="auto" w:sz="4" w:space="0"/>
              <w:bottom w:val="single" w:color="auto" w:sz="4" w:space="0"/>
              <w:right w:val="single" w:color="auto" w:sz="4" w:space="0"/>
            </w:tcBorders>
            <w:vAlign w:val="center"/>
          </w:tcPr>
          <w:p w14:paraId="76D7565B">
            <w:pPr>
              <w:widowControl/>
              <w:adjustRightInd w:val="0"/>
              <w:snapToGrid w:val="0"/>
              <w:spacing w:line="240" w:lineRule="auto"/>
              <w:ind w:firstLine="0" w:firstLineChars="0"/>
              <w:jc w:val="left"/>
              <w:rPr>
                <w:rStyle w:val="24"/>
                <w:rFonts w:ascii="Times New Roman Regular" w:hAnsi="Times New Roman Regular" w:cs="Times New Roman Regular"/>
                <w:color w:val="000000"/>
                <w:kern w:val="2"/>
                <w:sz w:val="24"/>
                <w:szCs w:val="24"/>
              </w:rPr>
            </w:pPr>
            <w:r>
              <w:rPr>
                <w:rStyle w:val="24"/>
                <w:rFonts w:hint="eastAsia" w:ascii="Times New Roman Regular" w:hAnsi="Times New Roman Regular" w:cs="Times New Roman Regular"/>
                <w:color w:val="000000"/>
                <w:kern w:val="2"/>
                <w:sz w:val="24"/>
                <w:szCs w:val="24"/>
                <w:lang w:bidi="ar"/>
              </w:rPr>
              <w:t>12.</w:t>
            </w:r>
            <w:r>
              <w:rPr>
                <w:rStyle w:val="24"/>
                <w:rFonts w:ascii="Times New Roman Regular" w:hAnsi="Times New Roman Regular" w:cs="Times New Roman Regular"/>
                <w:color w:val="000000"/>
                <w:kern w:val="2"/>
                <w:sz w:val="24"/>
                <w:szCs w:val="24"/>
                <w:lang w:bidi="ar"/>
              </w:rPr>
              <w:t xml:space="preserve"> 能碳管理中心功能符合项数*</w:t>
            </w:r>
          </w:p>
        </w:tc>
        <w:tc>
          <w:tcPr>
            <w:tcW w:w="1145" w:type="dxa"/>
            <w:tcBorders>
              <w:top w:val="single" w:color="auto" w:sz="4" w:space="0"/>
              <w:left w:val="single" w:color="auto" w:sz="4" w:space="0"/>
              <w:bottom w:val="single" w:color="auto" w:sz="4" w:space="0"/>
              <w:right w:val="single" w:color="auto" w:sz="4" w:space="0"/>
            </w:tcBorders>
            <w:vAlign w:val="center"/>
          </w:tcPr>
          <w:p w14:paraId="40455E6D">
            <w:pPr>
              <w:widowControl/>
              <w:adjustRightInd w:val="0"/>
              <w:snapToGrid w:val="0"/>
              <w:spacing w:line="240" w:lineRule="auto"/>
              <w:ind w:firstLine="0" w:firstLineChars="0"/>
              <w:jc w:val="center"/>
              <w:rPr>
                <w:rStyle w:val="24"/>
                <w:rFonts w:ascii="Times New Roman Regular" w:hAnsi="Times New Roman Regular" w:cs="Times New Roman Regular"/>
                <w:color w:val="000000"/>
                <w:kern w:val="2"/>
                <w:sz w:val="24"/>
                <w:szCs w:val="24"/>
              </w:rPr>
            </w:pPr>
            <w:r>
              <w:rPr>
                <w:rStyle w:val="24"/>
                <w:rFonts w:ascii="Times New Roman Regular" w:hAnsi="Times New Roman Regular" w:cs="Times New Roman Regular"/>
                <w:color w:val="000000"/>
                <w:kern w:val="2"/>
                <w:sz w:val="24"/>
                <w:szCs w:val="24"/>
                <w:lang w:bidi="ar"/>
              </w:rPr>
              <w:t>项</w:t>
            </w:r>
          </w:p>
        </w:tc>
        <w:tc>
          <w:tcPr>
            <w:tcW w:w="1042" w:type="dxa"/>
            <w:tcBorders>
              <w:top w:val="single" w:color="auto" w:sz="4" w:space="0"/>
              <w:left w:val="single" w:color="auto" w:sz="4" w:space="0"/>
              <w:bottom w:val="single" w:color="auto" w:sz="4" w:space="0"/>
              <w:right w:val="single" w:color="auto" w:sz="4" w:space="0"/>
            </w:tcBorders>
            <w:vAlign w:val="center"/>
          </w:tcPr>
          <w:p w14:paraId="6B058DAF">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077" w:type="dxa"/>
            <w:tcBorders>
              <w:top w:val="single" w:color="auto" w:sz="4" w:space="0"/>
              <w:left w:val="single" w:color="auto" w:sz="4" w:space="0"/>
              <w:bottom w:val="single" w:color="auto" w:sz="4" w:space="0"/>
              <w:right w:val="single" w:color="auto" w:sz="4" w:space="0"/>
            </w:tcBorders>
            <w:vAlign w:val="center"/>
          </w:tcPr>
          <w:p w14:paraId="41CD76A3">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077" w:type="dxa"/>
            <w:tcBorders>
              <w:top w:val="single" w:color="auto" w:sz="4" w:space="0"/>
              <w:left w:val="single" w:color="auto" w:sz="4" w:space="0"/>
              <w:bottom w:val="single" w:color="auto" w:sz="4" w:space="0"/>
              <w:right w:val="single" w:color="auto" w:sz="4" w:space="0"/>
            </w:tcBorders>
            <w:vAlign w:val="center"/>
          </w:tcPr>
          <w:p w14:paraId="049A08F0">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705" w:type="dxa"/>
            <w:tcBorders>
              <w:top w:val="single" w:color="auto" w:sz="4" w:space="0"/>
              <w:left w:val="single" w:color="auto" w:sz="4" w:space="0"/>
              <w:bottom w:val="single" w:color="auto" w:sz="4" w:space="0"/>
              <w:right w:val="single" w:color="auto" w:sz="4" w:space="0"/>
            </w:tcBorders>
            <w:vAlign w:val="center"/>
          </w:tcPr>
          <w:p w14:paraId="23D9B146">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743" w:type="dxa"/>
            <w:tcBorders>
              <w:top w:val="single" w:color="auto" w:sz="4" w:space="0"/>
              <w:left w:val="single" w:color="auto" w:sz="4" w:space="0"/>
              <w:bottom w:val="single" w:color="auto" w:sz="4" w:space="0"/>
              <w:right w:val="single" w:color="auto" w:sz="4" w:space="0"/>
            </w:tcBorders>
            <w:vAlign w:val="center"/>
          </w:tcPr>
          <w:p w14:paraId="63358302">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943" w:type="dxa"/>
            <w:tcBorders>
              <w:top w:val="single" w:color="auto" w:sz="4" w:space="0"/>
              <w:left w:val="single" w:color="auto" w:sz="4" w:space="0"/>
              <w:bottom w:val="single" w:color="auto" w:sz="4" w:space="0"/>
              <w:right w:val="single" w:color="auto" w:sz="4" w:space="0"/>
            </w:tcBorders>
            <w:vAlign w:val="center"/>
          </w:tcPr>
          <w:p w14:paraId="1A231000">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r>
      <w:tr w14:paraId="3151061B">
        <w:tblPrEx>
          <w:tblCellMar>
            <w:top w:w="0" w:type="dxa"/>
            <w:left w:w="108" w:type="dxa"/>
            <w:bottom w:w="0" w:type="dxa"/>
            <w:right w:w="108" w:type="dxa"/>
          </w:tblCellMar>
        </w:tblPrEx>
        <w:trPr>
          <w:trHeight w:val="439" w:hRule="atLeast"/>
          <w:jc w:val="center"/>
        </w:trPr>
        <w:tc>
          <w:tcPr>
            <w:tcW w:w="1517" w:type="dxa"/>
            <w:vMerge w:val="restart"/>
            <w:tcBorders>
              <w:top w:val="single" w:color="auto" w:sz="4" w:space="0"/>
              <w:left w:val="single" w:color="auto" w:sz="4" w:space="0"/>
              <w:bottom w:val="single" w:color="auto" w:sz="4" w:space="0"/>
              <w:right w:val="single" w:color="auto" w:sz="4" w:space="0"/>
            </w:tcBorders>
            <w:vAlign w:val="center"/>
          </w:tcPr>
          <w:p w14:paraId="2E5C5E10">
            <w:pPr>
              <w:widowControl/>
              <w:adjustRightInd w:val="0"/>
              <w:snapToGrid w:val="0"/>
              <w:spacing w:line="240" w:lineRule="auto"/>
              <w:ind w:firstLine="0" w:firstLineChars="0"/>
              <w:jc w:val="center"/>
              <w:rPr>
                <w:rStyle w:val="24"/>
                <w:rFonts w:ascii="Times New Roman Regular" w:hAnsi="Times New Roman Regular" w:cs="Times New Roman Regular"/>
                <w:color w:val="000000"/>
                <w:kern w:val="2"/>
                <w:sz w:val="24"/>
                <w:szCs w:val="24"/>
              </w:rPr>
            </w:pPr>
            <w:r>
              <w:rPr>
                <w:rStyle w:val="24"/>
                <w:rFonts w:ascii="Times New Roman Regular" w:hAnsi="Times New Roman Regular" w:cs="Times New Roman Regular"/>
                <w:color w:val="000000"/>
                <w:kern w:val="2"/>
                <w:sz w:val="24"/>
                <w:szCs w:val="24"/>
                <w:lang w:bidi="ar"/>
              </w:rPr>
              <w:t xml:space="preserve"> 碳抵销和信息披露</w:t>
            </w:r>
          </w:p>
        </w:tc>
        <w:tc>
          <w:tcPr>
            <w:tcW w:w="4769" w:type="dxa"/>
            <w:tcBorders>
              <w:top w:val="single" w:color="auto" w:sz="4" w:space="0"/>
              <w:left w:val="single" w:color="auto" w:sz="4" w:space="0"/>
              <w:bottom w:val="single" w:color="auto" w:sz="4" w:space="0"/>
              <w:right w:val="single" w:color="auto" w:sz="4" w:space="0"/>
            </w:tcBorders>
            <w:vAlign w:val="center"/>
          </w:tcPr>
          <w:p w14:paraId="58C63B03">
            <w:pPr>
              <w:widowControl/>
              <w:adjustRightInd w:val="0"/>
              <w:snapToGrid w:val="0"/>
              <w:spacing w:line="240" w:lineRule="auto"/>
              <w:ind w:firstLine="0" w:firstLineChars="0"/>
              <w:jc w:val="left"/>
              <w:rPr>
                <w:rStyle w:val="24"/>
                <w:rFonts w:ascii="Times New Roman Regular" w:hAnsi="Times New Roman Regular" w:cs="Times New Roman Regular"/>
                <w:color w:val="000000"/>
                <w:kern w:val="2"/>
                <w:sz w:val="24"/>
                <w:szCs w:val="24"/>
              </w:rPr>
            </w:pPr>
            <w:r>
              <w:rPr>
                <w:rStyle w:val="24"/>
                <w:rFonts w:hint="eastAsia" w:ascii="Times New Roman Regular" w:hAnsi="Times New Roman Regular" w:cs="Times New Roman Regular"/>
                <w:color w:val="000000"/>
                <w:kern w:val="2"/>
                <w:sz w:val="24"/>
                <w:szCs w:val="24"/>
                <w:lang w:bidi="ar"/>
              </w:rPr>
              <w:t>13.</w:t>
            </w:r>
            <w:r>
              <w:rPr>
                <w:rStyle w:val="24"/>
                <w:rFonts w:ascii="Times New Roman Regular" w:hAnsi="Times New Roman Regular" w:cs="Times New Roman Regular"/>
                <w:color w:val="000000"/>
                <w:kern w:val="2"/>
                <w:sz w:val="24"/>
                <w:szCs w:val="24"/>
                <w:lang w:bidi="ar"/>
              </w:rPr>
              <w:t xml:space="preserve"> 碳排放信息披露透明度与质量*</w:t>
            </w:r>
          </w:p>
        </w:tc>
        <w:tc>
          <w:tcPr>
            <w:tcW w:w="1145" w:type="dxa"/>
            <w:tcBorders>
              <w:top w:val="single" w:color="auto" w:sz="4" w:space="0"/>
              <w:left w:val="single" w:color="auto" w:sz="4" w:space="0"/>
              <w:bottom w:val="single" w:color="auto" w:sz="4" w:space="0"/>
              <w:right w:val="single" w:color="auto" w:sz="4" w:space="0"/>
            </w:tcBorders>
            <w:vAlign w:val="center"/>
          </w:tcPr>
          <w:p w14:paraId="401F62D1">
            <w:pPr>
              <w:widowControl/>
              <w:adjustRightInd w:val="0"/>
              <w:snapToGrid w:val="0"/>
              <w:spacing w:line="240" w:lineRule="auto"/>
              <w:ind w:firstLine="0" w:firstLineChars="0"/>
              <w:jc w:val="center"/>
              <w:rPr>
                <w:rStyle w:val="24"/>
                <w:rFonts w:ascii="Times New Roman Regular" w:hAnsi="Times New Roman Regular" w:cs="Times New Roman Regular"/>
                <w:color w:val="000000"/>
                <w:kern w:val="2"/>
                <w:sz w:val="24"/>
                <w:szCs w:val="24"/>
              </w:rPr>
            </w:pPr>
            <w:r>
              <w:rPr>
                <w:rStyle w:val="24"/>
                <w:rFonts w:ascii="Times New Roman Regular" w:hAnsi="Times New Roman Regular" w:cs="Times New Roman Regular"/>
                <w:color w:val="000000"/>
                <w:kern w:val="2"/>
                <w:sz w:val="24"/>
                <w:szCs w:val="24"/>
                <w:lang w:bidi="ar"/>
              </w:rPr>
              <w:t>/</w:t>
            </w:r>
          </w:p>
        </w:tc>
        <w:tc>
          <w:tcPr>
            <w:tcW w:w="1042" w:type="dxa"/>
            <w:tcBorders>
              <w:top w:val="single" w:color="auto" w:sz="4" w:space="0"/>
              <w:left w:val="single" w:color="auto" w:sz="4" w:space="0"/>
              <w:bottom w:val="single" w:color="auto" w:sz="4" w:space="0"/>
              <w:right w:val="single" w:color="auto" w:sz="4" w:space="0"/>
            </w:tcBorders>
            <w:vAlign w:val="center"/>
          </w:tcPr>
          <w:p w14:paraId="157F468F">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077" w:type="dxa"/>
            <w:tcBorders>
              <w:top w:val="single" w:color="auto" w:sz="4" w:space="0"/>
              <w:left w:val="single" w:color="auto" w:sz="4" w:space="0"/>
              <w:bottom w:val="single" w:color="auto" w:sz="4" w:space="0"/>
              <w:right w:val="single" w:color="auto" w:sz="4" w:space="0"/>
            </w:tcBorders>
            <w:vAlign w:val="center"/>
          </w:tcPr>
          <w:p w14:paraId="2C7DE7F2">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077" w:type="dxa"/>
            <w:tcBorders>
              <w:top w:val="single" w:color="auto" w:sz="4" w:space="0"/>
              <w:left w:val="single" w:color="auto" w:sz="4" w:space="0"/>
              <w:bottom w:val="single" w:color="auto" w:sz="4" w:space="0"/>
              <w:right w:val="single" w:color="auto" w:sz="4" w:space="0"/>
            </w:tcBorders>
            <w:vAlign w:val="center"/>
          </w:tcPr>
          <w:p w14:paraId="7A0F6405">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705" w:type="dxa"/>
            <w:tcBorders>
              <w:top w:val="single" w:color="auto" w:sz="4" w:space="0"/>
              <w:left w:val="single" w:color="auto" w:sz="4" w:space="0"/>
              <w:bottom w:val="single" w:color="auto" w:sz="4" w:space="0"/>
              <w:right w:val="single" w:color="auto" w:sz="4" w:space="0"/>
            </w:tcBorders>
            <w:vAlign w:val="center"/>
          </w:tcPr>
          <w:p w14:paraId="72A11F72">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743" w:type="dxa"/>
            <w:tcBorders>
              <w:top w:val="single" w:color="auto" w:sz="4" w:space="0"/>
              <w:left w:val="single" w:color="auto" w:sz="4" w:space="0"/>
              <w:bottom w:val="single" w:color="auto" w:sz="4" w:space="0"/>
              <w:right w:val="single" w:color="auto" w:sz="4" w:space="0"/>
            </w:tcBorders>
            <w:vAlign w:val="center"/>
          </w:tcPr>
          <w:p w14:paraId="20E363B2">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943" w:type="dxa"/>
            <w:tcBorders>
              <w:top w:val="single" w:color="auto" w:sz="4" w:space="0"/>
              <w:left w:val="single" w:color="auto" w:sz="4" w:space="0"/>
              <w:bottom w:val="single" w:color="auto" w:sz="4" w:space="0"/>
              <w:right w:val="single" w:color="auto" w:sz="4" w:space="0"/>
            </w:tcBorders>
            <w:vAlign w:val="center"/>
          </w:tcPr>
          <w:p w14:paraId="719324A6">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r>
      <w:tr w14:paraId="7C42AB35">
        <w:tblPrEx>
          <w:tblCellMar>
            <w:top w:w="0" w:type="dxa"/>
            <w:left w:w="108" w:type="dxa"/>
            <w:bottom w:w="0" w:type="dxa"/>
            <w:right w:w="108" w:type="dxa"/>
          </w:tblCellMar>
        </w:tblPrEx>
        <w:trPr>
          <w:trHeight w:val="323" w:hRule="atLeast"/>
          <w:jc w:val="center"/>
        </w:trPr>
        <w:tc>
          <w:tcPr>
            <w:tcW w:w="1517" w:type="dxa"/>
            <w:vMerge w:val="continue"/>
            <w:tcBorders>
              <w:top w:val="single" w:color="auto" w:sz="4" w:space="0"/>
              <w:left w:val="single" w:color="auto" w:sz="4" w:space="0"/>
              <w:bottom w:val="single" w:color="auto" w:sz="4" w:space="0"/>
              <w:right w:val="single" w:color="auto" w:sz="4" w:space="0"/>
            </w:tcBorders>
            <w:vAlign w:val="center"/>
          </w:tcPr>
          <w:p w14:paraId="4A145E28">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4769" w:type="dxa"/>
            <w:tcBorders>
              <w:top w:val="single" w:color="auto" w:sz="4" w:space="0"/>
              <w:left w:val="single" w:color="auto" w:sz="4" w:space="0"/>
              <w:bottom w:val="single" w:color="auto" w:sz="4" w:space="0"/>
              <w:right w:val="single" w:color="auto" w:sz="4" w:space="0"/>
            </w:tcBorders>
            <w:vAlign w:val="center"/>
          </w:tcPr>
          <w:p w14:paraId="33ED122D">
            <w:pPr>
              <w:widowControl/>
              <w:adjustRightInd w:val="0"/>
              <w:snapToGrid w:val="0"/>
              <w:spacing w:line="240" w:lineRule="auto"/>
              <w:ind w:firstLine="0" w:firstLineChars="0"/>
              <w:jc w:val="left"/>
              <w:rPr>
                <w:rStyle w:val="24"/>
                <w:rFonts w:ascii="Times New Roman Regular" w:hAnsi="Times New Roman Regular" w:cs="Times New Roman Regular"/>
                <w:color w:val="000000"/>
                <w:kern w:val="2"/>
                <w:sz w:val="24"/>
                <w:szCs w:val="24"/>
              </w:rPr>
            </w:pPr>
            <w:r>
              <w:rPr>
                <w:rStyle w:val="24"/>
                <w:rFonts w:hint="eastAsia" w:ascii="Times New Roman Regular" w:hAnsi="Times New Roman Regular" w:cs="Times New Roman Regular"/>
                <w:color w:val="000000"/>
                <w:kern w:val="2"/>
                <w:sz w:val="24"/>
                <w:szCs w:val="24"/>
                <w:lang w:bidi="ar"/>
              </w:rPr>
              <w:t>14.</w:t>
            </w:r>
            <w:r>
              <w:rPr>
                <w:rStyle w:val="24"/>
                <w:rFonts w:ascii="Times New Roman Regular" w:hAnsi="Times New Roman Regular" w:cs="Times New Roman Regular"/>
                <w:color w:val="000000"/>
                <w:kern w:val="2"/>
                <w:sz w:val="24"/>
                <w:szCs w:val="24"/>
                <w:lang w:bidi="ar"/>
              </w:rPr>
              <w:t xml:space="preserve"> 碳抵销情况</w:t>
            </w:r>
          </w:p>
        </w:tc>
        <w:tc>
          <w:tcPr>
            <w:tcW w:w="1145" w:type="dxa"/>
            <w:tcBorders>
              <w:top w:val="single" w:color="auto" w:sz="4" w:space="0"/>
              <w:left w:val="single" w:color="auto" w:sz="4" w:space="0"/>
              <w:bottom w:val="single" w:color="auto" w:sz="4" w:space="0"/>
              <w:right w:val="single" w:color="auto" w:sz="4" w:space="0"/>
            </w:tcBorders>
            <w:vAlign w:val="center"/>
          </w:tcPr>
          <w:p w14:paraId="5F4DCEF4">
            <w:pPr>
              <w:widowControl/>
              <w:adjustRightInd w:val="0"/>
              <w:snapToGrid w:val="0"/>
              <w:spacing w:line="240" w:lineRule="auto"/>
              <w:ind w:firstLine="0" w:firstLineChars="0"/>
              <w:jc w:val="center"/>
              <w:rPr>
                <w:rStyle w:val="24"/>
                <w:rFonts w:ascii="Times New Roman Regular" w:hAnsi="Times New Roman Regular" w:cs="Times New Roman Regular"/>
                <w:color w:val="000000"/>
                <w:kern w:val="2"/>
                <w:sz w:val="24"/>
                <w:szCs w:val="24"/>
              </w:rPr>
            </w:pPr>
            <w:r>
              <w:rPr>
                <w:rStyle w:val="24"/>
                <w:rFonts w:ascii="Times New Roman Regular" w:hAnsi="Times New Roman Regular" w:cs="Times New Roman Regular"/>
                <w:color w:val="000000"/>
                <w:kern w:val="2"/>
                <w:sz w:val="24"/>
                <w:szCs w:val="24"/>
                <w:lang w:bidi="ar"/>
              </w:rPr>
              <w:t>tCO2</w:t>
            </w:r>
          </w:p>
        </w:tc>
        <w:tc>
          <w:tcPr>
            <w:tcW w:w="1042" w:type="dxa"/>
            <w:tcBorders>
              <w:top w:val="single" w:color="auto" w:sz="4" w:space="0"/>
              <w:left w:val="single" w:color="auto" w:sz="4" w:space="0"/>
              <w:bottom w:val="single" w:color="auto" w:sz="4" w:space="0"/>
              <w:right w:val="single" w:color="auto" w:sz="4" w:space="0"/>
            </w:tcBorders>
            <w:vAlign w:val="center"/>
          </w:tcPr>
          <w:p w14:paraId="5F22AE1B">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077" w:type="dxa"/>
            <w:tcBorders>
              <w:top w:val="single" w:color="auto" w:sz="4" w:space="0"/>
              <w:left w:val="single" w:color="auto" w:sz="4" w:space="0"/>
              <w:bottom w:val="single" w:color="auto" w:sz="4" w:space="0"/>
              <w:right w:val="single" w:color="auto" w:sz="4" w:space="0"/>
            </w:tcBorders>
            <w:vAlign w:val="center"/>
          </w:tcPr>
          <w:p w14:paraId="3D9A5352">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077" w:type="dxa"/>
            <w:tcBorders>
              <w:top w:val="single" w:color="auto" w:sz="4" w:space="0"/>
              <w:left w:val="single" w:color="auto" w:sz="4" w:space="0"/>
              <w:bottom w:val="single" w:color="auto" w:sz="4" w:space="0"/>
              <w:right w:val="single" w:color="auto" w:sz="4" w:space="0"/>
            </w:tcBorders>
            <w:vAlign w:val="center"/>
          </w:tcPr>
          <w:p w14:paraId="4DE4A10D">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705" w:type="dxa"/>
            <w:tcBorders>
              <w:top w:val="single" w:color="auto" w:sz="4" w:space="0"/>
              <w:left w:val="single" w:color="auto" w:sz="4" w:space="0"/>
              <w:bottom w:val="single" w:color="auto" w:sz="4" w:space="0"/>
              <w:right w:val="single" w:color="auto" w:sz="4" w:space="0"/>
            </w:tcBorders>
            <w:vAlign w:val="center"/>
          </w:tcPr>
          <w:p w14:paraId="257A904B">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1743" w:type="dxa"/>
            <w:tcBorders>
              <w:top w:val="single" w:color="auto" w:sz="4" w:space="0"/>
              <w:left w:val="single" w:color="auto" w:sz="4" w:space="0"/>
              <w:bottom w:val="single" w:color="auto" w:sz="4" w:space="0"/>
              <w:right w:val="single" w:color="auto" w:sz="4" w:space="0"/>
            </w:tcBorders>
            <w:vAlign w:val="center"/>
          </w:tcPr>
          <w:p w14:paraId="450350A9">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c>
          <w:tcPr>
            <w:tcW w:w="943" w:type="dxa"/>
            <w:tcBorders>
              <w:top w:val="single" w:color="auto" w:sz="4" w:space="0"/>
              <w:left w:val="single" w:color="auto" w:sz="4" w:space="0"/>
              <w:bottom w:val="single" w:color="auto" w:sz="4" w:space="0"/>
              <w:right w:val="single" w:color="auto" w:sz="4" w:space="0"/>
            </w:tcBorders>
            <w:vAlign w:val="center"/>
          </w:tcPr>
          <w:p w14:paraId="149979FA">
            <w:pPr>
              <w:adjustRightInd w:val="0"/>
              <w:snapToGrid w:val="0"/>
              <w:spacing w:line="240" w:lineRule="auto"/>
              <w:ind w:firstLine="480"/>
              <w:jc w:val="center"/>
              <w:rPr>
                <w:rStyle w:val="24"/>
                <w:rFonts w:ascii="Times New Roman Regular" w:hAnsi="Times New Roman Regular" w:cs="Times New Roman Regular"/>
                <w:color w:val="000000"/>
                <w:kern w:val="2"/>
                <w:sz w:val="24"/>
                <w:szCs w:val="24"/>
              </w:rPr>
            </w:pPr>
          </w:p>
        </w:tc>
      </w:tr>
    </w:tbl>
    <w:p w14:paraId="685BD9E4">
      <w:pPr>
        <w:pStyle w:val="7"/>
        <w:spacing w:line="400" w:lineRule="exact"/>
        <w:ind w:firstLine="0" w:firstLineChars="0"/>
        <w:rPr>
          <w:rStyle w:val="24"/>
          <w:rFonts w:hint="eastAsia" w:ascii="仿宋_GB2312" w:hAnsi="仿宋_GB2312" w:eastAsia="仿宋_GB2312" w:cs="仿宋_GB2312"/>
          <w:color w:val="000000"/>
          <w:kern w:val="2"/>
          <w:sz w:val="24"/>
          <w:szCs w:val="24"/>
          <w:lang w:bidi="ar"/>
        </w:rPr>
        <w:sectPr>
          <w:pgSz w:w="16838" w:h="11906" w:orient="landscape"/>
          <w:pgMar w:top="1800" w:right="1440" w:bottom="1800" w:left="1440" w:header="851" w:footer="992" w:gutter="0"/>
          <w:cols w:space="425" w:num="1"/>
          <w:docGrid w:type="lines" w:linePitch="312" w:charSpace="0"/>
        </w:sectPr>
      </w:pPr>
      <w:r>
        <w:rPr>
          <w:rStyle w:val="24"/>
          <w:rFonts w:ascii="仿宋_GB2312" w:hAnsi="仿宋_GB2312" w:eastAsia="仿宋_GB2312" w:cs="仿宋_GB2312"/>
          <w:color w:val="000000"/>
          <w:kern w:val="2"/>
          <w:sz w:val="24"/>
          <w:szCs w:val="24"/>
          <w:lang w:eastAsia="zh-CN" w:bidi="ar"/>
        </w:rPr>
        <w:t>注：标“*”的指标为核心指标。建设单位应结合本表填报情况，按年</w:t>
      </w:r>
      <w:r>
        <w:rPr>
          <w:rStyle w:val="24"/>
          <w:rFonts w:hint="eastAsia" w:ascii="仿宋_GB2312" w:hAnsi="仿宋_GB2312" w:cs="仿宋_GB2312"/>
          <w:color w:val="000000"/>
          <w:kern w:val="2"/>
          <w:sz w:val="24"/>
          <w:szCs w:val="24"/>
          <w:lang w:eastAsia="zh-CN" w:bidi="ar"/>
        </w:rPr>
        <w:t>度</w:t>
      </w:r>
      <w:r>
        <w:rPr>
          <w:rStyle w:val="24"/>
          <w:rFonts w:ascii="仿宋_GB2312" w:hAnsi="仿宋_GB2312" w:eastAsia="仿宋_GB2312" w:cs="仿宋_GB2312"/>
          <w:color w:val="000000"/>
          <w:kern w:val="2"/>
          <w:sz w:val="24"/>
          <w:szCs w:val="24"/>
          <w:lang w:eastAsia="zh-CN" w:bidi="ar"/>
        </w:rPr>
        <w:t>通过管理平台报送建设进展、指标变化情况及有关绩效信息。零碳算力设施不适用</w:t>
      </w:r>
      <w:r>
        <w:rPr>
          <w:rStyle w:val="24"/>
          <w:rFonts w:hint="eastAsia" w:ascii="仿宋_GB2312" w:hAnsi="仿宋_GB2312" w:eastAsia="仿宋_GB2312" w:cs="仿宋_GB2312"/>
          <w:color w:val="000000"/>
          <w:kern w:val="2"/>
          <w:sz w:val="24"/>
          <w:szCs w:val="24"/>
          <w:lang w:eastAsia="zh-CN" w:bidi="ar"/>
        </w:rPr>
        <w:t>“</w:t>
      </w:r>
      <w:r>
        <w:rPr>
          <w:rStyle w:val="24"/>
          <w:rFonts w:ascii="仿宋_GB2312" w:hAnsi="仿宋_GB2312" w:eastAsia="仿宋_GB2312" w:cs="仿宋_GB2312"/>
          <w:color w:val="000000"/>
          <w:kern w:val="2"/>
          <w:sz w:val="24"/>
          <w:szCs w:val="24"/>
          <w:lang w:eastAsia="zh-CN" w:bidi="ar"/>
        </w:rPr>
        <w:t>单位工业增加值能耗</w:t>
      </w:r>
      <w:r>
        <w:rPr>
          <w:rStyle w:val="24"/>
          <w:rFonts w:hint="eastAsia" w:ascii="仿宋_GB2312" w:hAnsi="仿宋_GB2312" w:eastAsia="仿宋_GB2312" w:cs="仿宋_GB2312"/>
          <w:color w:val="000000"/>
          <w:kern w:val="2"/>
          <w:sz w:val="24"/>
          <w:szCs w:val="24"/>
          <w:lang w:eastAsia="zh-CN" w:bidi="ar"/>
        </w:rPr>
        <w:t>”</w:t>
      </w:r>
      <w:r>
        <w:rPr>
          <w:rStyle w:val="24"/>
          <w:rFonts w:ascii="仿宋_GB2312" w:hAnsi="仿宋_GB2312" w:eastAsia="仿宋_GB2312" w:cs="仿宋_GB2312"/>
          <w:color w:val="000000"/>
          <w:kern w:val="2"/>
          <w:sz w:val="24"/>
          <w:szCs w:val="24"/>
          <w:lang w:eastAsia="zh-CN" w:bidi="ar"/>
        </w:rPr>
        <w:t>指标，其</w:t>
      </w:r>
      <w:r>
        <w:rPr>
          <w:rStyle w:val="24"/>
          <w:rFonts w:hint="eastAsia" w:ascii="仿宋_GB2312" w:hAnsi="仿宋_GB2312" w:eastAsia="仿宋_GB2312" w:cs="仿宋_GB2312"/>
          <w:color w:val="000000"/>
          <w:kern w:val="2"/>
          <w:sz w:val="24"/>
          <w:szCs w:val="24"/>
          <w:lang w:eastAsia="zh-CN" w:bidi="ar"/>
        </w:rPr>
        <w:t>“</w:t>
      </w:r>
      <w:r>
        <w:rPr>
          <w:rStyle w:val="24"/>
          <w:rFonts w:ascii="仿宋_GB2312" w:hAnsi="仿宋_GB2312" w:eastAsia="仿宋_GB2312" w:cs="仿宋_GB2312"/>
          <w:color w:val="000000"/>
          <w:kern w:val="2"/>
          <w:sz w:val="24"/>
          <w:szCs w:val="24"/>
          <w:lang w:eastAsia="zh-CN" w:bidi="ar"/>
        </w:rPr>
        <w:t>非化石能源电力消费物理认定量占比</w:t>
      </w:r>
      <w:r>
        <w:rPr>
          <w:rStyle w:val="24"/>
          <w:rFonts w:hint="eastAsia" w:ascii="仿宋_GB2312" w:hAnsi="仿宋_GB2312" w:eastAsia="仿宋_GB2312" w:cs="仿宋_GB2312"/>
          <w:color w:val="000000"/>
          <w:kern w:val="2"/>
          <w:sz w:val="24"/>
          <w:szCs w:val="24"/>
          <w:lang w:eastAsia="zh-CN" w:bidi="ar"/>
        </w:rPr>
        <w:t>”</w:t>
      </w:r>
      <w:r>
        <w:rPr>
          <w:rStyle w:val="24"/>
          <w:rFonts w:ascii="仿宋_GB2312" w:hAnsi="仿宋_GB2312" w:eastAsia="仿宋_GB2312" w:cs="仿宋_GB2312"/>
          <w:color w:val="000000"/>
          <w:kern w:val="2"/>
          <w:sz w:val="24"/>
          <w:szCs w:val="24"/>
          <w:lang w:eastAsia="zh-CN" w:bidi="ar"/>
        </w:rPr>
        <w:t>不设申报时要求。</w:t>
      </w:r>
      <w:r>
        <w:rPr>
          <w:rStyle w:val="24"/>
          <w:rFonts w:ascii="仿宋_GB2312" w:hAnsi="仿宋_GB2312" w:eastAsia="仿宋_GB2312" w:cs="仿宋_GB2312"/>
          <w:color w:val="000000"/>
          <w:kern w:val="2"/>
          <w:sz w:val="24"/>
          <w:szCs w:val="24"/>
          <w:lang w:bidi="ar"/>
        </w:rPr>
        <w:t>备注说明栏填写指标不适用及其他特殊情况</w:t>
      </w:r>
      <w:r>
        <w:rPr>
          <w:rStyle w:val="24"/>
          <w:rFonts w:hint="eastAsia" w:ascii="仿宋_GB2312" w:hAnsi="仿宋_GB2312" w:cs="仿宋_GB2312"/>
          <w:color w:val="000000"/>
          <w:kern w:val="2"/>
          <w:sz w:val="24"/>
          <w:szCs w:val="24"/>
          <w:lang w:eastAsia="zh-CN" w:bidi="ar"/>
        </w:rPr>
        <w:t>。</w:t>
      </w:r>
    </w:p>
    <w:bookmarkEnd w:id="3"/>
    <w:p w14:paraId="19ABCCE5">
      <w:pPr>
        <w:ind w:firstLine="64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（二）重点项目</w:t>
      </w:r>
    </w:p>
    <w:p w14:paraId="41EBF1C4">
      <w:pPr>
        <w:pStyle w:val="10"/>
        <w:spacing w:line="600" w:lineRule="exact"/>
        <w:ind w:firstLine="640"/>
        <w:jc w:val="both"/>
        <w:rPr>
          <w:sz w:val="32"/>
          <w:szCs w:val="32"/>
        </w:rPr>
      </w:pPr>
      <w:r>
        <w:rPr>
          <w:rFonts w:hint="eastAsia"/>
          <w:sz w:val="32"/>
          <w:szCs w:val="32"/>
        </w:rPr>
        <w:t>根据零碳工厂建设目标和主要任务，明确拟实施的重点项目，包括项目名称、支撑的主要任务、建设主体、投资规模、建设周期、建设进度、建设内容、预期成效等情况，并说明相关项目的创新性、适用性和可推广性。关键内容可结合实际以表格或清单形式呈现。</w:t>
      </w:r>
    </w:p>
    <w:p w14:paraId="4D04A914">
      <w:pPr>
        <w:pStyle w:val="2"/>
        <w:rPr>
          <w:rFonts w:ascii="Times New Roman" w:hAnsi="Times New Roman" w:eastAsia="楷体_GB2312" w:cs="Times New Roman"/>
        </w:rPr>
      </w:pPr>
      <w:bookmarkStart w:id="4" w:name="_Toc227169799"/>
      <w:r>
        <w:rPr>
          <w:rFonts w:ascii="Times New Roman" w:hAnsi="Times New Roman" w:cs="Times New Roman"/>
        </w:rPr>
        <w:t>五、</w:t>
      </w:r>
      <w:bookmarkEnd w:id="4"/>
      <w:r>
        <w:rPr>
          <w:rFonts w:ascii="Times New Roman" w:hAnsi="Times New Roman" w:cs="Times New Roman"/>
        </w:rPr>
        <w:t>预期成效</w:t>
      </w:r>
    </w:p>
    <w:p w14:paraId="2CAC69F6">
      <w:pPr>
        <w:ind w:firstLine="64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（一）经济效益</w:t>
      </w:r>
    </w:p>
    <w:p w14:paraId="4D7D028C">
      <w:pPr>
        <w:ind w:firstLine="640"/>
        <w:rPr>
          <w:sz w:val="32"/>
          <w:szCs w:val="32"/>
        </w:rPr>
      </w:pPr>
      <w:r>
        <w:rPr>
          <w:rFonts w:hint="eastAsia"/>
          <w:sz w:val="32"/>
          <w:szCs w:val="32"/>
        </w:rPr>
        <w:t>分析零碳工厂建设在能源成本节约、运营效率提升、减排经济收益、融资成本优化等方面的预期效益。</w:t>
      </w:r>
    </w:p>
    <w:p w14:paraId="1CD98A78">
      <w:pPr>
        <w:ind w:firstLine="64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（二）社会效益</w:t>
      </w:r>
    </w:p>
    <w:p w14:paraId="1CF33539">
      <w:pPr>
        <w:ind w:firstLine="640"/>
        <w:rPr>
          <w:sz w:val="32"/>
          <w:szCs w:val="32"/>
        </w:rPr>
      </w:pPr>
      <w:r>
        <w:rPr>
          <w:rFonts w:hint="eastAsia"/>
          <w:sz w:val="32"/>
          <w:szCs w:val="32"/>
        </w:rPr>
        <w:t>分析零碳工厂建设在发挥行业引领作用、传播绿色低碳发展理念、提升品牌形象力和增强可持续发展能力等方面的预期效益。</w:t>
      </w:r>
    </w:p>
    <w:p w14:paraId="4D3B92E2">
      <w:pPr>
        <w:ind w:firstLine="64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（三）生态效益</w:t>
      </w:r>
    </w:p>
    <w:p w14:paraId="23F63245">
      <w:pPr>
        <w:ind w:firstLine="640"/>
        <w:rPr>
          <w:sz w:val="32"/>
          <w:szCs w:val="32"/>
        </w:rPr>
      </w:pPr>
      <w:r>
        <w:rPr>
          <w:rFonts w:hint="eastAsia"/>
          <w:sz w:val="32"/>
          <w:szCs w:val="32"/>
        </w:rPr>
        <w:t>分析零碳工厂建设对带动行业节能降碳、节水减污、资源综合利用及全产业链协同降碳等方面的预期效益。</w:t>
      </w:r>
    </w:p>
    <w:p w14:paraId="101C03AC">
      <w:pPr>
        <w:pStyle w:val="2"/>
        <w:rPr>
          <w:rFonts w:ascii="Times New Roman" w:hAnsi="Times New Roman" w:cs="Times New Roman"/>
        </w:rPr>
      </w:pPr>
      <w:r>
        <w:rPr>
          <w:rFonts w:ascii="Times New Roman" w:hAnsi="Times New Roman" w:cs="Times New Roman"/>
        </w:rPr>
        <w:t>六、证明材料目录</w:t>
      </w:r>
    </w:p>
    <w:p w14:paraId="7D91FAE0">
      <w:pPr>
        <w:pStyle w:val="10"/>
        <w:spacing w:line="600" w:lineRule="exact"/>
        <w:ind w:firstLine="640"/>
        <w:jc w:val="both"/>
        <w:rPr>
          <w:sz w:val="32"/>
          <w:szCs w:val="32"/>
        </w:rPr>
      </w:pPr>
      <w:r>
        <w:rPr>
          <w:rFonts w:hint="eastAsia"/>
          <w:sz w:val="32"/>
          <w:szCs w:val="32"/>
        </w:rPr>
        <w:t>列出本方案所涉及证明材料目录，包括证明材料编号、名称、页码等信息。</w:t>
      </w:r>
    </w:p>
    <w:p w14:paraId="538DEE81">
      <w:pPr>
        <w:pStyle w:val="7"/>
        <w:spacing w:line="600" w:lineRule="exact"/>
        <w:ind w:firstLine="0" w:firstLineChars="0"/>
        <w:rPr>
          <w:rFonts w:hint="eastAsia"/>
          <w:szCs w:val="16"/>
          <w:lang w:eastAsia="zh-CN"/>
        </w:rPr>
      </w:pPr>
    </w:p>
    <w:p w14:paraId="1D2A41F6">
      <w:pPr>
        <w:ind w:firstLine="640"/>
        <w:rPr>
          <w:bCs/>
          <w:sz w:val="32"/>
          <w:szCs w:val="32"/>
        </w:rPr>
      </w:pPr>
    </w:p>
    <w:sectPr>
      <w:footerReference r:id="rId9" w:type="default"/>
      <w:pgSz w:w="11905" w:h="16840"/>
      <w:pgMar w:top="1440" w:right="1800" w:bottom="1440" w:left="180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76BFBC2-A6C9-44FF-811A-502D99BD4F7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40D49ED9-D456-403A-B1CE-650E7A1E68AD}"/>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embedRegular r:id="rId3" w:fontKey="{28E04DA2-CACF-48B7-8281-07293B86CFC9}"/>
  </w:font>
  <w:font w:name="方正小标宋_GBK">
    <w:panose1 w:val="02000000000000000000"/>
    <w:charset w:val="86"/>
    <w:family w:val="script"/>
    <w:pitch w:val="default"/>
    <w:sig w:usb0="A00002BF" w:usb1="38CF7CFA" w:usb2="00082016" w:usb3="00000000" w:csb0="00040001" w:csb1="00000000"/>
  </w:font>
  <w:font w:name="方正小标宋简体">
    <w:panose1 w:val="02000000000000000000"/>
    <w:charset w:val="86"/>
    <w:family w:val="script"/>
    <w:pitch w:val="default"/>
    <w:sig w:usb0="00000001" w:usb1="080E0000" w:usb2="00000000" w:usb3="00000000" w:csb0="00040000" w:csb1="00000000"/>
    <w:embedRegular r:id="rId4" w:fontKey="{05C4CCA1-2FD5-43A0-9675-4B54239CFC65}"/>
  </w:font>
  <w:font w:name="楷体_GB2312">
    <w:panose1 w:val="02010609030101010101"/>
    <w:charset w:val="86"/>
    <w:family w:val="modern"/>
    <w:pitch w:val="default"/>
    <w:sig w:usb0="00000001" w:usb1="080E0000" w:usb2="00000000" w:usb3="00000000" w:csb0="00040000" w:csb1="00000000"/>
    <w:embedRegular r:id="rId5" w:fontKey="{27FB8F73-7E3F-4414-B468-D36608EBE485}"/>
  </w:font>
  <w:font w:name="方正仿宋_GB2312">
    <w:panose1 w:val="02000000000000000000"/>
    <w:charset w:val="86"/>
    <w:family w:val="auto"/>
    <w:pitch w:val="default"/>
    <w:sig w:usb0="A00002BF" w:usb1="184F6CFA" w:usb2="00000012" w:usb3="00000000" w:csb0="00040001" w:csb1="00000000"/>
    <w:embedRegular r:id="rId6" w:fontKey="{B2E45278-E246-4985-9C88-B1496D0E2240}"/>
  </w:font>
  <w:font w:name="Times New Roman Regular">
    <w:altName w:val="Times New Roman"/>
    <w:panose1 w:val="00000000000000000000"/>
    <w:charset w:val="00"/>
    <w:family w:val="auto"/>
    <w:pitch w:val="default"/>
    <w:sig w:usb0="00000000" w:usb1="00000000" w:usb2="00000001" w:usb3="00000000" w:csb0="400001BF" w:csb1="DFF70000"/>
    <w:embedRegular r:id="rId7" w:fontKey="{9AEC408D-CA1C-40E0-8C3D-89F83155028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84456">
    <w:pPr>
      <w:pStyle w:val="8"/>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D5DB3F">
                          <w:pPr>
                            <w:pStyle w:val="8"/>
                            <w:spacing w:line="240" w:lineRule="auto"/>
                            <w:ind w:firstLine="0" w:firstLineChars="0"/>
                            <w:jc w:val="center"/>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9D5DB3F">
                    <w:pPr>
                      <w:pStyle w:val="8"/>
                      <w:spacing w:line="240" w:lineRule="auto"/>
                      <w:ind w:firstLine="0" w:firstLineChars="0"/>
                      <w:jc w:val="center"/>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1F4DC">
    <w:pPr>
      <w:pStyle w:val="8"/>
      <w:ind w:firstLine="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5A6073">
                          <w:pPr>
                            <w:pStyle w:val="8"/>
                            <w:spacing w:line="240" w:lineRule="auto"/>
                            <w:ind w:firstLine="0" w:firstLineChars="0"/>
                            <w:jc w:val="center"/>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035A6073">
                    <w:pPr>
                      <w:pStyle w:val="8"/>
                      <w:spacing w:line="240" w:lineRule="auto"/>
                      <w:ind w:firstLine="0" w:firstLineChars="0"/>
                      <w:jc w:val="center"/>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29D20">
    <w:pPr>
      <w:pStyle w:val="8"/>
      <w:ind w:firstLine="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48A95C">
                          <w:pPr>
                            <w:pStyle w:val="8"/>
                            <w:ind w:firstLine="0" w:firstLineChars="0"/>
                            <w:rPr>
                              <w:sz w:val="24"/>
                              <w:szCs w:val="24"/>
                            </w:rPr>
                          </w:pPr>
                          <w:r>
                            <w:rPr>
                              <w:rFonts w:hint="eastAsia"/>
                              <w:sz w:val="24"/>
                              <w:szCs w:val="24"/>
                            </w:rPr>
                            <w:fldChar w:fldCharType="begin"/>
                          </w:r>
                          <w:r>
                            <w:rPr>
                              <w:rFonts w:hint="eastAsia"/>
                              <w:sz w:val="24"/>
                              <w:szCs w:val="24"/>
                            </w:rPr>
                            <w:instrText xml:space="preserve"> PAGE  \* MERGEFORMAT </w:instrText>
                          </w:r>
                          <w:r>
                            <w:rPr>
                              <w:rFonts w:hint="eastAsia"/>
                              <w:sz w:val="24"/>
                              <w:szCs w:val="24"/>
                            </w:rPr>
                            <w:fldChar w:fldCharType="separate"/>
                          </w:r>
                          <w:r>
                            <w:rPr>
                              <w:rFonts w:hint="eastAsia"/>
                              <w:sz w:val="24"/>
                              <w:szCs w:val="24"/>
                            </w:rPr>
                            <w:t>1</w:t>
                          </w:r>
                          <w:r>
                            <w:rPr>
                              <w:rFonts w:hint="eastAsia"/>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F48A95C">
                    <w:pPr>
                      <w:pStyle w:val="8"/>
                      <w:ind w:firstLine="0" w:firstLineChars="0"/>
                      <w:rPr>
                        <w:sz w:val="24"/>
                        <w:szCs w:val="24"/>
                      </w:rPr>
                    </w:pPr>
                    <w:r>
                      <w:rPr>
                        <w:rFonts w:hint="eastAsia"/>
                        <w:sz w:val="24"/>
                        <w:szCs w:val="24"/>
                      </w:rPr>
                      <w:fldChar w:fldCharType="begin"/>
                    </w:r>
                    <w:r>
                      <w:rPr>
                        <w:rFonts w:hint="eastAsia"/>
                        <w:sz w:val="24"/>
                        <w:szCs w:val="24"/>
                      </w:rPr>
                      <w:instrText xml:space="preserve"> PAGE  \* MERGEFORMAT </w:instrText>
                    </w:r>
                    <w:r>
                      <w:rPr>
                        <w:rFonts w:hint="eastAsia"/>
                        <w:sz w:val="24"/>
                        <w:szCs w:val="24"/>
                      </w:rPr>
                      <w:fldChar w:fldCharType="separate"/>
                    </w:r>
                    <w:r>
                      <w:rPr>
                        <w:rFonts w:hint="eastAsia"/>
                        <w:sz w:val="24"/>
                        <w:szCs w:val="24"/>
                      </w:rPr>
                      <w:t>1</w:t>
                    </w:r>
                    <w:r>
                      <w:rPr>
                        <w:rFonts w:hint="eastAsia"/>
                        <w:sz w:val="24"/>
                        <w:szCs w:val="24"/>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81E1D">
    <w:pPr>
      <w:pStyle w:val="8"/>
      <w:ind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0D3FB7">
                          <w:pPr>
                            <w:ind w:firstLine="0" w:firstLineChars="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2</w:t>
                          </w:r>
                          <w:r>
                            <w:rPr>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7B0D3FB7">
                    <w:pPr>
                      <w:ind w:firstLine="0" w:firstLineChars="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2</w:t>
                    </w:r>
                    <w:r>
                      <w:rPr>
                        <w:sz w:val="24"/>
                        <w:szCs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D0A74">
    <w:pPr>
      <w:pStyle w:val="8"/>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2C8C09">
                          <w:pPr>
                            <w:pStyle w:val="8"/>
                            <w:spacing w:line="240" w:lineRule="auto"/>
                            <w:ind w:firstLine="0" w:firstLineChars="0"/>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7E2C8C09">
                    <w:pPr>
                      <w:pStyle w:val="8"/>
                      <w:spacing w:line="240" w:lineRule="auto"/>
                      <w:ind w:firstLine="0" w:firstLineChars="0"/>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560"/>
      </w:pPr>
      <w:r>
        <w:separator/>
      </w:r>
    </w:p>
  </w:footnote>
  <w:footnote w:type="continuationSeparator" w:id="1">
    <w:p>
      <w:pPr>
        <w:spacing w:before="0" w:after="0" w:line="240" w:lineRule="auto"/>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B789BB"/>
    <w:multiLevelType w:val="singleLevel"/>
    <w:tmpl w:val="05B789BB"/>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embedTrueTypeFonts/>
  <w:saveSubsetFonts/>
  <w:bordersDoNotSurroundHeader w:val="1"/>
  <w:bordersDoNotSurroundFooter w:val="1"/>
  <w:documentProtection w:enforcement="0"/>
  <w:defaultTabStop w:val="420"/>
  <w:noPunctuationKerning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26CCC"/>
    <w:rsid w:val="00027E87"/>
    <w:rsid w:val="0006628D"/>
    <w:rsid w:val="000962A8"/>
    <w:rsid w:val="00100CF2"/>
    <w:rsid w:val="00172A27"/>
    <w:rsid w:val="001873A0"/>
    <w:rsid w:val="00190243"/>
    <w:rsid w:val="001D6FC0"/>
    <w:rsid w:val="001E4067"/>
    <w:rsid w:val="001E69B6"/>
    <w:rsid w:val="002169DB"/>
    <w:rsid w:val="00221962"/>
    <w:rsid w:val="002B3226"/>
    <w:rsid w:val="002D376F"/>
    <w:rsid w:val="002F2EDA"/>
    <w:rsid w:val="0034740F"/>
    <w:rsid w:val="0035016D"/>
    <w:rsid w:val="004E7D8D"/>
    <w:rsid w:val="005244AD"/>
    <w:rsid w:val="005B05EB"/>
    <w:rsid w:val="00694B97"/>
    <w:rsid w:val="006E1424"/>
    <w:rsid w:val="00715B5F"/>
    <w:rsid w:val="00805DC5"/>
    <w:rsid w:val="008914BD"/>
    <w:rsid w:val="009916D2"/>
    <w:rsid w:val="00A050B1"/>
    <w:rsid w:val="00A67846"/>
    <w:rsid w:val="00A7675B"/>
    <w:rsid w:val="00AA3BD9"/>
    <w:rsid w:val="00CE2B94"/>
    <w:rsid w:val="00CF4143"/>
    <w:rsid w:val="00D35ED6"/>
    <w:rsid w:val="00D82F6B"/>
    <w:rsid w:val="00DE63A8"/>
    <w:rsid w:val="00DF247E"/>
    <w:rsid w:val="00E17513"/>
    <w:rsid w:val="00E84C2E"/>
    <w:rsid w:val="00EE0DB0"/>
    <w:rsid w:val="00F12D7F"/>
    <w:rsid w:val="00F3212B"/>
    <w:rsid w:val="00F71644"/>
    <w:rsid w:val="00F80AA8"/>
    <w:rsid w:val="00FD0B12"/>
    <w:rsid w:val="02990DDB"/>
    <w:rsid w:val="04B70785"/>
    <w:rsid w:val="04DB70DC"/>
    <w:rsid w:val="060671E0"/>
    <w:rsid w:val="06A1320F"/>
    <w:rsid w:val="0B8D3C63"/>
    <w:rsid w:val="0CE84AC1"/>
    <w:rsid w:val="0E3D7A19"/>
    <w:rsid w:val="116F23E8"/>
    <w:rsid w:val="133641B8"/>
    <w:rsid w:val="13BD3F0D"/>
    <w:rsid w:val="149B302D"/>
    <w:rsid w:val="1601500F"/>
    <w:rsid w:val="16EE7964"/>
    <w:rsid w:val="170F61FF"/>
    <w:rsid w:val="17252202"/>
    <w:rsid w:val="182E1C62"/>
    <w:rsid w:val="1903037F"/>
    <w:rsid w:val="192B6FFF"/>
    <w:rsid w:val="19526DA0"/>
    <w:rsid w:val="1A5C6799"/>
    <w:rsid w:val="1A670100"/>
    <w:rsid w:val="1B244AA9"/>
    <w:rsid w:val="1C10332A"/>
    <w:rsid w:val="1D517FB5"/>
    <w:rsid w:val="1D632EF2"/>
    <w:rsid w:val="1EC44660"/>
    <w:rsid w:val="2089578C"/>
    <w:rsid w:val="213579B5"/>
    <w:rsid w:val="21842D2D"/>
    <w:rsid w:val="22456B06"/>
    <w:rsid w:val="23170A02"/>
    <w:rsid w:val="23A6550B"/>
    <w:rsid w:val="23B87C1E"/>
    <w:rsid w:val="251B268E"/>
    <w:rsid w:val="267D264E"/>
    <w:rsid w:val="29C235A5"/>
    <w:rsid w:val="2C956D4E"/>
    <w:rsid w:val="31710DC9"/>
    <w:rsid w:val="31EF2DE8"/>
    <w:rsid w:val="324F5469"/>
    <w:rsid w:val="35BB0FC1"/>
    <w:rsid w:val="35DC59F1"/>
    <w:rsid w:val="367754D0"/>
    <w:rsid w:val="36BD6E0F"/>
    <w:rsid w:val="37113782"/>
    <w:rsid w:val="39A2135B"/>
    <w:rsid w:val="3AD969A0"/>
    <w:rsid w:val="3C69453B"/>
    <w:rsid w:val="3DB1150E"/>
    <w:rsid w:val="3F6A136D"/>
    <w:rsid w:val="3F6D1856"/>
    <w:rsid w:val="40DB5F1F"/>
    <w:rsid w:val="412C02E0"/>
    <w:rsid w:val="41676AB4"/>
    <w:rsid w:val="41737387"/>
    <w:rsid w:val="42A50AFC"/>
    <w:rsid w:val="435A27A4"/>
    <w:rsid w:val="438C45B0"/>
    <w:rsid w:val="43A0584E"/>
    <w:rsid w:val="43B159D3"/>
    <w:rsid w:val="445F0F3C"/>
    <w:rsid w:val="47C5562E"/>
    <w:rsid w:val="49AA6E05"/>
    <w:rsid w:val="4A327259"/>
    <w:rsid w:val="4AA01574"/>
    <w:rsid w:val="4BAC0E50"/>
    <w:rsid w:val="4BB01057"/>
    <w:rsid w:val="4CB70718"/>
    <w:rsid w:val="4E137A56"/>
    <w:rsid w:val="4EDF0F3C"/>
    <w:rsid w:val="4F023701"/>
    <w:rsid w:val="5023004A"/>
    <w:rsid w:val="50504545"/>
    <w:rsid w:val="50755BAD"/>
    <w:rsid w:val="51121E6C"/>
    <w:rsid w:val="51BC33A4"/>
    <w:rsid w:val="53EE6BC1"/>
    <w:rsid w:val="54313836"/>
    <w:rsid w:val="545A6004"/>
    <w:rsid w:val="55303D06"/>
    <w:rsid w:val="557137B7"/>
    <w:rsid w:val="559E0BE6"/>
    <w:rsid w:val="57067FF9"/>
    <w:rsid w:val="57614899"/>
    <w:rsid w:val="59A541C5"/>
    <w:rsid w:val="5A3C7FFA"/>
    <w:rsid w:val="5C563555"/>
    <w:rsid w:val="5D5A3364"/>
    <w:rsid w:val="5FA615CE"/>
    <w:rsid w:val="60275C02"/>
    <w:rsid w:val="651A348D"/>
    <w:rsid w:val="66914CD8"/>
    <w:rsid w:val="66E9454B"/>
    <w:rsid w:val="69C77840"/>
    <w:rsid w:val="6AAB30FF"/>
    <w:rsid w:val="6B5B4CB0"/>
    <w:rsid w:val="6F1F1152"/>
    <w:rsid w:val="7081267E"/>
    <w:rsid w:val="714978BB"/>
    <w:rsid w:val="724D2B69"/>
    <w:rsid w:val="752746A2"/>
    <w:rsid w:val="76C06B84"/>
    <w:rsid w:val="79052C73"/>
    <w:rsid w:val="7AE36E73"/>
    <w:rsid w:val="7CCE67D3"/>
    <w:rsid w:val="7D1524A6"/>
    <w:rsid w:val="7F7B10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560" w:lineRule="exact"/>
      <w:ind w:firstLine="562" w:firstLineChars="200"/>
      <w:jc w:val="both"/>
    </w:pPr>
    <w:rPr>
      <w:rFonts w:ascii="Times New Roman" w:hAnsi="Times New Roman" w:eastAsia="仿宋_GB2312" w:cs="Times New Roman"/>
      <w:sz w:val="28"/>
      <w:szCs w:val="22"/>
      <w:lang w:val="en-US" w:eastAsia="zh-CN" w:bidi="ar-SA"/>
    </w:rPr>
  </w:style>
  <w:style w:type="paragraph" w:styleId="2">
    <w:name w:val="heading 1"/>
    <w:basedOn w:val="1"/>
    <w:next w:val="1"/>
    <w:qFormat/>
    <w:uiPriority w:val="0"/>
    <w:pPr>
      <w:snapToGrid w:val="0"/>
      <w:spacing w:line="600" w:lineRule="exact"/>
      <w:ind w:firstLine="640"/>
      <w:outlineLvl w:val="0"/>
    </w:pPr>
    <w:rPr>
      <w:rFonts w:ascii="黑体" w:hAnsi="黑体" w:eastAsia="黑体" w:cs="黑体"/>
      <w:bCs/>
      <w:kern w:val="2"/>
      <w:sz w:val="32"/>
      <w:szCs w:val="32"/>
    </w:rPr>
  </w:style>
  <w:style w:type="paragraph" w:styleId="3">
    <w:name w:val="heading 2"/>
    <w:basedOn w:val="1"/>
    <w:next w:val="1"/>
    <w:unhideWhenUsed/>
    <w:qFormat/>
    <w:uiPriority w:val="0"/>
    <w:pPr>
      <w:jc w:val="left"/>
      <w:outlineLvl w:val="1"/>
    </w:pPr>
    <w:rPr>
      <w:rFonts w:eastAsia="楷体"/>
      <w:bCs/>
      <w:sz w:val="32"/>
      <w:szCs w:val="36"/>
    </w:rPr>
  </w:style>
  <w:style w:type="paragraph" w:styleId="4">
    <w:name w:val="heading 3"/>
    <w:basedOn w:val="1"/>
    <w:next w:val="1"/>
    <w:unhideWhenUsed/>
    <w:qFormat/>
    <w:uiPriority w:val="0"/>
    <w:pPr>
      <w:spacing w:beforeAutospacing="1" w:afterAutospacing="1"/>
      <w:jc w:val="left"/>
      <w:outlineLvl w:val="2"/>
    </w:pPr>
    <w:rPr>
      <w:rFonts w:hint="eastAsia" w:ascii="宋体" w:hAnsi="宋体" w:eastAsia="宋体"/>
      <w:b/>
      <w:bCs/>
      <w:sz w:val="27"/>
      <w:szCs w:val="27"/>
    </w:rPr>
  </w:style>
  <w:style w:type="character" w:default="1" w:styleId="14">
    <w:name w:val="Default Paragraph Font"/>
    <w:unhideWhenUsed/>
    <w:qFormat/>
    <w:uiPriority w:val="1"/>
  </w:style>
  <w:style w:type="table" w:default="1" w:styleId="13">
    <w:name w:val="Normal Table"/>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pPr>
      <w:jc w:val="center"/>
    </w:pPr>
    <w:rPr>
      <w:rFonts w:eastAsia="黑体"/>
      <w:szCs w:val="36"/>
    </w:rPr>
  </w:style>
  <w:style w:type="paragraph" w:styleId="6">
    <w:name w:val="annotation text"/>
    <w:basedOn w:val="1"/>
    <w:link w:val="21"/>
    <w:qFormat/>
    <w:uiPriority w:val="0"/>
    <w:pPr>
      <w:jc w:val="left"/>
    </w:pPr>
  </w:style>
  <w:style w:type="paragraph" w:styleId="7">
    <w:name w:val="Body Text"/>
    <w:basedOn w:val="1"/>
    <w:semiHidden/>
    <w:qFormat/>
    <w:uiPriority w:val="0"/>
    <w:rPr>
      <w:rFonts w:ascii="仿宋" w:hAnsi="仿宋" w:eastAsia="仿宋" w:cs="仿宋"/>
      <w:sz w:val="31"/>
      <w:szCs w:val="31"/>
      <w:lang w:eastAsia="en-US"/>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0">
    <w:name w:val="Normal (Web)"/>
    <w:basedOn w:val="1"/>
    <w:qFormat/>
    <w:uiPriority w:val="0"/>
    <w:pPr>
      <w:spacing w:beforeAutospacing="1" w:afterAutospacing="1"/>
      <w:jc w:val="left"/>
    </w:pPr>
    <w:rPr>
      <w:sz w:val="24"/>
    </w:rPr>
  </w:style>
  <w:style w:type="paragraph" w:styleId="11">
    <w:name w:val="Title"/>
    <w:basedOn w:val="1"/>
    <w:next w:val="1"/>
    <w:qFormat/>
    <w:uiPriority w:val="0"/>
    <w:pPr>
      <w:jc w:val="center"/>
      <w:outlineLvl w:val="0"/>
    </w:pPr>
    <w:rPr>
      <w:rFonts w:ascii="方正小标宋_GBK" w:hAnsi="方正小标宋_GBK" w:eastAsia="方正小标宋_GBK" w:cs="方正小标宋_GBK"/>
      <w:sz w:val="44"/>
      <w:szCs w:val="44"/>
    </w:rPr>
  </w:style>
  <w:style w:type="paragraph" w:styleId="12">
    <w:name w:val="annotation subject"/>
    <w:basedOn w:val="6"/>
    <w:next w:val="6"/>
    <w:link w:val="22"/>
    <w:qFormat/>
    <w:uiPriority w:val="0"/>
    <w:rPr>
      <w:b/>
      <w:bCs/>
    </w:rPr>
  </w:style>
  <w:style w:type="character" w:styleId="15">
    <w:name w:val="Strong"/>
    <w:basedOn w:val="14"/>
    <w:qFormat/>
    <w:uiPriority w:val="0"/>
    <w:rPr>
      <w:b/>
    </w:rPr>
  </w:style>
  <w:style w:type="character" w:styleId="16">
    <w:name w:val="annotation reference"/>
    <w:basedOn w:val="14"/>
    <w:qFormat/>
    <w:uiPriority w:val="0"/>
    <w:rPr>
      <w:sz w:val="21"/>
      <w:szCs w:val="21"/>
    </w:rPr>
  </w:style>
  <w:style w:type="character" w:customStyle="1" w:styleId="17">
    <w:name w:val="font41"/>
    <w:basedOn w:val="14"/>
    <w:qFormat/>
    <w:uiPriority w:val="0"/>
    <w:rPr>
      <w:rFonts w:ascii="宋体" w:hAnsi="宋体" w:eastAsia="宋体" w:cs="宋体"/>
      <w:b/>
      <w:bCs/>
      <w:color w:val="000000"/>
      <w:sz w:val="24"/>
      <w:szCs w:val="24"/>
      <w:u w:val="none"/>
    </w:rPr>
  </w:style>
  <w:style w:type="character" w:customStyle="1" w:styleId="18">
    <w:name w:val="font51"/>
    <w:basedOn w:val="14"/>
    <w:qFormat/>
    <w:uiPriority w:val="0"/>
    <w:rPr>
      <w:rFonts w:ascii="宋体" w:hAnsi="宋体" w:eastAsia="宋体" w:cs="宋体"/>
      <w:b/>
      <w:bCs/>
      <w:color w:val="000000"/>
      <w:sz w:val="20"/>
      <w:szCs w:val="20"/>
      <w:u w:val="none"/>
    </w:rPr>
  </w:style>
  <w:style w:type="character" w:customStyle="1" w:styleId="19">
    <w:name w:val="font61"/>
    <w:basedOn w:val="14"/>
    <w:qFormat/>
    <w:uiPriority w:val="0"/>
    <w:rPr>
      <w:rFonts w:ascii="宋体" w:hAnsi="宋体" w:eastAsia="宋体" w:cs="宋体"/>
      <w:color w:val="000000"/>
      <w:sz w:val="20"/>
      <w:szCs w:val="20"/>
      <w:u w:val="none"/>
    </w:rPr>
  </w:style>
  <w:style w:type="paragraph" w:customStyle="1" w:styleId="20">
    <w:name w:val="修订1"/>
    <w:hidden/>
    <w:unhideWhenUsed/>
    <w:qFormat/>
    <w:uiPriority w:val="99"/>
    <w:pPr>
      <w:spacing w:after="160" w:line="278" w:lineRule="auto"/>
    </w:pPr>
    <w:rPr>
      <w:rFonts w:ascii="Times New Roman" w:hAnsi="Times New Roman" w:eastAsia="仿宋_GB2312" w:cs="Times New Roman"/>
      <w:sz w:val="28"/>
      <w:szCs w:val="22"/>
      <w:lang w:val="en-US" w:eastAsia="zh-CN" w:bidi="ar-SA"/>
    </w:rPr>
  </w:style>
  <w:style w:type="character" w:customStyle="1" w:styleId="21">
    <w:name w:val="批注文字 字符"/>
    <w:basedOn w:val="14"/>
    <w:link w:val="6"/>
    <w:qFormat/>
    <w:uiPriority w:val="0"/>
    <w:rPr>
      <w:rFonts w:eastAsia="仿宋_GB2312"/>
      <w:sz w:val="28"/>
      <w:szCs w:val="22"/>
    </w:rPr>
  </w:style>
  <w:style w:type="character" w:customStyle="1" w:styleId="22">
    <w:name w:val="批注主题 字符"/>
    <w:basedOn w:val="21"/>
    <w:link w:val="12"/>
    <w:qFormat/>
    <w:uiPriority w:val="0"/>
    <w:rPr>
      <w:rFonts w:eastAsia="仿宋_GB2312"/>
      <w:b/>
      <w:bCs/>
      <w:sz w:val="28"/>
      <w:szCs w:val="22"/>
    </w:rPr>
  </w:style>
  <w:style w:type="paragraph" w:customStyle="1" w:styleId="23">
    <w:name w:val="列表段落1"/>
    <w:basedOn w:val="1"/>
    <w:unhideWhenUsed/>
    <w:qFormat/>
    <w:uiPriority w:val="99"/>
    <w:pPr>
      <w:ind w:firstLine="420"/>
    </w:pPr>
  </w:style>
  <w:style w:type="character" w:customStyle="1" w:styleId="24">
    <w:name w:val="无"/>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3.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e36e0225-88e8-48cf-963d-3cabcc597699</errorID>
      <errorWord>排</errorWord>
      <group>L1_Word</group>
      <groupName>字词问题</groupName>
      <ability>L2_Typo</ability>
      <abilityName>字词错误</abilityName>
      <candidateList>
        <item>排放</item>
      </candidateList>
      <explain/>
      <paraID> AA49EF8</paraID>
      <start>86</start>
      <end>88</end>
      <status>modified</status>
      <modifiedWord>排放</modifiedWord>
      <trackRevisions>false</trackRevisions>
    </reviewItem>
    <reviewItem>
      <errorID>5b9c5128-8c91-45ae-989f-28fe6a8399f7</errorID>
      <errorWord>，</errorWord>
      <group>L1_Word</group>
      <groupName>字词问题</groupName>
      <ability>L2_Typo</ability>
      <abilityName>字词错误</abilityName>
      <candidateList>
        <item>，对</item>
      </candidateList>
      <explain/>
      <paraID> 45FAF15</paraID>
      <start>62</start>
      <end>64</end>
      <status>modified</status>
      <modifiedWord>，对</modifiedWord>
      <trackRevisions>false</trackRevisions>
    </reviewItem>
    <reviewItem>
      <errorID>da2c1730-645a-4744-ae5e-6f7eb7b3f138</errorID>
      <errorWord>级级</errorWord>
      <group>L1_Word</group>
      <groupName>字词问题</groupName>
      <ability>L2_Typo</ability>
      <abilityName>字词错误</abilityName>
      <candidateList>
        <item>级</item>
      </candidateList>
      <explain/>
      <paraID>67AADB6A</paraID>
      <start>175</start>
      <end>176</end>
      <status>modified</status>
      <modifiedWord>级</modifiedWord>
      <trackRevisions>false</trackRevisions>
    </reviewItem>
    <reviewItem>
      <errorID>5ad1f230-46fb-40d1-af69-2de2d3e125bb</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7AE900D5</paraID>
      <start>0</start>
      <end>3</end>
      <status>modified</status>
      <modifiedWord>（一）</modifiedWord>
      <trackRevisions>false</trackRevisions>
    </reviewItem>
    <reviewItem>
      <errorID>07dbb0ee-4737-481d-90e0-a1f69fa3f14b</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2A9199E6</paraID>
      <start>187</start>
      <end>195</end>
      <status>modified</status>
      <modifiedWord>住房和城乡建设厅</modifiedWord>
      <trackRevisions>false</trackRevisions>
    </reviewItem>
    <reviewItem>
      <errorID>ee72a2c7-e261-4554-801f-ab7e46108f86</errorID>
      <errorWord>法律、法规</errorWord>
      <group>L1_Word</group>
      <groupName>字词问题</groupName>
      <ability>L2_Typo</ability>
      <abilityName>字词错误</abilityName>
      <candidateList>
        <item>法律法规</item>
      </candidateList>
      <explain/>
      <paraID>606C797A</paraID>
      <start>36</start>
      <end>41</end>
      <status>ignored</status>
      <modifiedWord/>
      <trackRevisions>false</trackRevisions>
    </reviewItem>
    <reviewItem>
      <errorID>b054e8c4-2977-4c25-b479-d3837f25966a</errorID>
      <errorWord>业</errorWord>
      <group>L1_Word</group>
      <groupName>字词问题</groupName>
      <ability>L2_Typo</ability>
      <abilityName>字词错误</abilityName>
      <candidateList>
        <item>业具</item>
      </candidateList>
      <explain/>
      <paraID>591C1502</paraID>
      <start>3</start>
      <end>5</end>
      <status>modified</status>
      <modifiedWord>业具</modifiedWord>
      <trackRevisions>false</trackRevisions>
    </reviewItem>
    <reviewItem>
      <errorID>29955f4c-ccfc-404c-ad4d-1e8373ef5082</errorID>
      <errorWord>法律、法规</errorWord>
      <group>L1_Word</group>
      <groupName>字词问题</groupName>
      <ability>L2_Typo</ability>
      <abilityName>字词错误</abilityName>
      <candidateList>
        <item>法律法规</item>
      </candidateList>
      <explain/>
      <paraID>5ED9F333</paraID>
      <start>20</start>
      <end>25</end>
      <status>ignored</status>
      <modifiedWord/>
      <trackRevisions>false</trackRevisions>
    </reviewItem>
    <reviewItem>
      <errorID>82d419eb-5404-494c-a47b-c9f00b6999b2</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592ABA4A</paraID>
      <start>0</start>
      <end>3</end>
      <status>modified</status>
      <modifiedWord>（一）</modifiedWord>
      <trackRevisions>false</trackRevisions>
    </reviewItem>
    <reviewItem>
      <errorID>3948e286-0111-44c1-804a-333c1fe4fc66</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705E7743</paraID>
      <start>0</start>
      <end>3</end>
      <status>modified</status>
      <modifiedWord>（二）</modifiedWord>
      <trackRevisions>false</trackRevisions>
    </reviewItem>
    <reviewItem>
      <errorID>9d8c3952-a257-44ec-9ae4-fe5db114de77</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1F51E2CF</paraID>
      <start>0</start>
      <end>3</end>
      <status>modified</status>
      <modifiedWord>（三）</modifiedWord>
      <trackRevisions>false</trackRevisions>
    </reviewItem>
    <reviewItem>
      <errorID>d3b6fdd9-c8e7-476a-a12f-bae6dc37beb4</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5D07A938</paraID>
      <start>0</start>
      <end>3</end>
      <status>modified</status>
      <modifiedWord>（四）</modifiedWord>
      <trackRevisions>false</trackRevisions>
    </reviewItem>
    <reviewItem>
      <errorID>1050cce4-cd41-46ab-920b-94ede32f242e</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689046E6</paraID>
      <start>0</start>
      <end>3</end>
      <status>modified</status>
      <modifiedWord>（一）</modifiedWord>
      <trackRevisions>false</trackRevisions>
    </reviewItem>
    <reviewItem>
      <errorID>4846bda1-efc7-4c5f-bbb1-b31b5ba5be21</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69EEE32C</paraID>
      <start>0</start>
      <end>3</end>
      <status>modified</status>
      <modifiedWord>（二）</modifiedWord>
      <trackRevisions>false</trackRevisions>
    </reviewItem>
    <reviewItem>
      <errorID>b12f5b76-2255-4b43-a870-f611e710121e</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7DD7CC66</paraID>
      <start>0</start>
      <end>3</end>
      <status>modified</status>
      <modifiedWord>（三）</modifiedWord>
      <trackRevisions>false</trackRevisions>
    </reviewItem>
    <reviewItem>
      <errorID>14589582-4e47-40c9-899c-ade41b8890bb</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64E52A9F</paraID>
      <start>0</start>
      <end>3</end>
      <status>modified</status>
      <modifiedWord>（一）</modifiedWord>
      <trackRevisions>false</trackRevisions>
    </reviewItem>
    <reviewItem>
      <errorID>5a869a26-1764-492f-b22c-1f5ce1a9e8b7</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174E29B2</paraID>
      <start>0</start>
      <end>3</end>
      <status>modified</status>
      <modifiedWord>（二）</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A4FA75-3841-49A8-A9B9-B0F38E9775D0}">
  <ds:schemaRefs/>
</ds:datastoreItem>
</file>

<file path=customXml/itemProps3.xml><?xml version="1.0" encoding="utf-8"?>
<ds:datastoreItem xmlns:ds="http://schemas.openxmlformats.org/officeDocument/2006/customXml" ds:itemID="{1A3C7E50-7646-478F-8FF5-AC08D6672DBB}">
  <ds:schemaRefs/>
</ds:datastoreItem>
</file>

<file path=docProps/app.xml><?xml version="1.0" encoding="utf-8"?>
<Properties xmlns="http://schemas.openxmlformats.org/officeDocument/2006/extended-properties" xmlns:vt="http://schemas.openxmlformats.org/officeDocument/2006/docPropsVTypes">
  <Template>Normal.dotm</Template>
  <Pages>9</Pages>
  <Words>7394</Words>
  <Characters>7543</Characters>
  <Lines>538</Lines>
  <Paragraphs>324</Paragraphs>
  <TotalTime>3</TotalTime>
  <ScaleCrop>false</ScaleCrop>
  <LinksUpToDate>false</LinksUpToDate>
  <CharactersWithSpaces>14613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2026-09-18T06:45:00Z</dcterms:created>
  <dc:creator>Apache POI</dc:creator>
  <cp:lastModifiedBy>cz</cp:lastModifiedBy>
  <dcterms:modified xsi:type="dcterms:W3CDTF">2026-10-12T01:49:45Z</dcterms:modified>
  <dc:title>广东省工业和信息化厅 广东省发展和改革委员会 广东省生态环境厅 广东省能源局关于印发《广东省零碳工厂建设方案》的通知</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eyJoZGlkIjoiZWRhOGVkZGE1ZjNjZWRhNGRiMmUyYjcyZDBhN2ZlNjMiLCJ1c2VySWQiOiIzNDIxMDkwMTMifQ==</vt:lpwstr>
  </property>
  <property fmtid="{D5CDD505-2E9C-101B-9397-08002B2CF9AE}" pid="3" name="KSOProductBuildVer">
    <vt:lpwstr>2052-12.1.0.28043</vt:lpwstr>
  </property>
  <property fmtid="{D5CDD505-2E9C-101B-9397-08002B2CF9AE}" pid="4" name="ICV">
    <vt:lpwstr>8C7D868F900C41B7B39D400A1187C746_13</vt:lpwstr>
  </property>
</Properties>
</file>