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/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bidi="ar"/>
        </w:rPr>
      </w:pPr>
      <w:r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bidi="ar"/>
        </w:rPr>
        <w:t>温州市重点企业减碳专项行动方案</w:t>
      </w:r>
    </w:p>
    <w:p>
      <w:pPr>
        <w:topLinePunct/>
        <w:spacing w:line="560" w:lineRule="exact"/>
        <w:jc w:val="center"/>
        <w:rPr>
          <w:rFonts w:hint="eastAsia" w:ascii="楷体_GB2312" w:hAnsi="楷体_GB2312" w:eastAsia="楷体_GB2312" w:cs="楷体_GB2312"/>
          <w:kern w:val="0"/>
          <w:sz w:val="32"/>
          <w:szCs w:val="32"/>
          <w:lang w:bidi="ar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lang w:bidi="ar"/>
        </w:rPr>
        <w:t>（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lang w:eastAsia="zh-CN" w:bidi="ar"/>
        </w:rPr>
        <w:t>征求意见稿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lang w:bidi="ar"/>
        </w:rPr>
        <w:t>）</w:t>
      </w:r>
    </w:p>
    <w:p>
      <w:pPr>
        <w:topLinePunct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bookmarkStart w:id="0" w:name="_GoBack"/>
      <w:bookmarkEnd w:id="0"/>
    </w:p>
    <w:p>
      <w:pPr>
        <w:topLinePunct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贯彻落实省委、省政府关于碳达峰碳中和决策部署，打好产业结构优化主动仗，加快推进传统产业转型升级，抓实“8+4”高耗能行业存量企业节能降碳工作，有力支撑完成“十五五”节能降碳目标任务，根据省部署安排，结合温州市实际，制定本行动方案。</w:t>
      </w:r>
    </w:p>
    <w:p>
      <w:pPr>
        <w:topLinePunct/>
        <w:spacing w:line="560" w:lineRule="exact"/>
        <w:ind w:firstLine="64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一、</w:t>
      </w:r>
      <w:r>
        <w:rPr>
          <w:rFonts w:hint="eastAsia" w:ascii="Times New Roman" w:hAnsi="Times New Roman" w:eastAsia="黑体" w:cs="Times New Roman"/>
          <w:sz w:val="32"/>
          <w:szCs w:val="32"/>
        </w:rPr>
        <w:t>主要目标</w:t>
      </w:r>
    </w:p>
    <w:p>
      <w:pPr>
        <w:topLinePunct/>
        <w:spacing w:line="56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到2030年底，推动用能5000吨且碳效评价第三档等重点企业全部完成节能降碳改造，累计完成节能降碳项目140个以上，推动工业重点行业实现节能量40万吨标准煤、降碳量80万吨以上，力争五年目标、三年完成。全市规上工业能耗强度累计下降完成省定目标。其中，2026年完成节能降碳项目40个以上，推动工业重点行业力争实现降碳量27万吨以上</w:t>
      </w:r>
      <w:r>
        <w:rPr>
          <w:rFonts w:ascii="Times New Roman" w:hAnsi="Times New Roman" w:eastAsia="仿宋_GB2312" w:cs="Times New Roman"/>
          <w:sz w:val="32"/>
          <w:szCs w:val="32"/>
        </w:rPr>
        <w:t>。</w:t>
      </w:r>
    </w:p>
    <w:p>
      <w:pPr>
        <w:topLinePunct/>
        <w:spacing w:line="560" w:lineRule="exact"/>
        <w:ind w:firstLine="64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二、基本原则</w:t>
      </w:r>
    </w:p>
    <w:p>
      <w:pPr>
        <w:topLinePunc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（一）坚持应改尽改、顶格技改。</w:t>
      </w:r>
      <w:r>
        <w:rPr>
          <w:rFonts w:hint="eastAsia" w:ascii="仿宋_GB2312" w:hAnsi="仿宋_GB2312" w:eastAsia="仿宋_GB2312" w:cs="仿宋_GB2312"/>
          <w:sz w:val="32"/>
          <w:szCs w:val="32"/>
        </w:rPr>
        <w:t>按照省下达的碳效第三档企业全覆盖、重点能耗需求大企业顶格技改，对照能效标准要求开展节能降碳改造。鼓励碳效评价二档及以上企业</w:t>
      </w:r>
      <w:r>
        <w:rPr>
          <w:rFonts w:hint="eastAsia" w:ascii="仿宋_GB2312" w:eastAsia="仿宋_GB2312"/>
          <w:sz w:val="32"/>
          <w:szCs w:val="32"/>
        </w:rPr>
        <w:t>主动探索应用前沿节能技术，</w:t>
      </w:r>
      <w:r>
        <w:rPr>
          <w:rFonts w:hint="eastAsia" w:ascii="仿宋_GB2312" w:hAnsi="仿宋_GB2312" w:eastAsia="仿宋_GB2312" w:cs="仿宋_GB2312"/>
          <w:sz w:val="32"/>
          <w:szCs w:val="32"/>
        </w:rPr>
        <w:t>进一步提升碳效水平。</w:t>
      </w:r>
    </w:p>
    <w:p>
      <w:pPr>
        <w:topLinePunct/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（二）坚持分步实施、宜早则早。</w:t>
      </w:r>
      <w:r>
        <w:rPr>
          <w:rFonts w:hint="eastAsia" w:ascii="仿宋_GB2312" w:hAnsi="仿宋_GB2312" w:eastAsia="仿宋_GB2312" w:cs="仿宋_GB2312"/>
          <w:sz w:val="32"/>
          <w:szCs w:val="32"/>
        </w:rPr>
        <w:t>按照先易后难、分阶段推进的思路，合理划分工作阶段，明确各阶段目标任务和时间节点，率先推动用能5000吨标准煤以上、碳效第三档重点企业、</w:t>
      </w:r>
      <w:r>
        <w:rPr>
          <w:rFonts w:ascii="Times New Roman" w:hAnsi="Times New Roman" w:eastAsia="仿宋_GB2312" w:cs="Times New Roman"/>
          <w:sz w:val="32"/>
          <w:szCs w:val="32"/>
        </w:rPr>
        <w:t>纳入全国碳排放交易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企业</w:t>
      </w:r>
      <w:r>
        <w:rPr>
          <w:rFonts w:hint="eastAsia" w:ascii="仿宋_GB2312" w:hAnsi="仿宋_GB2312" w:eastAsia="仿宋_GB2312" w:cs="仿宋_GB2312"/>
          <w:sz w:val="32"/>
          <w:szCs w:val="32"/>
        </w:rPr>
        <w:t>实施改造，再逐步拓展到用能1000吨标准煤以上企业以及“8+4”行业以外的第三档企业。</w:t>
      </w:r>
    </w:p>
    <w:p>
      <w:pPr>
        <w:topLinePunct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（三）坚持科技引领、“一企一策”。</w:t>
      </w:r>
      <w:r>
        <w:rPr>
          <w:rFonts w:hint="eastAsia" w:ascii="仿宋_GB2312" w:eastAsia="仿宋_GB2312"/>
          <w:sz w:val="32"/>
          <w:szCs w:val="32"/>
        </w:rPr>
        <w:t>立足企业工艺特点和能碳实际，强化数字化、智能化、信息化技术融合应用，制定差异化节能降碳改造方案。</w:t>
      </w:r>
    </w:p>
    <w:p>
      <w:pPr>
        <w:topLinePunct/>
        <w:spacing w:line="56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（四）坚持政府引导、市场化推进。</w:t>
      </w:r>
      <w:r>
        <w:rPr>
          <w:rFonts w:hint="eastAsia" w:ascii="仿宋_GB2312" w:eastAsia="仿宋_GB2312"/>
          <w:sz w:val="32"/>
          <w:szCs w:val="32"/>
        </w:rPr>
        <w:t>发挥政府节能降碳政策引导作用，运用合同能源管理、绿色金融等市场化机制，调动企业主动改造积极性。</w:t>
      </w:r>
    </w:p>
    <w:p>
      <w:pPr>
        <w:topLinePunct/>
        <w:spacing w:line="560" w:lineRule="exact"/>
        <w:ind w:firstLine="64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三</w:t>
      </w:r>
      <w:r>
        <w:rPr>
          <w:rFonts w:ascii="Times New Roman" w:hAnsi="Times New Roman" w:eastAsia="黑体" w:cs="Times New Roman"/>
          <w:sz w:val="32"/>
          <w:szCs w:val="32"/>
        </w:rPr>
        <w:t>、</w:t>
      </w:r>
      <w:r>
        <w:rPr>
          <w:rFonts w:hint="eastAsia" w:ascii="Times New Roman" w:hAnsi="Times New Roman" w:eastAsia="黑体" w:cs="Times New Roman"/>
          <w:sz w:val="32"/>
          <w:szCs w:val="32"/>
        </w:rPr>
        <w:t>重点任务</w:t>
      </w:r>
    </w:p>
    <w:p>
      <w:pPr>
        <w:topLinePunct/>
        <w:spacing w:line="560" w:lineRule="exact"/>
        <w:ind w:firstLine="642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—启动阶段（2026年）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。分解落实责任，推动企业编制“一企一策”节能降碳改造方案，全年推动企业完成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节能降碳改造降碳量比例不少于30%。</w:t>
      </w:r>
    </w:p>
    <w:p>
      <w:pPr>
        <w:topLinePunct/>
        <w:spacing w:line="560" w:lineRule="exact"/>
        <w:ind w:firstLine="642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—</w:t>
      </w:r>
      <w:r>
        <w:rPr>
          <w:rFonts w:ascii="楷体_GB2312" w:hAnsi="楷体_GB2312" w:eastAsia="楷体_GB2312" w:cs="楷体_GB2312"/>
          <w:b/>
          <w:bCs/>
          <w:sz w:val="32"/>
          <w:szCs w:val="32"/>
        </w:rPr>
        <w:t>攻坚阶段（2027—2028年）：</w:t>
      </w:r>
      <w:r>
        <w:rPr>
          <w:rFonts w:hint="eastAsia" w:ascii="仿宋_GB2312" w:hAnsi="仿宋_GB2312" w:eastAsia="仿宋_GB2312" w:cs="仿宋_GB2312"/>
          <w:sz w:val="32"/>
          <w:szCs w:val="32"/>
        </w:rPr>
        <w:t>总结推广前期先进经验和成功案例，着力破解推进过程中遇到的难点堵点，全力推动企业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完成节能降碳改造，力争提前实现五年减碳量目标。</w:t>
      </w:r>
    </w:p>
    <w:p>
      <w:pPr>
        <w:topLinePunct/>
        <w:spacing w:line="560" w:lineRule="exact"/>
        <w:ind w:firstLine="642" w:firstLineChars="200"/>
        <w:rPr>
          <w:rFonts w:hint="eastAsia" w:ascii="仿宋_GB2312" w:hAnsi="仿宋_GB2312" w:eastAsia="仿宋_GB2312" w:cs="仿宋_GB2312"/>
          <w:sz w:val="32"/>
          <w:szCs w:val="32"/>
          <w:lang w:bidi="ar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—巩固阶段（2029—2030年）：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结合全市能耗强度、碳排放强度目标完成情况，以及用能5000吨标煤且碳效第三档、碳排放10万吨以上、纳入全国碳交易市场等三类重点企业变化情况，开展查漏补缺，确保“十五五”目标顺利实现。</w:t>
      </w:r>
    </w:p>
    <w:p>
      <w:pPr>
        <w:topLinePunct/>
        <w:spacing w:line="560" w:lineRule="exact"/>
        <w:ind w:firstLine="642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重点做好以下任务：</w:t>
      </w:r>
    </w:p>
    <w:p>
      <w:pPr>
        <w:topLinePunct/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</w:t>
      </w:r>
      <w:r>
        <w:rPr>
          <w:rFonts w:ascii="楷体_GB2312" w:hAnsi="楷体_GB2312" w:eastAsia="楷体_GB2312" w:cs="楷体_GB2312"/>
          <w:sz w:val="32"/>
          <w:szCs w:val="32"/>
        </w:rPr>
        <w:t>一）摸清底数，动态</w:t>
      </w:r>
      <w:r>
        <w:rPr>
          <w:rFonts w:hint="eastAsia" w:ascii="楷体_GB2312" w:hAnsi="楷体_GB2312" w:eastAsia="楷体_GB2312" w:cs="楷体_GB2312"/>
          <w:sz w:val="32"/>
          <w:szCs w:val="32"/>
        </w:rPr>
        <w:t>建立</w:t>
      </w:r>
      <w:r>
        <w:rPr>
          <w:rFonts w:ascii="楷体_GB2312" w:hAnsi="楷体_GB2312" w:eastAsia="楷体_GB2312" w:cs="楷体_GB2312"/>
          <w:sz w:val="32"/>
          <w:szCs w:val="32"/>
        </w:rPr>
        <w:t>改造企业库和项目库。</w:t>
      </w:r>
      <w:r>
        <w:rPr>
          <w:rFonts w:ascii="仿宋_GB2312" w:hAnsi="仿宋_GB2312" w:eastAsia="仿宋_GB2312" w:cs="仿宋_GB2312"/>
          <w:sz w:val="32"/>
          <w:szCs w:val="32"/>
        </w:rPr>
        <w:t>按照“8+4”行业用能规</w:t>
      </w:r>
      <w:r>
        <w:rPr>
          <w:rFonts w:ascii="Times New Roman" w:hAnsi="Times New Roman" w:eastAsia="仿宋_GB2312" w:cs="Times New Roman"/>
          <w:sz w:val="32"/>
          <w:szCs w:val="32"/>
        </w:rPr>
        <w:t>模5000吨标煤以上且碳评第三档、能耗10万吨以上以及纳入全国碳排放交易企业等标准，动态摸排并建立全市节能降碳改造重点企业库和项目库，后期根据部署要求逐步覆盖“8+4”行业以外的第三档企业。对于碳效评价不准确的企业，由县级提出申请、市级对口部门核实后向省里申请调整</w:t>
      </w:r>
      <w:r>
        <w:rPr>
          <w:rFonts w:ascii="仿宋_GB2312" w:hAnsi="仿宋_GB2312" w:eastAsia="仿宋_GB2312" w:cs="仿宋_GB2312"/>
          <w:sz w:val="32"/>
          <w:szCs w:val="32"/>
        </w:rPr>
        <w:t>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〔责任单位：市发展改革委、市经信局、市生态环境局，列第一位为牵头单位，下同；以下均需各县&lt;市、区&gt;政府、温州海经区管委会落实，不再列出〕</w:t>
      </w:r>
    </w:p>
    <w:p>
      <w:pPr>
        <w:topLinePunct/>
        <w:spacing w:line="60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（二）统筹部署，制定分年度改造计划。</w:t>
      </w:r>
      <w:r>
        <w:rPr>
          <w:rFonts w:hint="eastAsia" w:ascii="仿宋_GB2312" w:hAnsi="仿宋_GB2312" w:eastAsia="仿宋_GB2312" w:cs="仿宋_GB2312"/>
          <w:sz w:val="32"/>
          <w:szCs w:val="32"/>
        </w:rPr>
        <w:t>根据“十五五”节能降碳计划表要求，各县（市、区）逐一对接辖区内重点企业，于2026年8月底前制定“十五五”降碳目标和改造计划，明确项目改造路径、投资额、降碳量和实施周期，并报市级对口责任部门审核后印发。各县（市、区）节能降碳改造项目清单可于每年一季度末进行年度调整更新，并及时上报市级对口部门备案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</w:t>
      </w:r>
      <w:r>
        <w:rPr>
          <w:rFonts w:ascii="楷体_GB2312" w:hAnsi="楷体_GB2312" w:eastAsia="楷体_GB2312" w:cs="楷体_GB2312"/>
          <w:sz w:val="32"/>
          <w:szCs w:val="32"/>
        </w:rPr>
        <w:t>责任单位：市发展改革委、市经信局、市生态环境局按</w:t>
      </w:r>
      <w:r>
        <w:rPr>
          <w:rFonts w:hint="eastAsia" w:ascii="楷体_GB2312" w:hAnsi="楷体_GB2312" w:eastAsia="楷体_GB2312" w:cs="楷体_GB2312"/>
          <w:sz w:val="32"/>
          <w:szCs w:val="32"/>
        </w:rPr>
        <w:t>职责</w:t>
      </w:r>
      <w:r>
        <w:rPr>
          <w:rFonts w:ascii="楷体_GB2312" w:hAnsi="楷体_GB2312" w:eastAsia="楷体_GB2312" w:cs="楷体_GB2312"/>
          <w:sz w:val="32"/>
          <w:szCs w:val="32"/>
        </w:rPr>
        <w:t>分工落实</w:t>
      </w:r>
      <w:r>
        <w:rPr>
          <w:rFonts w:hint="eastAsia" w:ascii="楷体_GB2312" w:hAnsi="楷体_GB2312" w:eastAsia="楷体_GB2312" w:cs="楷体_GB2312"/>
          <w:sz w:val="32"/>
          <w:szCs w:val="32"/>
        </w:rPr>
        <w:t>〕</w:t>
      </w:r>
    </w:p>
    <w:p>
      <w:pPr>
        <w:topLinePunct/>
        <w:spacing w:line="60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ascii="楷体_GB2312" w:hAnsi="楷体_GB2312" w:eastAsia="楷体_GB2312" w:cs="楷体_GB2312"/>
          <w:sz w:val="32"/>
          <w:szCs w:val="32"/>
        </w:rPr>
        <w:t>（三）强化指导，推动编制“一企一策”节能降碳改造方案。</w:t>
      </w:r>
      <w:r>
        <w:rPr>
          <w:rFonts w:hint="eastAsia" w:ascii="仿宋_GB2312" w:hAnsi="仿宋_GB2312" w:eastAsia="仿宋_GB2312" w:cs="仿宋_GB2312"/>
          <w:sz w:val="32"/>
          <w:szCs w:val="32"/>
        </w:rPr>
        <w:t>市、县两级部门按职责分工通过组织服务小组、培训、行业推广会等形式，积极指导企业谋划节能降碳项目，开展能效碳效诊断和节能降碳路径设计。重点企业结合自身实际情况，于实施当年一季度末前敲定完成节能降碳改造方案（2026年为10月底前）。方案应明确“十五五”总体目标和分年度目标，明确改造项目清单并制定实施计划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</w:t>
      </w:r>
      <w:r>
        <w:rPr>
          <w:rFonts w:ascii="楷体_GB2312" w:hAnsi="楷体_GB2312" w:eastAsia="楷体_GB2312" w:cs="楷体_GB2312"/>
          <w:sz w:val="32"/>
          <w:szCs w:val="32"/>
        </w:rPr>
        <w:t>责任单位：市发展改革委、市经信局、市生态环境局按</w:t>
      </w:r>
      <w:r>
        <w:rPr>
          <w:rFonts w:hint="eastAsia" w:ascii="楷体_GB2312" w:hAnsi="楷体_GB2312" w:eastAsia="楷体_GB2312" w:cs="楷体_GB2312"/>
          <w:sz w:val="32"/>
          <w:szCs w:val="32"/>
        </w:rPr>
        <w:t>职责</w:t>
      </w:r>
      <w:r>
        <w:rPr>
          <w:rFonts w:ascii="楷体_GB2312" w:hAnsi="楷体_GB2312" w:eastAsia="楷体_GB2312" w:cs="楷体_GB2312"/>
          <w:sz w:val="32"/>
          <w:szCs w:val="32"/>
        </w:rPr>
        <w:t>分工落实</w:t>
      </w:r>
      <w:r>
        <w:rPr>
          <w:rFonts w:hint="eastAsia" w:ascii="楷体_GB2312" w:hAnsi="楷体_GB2312" w:eastAsia="楷体_GB2312" w:cs="楷体_GB2312"/>
          <w:sz w:val="32"/>
          <w:szCs w:val="32"/>
        </w:rPr>
        <w:t>〕</w:t>
      </w:r>
    </w:p>
    <w:p>
      <w:pPr>
        <w:spacing w:line="60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ascii="楷体_GB2312" w:hAnsi="楷体_GB2312" w:eastAsia="楷体_GB2312" w:cs="楷体_GB2312"/>
          <w:sz w:val="32"/>
          <w:szCs w:val="32"/>
        </w:rPr>
        <w:t>（四）落实责任，推动重点企业实施节能降碳改造。</w:t>
      </w:r>
    </w:p>
    <w:p>
      <w:pPr>
        <w:topLinePunct/>
        <w:spacing w:line="600" w:lineRule="exact"/>
        <w:ind w:firstLine="642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1.</w:t>
      </w:r>
      <w:r>
        <w:rPr>
          <w:rFonts w:ascii="Times New Roman" w:hAnsi="Times New Roman" w:eastAsia="仿宋_GB2312" w:cs="Times New Roman"/>
          <w:b/>
          <w:bCs/>
          <w:sz w:val="32"/>
          <w:szCs w:val="32"/>
        </w:rPr>
        <w:t>推动</w:t>
      </w: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石化</w:t>
      </w:r>
      <w:r>
        <w:rPr>
          <w:rFonts w:ascii="Times New Roman" w:hAnsi="Times New Roman" w:eastAsia="仿宋_GB2312" w:cs="Times New Roman"/>
          <w:b/>
          <w:bCs/>
          <w:sz w:val="32"/>
          <w:szCs w:val="32"/>
        </w:rPr>
        <w:t>化工行业</w:t>
      </w: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企业</w:t>
      </w:r>
      <w:r>
        <w:rPr>
          <w:rFonts w:ascii="Times New Roman" w:hAnsi="Times New Roman" w:eastAsia="仿宋_GB2312" w:cs="Times New Roman"/>
          <w:b/>
          <w:bCs/>
          <w:sz w:val="32"/>
          <w:szCs w:val="32"/>
        </w:rPr>
        <w:t>节能降碳。</w:t>
      </w:r>
      <w:r>
        <w:rPr>
          <w:rFonts w:hint="eastAsia" w:ascii="仿宋_GB2312" w:hAnsi="仿宋_GB2312" w:eastAsia="仿宋_GB2312" w:cs="仿宋_GB2312"/>
          <w:sz w:val="32"/>
          <w:szCs w:val="32"/>
        </w:rPr>
        <w:t>聚焦石化化工行业生产过程中涉及大量高温、高压设备，如加热炉、反应釜、裂解炉等，围绕气化造气、电解工段、精馏蒸发、导热油供热等重点工序，开展高效燃烧与烟气余热回收改造、低温热回收与热量梯级利用改造、关键工艺设备提效与换热系统改造、公用工程系统节能改造、智能控制与数字化能效管理改造等改造。完成重点企业降碳改造5家左右，完成降碳量2.5万吨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</w:t>
      </w:r>
      <w:r>
        <w:rPr>
          <w:rFonts w:ascii="楷体_GB2312" w:hAnsi="楷体_GB2312" w:eastAsia="楷体_GB2312" w:cs="楷体_GB2312"/>
          <w:sz w:val="32"/>
          <w:szCs w:val="32"/>
        </w:rPr>
        <w:t>责任单位：市发展改革委、市经信局、市生态环境局按职责分工落实</w:t>
      </w:r>
      <w:r>
        <w:rPr>
          <w:rFonts w:hint="eastAsia" w:ascii="楷体_GB2312" w:hAnsi="楷体_GB2312" w:eastAsia="楷体_GB2312" w:cs="楷体_GB2312"/>
          <w:sz w:val="32"/>
          <w:szCs w:val="32"/>
        </w:rPr>
        <w:t>〕</w:t>
      </w:r>
    </w:p>
    <w:p>
      <w:pPr>
        <w:topLinePunct/>
        <w:spacing w:line="600" w:lineRule="exact"/>
        <w:ind w:firstLine="642" w:firstLineChars="200"/>
        <w:jc w:val="left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2.推动非金属矿物制品行业企业节能减碳。</w:t>
      </w:r>
      <w:r>
        <w:rPr>
          <w:rFonts w:hint="eastAsia" w:ascii="仿宋_GB2312" w:hAnsi="仿宋_GB2312" w:eastAsia="仿宋_GB2312" w:cs="仿宋_GB2312"/>
          <w:sz w:val="32"/>
          <w:szCs w:val="32"/>
        </w:rPr>
        <w:t>聚焦建材行业特别是水泥、玻璃、陶瓷等细分领域燃料和电力系统，围绕窑炉煅烧、粉磨等工序，开展工艺设备能效提升、燃料替代改造、全氧燃烧技术、高效粉磨技术、窑炉余热回收利用等改造。重点改造企业10家左右，完成降碳量1.5万吨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</w:t>
      </w:r>
      <w:r>
        <w:rPr>
          <w:rFonts w:ascii="楷体_GB2312" w:hAnsi="楷体_GB2312" w:eastAsia="楷体_GB2312" w:cs="楷体_GB2312"/>
          <w:sz w:val="32"/>
          <w:szCs w:val="32"/>
        </w:rPr>
        <w:t>责任单位：市发展改革委、市经信局按职责分工落实</w:t>
      </w:r>
      <w:r>
        <w:rPr>
          <w:rFonts w:hint="eastAsia" w:ascii="楷体_GB2312" w:hAnsi="楷体_GB2312" w:eastAsia="楷体_GB2312" w:cs="楷体_GB2312"/>
          <w:sz w:val="32"/>
          <w:szCs w:val="32"/>
        </w:rPr>
        <w:t>〕</w:t>
      </w:r>
    </w:p>
    <w:p>
      <w:pPr>
        <w:topLinePunct/>
        <w:spacing w:line="600" w:lineRule="exact"/>
        <w:ind w:firstLine="642" w:firstLineChars="200"/>
        <w:jc w:val="left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3.推动金属制品行业企业节能减碳。</w:t>
      </w:r>
      <w:r>
        <w:rPr>
          <w:rFonts w:hint="eastAsia" w:ascii="仿宋_GB2312" w:hAnsi="仿宋_GB2312" w:eastAsia="仿宋_GB2312" w:cs="仿宋_GB2312"/>
          <w:sz w:val="32"/>
          <w:szCs w:val="32"/>
        </w:rPr>
        <w:t>聚焦有色金属行业电力系统，围绕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电解、熔炼、加工成型等工序，开</w:t>
      </w:r>
      <w:r>
        <w:rPr>
          <w:rFonts w:hint="eastAsia" w:ascii="仿宋_GB2312" w:hAnsi="仿宋_GB2312" w:eastAsia="仿宋_GB2312" w:cs="仿宋_GB2312"/>
          <w:sz w:val="32"/>
          <w:szCs w:val="32"/>
        </w:rPr>
        <w:t>展工艺设备能效提升、高端热处理真空装备升级、特种合金冶炼装备升级与余热回收、铝电解槽石墨化阴极节能改造、再生有色金属短流程冶炼等改造。重点改造企业10家左右，完成降碳量1万吨。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</w:t>
      </w:r>
      <w:r>
        <w:rPr>
          <w:rFonts w:ascii="楷体_GB2312" w:hAnsi="楷体_GB2312" w:eastAsia="楷体_GB2312" w:cs="楷体_GB2312"/>
          <w:sz w:val="32"/>
          <w:szCs w:val="32"/>
        </w:rPr>
        <w:t>责任单位：市发展改革委、市经信局按职责分工落实</w:t>
      </w:r>
      <w:r>
        <w:rPr>
          <w:rFonts w:hint="eastAsia" w:ascii="楷体_GB2312" w:hAnsi="楷体_GB2312" w:eastAsia="楷体_GB2312" w:cs="楷体_GB2312"/>
          <w:sz w:val="32"/>
          <w:szCs w:val="32"/>
        </w:rPr>
        <w:t>〕</w:t>
      </w:r>
    </w:p>
    <w:p>
      <w:pPr>
        <w:topLinePunct/>
        <w:spacing w:line="600" w:lineRule="exact"/>
        <w:ind w:firstLine="642" w:firstLineChars="200"/>
        <w:jc w:val="left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4.推动纺织行业企业节能减碳。</w:t>
      </w:r>
      <w:r>
        <w:rPr>
          <w:rFonts w:hint="eastAsia" w:ascii="仿宋_GB2312" w:hAnsi="仿宋_GB2312" w:eastAsia="仿宋_GB2312" w:cs="仿宋_GB2312"/>
          <w:sz w:val="32"/>
          <w:szCs w:val="32"/>
        </w:rPr>
        <w:t>聚焦纺织行业热能和动力系统，围绕染色印花、定型烘干等工序，开展染色印花系统、定型烘干系统、空压系统升级改造。重点改造企业15家左右，完成降碳量1.5万吨。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</w:t>
      </w:r>
      <w:r>
        <w:rPr>
          <w:rFonts w:ascii="楷体_GB2312" w:hAnsi="楷体_GB2312" w:eastAsia="楷体_GB2312" w:cs="楷体_GB2312"/>
          <w:sz w:val="32"/>
          <w:szCs w:val="32"/>
        </w:rPr>
        <w:t>责任单位：市发展改革委、市经信局按职责分工落实</w:t>
      </w:r>
      <w:r>
        <w:rPr>
          <w:rFonts w:hint="eastAsia" w:ascii="楷体_GB2312" w:hAnsi="楷体_GB2312" w:eastAsia="楷体_GB2312" w:cs="楷体_GB2312"/>
          <w:sz w:val="32"/>
          <w:szCs w:val="32"/>
        </w:rPr>
        <w:t>〕</w:t>
      </w:r>
    </w:p>
    <w:p>
      <w:pPr>
        <w:topLinePunct/>
        <w:spacing w:line="600" w:lineRule="exact"/>
        <w:ind w:firstLine="642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5.推动橡胶塑料行业企业节能减碳。</w:t>
      </w:r>
      <w:r>
        <w:rPr>
          <w:rFonts w:hint="eastAsia" w:ascii="仿宋_GB2312" w:hAnsi="仿宋_GB2312" w:eastAsia="仿宋_GB2312" w:cs="仿宋_GB2312"/>
          <w:sz w:val="32"/>
          <w:szCs w:val="32"/>
        </w:rPr>
        <w:t>聚焦橡胶塑料行业热力和动力系统，围绕硫化、炼胶、成型等工序，开展工艺设备能效提升、氮气硫化技术、挤出压片机驱动系统升级、密炼机变频调速节能改造、橡胶硫化工艺智能优化改造、塑料挤出机永磁直驱电机改造等。重点改造企业30家左右，完成降碳量3万吨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</w:t>
      </w:r>
      <w:r>
        <w:rPr>
          <w:rFonts w:ascii="楷体_GB2312" w:hAnsi="楷体_GB2312" w:eastAsia="楷体_GB2312" w:cs="楷体_GB2312"/>
          <w:sz w:val="32"/>
          <w:szCs w:val="32"/>
        </w:rPr>
        <w:t>责任单位：市发展改革委、市经信局按职责分工落实</w:t>
      </w:r>
      <w:r>
        <w:rPr>
          <w:rFonts w:hint="eastAsia" w:ascii="楷体_GB2312" w:hAnsi="楷体_GB2312" w:eastAsia="楷体_GB2312" w:cs="楷体_GB2312"/>
          <w:sz w:val="32"/>
          <w:szCs w:val="32"/>
        </w:rPr>
        <w:t>〕</w:t>
      </w:r>
    </w:p>
    <w:p>
      <w:pPr>
        <w:topLinePunct/>
        <w:spacing w:line="600" w:lineRule="exact"/>
        <w:ind w:firstLine="642" w:firstLineChars="200"/>
        <w:jc w:val="left"/>
        <w:rPr>
          <w:rFonts w:ascii="Times New Roman" w:hAnsi="Times New Roman" w:eastAsia="仿宋_GB2312" w:cs="Times New Roman"/>
          <w:b/>
          <w:bCs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6.推动造纸行业企业节能减碳。</w:t>
      </w:r>
      <w:r>
        <w:rPr>
          <w:rFonts w:hint="eastAsia" w:ascii="仿宋_GB2312" w:hAnsi="仿宋_GB2312" w:eastAsia="仿宋_GB2312" w:cs="仿宋_GB2312"/>
          <w:sz w:val="32"/>
          <w:szCs w:val="32"/>
        </w:rPr>
        <w:t>聚焦造纸行业纸机、真空泵、风机、水泵、空压机等电力驱动设备和烘干部、蒸汽冷凝水系统、热风系统及废水余热等热能系统，围绕造纸、烘干等工序，开展纸机系统能效提升、余热梯级利用、空气压缩系统节能、智能化管理与数字化控制等改造。重点改造企业10家左右，完成降碳量1万吨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</w:t>
      </w:r>
      <w:r>
        <w:rPr>
          <w:rFonts w:ascii="楷体_GB2312" w:hAnsi="楷体_GB2312" w:eastAsia="楷体_GB2312" w:cs="楷体_GB2312"/>
          <w:sz w:val="32"/>
          <w:szCs w:val="32"/>
        </w:rPr>
        <w:t>责任单位：市发展改革委、市经信局、市生态环境局按职责分工落实</w:t>
      </w:r>
      <w:r>
        <w:rPr>
          <w:rFonts w:hint="eastAsia" w:ascii="楷体_GB2312" w:hAnsi="楷体_GB2312" w:eastAsia="楷体_GB2312" w:cs="楷体_GB2312"/>
          <w:sz w:val="32"/>
          <w:szCs w:val="32"/>
        </w:rPr>
        <w:t>〕</w:t>
      </w:r>
    </w:p>
    <w:p>
      <w:pPr>
        <w:topLinePunct/>
        <w:spacing w:line="600" w:lineRule="exact"/>
        <w:ind w:firstLine="642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7.推动电力热力行业企业节能减碳。</w:t>
      </w:r>
      <w:r>
        <w:rPr>
          <w:rFonts w:hint="eastAsia" w:ascii="仿宋_GB2312" w:hAnsi="仿宋_GB2312" w:eastAsia="仿宋_GB2312" w:cs="仿宋_GB2312"/>
          <w:sz w:val="32"/>
          <w:szCs w:val="32"/>
        </w:rPr>
        <w:t>聚焦电力热力行业热电联产机组、给水泵、风机、脱硫脱硝等设备及蒸汽管网，围绕存量机组，开展“三改联动”综合升级、燃料替代、汽轮机通流提效、余热余压梯级利用等改造。重点改造企业20家左右，完成降碳量35吨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</w:t>
      </w:r>
      <w:r>
        <w:rPr>
          <w:rFonts w:ascii="楷体_GB2312" w:hAnsi="楷体_GB2312" w:eastAsia="楷体_GB2312" w:cs="楷体_GB2312"/>
          <w:sz w:val="32"/>
          <w:szCs w:val="32"/>
        </w:rPr>
        <w:t>责任单位：市发展改革委、市经信局、市生态环境局按职责分工落实</w:t>
      </w:r>
      <w:r>
        <w:rPr>
          <w:rFonts w:hint="eastAsia" w:ascii="楷体_GB2312" w:hAnsi="楷体_GB2312" w:eastAsia="楷体_GB2312" w:cs="楷体_GB2312"/>
          <w:sz w:val="32"/>
          <w:szCs w:val="32"/>
        </w:rPr>
        <w:t>〕</w:t>
      </w:r>
    </w:p>
    <w:p>
      <w:pPr>
        <w:topLinePunct/>
        <w:spacing w:line="600" w:lineRule="exact"/>
        <w:ind w:firstLine="642" w:firstLineChars="200"/>
        <w:jc w:val="left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bCs/>
          <w:sz w:val="32"/>
          <w:szCs w:val="32"/>
        </w:rPr>
        <w:t>8.推动其他行业企业节能减碳。</w:t>
      </w:r>
      <w:r>
        <w:rPr>
          <w:rFonts w:hint="eastAsia" w:ascii="仿宋_GB2312" w:hAnsi="仿宋_GB2312" w:eastAsia="仿宋_GB2312" w:cs="仿宋_GB2312"/>
          <w:sz w:val="32"/>
          <w:szCs w:val="32"/>
        </w:rPr>
        <w:t>聚焦电气机械和器材制造等其他行业，围绕电机和余热回收利用，开展3级能效以下电机改为1级或2级能效电机、余热发电、余热梯级利用等改造。重点改造企业40家左右，完成降碳量35万吨。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</w:t>
      </w:r>
      <w:r>
        <w:rPr>
          <w:rFonts w:ascii="楷体_GB2312" w:hAnsi="楷体_GB2312" w:eastAsia="楷体_GB2312" w:cs="楷体_GB2312"/>
          <w:sz w:val="32"/>
          <w:szCs w:val="32"/>
        </w:rPr>
        <w:t>责任单位：市发展改革委、市经信局按职责分工落实</w:t>
      </w:r>
      <w:r>
        <w:rPr>
          <w:rFonts w:hint="eastAsia" w:ascii="楷体_GB2312" w:hAnsi="楷体_GB2312" w:eastAsia="楷体_GB2312" w:cs="楷体_GB2312"/>
          <w:sz w:val="32"/>
          <w:szCs w:val="32"/>
        </w:rPr>
        <w:t>〕</w:t>
      </w:r>
    </w:p>
    <w:p>
      <w:pPr>
        <w:topLinePunct/>
        <w:spacing w:line="600" w:lineRule="exact"/>
        <w:ind w:firstLine="640" w:firstLineChars="200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四、保障措施</w:t>
      </w:r>
    </w:p>
    <w:p>
      <w:pPr>
        <w:topLinePunct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（一）强化组织保障。</w:t>
      </w:r>
      <w:r>
        <w:rPr>
          <w:rFonts w:hint="eastAsia" w:ascii="仿宋_GB2312" w:hAnsi="仿宋_GB2312" w:eastAsia="仿宋_GB2312" w:cs="仿宋_GB2312"/>
          <w:sz w:val="32"/>
          <w:szCs w:val="32"/>
        </w:rPr>
        <w:t>建立市、县联动工作体系。市级建立节能降碳改造工作协调机制，由市经信局、市发展改革委、市生态环境局联合交通运输、住建、电力等部门协同推进。各县（市、区）政府承担属地管理责任，建立相应工作推进机制。各有关企业落实节能降碳改造主体责任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〔责任单位：*市经信局、*市发展改革委、市生态环境局、市交通运输局、市住建局、国网温州供电公司〕</w:t>
      </w:r>
    </w:p>
    <w:p>
      <w:pPr>
        <w:topLinePunct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（二）加大政策支持。</w:t>
      </w:r>
      <w:r>
        <w:rPr>
          <w:rFonts w:hint="eastAsia" w:ascii="仿宋_GB2312" w:hAnsi="仿宋_GB2312" w:eastAsia="仿宋_GB2312" w:cs="仿宋_GB2312"/>
          <w:sz w:val="32"/>
          <w:szCs w:val="32"/>
        </w:rPr>
        <w:t>用好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各级支持政策，</w:t>
      </w:r>
      <w:r>
        <w:rPr>
          <w:rFonts w:hint="eastAsia" w:ascii="仿宋_GB2312" w:hAnsi="仿宋_GB2312" w:eastAsia="仿宋_GB2312" w:cs="仿宋_GB2312"/>
          <w:sz w:val="32"/>
          <w:szCs w:val="32"/>
        </w:rPr>
        <w:t>指导企业做好项目申报，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对符合</w:t>
      </w:r>
      <w:r>
        <w:rPr>
          <w:rFonts w:hint="eastAsia" w:ascii="仿宋_GB2312" w:hAnsi="仿宋_GB2312" w:eastAsia="仿宋_GB2312" w:cs="仿宋_GB2312"/>
          <w:sz w:val="32"/>
          <w:szCs w:val="32"/>
        </w:rPr>
        <w:t>市级产业支持政策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要求的项目</w:t>
      </w:r>
      <w:r>
        <w:rPr>
          <w:rFonts w:hint="eastAsia" w:ascii="仿宋_GB2312" w:hAnsi="仿宋_GB2312" w:eastAsia="仿宋_GB2312" w:cs="仿宋_GB2312"/>
          <w:sz w:val="32"/>
          <w:szCs w:val="32"/>
        </w:rPr>
        <w:t>给予补助支持</w:t>
      </w:r>
      <w:r>
        <w:rPr>
          <w:rStyle w:val="20"/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积极争取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国家、</w:t>
      </w:r>
      <w:r>
        <w:rPr>
          <w:rFonts w:hint="eastAsia" w:ascii="仿宋_GB2312" w:hAnsi="仿宋_GB2312" w:eastAsia="仿宋_GB2312" w:cs="仿宋_GB2312"/>
          <w:sz w:val="32"/>
          <w:szCs w:val="32"/>
        </w:rPr>
        <w:t>省级专项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政策</w:t>
      </w:r>
      <w:r>
        <w:rPr>
          <w:rFonts w:hint="eastAsia" w:ascii="仿宋_GB2312" w:hAnsi="仿宋_GB2312" w:eastAsia="仿宋_GB2312" w:cs="仿宋_GB2312"/>
          <w:sz w:val="32"/>
          <w:szCs w:val="32"/>
        </w:rPr>
        <w:t>资金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支持</w:t>
      </w:r>
      <w:r>
        <w:rPr>
          <w:rFonts w:hint="eastAsia" w:ascii="仿宋_GB2312" w:hAnsi="仿宋_GB2312" w:eastAsia="仿宋_GB2312" w:cs="仿宋_GB2312"/>
          <w:sz w:val="32"/>
          <w:szCs w:val="32"/>
        </w:rPr>
        <w:t>。发挥碳减排支持工具的撬动作用，引导金融机构加大绿色低碳转型重点领域融资投放力度，支持企业通过绿色债券等渠道拓宽融资来源。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〔责任单位：市经信局、市发展改革委、市财政局、市生态环境局、人行温州市分行〕</w:t>
      </w:r>
    </w:p>
    <w:p>
      <w:pPr>
        <w:topLinePunct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（三）加强技术支撑。</w:t>
      </w:r>
      <w:r>
        <w:rPr>
          <w:rFonts w:hint="eastAsia" w:ascii="仿宋_GB2312" w:hAnsi="仿宋_GB2312" w:eastAsia="仿宋_GB2312" w:cs="仿宋_GB2312"/>
          <w:sz w:val="32"/>
          <w:szCs w:val="32"/>
        </w:rPr>
        <w:t>培育节能减碳综合服务商，发展一批具备节能诊断、技术改造、能碳管理能力的优质机构，为企业提供一体化服务。组织行业技术推广活动，搭建用能企业与服务商交流合作平台。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〔责任单位：市发展改革委、市经信局、市生态环境局〕</w:t>
      </w:r>
    </w:p>
    <w:p>
      <w:pPr>
        <w:topLinePunct/>
        <w:spacing w:line="60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（四）加强示范引领。</w:t>
      </w:r>
      <w:r>
        <w:rPr>
          <w:rFonts w:hint="eastAsia" w:ascii="仿宋_GB2312" w:hAnsi="仿宋_GB2312" w:eastAsia="仿宋_GB2312" w:cs="仿宋_GB2312"/>
          <w:sz w:val="32"/>
          <w:szCs w:val="32"/>
        </w:rPr>
        <w:t>深入挖掘各行业节能降碳改造优秀案例，总结推广成熟模式和先进经验，积极推荐申报省级节能降碳新技术、新产品、新装备。培育一批绿色工厂、零碳工厂，形成可复制推广的节能减碳改造模式。</w:t>
      </w:r>
      <w:r>
        <w:rPr>
          <w:rFonts w:hint="eastAsia" w:ascii="楷体_GB2312" w:hAnsi="楷体_GB2312" w:eastAsia="楷体_GB2312" w:cs="楷体_GB2312"/>
          <w:sz w:val="32"/>
          <w:szCs w:val="32"/>
        </w:rPr>
        <w:t>〔责任单位：市经信局、市发展改革委、市生态环境局〕</w:t>
      </w:r>
    </w:p>
    <w:p>
      <w:pPr>
        <w:pStyle w:val="2"/>
        <w:rPr>
          <w:rFonts w:hint="eastAsia"/>
        </w:rPr>
      </w:pPr>
    </w:p>
    <w:p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  <w:sectPr>
          <w:footerReference r:id="rId3" w:type="default"/>
          <w:pgSz w:w="11905" w:h="16838"/>
          <w:pgMar w:top="1134" w:right="1134" w:bottom="1134" w:left="1134" w:header="851" w:footer="794" w:gutter="0"/>
          <w:paperSrc/>
          <w:pgNumType w:fmt="numberInDash"/>
          <w:cols w:space="0" w:num="1"/>
          <w:rtlGutter w:val="0"/>
          <w:docGrid w:type="lines" w:linePitch="321" w:charSpace="0"/>
        </w:sectPr>
      </w:pPr>
    </w:p>
    <w:p>
      <w:pPr>
        <w:adjustRightInd w:val="0"/>
        <w:snapToGrid w:val="0"/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</w:rPr>
        <w:t>：企业降碳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情况</w:t>
      </w:r>
      <w:r>
        <w:rPr>
          <w:rFonts w:hint="eastAsia" w:ascii="仿宋_GB2312" w:hAnsi="仿宋_GB2312" w:eastAsia="仿宋_GB2312" w:cs="仿宋_GB2312"/>
          <w:sz w:val="32"/>
          <w:szCs w:val="32"/>
        </w:rPr>
        <w:t>表</w:t>
      </w:r>
    </w:p>
    <w:p>
      <w:pPr>
        <w:topLinePunct/>
        <w:spacing w:line="560" w:lineRule="exact"/>
        <w:jc w:val="center"/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  <w:lang w:bidi="ar"/>
        </w:rPr>
      </w:pPr>
      <w:r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  <w:lang w:bidi="ar"/>
        </w:rPr>
        <w:t>企业</w:t>
      </w:r>
      <w:r>
        <w:rPr>
          <w:rFonts w:hint="eastAsia" w:ascii="Times New Roman" w:hAnsi="Times New Roman" w:eastAsia="方正小标宋简体" w:cs="Times New Roman"/>
          <w:color w:val="000000"/>
          <w:kern w:val="0"/>
          <w:sz w:val="36"/>
          <w:szCs w:val="36"/>
          <w:lang w:bidi="ar"/>
        </w:rPr>
        <w:t>降碳</w:t>
      </w:r>
      <w:r>
        <w:rPr>
          <w:rFonts w:hint="eastAsia" w:ascii="Times New Roman" w:hAnsi="Times New Roman" w:eastAsia="方正小标宋简体" w:cs="Times New Roman"/>
          <w:color w:val="000000"/>
          <w:kern w:val="0"/>
          <w:sz w:val="36"/>
          <w:szCs w:val="36"/>
          <w:lang w:eastAsia="zh-CN" w:bidi="ar"/>
        </w:rPr>
        <w:t>情况</w:t>
      </w:r>
      <w:r>
        <w:rPr>
          <w:rFonts w:ascii="Times New Roman" w:hAnsi="Times New Roman" w:eastAsia="方正小标宋简体" w:cs="Times New Roman"/>
          <w:color w:val="000000"/>
          <w:kern w:val="0"/>
          <w:sz w:val="36"/>
          <w:szCs w:val="36"/>
          <w:lang w:bidi="ar"/>
        </w:rPr>
        <w:t>表</w:t>
      </w:r>
    </w:p>
    <w:tbl>
      <w:tblPr>
        <w:tblStyle w:val="16"/>
        <w:tblW w:w="143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900"/>
        <w:gridCol w:w="750"/>
        <w:gridCol w:w="960"/>
        <w:gridCol w:w="960"/>
        <w:gridCol w:w="765"/>
        <w:gridCol w:w="975"/>
        <w:gridCol w:w="975"/>
        <w:gridCol w:w="720"/>
        <w:gridCol w:w="810"/>
        <w:gridCol w:w="945"/>
        <w:gridCol w:w="720"/>
        <w:gridCol w:w="795"/>
        <w:gridCol w:w="975"/>
        <w:gridCol w:w="960"/>
        <w:gridCol w:w="902"/>
        <w:gridCol w:w="77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65" w:type="dxa"/>
            <w:vMerge w:val="restart"/>
            <w:tcBorders>
              <w:top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900" w:type="dxa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县（市、区）</w:t>
            </w:r>
          </w:p>
        </w:tc>
        <w:tc>
          <w:tcPr>
            <w:tcW w:w="9375" w:type="dxa"/>
            <w:gridSpan w:val="11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三年目标</w:t>
            </w:r>
          </w:p>
        </w:tc>
        <w:tc>
          <w:tcPr>
            <w:tcW w:w="1935" w:type="dxa"/>
            <w:gridSpan w:val="2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2026年</w:t>
            </w:r>
          </w:p>
        </w:tc>
        <w:tc>
          <w:tcPr>
            <w:tcW w:w="902" w:type="dxa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2027年</w:t>
            </w:r>
          </w:p>
        </w:tc>
        <w:tc>
          <w:tcPr>
            <w:tcW w:w="776" w:type="dxa"/>
            <w:vMerge w:val="restart"/>
            <w:tcBorders>
              <w:top w:val="single" w:color="000000" w:sz="12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2028年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465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</w:p>
        </w:tc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</w:p>
        </w:tc>
        <w:tc>
          <w:tcPr>
            <w:tcW w:w="343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合计</w:t>
            </w:r>
          </w:p>
        </w:tc>
        <w:tc>
          <w:tcPr>
            <w:tcW w:w="348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省下达碳效第三档企业</w:t>
            </w:r>
          </w:p>
        </w:tc>
        <w:tc>
          <w:tcPr>
            <w:tcW w:w="24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扩围企业</w:t>
            </w:r>
          </w:p>
        </w:tc>
        <w:tc>
          <w:tcPr>
            <w:tcW w:w="193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</w:p>
        </w:tc>
        <w:tc>
          <w:tcPr>
            <w:tcW w:w="9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  <w:jc w:val="center"/>
        </w:trPr>
        <w:tc>
          <w:tcPr>
            <w:tcW w:w="465" w:type="dxa"/>
            <w:vMerge w:val="continue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</w:p>
        </w:tc>
        <w:tc>
          <w:tcPr>
            <w:tcW w:w="9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降碳目标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储备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降碳量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改造企业数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项目个数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省下达企业数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改造企业数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项目个数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降碳量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Style w:val="21"/>
                <w:rFonts w:hint="default" w:ascii="Times New Roman" w:hAnsi="Times New Roman" w:cs="Times New Roman"/>
                <w:sz w:val="24"/>
                <w:szCs w:val="24"/>
                <w:lang w:bidi="ar"/>
              </w:rPr>
              <w:t>改造企业数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项目个数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降碳量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上半年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 w:val="24"/>
                <w:lang w:bidi="ar"/>
              </w:rPr>
              <w:t>下半年</w:t>
            </w:r>
          </w:p>
        </w:tc>
        <w:tc>
          <w:tcPr>
            <w:tcW w:w="9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</w:p>
        </w:tc>
        <w:tc>
          <w:tcPr>
            <w:tcW w:w="7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spacing w:line="360" w:lineRule="exact"/>
              <w:jc w:val="center"/>
              <w:rPr>
                <w:rFonts w:ascii="Times New Roman" w:hAnsi="Times New Roman" w:eastAsia="黑体" w:cs="Times New Roman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温州市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84.94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186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213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31.23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53.71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4.92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20.54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29.14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30.34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鹿城区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1.62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1.30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0.32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0.32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龙湾区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18.39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11.75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6.64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1.76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5.90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3.35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7.38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瓯海区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0.48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0.22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0.20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5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洞头区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</w:rPr>
              <w:t>—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</w:rPr>
              <w:t>—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</w:rPr>
              <w:t>—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0.21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0.38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6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海经区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1.12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0.25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0.87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0.58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0.29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0.25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7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乐清市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15.30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0.77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14.53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4.65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6.57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3.53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8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瑞安市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16.24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10.66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5.58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3.10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3.45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9.68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9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永嘉县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4.46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2.07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2.39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0.62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1.07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2.77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10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文成县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0.05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0.50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0.05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11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平阳县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5.65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1.11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4.54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1.37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0.56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1.10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2.62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12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泰顺县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0.60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</w:rPr>
              <w:t>—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</w:rPr>
              <w:t>—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Times New Roman" w:hAnsi="Times New Roman" w:eastAsia="仿宋_GB2312" w:cs="Times New Roman"/>
                <w:color w:val="000000"/>
                <w:sz w:val="24"/>
              </w:rPr>
              <w:t>—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0.60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0.12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0.12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0.18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13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苍南县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3.42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0.48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2.93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0.129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1.31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0.09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1.89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65" w:type="dxa"/>
            <w:tcBorders>
              <w:top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14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龙港市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76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2.32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13.68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0.66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2.77</w:t>
            </w:r>
          </w:p>
        </w:tc>
        <w:tc>
          <w:tcPr>
            <w:tcW w:w="902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12.40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</w:tcBorders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0.17</w:t>
            </w:r>
          </w:p>
        </w:tc>
      </w:tr>
    </w:tbl>
    <w:p>
      <w:pPr>
        <w:topLinePunct/>
        <w:spacing w:line="440" w:lineRule="exact"/>
        <w:rPr>
          <w:rFonts w:hint="eastAsia" w:ascii="仿宋_GB2312" w:hAnsi="仿宋_GB2312" w:eastAsia="仿宋_GB2312" w:cs="仿宋_GB2312"/>
          <w:color w:val="000000"/>
          <w:kern w:val="0"/>
          <w:sz w:val="24"/>
          <w:lang w:bidi="ar"/>
        </w:rPr>
        <w:sectPr>
          <w:pgSz w:w="16838" w:h="11905" w:orient="landscape"/>
          <w:pgMar w:top="1134" w:right="1134" w:bottom="1134" w:left="1134" w:header="851" w:footer="794" w:gutter="0"/>
          <w:paperSrc/>
          <w:pgNumType w:fmt="numberInDash"/>
          <w:cols w:space="0" w:num="1"/>
          <w:rtlGutter w:val="0"/>
          <w:docGrid w:type="lines" w:linePitch="321" w:charSpace="0"/>
        </w:sectPr>
      </w:pPr>
      <w:r>
        <w:rPr>
          <w:rFonts w:hint="eastAsia" w:ascii="仿宋_GB2312" w:hAnsi="仿宋_GB2312" w:eastAsia="仿宋_GB2312" w:cs="仿宋_GB2312"/>
          <w:color w:val="000000"/>
          <w:kern w:val="0"/>
          <w:sz w:val="24"/>
          <w:lang w:bidi="ar"/>
        </w:rPr>
        <w:t>注：101家省下达企业中，3家原料用能为主企业，1家为新建统调电</w:t>
      </w:r>
    </w:p>
    <w:p>
      <w:pPr>
        <w:spacing w:line="560" w:lineRule="exact"/>
        <w:ind w:firstLine="0" w:firstLineChars="0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4" w:type="default"/>
      <w:pgSz w:w="16838" w:h="11905" w:orient="landscape"/>
      <w:pgMar w:top="1134" w:right="1134" w:bottom="1134" w:left="1134" w:header="851" w:footer="794" w:gutter="0"/>
      <w:paperSrc/>
      <w:pgNumType w:fmt="numberInDash"/>
      <w:cols w:space="0" w:num="1"/>
      <w:rtlGutter w:val="0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BYAAABkcnMvUEsBAhQAFAAAAAgAh07iQM6pebnPAAAABQEAAA8AAAAAAAAAAQAgAAAAOAAA&#10;AGRycy9kb3ducmV2LnhtbFBLAQIUABQAAAAIAIdO4kBnzOrywgEAAI0DAAAOAAAAAAAAAAEAIAAA&#10;ADQBAABkcnMvZTJvRG9jLnhtbFBLBQYAAAAABgAGAFkBAABo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BYAAABkcnMvUEsBAhQAFAAAAAgAh07iQM6pebnPAAAABQEAAA8AAAAAAAAAAQAgAAAAOAAA&#10;AGRycy9kb3ducmV2LnhtbFBLAQIUABQAAAAIAIdO4kDYkWXKwgEAAI0DAAAOAAAAAAAAAAEAIAAA&#10;ADQBAABkcnMvZTJvRG9jLnhtbFBLBQYAAAAABgAGAFkBAABo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60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KGWebUrl" w:val="https://oa.wenzhou.gov.cn/weaver/weaver.file.FileDownloadForNews?uuid=de7599e1-2347-4b5b-bfb4-9d17087ab877&amp;fileid=15453539&amp;type=document&amp;isofficeview=0"/>
  </w:docVars>
  <w:rsids>
    <w:rsidRoot w:val="68CC5509"/>
    <w:rsid w:val="0005012A"/>
    <w:rsid w:val="003D3E14"/>
    <w:rsid w:val="004C1D4D"/>
    <w:rsid w:val="00524423"/>
    <w:rsid w:val="00525D3B"/>
    <w:rsid w:val="009709F5"/>
    <w:rsid w:val="00DC6028"/>
    <w:rsid w:val="00E67803"/>
    <w:rsid w:val="00EF771B"/>
    <w:rsid w:val="00F64EE7"/>
    <w:rsid w:val="082363B0"/>
    <w:rsid w:val="0EFB2B71"/>
    <w:rsid w:val="0FB50BFB"/>
    <w:rsid w:val="18C441FD"/>
    <w:rsid w:val="19ABE20B"/>
    <w:rsid w:val="1FE4DE53"/>
    <w:rsid w:val="2CDC5478"/>
    <w:rsid w:val="2D2D7013"/>
    <w:rsid w:val="2EFD8BA5"/>
    <w:rsid w:val="2F7DF80D"/>
    <w:rsid w:val="2F7E5CD0"/>
    <w:rsid w:val="35F6AD3B"/>
    <w:rsid w:val="38FD5FFF"/>
    <w:rsid w:val="3D4B53F5"/>
    <w:rsid w:val="3E597E83"/>
    <w:rsid w:val="3E5D5701"/>
    <w:rsid w:val="3F6FD28E"/>
    <w:rsid w:val="3F7C5CE8"/>
    <w:rsid w:val="3FA71778"/>
    <w:rsid w:val="509C121B"/>
    <w:rsid w:val="55FB2676"/>
    <w:rsid w:val="5A703810"/>
    <w:rsid w:val="5FB33E1F"/>
    <w:rsid w:val="5FDBDA66"/>
    <w:rsid w:val="62633BCF"/>
    <w:rsid w:val="62AF4966"/>
    <w:rsid w:val="642B1898"/>
    <w:rsid w:val="64564488"/>
    <w:rsid w:val="649C49AB"/>
    <w:rsid w:val="64B25B7A"/>
    <w:rsid w:val="652637E1"/>
    <w:rsid w:val="68CC5509"/>
    <w:rsid w:val="6BCF00B8"/>
    <w:rsid w:val="6FFF0D06"/>
    <w:rsid w:val="756C2525"/>
    <w:rsid w:val="75DA347F"/>
    <w:rsid w:val="76DC36BD"/>
    <w:rsid w:val="7768D3DB"/>
    <w:rsid w:val="77FD6840"/>
    <w:rsid w:val="78F5BCFE"/>
    <w:rsid w:val="79F7E2E2"/>
    <w:rsid w:val="7BDD8C4D"/>
    <w:rsid w:val="7D291021"/>
    <w:rsid w:val="7DFF04BF"/>
    <w:rsid w:val="7E442645"/>
    <w:rsid w:val="7E7B884A"/>
    <w:rsid w:val="7EDD26F2"/>
    <w:rsid w:val="7FEF40E2"/>
    <w:rsid w:val="8BFEF192"/>
    <w:rsid w:val="977EC195"/>
    <w:rsid w:val="98BB1695"/>
    <w:rsid w:val="9FEB45EF"/>
    <w:rsid w:val="A7FBD55B"/>
    <w:rsid w:val="B7AFFAA6"/>
    <w:rsid w:val="BB7D27CB"/>
    <w:rsid w:val="BEDEFA36"/>
    <w:rsid w:val="D7DE347E"/>
    <w:rsid w:val="E561D34D"/>
    <w:rsid w:val="E7BFB119"/>
    <w:rsid w:val="EABC3A94"/>
    <w:rsid w:val="EFBD1BEF"/>
    <w:rsid w:val="F7BBB3DC"/>
    <w:rsid w:val="F7BDB461"/>
    <w:rsid w:val="F7BDEEDD"/>
    <w:rsid w:val="FA615136"/>
    <w:rsid w:val="FAE1FD93"/>
    <w:rsid w:val="FEBF064E"/>
    <w:rsid w:val="FED7081F"/>
    <w:rsid w:val="FF199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iPriority="99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 w:eastAsia="宋体" w:cs="Times New Roman"/>
      <w:b/>
      <w:bCs/>
      <w:kern w:val="0"/>
      <w:sz w:val="27"/>
      <w:szCs w:val="27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ind w:firstLine="40"/>
    </w:pPr>
    <w:rPr>
      <w:rFonts w:ascii="Calibri" w:hAnsi="仿宋_GB2312" w:eastAsia="仿宋" w:cs="仿宋_GB2312"/>
    </w:rPr>
  </w:style>
  <w:style w:type="paragraph" w:styleId="3">
    <w:name w:val="Body Text Indent"/>
    <w:basedOn w:val="1"/>
    <w:next w:val="4"/>
    <w:qFormat/>
    <w:uiPriority w:val="0"/>
    <w:pPr>
      <w:spacing w:line="560" w:lineRule="exact"/>
      <w:ind w:firstLine="640" w:firstLineChars="200"/>
    </w:pPr>
    <w:rPr>
      <w:rFonts w:ascii="仿宋_GB2312" w:hAnsi="Times New Roman" w:eastAsia="仿宋_GB2312" w:cs="Calibri"/>
      <w:sz w:val="32"/>
      <w:szCs w:val="32"/>
    </w:rPr>
  </w:style>
  <w:style w:type="paragraph" w:styleId="4">
    <w:name w:val="Normal Indent"/>
    <w:basedOn w:val="1"/>
    <w:next w:val="5"/>
    <w:qFormat/>
    <w:uiPriority w:val="0"/>
    <w:pPr>
      <w:ind w:firstLine="420" w:firstLineChars="200"/>
    </w:pPr>
    <w:rPr>
      <w:rFonts w:ascii="Calibri" w:hAnsi="Calibri" w:eastAsia="宋体" w:cs="Times New Roman"/>
      <w:szCs w:val="21"/>
    </w:rPr>
  </w:style>
  <w:style w:type="paragraph" w:styleId="5">
    <w:name w:val="index 5"/>
    <w:basedOn w:val="1"/>
    <w:next w:val="1"/>
    <w:qFormat/>
    <w:uiPriority w:val="0"/>
    <w:pPr>
      <w:ind w:left="1680"/>
    </w:pPr>
    <w:rPr>
      <w:rFonts w:ascii="Times New Roman" w:hAnsi="Times New Roman" w:eastAsia="宋体" w:cs="Times New Roman"/>
    </w:rPr>
  </w:style>
  <w:style w:type="paragraph" w:styleId="7">
    <w:name w:val="caption"/>
    <w:basedOn w:val="1"/>
    <w:next w:val="1"/>
    <w:qFormat/>
    <w:uiPriority w:val="0"/>
    <w:pPr>
      <w:suppressLineNumbers/>
      <w:spacing w:before="120" w:after="120"/>
    </w:pPr>
    <w:rPr>
      <w:i/>
      <w:iCs/>
      <w:sz w:val="24"/>
    </w:rPr>
  </w:style>
  <w:style w:type="paragraph" w:styleId="8">
    <w:name w:val="annotation text"/>
    <w:basedOn w:val="1"/>
    <w:link w:val="24"/>
    <w:qFormat/>
    <w:uiPriority w:val="0"/>
    <w:pPr>
      <w:jc w:val="left"/>
    </w:pPr>
  </w:style>
  <w:style w:type="paragraph" w:styleId="9">
    <w:name w:val="Body Text"/>
    <w:basedOn w:val="1"/>
    <w:next w:val="10"/>
    <w:qFormat/>
    <w:uiPriority w:val="0"/>
    <w:pPr>
      <w:spacing w:after="140" w:line="276" w:lineRule="auto"/>
    </w:pPr>
  </w:style>
  <w:style w:type="paragraph" w:styleId="10">
    <w:name w:val="Body Text 2"/>
    <w:next w:val="9"/>
    <w:unhideWhenUsed/>
    <w:qFormat/>
    <w:uiPriority w:val="99"/>
    <w:pPr>
      <w:widowControl w:val="0"/>
      <w:spacing w:after="120" w:line="480" w:lineRule="auto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Normal (Web)"/>
    <w:basedOn w:val="1"/>
    <w:qFormat/>
    <w:uiPriority w:val="0"/>
    <w:rPr>
      <w:sz w:val="24"/>
    </w:rPr>
  </w:style>
  <w:style w:type="paragraph" w:styleId="14">
    <w:name w:val="annotation subject"/>
    <w:basedOn w:val="8"/>
    <w:next w:val="8"/>
    <w:link w:val="25"/>
    <w:qFormat/>
    <w:uiPriority w:val="0"/>
    <w:rPr>
      <w:b/>
      <w:bCs/>
    </w:rPr>
  </w:style>
  <w:style w:type="paragraph" w:styleId="15">
    <w:name w:val="Body Text First Indent"/>
    <w:basedOn w:val="9"/>
    <w:next w:val="1"/>
    <w:unhideWhenUsed/>
    <w:qFormat/>
    <w:uiPriority w:val="99"/>
    <w:pPr>
      <w:ind w:firstLine="420" w:firstLineChars="100"/>
    </w:pPr>
  </w:style>
  <w:style w:type="table" w:styleId="17">
    <w:name w:val="Table Grid"/>
    <w:basedOn w:val="1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9">
    <w:name w:val="Strong"/>
    <w:basedOn w:val="18"/>
    <w:qFormat/>
    <w:uiPriority w:val="0"/>
    <w:rPr>
      <w:b/>
    </w:rPr>
  </w:style>
  <w:style w:type="character" w:styleId="20">
    <w:name w:val="annotation reference"/>
    <w:basedOn w:val="18"/>
    <w:qFormat/>
    <w:uiPriority w:val="0"/>
    <w:rPr>
      <w:sz w:val="21"/>
      <w:szCs w:val="21"/>
    </w:rPr>
  </w:style>
  <w:style w:type="character" w:customStyle="1" w:styleId="21">
    <w:name w:val="font41"/>
    <w:basedOn w:val="18"/>
    <w:qFormat/>
    <w:uiPriority w:val="0"/>
    <w:rPr>
      <w:rFonts w:hint="eastAsia" w:ascii="黑体" w:hAnsi="宋体" w:eastAsia="黑体" w:cs="黑体"/>
      <w:color w:val="000000"/>
      <w:sz w:val="21"/>
      <w:szCs w:val="21"/>
      <w:u w:val="none"/>
    </w:rPr>
  </w:style>
  <w:style w:type="character" w:customStyle="1" w:styleId="22">
    <w:name w:val="font142"/>
    <w:basedOn w:val="18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23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customStyle="1" w:styleId="24">
    <w:name w:val="批注文字 字符"/>
    <w:basedOn w:val="18"/>
    <w:link w:val="8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5">
    <w:name w:val="批注主题 字符"/>
    <w:basedOn w:val="24"/>
    <w:link w:val="14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55</Pages>
  <Words>20666</Words>
  <Characters>29346</Characters>
  <Lines>5869</Lines>
  <Paragraphs>5001</Paragraphs>
  <TotalTime>8</TotalTime>
  <ScaleCrop>false</ScaleCrop>
  <LinksUpToDate>false</LinksUpToDate>
  <CharactersWithSpaces>45011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2026-08-12T15:04:00Z</dcterms:created>
  <dc:creator>71543</dc:creator>
  <cp:lastModifiedBy>greatwall</cp:lastModifiedBy>
  <dcterms:modified xsi:type="dcterms:W3CDTF">2026-09-03T10:35:20Z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4FAEC2E728B27706039B976ADB5D27E8</vt:lpwstr>
  </property>
</Properties>
</file>