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20" w:beforeAutospacing="0" w:after="120" w:afterAutospacing="0" w:line="360" w:lineRule="atLeast"/>
        <w:ind w:right="0"/>
        <w:jc w:val="left"/>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附件</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20" w:beforeAutospacing="0" w:after="120" w:afterAutospacing="0" w:line="360" w:lineRule="atLeast"/>
        <w:ind w:right="0"/>
        <w:jc w:val="center"/>
        <w:rPr>
          <w:rFonts w:hint="eastAsia" w:ascii="仿宋_GB2312" w:hAnsi="仿宋_GB2312" w:eastAsia="仿宋_GB2312" w:cs="仿宋_GB2312"/>
          <w:b w:val="0"/>
          <w:bCs w:val="0"/>
          <w:sz w:val="30"/>
          <w:szCs w:val="30"/>
          <w:lang w:val="en-US" w:eastAsia="zh-CN"/>
        </w:rPr>
      </w:pPr>
      <w:bookmarkStart w:id="0" w:name="_GoBack"/>
      <w:r>
        <w:rPr>
          <w:rFonts w:hint="eastAsia" w:ascii="黑体" w:hAnsi="黑体" w:eastAsia="黑体" w:cs="黑体"/>
          <w:b w:val="0"/>
          <w:bCs w:val="0"/>
          <w:sz w:val="30"/>
          <w:szCs w:val="30"/>
          <w:highlight w:val="none"/>
          <w:lang w:val="en-US" w:eastAsia="zh-CN"/>
        </w:rPr>
        <w:t>架空线路</w:t>
      </w:r>
      <w:r>
        <w:rPr>
          <w:rFonts w:hint="eastAsia" w:ascii="黑体" w:hAnsi="黑体" w:eastAsia="黑体" w:cs="黑体"/>
          <w:b w:val="0"/>
          <w:bCs w:val="0"/>
          <w:sz w:val="30"/>
          <w:szCs w:val="30"/>
          <w:lang w:val="en-US" w:eastAsia="zh-CN"/>
        </w:rPr>
        <w:t>高可靠性供电费标准</w:t>
      </w:r>
    </w:p>
    <w:bookmarkEnd w:id="0"/>
    <w:tbl>
      <w:tblPr>
        <w:tblStyle w:val="4"/>
        <w:tblW w:w="8338"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302"/>
        <w:gridCol w:w="3044"/>
        <w:gridCol w:w="2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4" w:hRule="atLeast"/>
        </w:trPr>
        <w:tc>
          <w:tcPr>
            <w:tcW w:w="2302" w:type="dxa"/>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80" w:lineRule="exact"/>
              <w:ind w:right="0" w:rightChars="0"/>
              <w:jc w:val="center"/>
              <w:textAlignment w:val="auto"/>
              <w:outlineLvl w:val="9"/>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用户受电电压等级（千伏）</w:t>
            </w:r>
          </w:p>
        </w:tc>
        <w:tc>
          <w:tcPr>
            <w:tcW w:w="3044" w:type="dxa"/>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80" w:lineRule="exact"/>
              <w:ind w:left="0" w:leftChars="0" w:right="0" w:rightChars="0" w:firstLine="480" w:firstLineChars="200"/>
              <w:jc w:val="center"/>
              <w:textAlignment w:val="auto"/>
              <w:outlineLvl w:val="9"/>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用户应缴纳的费用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80" w:lineRule="exact"/>
              <w:ind w:left="0" w:leftChars="0" w:right="0" w:rightChars="0" w:firstLine="480" w:firstLineChars="200"/>
              <w:jc w:val="center"/>
              <w:textAlignment w:val="auto"/>
              <w:outlineLvl w:val="9"/>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（元/千伏安）</w:t>
            </w:r>
          </w:p>
        </w:tc>
        <w:tc>
          <w:tcPr>
            <w:tcW w:w="2992" w:type="dxa"/>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80" w:lineRule="exact"/>
              <w:ind w:right="0" w:rightChars="0"/>
              <w:jc w:val="center"/>
              <w:textAlignment w:val="auto"/>
              <w:outlineLvl w:val="9"/>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自建本级电压外部供电工程应交纳费用（元/千伏安）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2" w:hRule="atLeast"/>
        </w:trPr>
        <w:tc>
          <w:tcPr>
            <w:tcW w:w="230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rPr>
              <w:t>0.38/0.22</w:t>
            </w:r>
          </w:p>
        </w:tc>
        <w:tc>
          <w:tcPr>
            <w:tcW w:w="3044"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cs="Times New Roman"/>
                <w:i w:val="0"/>
                <w:color w:val="000000"/>
                <w:sz w:val="24"/>
                <w:szCs w:val="24"/>
                <w:u w:val="none"/>
                <w:lang w:val="en-US" w:eastAsia="zh-CN"/>
              </w:rPr>
              <w:t>119</w:t>
            </w:r>
          </w:p>
        </w:tc>
        <w:tc>
          <w:tcPr>
            <w:tcW w:w="299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lang w:val="en-US"/>
              </w:rPr>
            </w:pPr>
            <w:r>
              <w:rPr>
                <w:rFonts w:hint="default" w:ascii="Times New Roman" w:hAnsi="Times New Roman" w:cs="Times New Roman"/>
                <w:i w:val="0"/>
                <w:color w:val="000000"/>
                <w:kern w:val="0"/>
                <w:sz w:val="24"/>
                <w:szCs w:val="24"/>
                <w:u w:val="none"/>
                <w:lang w:val="en-US" w:eastAsia="zh-CN"/>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2" w:hRule="atLeast"/>
        </w:trPr>
        <w:tc>
          <w:tcPr>
            <w:tcW w:w="230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rPr>
              <w:t>10</w:t>
            </w:r>
          </w:p>
        </w:tc>
        <w:tc>
          <w:tcPr>
            <w:tcW w:w="3044"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lang w:val="en-US"/>
              </w:rPr>
            </w:pPr>
            <w:r>
              <w:rPr>
                <w:rFonts w:hint="default" w:ascii="Times New Roman" w:hAnsi="Times New Roman" w:cs="Times New Roman"/>
                <w:i w:val="0"/>
                <w:color w:val="000000"/>
                <w:kern w:val="0"/>
                <w:sz w:val="24"/>
                <w:szCs w:val="24"/>
                <w:u w:val="none"/>
                <w:lang w:val="en-US" w:eastAsia="zh-CN"/>
              </w:rPr>
              <w:t>97</w:t>
            </w:r>
          </w:p>
        </w:tc>
        <w:tc>
          <w:tcPr>
            <w:tcW w:w="299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lang w:val="en-US"/>
              </w:rPr>
            </w:pPr>
            <w:r>
              <w:rPr>
                <w:rFonts w:hint="default" w:ascii="Times New Roman" w:hAnsi="Times New Roman" w:cs="Times New Roman"/>
                <w:i w:val="0"/>
                <w:color w:val="000000"/>
                <w:kern w:val="0"/>
                <w:sz w:val="24"/>
                <w:szCs w:val="24"/>
                <w:u w:val="none"/>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2" w:hRule="atLeast"/>
        </w:trPr>
        <w:tc>
          <w:tcPr>
            <w:tcW w:w="230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rPr>
              <w:t>35</w:t>
            </w:r>
          </w:p>
        </w:tc>
        <w:tc>
          <w:tcPr>
            <w:tcW w:w="3044"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lang w:val="en-US"/>
              </w:rPr>
            </w:pPr>
            <w:r>
              <w:rPr>
                <w:rFonts w:hint="default" w:ascii="Times New Roman" w:hAnsi="Times New Roman" w:cs="Times New Roman"/>
                <w:i w:val="0"/>
                <w:color w:val="000000"/>
                <w:kern w:val="0"/>
                <w:sz w:val="24"/>
                <w:szCs w:val="24"/>
                <w:u w:val="none"/>
                <w:lang w:val="en-US" w:eastAsia="zh-CN"/>
              </w:rPr>
              <w:t>75</w:t>
            </w:r>
          </w:p>
        </w:tc>
        <w:tc>
          <w:tcPr>
            <w:tcW w:w="299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lang w:val="en-US"/>
              </w:rPr>
            </w:pPr>
            <w:r>
              <w:rPr>
                <w:rFonts w:hint="default" w:ascii="Times New Roman" w:hAnsi="Times New Roman" w:cs="Times New Roman"/>
                <w:i w:val="0"/>
                <w:color w:val="000000"/>
                <w:kern w:val="0"/>
                <w:sz w:val="24"/>
                <w:szCs w:val="24"/>
                <w:u w:val="none"/>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2" w:hRule="atLeast"/>
        </w:trPr>
        <w:tc>
          <w:tcPr>
            <w:tcW w:w="230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cs="Times New Roman"/>
                <w:i w:val="0"/>
                <w:color w:val="000000"/>
                <w:kern w:val="0"/>
                <w:sz w:val="24"/>
                <w:szCs w:val="24"/>
                <w:u w:val="none"/>
                <w:lang w:val="en-US" w:eastAsia="zh-CN"/>
              </w:rPr>
            </w:pPr>
            <w:r>
              <w:rPr>
                <w:rFonts w:hint="default" w:ascii="Times New Roman" w:hAnsi="Times New Roman" w:cs="Times New Roman"/>
                <w:i w:val="0"/>
                <w:color w:val="000000"/>
                <w:kern w:val="0"/>
                <w:sz w:val="24"/>
                <w:szCs w:val="24"/>
                <w:u w:val="none"/>
                <w:lang w:val="en-US" w:eastAsia="zh-CN"/>
              </w:rPr>
              <w:t>110</w:t>
            </w:r>
          </w:p>
        </w:tc>
        <w:tc>
          <w:tcPr>
            <w:tcW w:w="3044"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cs="Times New Roman"/>
                <w:i w:val="0"/>
                <w:color w:val="000000"/>
                <w:kern w:val="0"/>
                <w:sz w:val="24"/>
                <w:szCs w:val="24"/>
                <w:u w:val="none"/>
                <w:lang w:val="en-US" w:eastAsia="zh-CN"/>
              </w:rPr>
            </w:pPr>
            <w:r>
              <w:rPr>
                <w:rFonts w:hint="default" w:ascii="Times New Roman" w:hAnsi="Times New Roman" w:cs="Times New Roman"/>
                <w:i w:val="0"/>
                <w:color w:val="000000"/>
                <w:kern w:val="0"/>
                <w:sz w:val="24"/>
                <w:szCs w:val="24"/>
                <w:u w:val="none"/>
                <w:lang w:val="en-US" w:eastAsia="zh-CN"/>
              </w:rPr>
              <w:t>40</w:t>
            </w:r>
          </w:p>
        </w:tc>
        <w:tc>
          <w:tcPr>
            <w:tcW w:w="299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sz w:val="24"/>
                <w:szCs w:val="24"/>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7" w:hRule="atLeast"/>
        </w:trPr>
        <w:tc>
          <w:tcPr>
            <w:tcW w:w="230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eastAsia="宋体" w:cs="Times New Roman"/>
                <w:i w:val="0"/>
                <w:color w:val="000000"/>
                <w:kern w:val="0"/>
                <w:sz w:val="24"/>
                <w:szCs w:val="24"/>
                <w:u w:val="none"/>
                <w:lang w:val="en-US" w:eastAsia="zh-CN"/>
              </w:rPr>
            </w:pPr>
            <w:r>
              <w:rPr>
                <w:rFonts w:hint="default" w:ascii="Times New Roman" w:hAnsi="Times New Roman" w:cs="Times New Roman"/>
                <w:i w:val="0"/>
                <w:color w:val="000000"/>
                <w:kern w:val="0"/>
                <w:sz w:val="24"/>
                <w:szCs w:val="24"/>
                <w:u w:val="none"/>
                <w:lang w:val="en-US" w:eastAsia="zh-CN"/>
              </w:rPr>
              <w:t>220</w:t>
            </w:r>
          </w:p>
        </w:tc>
        <w:tc>
          <w:tcPr>
            <w:tcW w:w="3044"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cs="Times New Roman"/>
                <w:i w:val="0"/>
                <w:color w:val="000000"/>
                <w:kern w:val="0"/>
                <w:sz w:val="24"/>
                <w:szCs w:val="24"/>
                <w:u w:val="none"/>
                <w:lang w:val="en-US" w:eastAsia="zh-CN"/>
              </w:rPr>
            </w:pPr>
            <w:r>
              <w:rPr>
                <w:rFonts w:hint="default" w:ascii="Times New Roman" w:hAnsi="Times New Roman" w:cs="Times New Roman"/>
                <w:i w:val="0"/>
                <w:color w:val="000000"/>
                <w:kern w:val="0"/>
                <w:sz w:val="24"/>
                <w:szCs w:val="24"/>
                <w:u w:val="none"/>
                <w:lang w:val="en-US" w:eastAsia="zh-CN"/>
              </w:rPr>
              <w:t>30</w:t>
            </w:r>
          </w:p>
        </w:tc>
        <w:tc>
          <w:tcPr>
            <w:tcW w:w="2992" w:type="dxa"/>
            <w:noWrap w:val="0"/>
            <w:vAlign w:val="center"/>
          </w:tcPr>
          <w:p>
            <w:pPr>
              <w:keepNext w:val="0"/>
              <w:keepLines w:val="0"/>
              <w:pageBreakBefore w:val="0"/>
              <w:widowControl/>
              <w:suppressLineNumbers w:val="0"/>
              <w:kinsoku/>
              <w:wordWrap/>
              <w:overflowPunct/>
              <w:topLinePunct w:val="0"/>
              <w:autoSpaceDE/>
              <w:autoSpaceDN/>
              <w:adjustRightInd w:val="0"/>
              <w:snapToGrid w:val="0"/>
              <w:jc w:val="center"/>
              <w:textAlignment w:val="bottom"/>
              <w:outlineLvl w:val="9"/>
              <w:rPr>
                <w:rFonts w:hint="default" w:ascii="Times New Roman" w:hAnsi="Times New Roman" w:cs="Times New Roman"/>
                <w:i w:val="0"/>
                <w:color w:val="000000"/>
                <w:sz w:val="24"/>
                <w:szCs w:val="24"/>
                <w:u w:val="none"/>
                <w:lang w:val="en-US" w:eastAsia="zh-CN"/>
              </w:rPr>
            </w:pPr>
          </w:p>
        </w:tc>
      </w:tr>
    </w:tbl>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exact"/>
        <w:ind w:left="0" w:leftChars="0" w:right="0" w:rightChars="0" w:firstLine="191" w:firstLineChars="91"/>
        <w:jc w:val="both"/>
        <w:textAlignment w:val="auto"/>
        <w:outlineLvl w:val="9"/>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注：1.地下电缆按架空线路标准的1.5倍计收。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exact"/>
        <w:ind w:left="840" w:leftChars="300" w:right="0" w:rightChars="0" w:hanging="210" w:hangingChars="100"/>
        <w:jc w:val="both"/>
        <w:textAlignment w:val="auto"/>
        <w:outlineLvl w:val="9"/>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2.用户自建本级项目，是指用户出资建设从公共电网接入点到用户建筑区划红线电力接入工程的项目。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exact"/>
        <w:ind w:left="840" w:leftChars="300" w:right="0" w:rightChars="0" w:hanging="210" w:hangingChars="100"/>
        <w:jc w:val="both"/>
        <w:textAlignment w:val="auto"/>
        <w:outlineLvl w:val="9"/>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kern w:val="2"/>
          <w:sz w:val="21"/>
          <w:szCs w:val="21"/>
          <w:highlight w:val="none"/>
          <w:lang w:val="en-US" w:eastAsia="zh-CN" w:bidi="ar-SA"/>
        </w:rPr>
        <w:t>3.对于从公共电网接入点到用户建筑区划红线的供电线路存在架空、电缆线路交替混合的项目，按照用户接入本级公共电网线路的架空和电缆长度加权平均方式确定收费标准。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仿宋_GB2312" w:hAnsi="仿宋_GB2312" w:eastAsia="仿宋_GB2312" w:cs="仿宋_GB2312"/>
          <w:kern w:val="2"/>
          <w:sz w:val="32"/>
          <w:szCs w:val="32"/>
          <w:lang w:val="en-US" w:eastAsia="zh-CN" w:bidi="ar-SA"/>
        </w:rPr>
      </w:pPr>
    </w:p>
    <w:p/>
    <w:sectPr>
      <w:pgSz w:w="11906" w:h="16838"/>
      <w:pgMar w:top="1723" w:right="1803" w:bottom="1723" w:left="1803" w:header="851" w:footer="992" w:gutter="0"/>
      <w:paperSrc/>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38392F"/>
    <w:rsid w:val="3EAB0813"/>
    <w:rsid w:val="53152E76"/>
    <w:rsid w:val="7FBFAE43"/>
    <w:rsid w:val="7FFFAB89"/>
    <w:rsid w:val="D4FF76A2"/>
    <w:rsid w:val="F725299B"/>
    <w:rsid w:val="FDED3A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Normal Indent"/>
    <w:basedOn w:val="1"/>
    <w:next w:val="1"/>
    <w:qFormat/>
    <w:uiPriority w:val="0"/>
    <w:rPr>
      <w:sz w:val="24"/>
    </w:rPr>
  </w:style>
  <w:style w:type="paragraph" w:styleId="3">
    <w:name w:val="Normal (Web)"/>
    <w:basedOn w:val="1"/>
    <w:unhideWhenUsed/>
    <w:qFormat/>
    <w:uiPriority w:val="99"/>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dc:creator>
  <cp:lastModifiedBy>Fgw</cp:lastModifiedBy>
  <dcterms:modified xsi:type="dcterms:W3CDTF">2024-06-04T02:24:35Z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7F6D8853A4E44E4D8DFB32929131287A_13</vt:lpwstr>
  </property>
</Properties>
</file>