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附件</w:t>
      </w:r>
      <w:r>
        <w:rPr>
          <w:rFonts w:hint="eastAsia" w:ascii="仿宋_GB2312" w:hAnsi="仿宋_GB2312" w:eastAsia="仿宋_GB2312" w:cs="仿宋_GB2312"/>
          <w:sz w:val="32"/>
          <w:szCs w:val="32"/>
          <w:lang w:val="en-US" w:eastAsia="zh-CN"/>
        </w:rPr>
        <w:t>1</w:t>
      </w:r>
    </w:p>
    <w:p>
      <w:pPr>
        <w:spacing w:line="560" w:lineRule="exact"/>
        <w:jc w:val="center"/>
        <w:rPr>
          <w:rFonts w:hint="eastAsia" w:ascii="方正小标宋简体" w:hAnsi="方正小标宋简体" w:eastAsia="方正小标宋简体" w:cs="方正小标宋简体"/>
          <w:bCs/>
          <w:color w:val="000000"/>
          <w:kern w:val="0"/>
          <w:sz w:val="44"/>
          <w:szCs w:val="44"/>
          <w:lang w:val="en-US" w:eastAsia="zh-CN"/>
        </w:rPr>
      </w:pPr>
      <w:r>
        <w:rPr>
          <w:rFonts w:hint="eastAsia" w:ascii="方正小标宋简体" w:hAnsi="方正小标宋简体" w:eastAsia="方正小标宋简体" w:cs="方正小标宋简体"/>
          <w:bCs/>
          <w:color w:val="000000"/>
          <w:kern w:val="0"/>
          <w:sz w:val="44"/>
          <w:szCs w:val="44"/>
          <w:lang w:val="en-US" w:eastAsia="zh-CN"/>
        </w:rPr>
        <w:t>遵义市科技创新发展专项资金管理办法</w:t>
      </w:r>
    </w:p>
    <w:p>
      <w:pPr>
        <w:spacing w:line="560" w:lineRule="exact"/>
        <w:jc w:val="center"/>
        <w:rPr>
          <w:rFonts w:hint="eastAsia" w:ascii="仿宋_GB2312" w:hAnsi="仿宋_GB2312" w:eastAsia="仿宋_GB2312" w:cs="仿宋_GB2312"/>
          <w:bCs/>
          <w:color w:val="000000"/>
          <w:kern w:val="0"/>
          <w:sz w:val="32"/>
          <w:szCs w:val="32"/>
          <w:lang w:val="en-US" w:eastAsia="zh-CN"/>
        </w:rPr>
      </w:pPr>
      <w:r>
        <w:rPr>
          <w:rFonts w:hint="eastAsia" w:ascii="仿宋_GB2312" w:hAnsi="仿宋_GB2312" w:eastAsia="仿宋_GB2312" w:cs="仿宋_GB2312"/>
          <w:bCs/>
          <w:color w:val="000000"/>
          <w:kern w:val="0"/>
          <w:sz w:val="32"/>
          <w:szCs w:val="32"/>
          <w:lang w:val="en-US" w:eastAsia="zh-CN"/>
        </w:rPr>
        <w:t>（征求意见稿）</w:t>
      </w:r>
    </w:p>
    <w:p>
      <w:pPr>
        <w:pStyle w:val="2"/>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240" w:lineRule="auto"/>
        <w:ind w:firstLine="3080" w:firstLineChars="1000"/>
        <w:textAlignment w:val="auto"/>
        <w:rPr>
          <w:rFonts w:hint="eastAsia" w:ascii="黑体" w:hAnsi="黑体" w:eastAsia="黑体" w:cs="黑体"/>
          <w:b w:val="0"/>
          <w:bCs/>
          <w:color w:val="000000"/>
          <w:spacing w:val="-6"/>
          <w:sz w:val="32"/>
          <w:szCs w:val="32"/>
        </w:rPr>
      </w:pPr>
      <w:r>
        <w:rPr>
          <w:rFonts w:hint="eastAsia" w:ascii="黑体" w:hAnsi="黑体" w:eastAsia="黑体" w:cs="黑体"/>
          <w:b w:val="0"/>
          <w:bCs/>
          <w:color w:val="000000"/>
          <w:spacing w:val="-6"/>
          <w:sz w:val="32"/>
          <w:szCs w:val="32"/>
        </w:rPr>
        <w:t>第一章</w:t>
      </w:r>
      <w:r>
        <w:rPr>
          <w:rFonts w:hint="eastAsia" w:ascii="黑体" w:hAnsi="黑体" w:eastAsia="黑体" w:cs="黑体"/>
          <w:b w:val="0"/>
          <w:bCs/>
          <w:color w:val="000000"/>
          <w:spacing w:val="-6"/>
          <w:sz w:val="32"/>
          <w:szCs w:val="32"/>
          <w:lang w:val="en-US" w:eastAsia="zh-CN"/>
        </w:rPr>
        <w:t xml:space="preserve">  </w:t>
      </w:r>
      <w:r>
        <w:rPr>
          <w:rFonts w:hint="eastAsia" w:ascii="黑体" w:hAnsi="黑体" w:eastAsia="黑体" w:cs="黑体"/>
          <w:b w:val="0"/>
          <w:bCs/>
          <w:color w:val="000000"/>
          <w:spacing w:val="-6"/>
          <w:sz w:val="32"/>
          <w:szCs w:val="32"/>
        </w:rPr>
        <w:t>总则</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240" w:lineRule="auto"/>
        <w:ind w:firstLine="618" w:firstLineChars="200"/>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楷体_GB2312" w:hAnsi="楷体_GB2312" w:eastAsia="楷体_GB2312" w:cs="楷体_GB2312"/>
          <w:b/>
          <w:bCs w:val="0"/>
          <w:color w:val="000000"/>
          <w:spacing w:val="-6"/>
          <w:sz w:val="32"/>
          <w:szCs w:val="32"/>
        </w:rPr>
        <w:t>第一条【目的及依据】</w:t>
      </w:r>
      <w:r>
        <w:rPr>
          <w:rFonts w:hint="eastAsia" w:ascii="仿宋_GB2312" w:hAnsi="仿宋_GB2312" w:eastAsia="仿宋_GB2312" w:cs="仿宋_GB2312"/>
          <w:color w:val="000000"/>
          <w:spacing w:val="-6"/>
          <w:kern w:val="2"/>
          <w:sz w:val="32"/>
          <w:szCs w:val="32"/>
          <w:lang w:val="en-US" w:eastAsia="zh-CN" w:bidi="ar-SA"/>
        </w:rPr>
        <w:t>为规范和加强科技创新发展专项资金管理，提高专项资金使用效益，根据</w:t>
      </w:r>
      <w:r>
        <w:rPr>
          <w:rFonts w:hint="eastAsia" w:ascii="仿宋_GB2312" w:hAnsi="仿宋_GB2312" w:eastAsia="仿宋_GB2312" w:cs="仿宋_GB2312"/>
          <w:color w:val="000000"/>
          <w:spacing w:val="-6"/>
          <w:kern w:val="2"/>
          <w:sz w:val="32"/>
          <w:szCs w:val="32"/>
          <w:highlight w:val="none"/>
          <w:lang w:val="en-US" w:eastAsia="zh-CN" w:bidi="ar-SA"/>
        </w:rPr>
        <w:t>《省财政厅 省科技厅关于印发&lt;贵州省科技创新发展专项资金管理办法&gt;的通知》（黔财教〔2024〕27号）《省财政厅 省科技厅关于印发&lt;自然科学类科研项目预算支出标准（试行）&gt;的通知》（黔财教〔2023〕32号）《市人民政府办公室关于印发</w:t>
      </w:r>
      <w:r>
        <w:rPr>
          <w:rFonts w:hint="default" w:ascii="仿宋_GB2312" w:hAnsi="仿宋_GB2312" w:eastAsia="仿宋_GB2312" w:cs="仿宋_GB2312"/>
          <w:color w:val="000000"/>
          <w:spacing w:val="-6"/>
          <w:kern w:val="2"/>
          <w:sz w:val="32"/>
          <w:szCs w:val="32"/>
          <w:highlight w:val="none"/>
          <w:lang w:val="en" w:eastAsia="zh-CN" w:bidi="ar-SA"/>
        </w:rPr>
        <w:t>&lt;</w:t>
      </w:r>
      <w:r>
        <w:rPr>
          <w:rFonts w:hint="eastAsia" w:ascii="仿宋_GB2312" w:hAnsi="仿宋_GB2312" w:eastAsia="仿宋_GB2312" w:cs="仿宋_GB2312"/>
          <w:color w:val="000000"/>
          <w:spacing w:val="-6"/>
          <w:kern w:val="2"/>
          <w:sz w:val="32"/>
          <w:szCs w:val="32"/>
          <w:highlight w:val="none"/>
          <w:lang w:val="en-US" w:eastAsia="zh-CN" w:bidi="ar-SA"/>
        </w:rPr>
        <w:t>遵义市市级财政专项资金管理办法(修订)</w:t>
      </w:r>
      <w:r>
        <w:rPr>
          <w:rFonts w:hint="default" w:ascii="仿宋_GB2312" w:hAnsi="仿宋_GB2312" w:eastAsia="仿宋_GB2312" w:cs="仿宋_GB2312"/>
          <w:color w:val="000000"/>
          <w:spacing w:val="-6"/>
          <w:kern w:val="2"/>
          <w:sz w:val="32"/>
          <w:szCs w:val="32"/>
          <w:highlight w:val="none"/>
          <w:lang w:val="en" w:eastAsia="zh-CN" w:bidi="ar-SA"/>
        </w:rPr>
        <w:t>&gt;</w:t>
      </w:r>
      <w:r>
        <w:rPr>
          <w:rFonts w:hint="eastAsia" w:ascii="仿宋_GB2312" w:hAnsi="仿宋_GB2312" w:eastAsia="仿宋_GB2312" w:cs="仿宋_GB2312"/>
          <w:color w:val="000000"/>
          <w:spacing w:val="-6"/>
          <w:kern w:val="2"/>
          <w:sz w:val="32"/>
          <w:szCs w:val="32"/>
          <w:highlight w:val="none"/>
          <w:lang w:val="en-US" w:eastAsia="zh-CN" w:bidi="ar-SA"/>
        </w:rPr>
        <w:t>的通知》（遵府办发〔2023〕1号）文件及财政预算管理有关规定，</w:t>
      </w:r>
      <w:r>
        <w:rPr>
          <w:rFonts w:hint="eastAsia" w:ascii="仿宋_GB2312" w:hAnsi="仿宋_GB2312" w:eastAsia="仿宋_GB2312" w:cs="仿宋_GB2312"/>
          <w:color w:val="000000"/>
          <w:spacing w:val="-6"/>
          <w:kern w:val="2"/>
          <w:sz w:val="32"/>
          <w:szCs w:val="32"/>
          <w:lang w:val="en-US" w:eastAsia="zh-CN" w:bidi="ar-SA"/>
        </w:rPr>
        <w:t>结合我市科技管理工作实际，制定遵义市科技创新发展专项资金管理办法。</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8" w:firstLineChars="200"/>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楷体_GB2312" w:hAnsi="楷体_GB2312" w:eastAsia="楷体_GB2312" w:cs="楷体_GB2312"/>
          <w:b/>
          <w:bCs w:val="0"/>
          <w:color w:val="000000"/>
          <w:spacing w:val="-6"/>
          <w:kern w:val="2"/>
          <w:sz w:val="32"/>
          <w:szCs w:val="32"/>
          <w:lang w:val="en-US" w:eastAsia="zh-CN" w:bidi="ar-SA"/>
        </w:rPr>
        <w:t>第二条【资金来源与用途】</w:t>
      </w:r>
      <w:r>
        <w:rPr>
          <w:rFonts w:hint="eastAsia" w:ascii="仿宋_GB2312" w:hAnsi="仿宋_GB2312" w:eastAsia="仿宋_GB2312" w:cs="仿宋_GB2312"/>
          <w:color w:val="000000"/>
          <w:spacing w:val="-6"/>
          <w:kern w:val="2"/>
          <w:sz w:val="32"/>
          <w:szCs w:val="32"/>
          <w:lang w:val="en-US" w:eastAsia="zh-CN" w:bidi="ar-SA"/>
        </w:rPr>
        <w:t>遵义市科技创新发展专项资金</w:t>
      </w:r>
      <w:r>
        <w:rPr>
          <w:rFonts w:hint="eastAsia" w:ascii="仿宋_GB2312" w:hAnsi="仿宋_GB2312" w:eastAsia="仿宋_GB2312" w:cs="仿宋_GB2312"/>
          <w:color w:val="auto"/>
          <w:spacing w:val="-6"/>
          <w:kern w:val="2"/>
          <w:sz w:val="32"/>
          <w:szCs w:val="32"/>
          <w:lang w:val="en-US" w:eastAsia="zh-CN" w:bidi="ar-SA"/>
        </w:rPr>
        <w:t>（以下简称“专项资金”）是指市级财政在市工业和科学技术局部门预算中安排的资金</w:t>
      </w:r>
      <w:r>
        <w:rPr>
          <w:rFonts w:hint="eastAsia" w:ascii="仿宋_GB2312" w:hAnsi="仿宋_GB2312" w:eastAsia="仿宋_GB2312" w:cs="仿宋_GB2312"/>
          <w:color w:val="000000"/>
          <w:spacing w:val="-6"/>
          <w:kern w:val="2"/>
          <w:sz w:val="32"/>
          <w:szCs w:val="32"/>
          <w:lang w:val="en-US" w:eastAsia="zh-CN" w:bidi="ar-SA"/>
        </w:rPr>
        <w:t>，专项用于引导和支持我市科研（企、事业）单位面向科技前沿、经济建设主战场、遵义市重大需求、人民生命健康，开展</w:t>
      </w:r>
      <w:r>
        <w:rPr>
          <w:rFonts w:hint="eastAsia" w:ascii="仿宋_GB2312" w:hAnsi="仿宋_GB2312" w:eastAsia="仿宋_GB2312" w:cs="仿宋_GB2312"/>
          <w:b w:val="0"/>
          <w:bCs w:val="0"/>
          <w:color w:val="000000"/>
          <w:spacing w:val="-6"/>
          <w:kern w:val="2"/>
          <w:sz w:val="32"/>
          <w:szCs w:val="32"/>
          <w:u w:val="none"/>
          <w:lang w:val="en-US" w:eastAsia="zh-CN" w:bidi="ar-SA"/>
        </w:rPr>
        <w:t>基础研究、</w:t>
      </w:r>
      <w:r>
        <w:rPr>
          <w:rFonts w:hint="eastAsia" w:ascii="仿宋_GB2312" w:hAnsi="仿宋_GB2312" w:eastAsia="仿宋_GB2312" w:cs="仿宋_GB2312"/>
          <w:color w:val="000000"/>
          <w:spacing w:val="-6"/>
          <w:kern w:val="2"/>
          <w:sz w:val="32"/>
          <w:szCs w:val="32"/>
          <w:lang w:val="en-US" w:eastAsia="zh-CN" w:bidi="ar-SA"/>
        </w:rPr>
        <w:t>科技攻关、科技成果转移转化、科技创新平台建设、创新主体培育、科技创新人才培养、科技服务、科学技术普及、科技交流与合作、科技金融及其他提升科技创新能力等科技活动的资金。</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8" w:firstLineChars="200"/>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楷体_GB2312" w:hAnsi="楷体_GB2312" w:eastAsia="楷体_GB2312" w:cs="楷体_GB2312"/>
          <w:b/>
          <w:bCs w:val="0"/>
          <w:color w:val="000000"/>
          <w:spacing w:val="-6"/>
          <w:kern w:val="2"/>
          <w:sz w:val="32"/>
          <w:szCs w:val="32"/>
          <w:lang w:val="en-US" w:eastAsia="zh-CN" w:bidi="ar-SA"/>
        </w:rPr>
        <w:t>第三条【管理原则】</w:t>
      </w:r>
      <w:r>
        <w:rPr>
          <w:rFonts w:hint="eastAsia" w:ascii="仿宋_GB2312" w:hAnsi="仿宋_GB2312" w:eastAsia="仿宋_GB2312" w:cs="仿宋_GB2312"/>
          <w:color w:val="000000"/>
          <w:spacing w:val="-6"/>
          <w:kern w:val="2"/>
          <w:sz w:val="32"/>
          <w:szCs w:val="32"/>
          <w:lang w:val="en-US" w:eastAsia="zh-CN" w:bidi="ar-SA"/>
        </w:rPr>
        <w:t>专项资金的管理和使用应坚持“集中财力，突出重点，分类支持，合理配置，公开透明，科学规范、注重实效”的原则</w:t>
      </w:r>
      <w:r>
        <w:rPr>
          <w:rFonts w:hint="eastAsia" w:ascii="仿宋_GB2312" w:hAnsi="仿宋_GB2312" w:eastAsia="仿宋_GB2312" w:cs="仿宋_GB2312"/>
          <w:color w:val="auto"/>
          <w:spacing w:val="-6"/>
          <w:kern w:val="2"/>
          <w:sz w:val="32"/>
          <w:szCs w:val="32"/>
          <w:lang w:val="en-US" w:eastAsia="zh-CN" w:bidi="ar-SA"/>
        </w:rPr>
        <w:t>，充分</w:t>
      </w:r>
      <w:r>
        <w:rPr>
          <w:rFonts w:hint="eastAsia" w:ascii="仿宋_GB2312" w:hAnsi="仿宋_GB2312" w:eastAsia="仿宋_GB2312" w:cs="仿宋_GB2312"/>
          <w:strike w:val="0"/>
          <w:dstrike w:val="0"/>
          <w:color w:val="auto"/>
          <w:spacing w:val="-6"/>
          <w:kern w:val="2"/>
          <w:sz w:val="32"/>
          <w:szCs w:val="32"/>
          <w:lang w:val="en-US" w:eastAsia="zh-CN" w:bidi="ar-SA"/>
        </w:rPr>
        <w:t>发挥</w:t>
      </w:r>
      <w:r>
        <w:rPr>
          <w:rFonts w:hint="eastAsia" w:ascii="仿宋_GB2312" w:hAnsi="仿宋_GB2312" w:eastAsia="仿宋_GB2312" w:cs="仿宋_GB2312"/>
          <w:color w:val="000000"/>
          <w:spacing w:val="-6"/>
          <w:kern w:val="2"/>
          <w:sz w:val="32"/>
          <w:szCs w:val="32"/>
          <w:lang w:val="en-US" w:eastAsia="zh-CN" w:bidi="ar-SA"/>
        </w:rPr>
        <w:t>财政资金的引导和带动作用。</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8" w:firstLineChars="200"/>
        <w:textAlignment w:val="auto"/>
        <w:rPr>
          <w:rFonts w:hint="eastAsia" w:ascii="仿宋_GB2312" w:hAnsi="仿宋_GB2312" w:eastAsia="仿宋_GB2312" w:cs="仿宋_GB2312"/>
          <w:b/>
          <w:bCs/>
          <w:color w:val="000000"/>
          <w:spacing w:val="-6"/>
          <w:kern w:val="2"/>
          <w:sz w:val="32"/>
          <w:szCs w:val="32"/>
          <w:lang w:val="en-US" w:eastAsia="zh-CN" w:bidi="ar-SA"/>
        </w:rPr>
      </w:pPr>
      <w:r>
        <w:rPr>
          <w:rFonts w:hint="eastAsia" w:ascii="楷体_GB2312" w:hAnsi="楷体_GB2312" w:eastAsia="楷体_GB2312" w:cs="楷体_GB2312"/>
          <w:b/>
          <w:bCs w:val="0"/>
          <w:color w:val="000000"/>
          <w:spacing w:val="-6"/>
          <w:kern w:val="2"/>
          <w:sz w:val="32"/>
          <w:szCs w:val="32"/>
          <w:lang w:val="en-US" w:eastAsia="zh-CN" w:bidi="ar-SA"/>
        </w:rPr>
        <w:t>第四条【职责分工】</w:t>
      </w:r>
      <w:r>
        <w:rPr>
          <w:rFonts w:hint="eastAsia" w:ascii="仿宋_GB2312" w:hAnsi="仿宋_GB2312" w:eastAsia="仿宋_GB2312" w:cs="仿宋_GB2312"/>
          <w:color w:val="000000"/>
          <w:spacing w:val="-6"/>
          <w:kern w:val="2"/>
          <w:sz w:val="32"/>
          <w:szCs w:val="32"/>
          <w:lang w:val="en-US" w:eastAsia="zh-CN" w:bidi="ar-SA"/>
        </w:rPr>
        <w:t>市财政局 （以下简称市财政部门）、市工业和科学技术局（以下简称市科技部门）是专项资金的管理部门，分别履行相应职责；项目主管部门按本办法规定参与项目资金管理；项目承担单位是项目资金使用的责任主体。</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6" w:firstLineChars="200"/>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仿宋_GB2312" w:hAnsi="仿宋_GB2312" w:eastAsia="仿宋_GB2312" w:cs="仿宋_GB2312"/>
          <w:color w:val="000000"/>
          <w:spacing w:val="-6"/>
          <w:kern w:val="2"/>
          <w:sz w:val="32"/>
          <w:szCs w:val="32"/>
          <w:lang w:val="en-US" w:eastAsia="zh-CN" w:bidi="ar-SA"/>
        </w:rPr>
        <w:t>（一）市财政部门将专项资金纳入年初预算管理，负责审核专项资金年度预算和绩效目标，根据市科技部门制定的资金分配方案及时下达和拨付资金，监督专项资金预算执行情况，组织开展绩效评价，不直接参与具体项目的审批。</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6" w:firstLineChars="200"/>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仿宋_GB2312" w:hAnsi="仿宋_GB2312" w:eastAsia="仿宋_GB2312" w:cs="仿宋_GB2312"/>
          <w:color w:val="000000"/>
          <w:spacing w:val="-6"/>
          <w:kern w:val="2"/>
          <w:sz w:val="32"/>
          <w:szCs w:val="32"/>
          <w:lang w:val="en-US" w:eastAsia="zh-CN" w:bidi="ar-SA"/>
        </w:rPr>
        <w:t>（二）市科技部门全面负责专项资金预算编制和执行，对资金支出进度、绩效、安全性和规范性等负责，确定专项资金使用方向，编制年度专项资金预算、绩效目标和决算，发布项目申报指南，组织项目申报评审和立项审批，对专项资金执行情况进行跟踪管理、绩效评价、信息公开、监督检查等。</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6" w:firstLineChars="200"/>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仿宋_GB2312" w:hAnsi="仿宋_GB2312" w:eastAsia="仿宋_GB2312" w:cs="仿宋_GB2312"/>
          <w:color w:val="000000"/>
          <w:spacing w:val="-6"/>
          <w:kern w:val="2"/>
          <w:sz w:val="32"/>
          <w:szCs w:val="32"/>
          <w:lang w:val="en-US" w:eastAsia="zh-CN" w:bidi="ar-SA"/>
        </w:rPr>
        <w:t>（三）项目主管部门（指各县</w:t>
      </w:r>
      <w:r>
        <w:rPr>
          <w:rFonts w:hint="default" w:ascii="仿宋_GB2312" w:hAnsi="仿宋_GB2312" w:eastAsia="仿宋_GB2312" w:cs="仿宋_GB2312"/>
          <w:color w:val="000000"/>
          <w:spacing w:val="-6"/>
          <w:kern w:val="2"/>
          <w:sz w:val="32"/>
          <w:szCs w:val="32"/>
          <w:lang w:val="en" w:eastAsia="zh-CN" w:bidi="ar-SA"/>
        </w:rPr>
        <w:t>&lt;</w:t>
      </w:r>
      <w:r>
        <w:rPr>
          <w:rFonts w:hint="eastAsia" w:ascii="仿宋_GB2312" w:hAnsi="仿宋_GB2312" w:eastAsia="仿宋_GB2312" w:cs="仿宋_GB2312"/>
          <w:color w:val="000000"/>
          <w:spacing w:val="-6"/>
          <w:kern w:val="2"/>
          <w:sz w:val="32"/>
          <w:szCs w:val="32"/>
          <w:lang w:val="en-US" w:eastAsia="zh-CN" w:bidi="ar-SA"/>
        </w:rPr>
        <w:t>区、市</w:t>
      </w:r>
      <w:r>
        <w:rPr>
          <w:rFonts w:hint="default" w:ascii="仿宋_GB2312" w:hAnsi="仿宋_GB2312" w:eastAsia="仿宋_GB2312" w:cs="仿宋_GB2312"/>
          <w:color w:val="000000"/>
          <w:spacing w:val="-6"/>
          <w:kern w:val="2"/>
          <w:sz w:val="32"/>
          <w:szCs w:val="32"/>
          <w:lang w:val="en" w:eastAsia="zh-CN" w:bidi="ar-SA"/>
        </w:rPr>
        <w:t>&gt;</w:t>
      </w:r>
      <w:r>
        <w:rPr>
          <w:rFonts w:hint="eastAsia" w:ascii="仿宋_GB2312" w:hAnsi="仿宋_GB2312" w:eastAsia="仿宋_GB2312" w:cs="仿宋_GB2312"/>
          <w:color w:val="000000"/>
          <w:spacing w:val="-6"/>
          <w:kern w:val="2"/>
          <w:sz w:val="32"/>
          <w:szCs w:val="32"/>
          <w:lang w:val="en-US" w:eastAsia="zh-CN" w:bidi="ar-SA"/>
        </w:rPr>
        <w:t>科技部门）负责对所推荐项目的经费预算和绩效目标进行审核，参与专项资金组织实施、监督检查和绩效评价等。</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6" w:firstLineChars="200"/>
        <w:jc w:val="both"/>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仿宋_GB2312" w:hAnsi="仿宋_GB2312" w:eastAsia="仿宋_GB2312" w:cs="仿宋_GB2312"/>
          <w:color w:val="000000"/>
          <w:spacing w:val="-6"/>
          <w:kern w:val="2"/>
          <w:sz w:val="32"/>
          <w:szCs w:val="32"/>
          <w:lang w:val="en-US" w:eastAsia="zh-CN" w:bidi="ar-SA"/>
        </w:rPr>
        <w:t>（四）项目承担单位（包括牵头单位和参与单位）履行法人责任，负责建立健全项目资金内部管理制度，合理合规使用项目资金，接受和配合各级科技、财政和审计等部门的监督检查。</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left="0" w:right="0" w:firstLine="480"/>
        <w:jc w:val="both"/>
        <w:textAlignment w:val="auto"/>
        <w:rPr>
          <w:rFonts w:hint="eastAsia" w:ascii="楷体_GB2312" w:hAnsi="楷体_GB2312" w:eastAsia="楷体_GB2312" w:cs="楷体_GB2312"/>
          <w:b/>
          <w:bCs/>
          <w:color w:val="auto"/>
          <w:spacing w:val="-6"/>
          <w:kern w:val="2"/>
          <w:sz w:val="32"/>
          <w:szCs w:val="32"/>
          <w:lang w:val="en-US" w:eastAsia="zh-CN" w:bidi="ar-SA"/>
        </w:rPr>
      </w:pPr>
      <w:r>
        <w:rPr>
          <w:rFonts w:hint="eastAsia" w:ascii="仿宋_GB2312" w:hAnsi="仿宋_GB2312" w:eastAsia="仿宋_GB2312" w:cs="仿宋_GB2312"/>
          <w:color w:val="000000"/>
          <w:spacing w:val="-6"/>
          <w:kern w:val="2"/>
          <w:sz w:val="32"/>
          <w:szCs w:val="32"/>
          <w:lang w:val="en-US" w:eastAsia="zh-CN" w:bidi="ar-SA"/>
        </w:rPr>
        <w:t>（五）项目负责人是项目资金使用的直接责任人，对资金使用的合规性、合理性、真实性负责。</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ind w:left="0" w:right="0" w:firstLine="420"/>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楷体_GB2312" w:hAnsi="楷体_GB2312" w:eastAsia="楷体_GB2312" w:cs="楷体_GB2312"/>
          <w:b/>
          <w:bCs/>
          <w:color w:val="auto"/>
          <w:spacing w:val="-6"/>
          <w:kern w:val="2"/>
          <w:sz w:val="32"/>
          <w:szCs w:val="32"/>
          <w:lang w:val="en-US" w:eastAsia="zh-CN" w:bidi="ar-SA"/>
        </w:rPr>
        <w:t>第五条【支持对象】</w:t>
      </w:r>
      <w:r>
        <w:rPr>
          <w:rFonts w:hint="eastAsia" w:ascii="仿宋_GB2312" w:hAnsi="仿宋_GB2312" w:eastAsia="仿宋_GB2312" w:cs="仿宋_GB2312"/>
          <w:color w:val="auto"/>
          <w:spacing w:val="-6"/>
          <w:kern w:val="2"/>
          <w:sz w:val="32"/>
          <w:szCs w:val="32"/>
          <w:lang w:val="en-US" w:eastAsia="zh-CN" w:bidi="ar-SA"/>
        </w:rPr>
        <w:t>专项资金支持对象为在遵义市内注册的，具有独立法人资格的企业、科研院所、高等院校、医疗卫生机构及其他具备科研开发或科技服务能力的单</w:t>
      </w:r>
      <w:r>
        <w:rPr>
          <w:rFonts w:hint="eastAsia" w:ascii="仿宋_GB2312" w:hAnsi="仿宋_GB2312" w:eastAsia="仿宋_GB2312" w:cs="仿宋_GB2312"/>
          <w:color w:val="000000"/>
          <w:spacing w:val="-6"/>
          <w:kern w:val="2"/>
          <w:sz w:val="32"/>
          <w:szCs w:val="32"/>
          <w:lang w:val="en-US" w:eastAsia="zh-CN" w:bidi="ar-SA"/>
        </w:rPr>
        <w:t>位。政府购买服务、科技决策咨询研究项目不受注册地限制。</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8" w:firstLineChars="200"/>
        <w:jc w:val="both"/>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楷体_GB2312" w:hAnsi="楷体_GB2312" w:eastAsia="楷体_GB2312" w:cs="楷体_GB2312"/>
          <w:b/>
          <w:bCs/>
          <w:color w:val="000000"/>
          <w:spacing w:val="-6"/>
          <w:kern w:val="2"/>
          <w:sz w:val="32"/>
          <w:szCs w:val="32"/>
          <w:lang w:val="en-US" w:eastAsia="zh-CN" w:bidi="ar-SA"/>
        </w:rPr>
        <w:t>第六条【支持方向】</w:t>
      </w:r>
      <w:r>
        <w:rPr>
          <w:rFonts w:hint="eastAsia" w:ascii="仿宋_GB2312" w:hAnsi="仿宋_GB2312" w:eastAsia="仿宋_GB2312" w:cs="仿宋_GB2312"/>
          <w:color w:val="000000"/>
          <w:spacing w:val="-6"/>
          <w:kern w:val="2"/>
          <w:sz w:val="32"/>
          <w:szCs w:val="32"/>
          <w:lang w:val="en-US" w:eastAsia="zh-CN" w:bidi="ar-SA"/>
        </w:rPr>
        <w:t>专项资金的支持方向：</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6" w:firstLineChars="200"/>
        <w:jc w:val="both"/>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仿宋_GB2312" w:hAnsi="仿宋_GB2312" w:eastAsia="仿宋_GB2312" w:cs="仿宋_GB2312"/>
          <w:color w:val="000000"/>
          <w:spacing w:val="-6"/>
          <w:kern w:val="2"/>
          <w:sz w:val="32"/>
          <w:szCs w:val="32"/>
          <w:lang w:val="en-US" w:eastAsia="zh-CN" w:bidi="ar-SA"/>
        </w:rPr>
        <w:t>（一）基础研究计划。</w:t>
      </w:r>
      <w:r>
        <w:rPr>
          <w:rFonts w:hint="eastAsia" w:ascii="仿宋_GB2312" w:hAnsi="仿宋_GB2312" w:eastAsia="仿宋_GB2312" w:cs="仿宋_GB2312"/>
          <w:b w:val="0"/>
          <w:bCs w:val="0"/>
          <w:color w:val="000000"/>
          <w:spacing w:val="-6"/>
          <w:kern w:val="2"/>
          <w:sz w:val="32"/>
          <w:szCs w:val="32"/>
          <w:lang w:val="en-US" w:eastAsia="zh-CN" w:bidi="ar-SA"/>
        </w:rPr>
        <w:t>突出创新导向，以财政科技投入为主，重点支持制约经济社会发展的前沿导向的探索性基础研究和市场导向的重大应用性基础研究，推</w:t>
      </w:r>
      <w:r>
        <w:rPr>
          <w:rFonts w:hint="eastAsia" w:ascii="仿宋_GB2312" w:hAnsi="仿宋_GB2312" w:eastAsia="仿宋_GB2312" w:cs="仿宋_GB2312"/>
          <w:color w:val="000000"/>
          <w:spacing w:val="-6"/>
          <w:kern w:val="2"/>
          <w:sz w:val="32"/>
          <w:szCs w:val="32"/>
          <w:lang w:val="en-US" w:eastAsia="zh-CN" w:bidi="ar-SA"/>
        </w:rPr>
        <w:t>动基础前沿、交叉特色和重点学科发展，增强源头创新能力。</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6" w:firstLineChars="200"/>
        <w:jc w:val="both"/>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仿宋_GB2312" w:hAnsi="仿宋_GB2312" w:eastAsia="仿宋_GB2312" w:cs="仿宋_GB2312"/>
          <w:color w:val="000000"/>
          <w:spacing w:val="-6"/>
          <w:kern w:val="2"/>
          <w:sz w:val="32"/>
          <w:szCs w:val="32"/>
          <w:lang w:val="en-US" w:eastAsia="zh-CN" w:bidi="ar-SA"/>
        </w:rPr>
        <w:t>（二）科技支撑计划。突出需求和应用导向，聚焦重点产业和社会事业发展重点领域，以财政科技投入引导企业和社会资金共同投入，支持开展关键技术研发与应用示范，支撑产业和企业创新发展，推动社会事业进步。</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6" w:firstLineChars="200"/>
        <w:jc w:val="both"/>
        <w:textAlignment w:val="auto"/>
        <w:rPr>
          <w:rFonts w:hint="eastAsia" w:ascii="仿宋_GB2312" w:hAnsi="仿宋_GB2312" w:eastAsia="仿宋_GB2312" w:cs="仿宋_GB2312"/>
          <w:b w:val="0"/>
          <w:bCs w:val="0"/>
          <w:color w:val="000000"/>
          <w:spacing w:val="-6"/>
          <w:kern w:val="2"/>
          <w:sz w:val="32"/>
          <w:szCs w:val="32"/>
          <w:lang w:val="en-US" w:eastAsia="zh-CN" w:bidi="ar-SA"/>
        </w:rPr>
      </w:pPr>
      <w:r>
        <w:rPr>
          <w:rFonts w:hint="eastAsia" w:ascii="仿宋_GB2312" w:hAnsi="仿宋_GB2312" w:eastAsia="仿宋_GB2312" w:cs="仿宋_GB2312"/>
          <w:color w:val="000000"/>
          <w:spacing w:val="-6"/>
          <w:kern w:val="2"/>
          <w:sz w:val="32"/>
          <w:szCs w:val="32"/>
          <w:lang w:val="en-US" w:eastAsia="zh-CN" w:bidi="ar-SA"/>
        </w:rPr>
        <w:t>（三）科技成果应用及产业化计划。</w:t>
      </w:r>
      <w:r>
        <w:rPr>
          <w:rFonts w:hint="eastAsia" w:ascii="仿宋_GB2312" w:hAnsi="仿宋_GB2312" w:eastAsia="仿宋_GB2312" w:cs="仿宋_GB2312"/>
          <w:b w:val="0"/>
          <w:bCs w:val="0"/>
          <w:color w:val="000000"/>
          <w:spacing w:val="-6"/>
          <w:kern w:val="2"/>
          <w:sz w:val="32"/>
          <w:szCs w:val="32"/>
          <w:lang w:val="en-US" w:eastAsia="zh-CN" w:bidi="ar-SA"/>
        </w:rPr>
        <w:t>突出市场导向和企业主体，发挥政府财政资金的杠杆引导作用，引导社会资金和金融资本进入创新领域，支持为促进科技成果转移转化、资本化、产业化，提高生产力水平而对科技成果所进行的后续试验、开发、应用、推广直至形成新技术、新工艺、新材料、新产品，发展新产业等活动，提升相关产业和社会事业技术水平。</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6" w:firstLineChars="200"/>
        <w:jc w:val="both"/>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仿宋_GB2312" w:hAnsi="仿宋_GB2312" w:eastAsia="仿宋_GB2312" w:cs="仿宋_GB2312"/>
          <w:color w:val="000000"/>
          <w:spacing w:val="-6"/>
          <w:kern w:val="2"/>
          <w:sz w:val="32"/>
          <w:szCs w:val="32"/>
          <w:lang w:val="en-US" w:eastAsia="zh-CN" w:bidi="ar-SA"/>
        </w:rPr>
        <w:t>（四）科技重大专项计划。突出目标导向，发挥集中力量办大事的制度优势，聚焦改造提升传统产业、培育壮大战略性新兴产业和布局建设未来产业等创新需求，支持关键核心技术攻关和重大创新产品开发，推动产业链延伸、产业联盟形成、产业板块整体技术进步，形成新质生产力。</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6" w:firstLineChars="200"/>
        <w:jc w:val="both"/>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仿宋_GB2312" w:hAnsi="仿宋_GB2312" w:eastAsia="仿宋_GB2312" w:cs="仿宋_GB2312"/>
          <w:color w:val="000000"/>
          <w:spacing w:val="-6"/>
          <w:kern w:val="2"/>
          <w:sz w:val="32"/>
          <w:szCs w:val="32"/>
          <w:lang w:val="en-US" w:eastAsia="zh-CN" w:bidi="ar-SA"/>
        </w:rPr>
        <w:t>（五）科技创新平台计划。突出战略导向，优化功能布局，支持科学研究、技术创新与成果转化、基础支撑与条件保障科技创新平台建设和运行，促进科技资源开放共享，提高科技创新条件保障能力，打造战略科技力量，加快实现高水平科技自立自强。</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6" w:firstLineChars="200"/>
        <w:jc w:val="both"/>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仿宋_GB2312" w:hAnsi="仿宋_GB2312" w:eastAsia="仿宋_GB2312" w:cs="仿宋_GB2312"/>
          <w:color w:val="000000"/>
          <w:spacing w:val="-6"/>
          <w:kern w:val="2"/>
          <w:sz w:val="32"/>
          <w:szCs w:val="32"/>
          <w:lang w:val="en-US" w:eastAsia="zh-CN" w:bidi="ar-SA"/>
        </w:rPr>
        <w:t>（六）</w:t>
      </w:r>
      <w:r>
        <w:rPr>
          <w:rFonts w:hint="eastAsia" w:ascii="仿宋_GB2312" w:hAnsi="仿宋_GB2312" w:eastAsia="仿宋_GB2312" w:cs="仿宋_GB2312"/>
          <w:b w:val="0"/>
          <w:bCs w:val="0"/>
          <w:color w:val="000000"/>
          <w:spacing w:val="-6"/>
          <w:kern w:val="2"/>
          <w:sz w:val="32"/>
          <w:szCs w:val="32"/>
          <w:lang w:val="en-US" w:eastAsia="zh-CN" w:bidi="ar-SA"/>
        </w:rPr>
        <w:t>科技创新人才计划。突出服务重点产业能力导向，</w:t>
      </w:r>
      <w:r>
        <w:rPr>
          <w:rFonts w:hint="eastAsia" w:ascii="仿宋_GB2312" w:hAnsi="仿宋_GB2312" w:eastAsia="仿宋_GB2312" w:cs="仿宋_GB2312"/>
          <w:color w:val="000000"/>
          <w:spacing w:val="-6"/>
          <w:kern w:val="2"/>
          <w:sz w:val="32"/>
          <w:szCs w:val="32"/>
          <w:lang w:val="en-US" w:eastAsia="zh-CN" w:bidi="ar-SA"/>
        </w:rPr>
        <w:t>构建相互衔接的科技人才梯队培养与支持体系，培养青年科技人才和科技领军人才，建设科技创新人才团队，为全市经济社会发展和科技进步提供人才支撑。</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6" w:firstLineChars="200"/>
        <w:jc w:val="both"/>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仿宋_GB2312" w:hAnsi="仿宋_GB2312" w:eastAsia="仿宋_GB2312" w:cs="仿宋_GB2312"/>
          <w:color w:val="000000"/>
          <w:spacing w:val="-6"/>
          <w:kern w:val="2"/>
          <w:sz w:val="32"/>
          <w:szCs w:val="32"/>
          <w:lang w:val="en-US" w:eastAsia="zh-CN" w:bidi="ar-SA"/>
        </w:rPr>
        <w:t>（七）其他科技工作计划。包括落实市委、市政府确定的其他专项科技工作、特定任务、应急性科技项目等。</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1855" w:firstLineChars="600"/>
        <w:jc w:val="both"/>
        <w:textAlignment w:val="auto"/>
        <w:rPr>
          <w:rFonts w:hint="eastAsia" w:ascii="楷体_GB2312" w:hAnsi="楷体_GB2312" w:eastAsia="楷体_GB2312" w:cs="楷体_GB2312"/>
          <w:b/>
          <w:bCs/>
          <w:color w:val="000000"/>
          <w:spacing w:val="-6"/>
          <w:kern w:val="2"/>
          <w:sz w:val="32"/>
          <w:szCs w:val="32"/>
          <w:lang w:val="en-US" w:eastAsia="zh-CN" w:bidi="ar-SA"/>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1848" w:firstLineChars="600"/>
        <w:jc w:val="both"/>
        <w:textAlignment w:val="auto"/>
        <w:rPr>
          <w:rFonts w:hint="eastAsia" w:ascii="黑体" w:hAnsi="黑体" w:eastAsia="黑体" w:cs="黑体"/>
          <w:b w:val="0"/>
          <w:bCs w:val="0"/>
          <w:color w:val="000000"/>
          <w:spacing w:val="-6"/>
          <w:kern w:val="2"/>
          <w:sz w:val="32"/>
          <w:szCs w:val="32"/>
          <w:lang w:val="en-US" w:eastAsia="zh-CN" w:bidi="ar-SA"/>
        </w:rPr>
      </w:pPr>
      <w:r>
        <w:rPr>
          <w:rFonts w:hint="eastAsia" w:ascii="黑体" w:hAnsi="黑体" w:eastAsia="黑体" w:cs="黑体"/>
          <w:b w:val="0"/>
          <w:bCs w:val="0"/>
          <w:color w:val="000000"/>
          <w:spacing w:val="-6"/>
          <w:kern w:val="2"/>
          <w:sz w:val="32"/>
          <w:szCs w:val="32"/>
          <w:lang w:val="en-US" w:eastAsia="zh-CN" w:bidi="ar-SA"/>
        </w:rPr>
        <w:t>第二章  专项资金的支持方式和开支范围</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8" w:firstLineChars="200"/>
        <w:jc w:val="both"/>
        <w:textAlignment w:val="auto"/>
        <w:rPr>
          <w:rFonts w:hint="eastAsia" w:ascii="仿宋_GB2312" w:hAnsi="仿宋_GB2312" w:eastAsia="仿宋_GB2312" w:cs="仿宋_GB2312"/>
          <w:color w:val="auto"/>
          <w:spacing w:val="-6"/>
          <w:kern w:val="2"/>
          <w:sz w:val="32"/>
          <w:szCs w:val="32"/>
          <w:lang w:val="en-US" w:eastAsia="zh-CN" w:bidi="ar-SA"/>
        </w:rPr>
      </w:pPr>
      <w:r>
        <w:rPr>
          <w:rFonts w:hint="eastAsia" w:ascii="楷体_GB2312" w:hAnsi="楷体_GB2312" w:eastAsia="楷体_GB2312" w:cs="楷体_GB2312"/>
          <w:b/>
          <w:bCs/>
          <w:color w:val="000000"/>
          <w:spacing w:val="-6"/>
          <w:kern w:val="2"/>
          <w:sz w:val="32"/>
          <w:szCs w:val="32"/>
          <w:lang w:val="en-US" w:eastAsia="zh-CN" w:bidi="ar-SA"/>
        </w:rPr>
        <w:t>第七条【资助方式】</w:t>
      </w:r>
      <w:r>
        <w:rPr>
          <w:rFonts w:hint="eastAsia" w:ascii="仿宋_GB2312" w:hAnsi="仿宋_GB2312" w:eastAsia="仿宋_GB2312" w:cs="仿宋_GB2312"/>
          <w:color w:val="auto"/>
          <w:spacing w:val="-6"/>
          <w:kern w:val="2"/>
          <w:sz w:val="32"/>
          <w:szCs w:val="32"/>
          <w:lang w:val="en-US" w:eastAsia="zh-CN" w:bidi="ar-SA"/>
        </w:rPr>
        <w:t>专项资金</w:t>
      </w:r>
      <w:r>
        <w:rPr>
          <w:rFonts w:hint="eastAsia" w:ascii="仿宋_GB2312" w:hAnsi="仿宋_GB2312" w:eastAsia="仿宋_GB2312" w:cs="仿宋_GB2312"/>
          <w:color w:val="000000"/>
          <w:spacing w:val="-6"/>
          <w:kern w:val="2"/>
          <w:sz w:val="32"/>
          <w:szCs w:val="32"/>
          <w:lang w:val="en-US" w:eastAsia="zh-CN" w:bidi="ar-SA"/>
        </w:rPr>
        <w:t>主要</w:t>
      </w:r>
      <w:r>
        <w:rPr>
          <w:rFonts w:hint="eastAsia" w:ascii="仿宋_GB2312" w:hAnsi="仿宋_GB2312" w:eastAsia="仿宋_GB2312" w:cs="仿宋_GB2312"/>
          <w:color w:val="auto"/>
          <w:spacing w:val="-6"/>
          <w:kern w:val="2"/>
          <w:sz w:val="32"/>
          <w:szCs w:val="32"/>
          <w:lang w:val="en-US" w:eastAsia="zh-CN" w:bidi="ar-SA"/>
        </w:rPr>
        <w:t>实行项目制管理，建立政府引导与市场作用、稳定支持与竞争择优、事前与事后相结合的资金投入机制，根据科技创新规律和科技计划类别特点，对不同类型的项目进行分类支持。专项资金资助方式包括：</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6" w:firstLineChars="200"/>
        <w:jc w:val="both"/>
        <w:textAlignment w:val="auto"/>
        <w:rPr>
          <w:rFonts w:hint="eastAsia" w:ascii="仿宋_GB2312" w:hAnsi="仿宋_GB2312" w:eastAsia="仿宋_GB2312" w:cs="仿宋_GB2312"/>
          <w:color w:val="auto"/>
          <w:spacing w:val="-6"/>
          <w:kern w:val="2"/>
          <w:sz w:val="32"/>
          <w:szCs w:val="32"/>
          <w:lang w:val="en-US" w:eastAsia="zh-CN" w:bidi="ar-SA"/>
        </w:rPr>
      </w:pPr>
      <w:r>
        <w:rPr>
          <w:rFonts w:hint="eastAsia" w:ascii="仿宋_GB2312" w:hAnsi="仿宋_GB2312" w:eastAsia="仿宋_GB2312" w:cs="仿宋_GB2312"/>
          <w:color w:val="auto"/>
          <w:spacing w:val="-6"/>
          <w:kern w:val="2"/>
          <w:sz w:val="32"/>
          <w:szCs w:val="32"/>
          <w:lang w:val="en-US" w:eastAsia="zh-CN" w:bidi="ar-SA"/>
        </w:rPr>
        <w:t>（一）事前资助。项目承担单位在项目立项后、完成前，获得专项资金资助，按照项目任务书（以下统称任务书）要求使用资金。</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6" w:firstLineChars="200"/>
        <w:jc w:val="both"/>
        <w:textAlignment w:val="auto"/>
        <w:rPr>
          <w:rFonts w:hint="eastAsia" w:ascii="仿宋_GB2312" w:hAnsi="仿宋_GB2312" w:eastAsia="仿宋_GB2312" w:cs="仿宋_GB2312"/>
          <w:color w:val="auto"/>
          <w:spacing w:val="-6"/>
          <w:kern w:val="2"/>
          <w:sz w:val="32"/>
          <w:szCs w:val="32"/>
          <w:lang w:val="en-US" w:eastAsia="zh-CN" w:bidi="ar-SA"/>
        </w:rPr>
      </w:pPr>
      <w:r>
        <w:rPr>
          <w:rFonts w:hint="eastAsia" w:ascii="仿宋_GB2312" w:hAnsi="仿宋_GB2312" w:eastAsia="仿宋_GB2312" w:cs="仿宋_GB2312"/>
          <w:color w:val="auto"/>
          <w:spacing w:val="-6"/>
          <w:kern w:val="2"/>
          <w:sz w:val="32"/>
          <w:szCs w:val="32"/>
          <w:lang w:val="en-US" w:eastAsia="zh-CN" w:bidi="ar-SA"/>
        </w:rPr>
        <w:t>（二）事后补助。项目承担单位先行投入资金开展研发活动、提供科技创新服务，市科技部门根据研发投入、实施结果、绩效或相关科技创新政策等给予补助或奖励。事后补助资金由项目承担单位统筹用于本单位的科研活动，市科技部门不再组织资金过程管理和验收。</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6" w:firstLineChars="200"/>
        <w:jc w:val="both"/>
        <w:textAlignment w:val="auto"/>
        <w:rPr>
          <w:rFonts w:hint="eastAsia" w:ascii="仿宋_GB2312" w:hAnsi="仿宋_GB2312" w:eastAsia="仿宋_GB2312" w:cs="仿宋_GB2312"/>
          <w:color w:val="auto"/>
          <w:spacing w:val="-6"/>
          <w:kern w:val="2"/>
          <w:sz w:val="32"/>
          <w:szCs w:val="32"/>
          <w:lang w:val="en-US" w:eastAsia="zh-CN" w:bidi="ar-SA"/>
        </w:rPr>
      </w:pPr>
      <w:r>
        <w:rPr>
          <w:rFonts w:hint="eastAsia" w:ascii="仿宋_GB2312" w:hAnsi="仿宋_GB2312" w:eastAsia="仿宋_GB2312" w:cs="仿宋_GB2312"/>
          <w:color w:val="auto"/>
          <w:spacing w:val="-6"/>
          <w:kern w:val="2"/>
          <w:sz w:val="32"/>
          <w:szCs w:val="32"/>
          <w:lang w:val="en-US" w:eastAsia="zh-CN" w:bidi="ar-SA"/>
        </w:rPr>
        <w:t>（三）市委、市政府确定的其他支持方式。</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6" w:firstLineChars="200"/>
        <w:jc w:val="both"/>
        <w:textAlignment w:val="auto"/>
        <w:rPr>
          <w:rFonts w:hint="eastAsia" w:ascii="仿宋_GB2312" w:hAnsi="仿宋_GB2312" w:eastAsia="仿宋_GB2312" w:cs="仿宋_GB2312"/>
          <w:color w:val="auto"/>
          <w:spacing w:val="-6"/>
          <w:kern w:val="2"/>
          <w:sz w:val="32"/>
          <w:szCs w:val="32"/>
          <w:lang w:val="en-US" w:eastAsia="zh-CN" w:bidi="ar-SA"/>
        </w:rPr>
      </w:pPr>
      <w:r>
        <w:rPr>
          <w:rFonts w:hint="eastAsia" w:ascii="仿宋_GB2312" w:hAnsi="仿宋_GB2312" w:eastAsia="仿宋_GB2312" w:cs="仿宋_GB2312"/>
          <w:color w:val="auto"/>
          <w:spacing w:val="-6"/>
          <w:kern w:val="2"/>
          <w:sz w:val="32"/>
          <w:szCs w:val="32"/>
          <w:lang w:val="en-US" w:eastAsia="zh-CN" w:bidi="ar-SA"/>
        </w:rPr>
        <w:t>具体支持方式根据科技活动和项目属性确定，市科技部门在制定具体政策和发布项目申报指南（通知）时予以明确。</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8" w:firstLineChars="200"/>
        <w:jc w:val="both"/>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楷体_GB2312" w:hAnsi="楷体_GB2312" w:eastAsia="楷体_GB2312" w:cs="楷体_GB2312"/>
          <w:b/>
          <w:bCs/>
          <w:color w:val="000000"/>
          <w:spacing w:val="-6"/>
          <w:kern w:val="2"/>
          <w:sz w:val="32"/>
          <w:szCs w:val="32"/>
          <w:lang w:val="en-US" w:eastAsia="zh-CN" w:bidi="ar-SA"/>
        </w:rPr>
        <w:t>第八条【开支范围】</w:t>
      </w:r>
      <w:r>
        <w:rPr>
          <w:rFonts w:hint="eastAsia" w:ascii="仿宋_GB2312" w:hAnsi="仿宋_GB2312" w:eastAsia="仿宋_GB2312" w:cs="仿宋_GB2312"/>
          <w:color w:val="000000"/>
          <w:spacing w:val="-6"/>
          <w:kern w:val="2"/>
          <w:sz w:val="32"/>
          <w:szCs w:val="32"/>
          <w:lang w:val="en-US" w:eastAsia="zh-CN" w:bidi="ar-SA"/>
        </w:rPr>
        <w:t>专项资金的开支范围包括项目费、市科技部门为开展科技计划所需的管理经费。专项资金不得用于支付罚款、捐款、赞助、投资、偿还债务等支出，及国家规定禁止列支的其他支出。</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8" w:firstLineChars="200"/>
        <w:jc w:val="both"/>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楷体_GB2312" w:hAnsi="楷体_GB2312" w:eastAsia="楷体_GB2312" w:cs="楷体_GB2312"/>
          <w:b/>
          <w:bCs/>
          <w:color w:val="000000"/>
          <w:spacing w:val="-6"/>
          <w:kern w:val="2"/>
          <w:sz w:val="32"/>
          <w:szCs w:val="32"/>
          <w:lang w:val="en-US" w:eastAsia="zh-CN" w:bidi="ar-SA"/>
        </w:rPr>
        <w:t>第九条【直接费用和间接费用】</w:t>
      </w:r>
      <w:r>
        <w:rPr>
          <w:rFonts w:hint="eastAsia" w:ascii="仿宋_GB2312" w:hAnsi="仿宋_GB2312" w:eastAsia="仿宋_GB2312" w:cs="仿宋_GB2312"/>
          <w:color w:val="000000"/>
          <w:spacing w:val="-6"/>
          <w:kern w:val="2"/>
          <w:sz w:val="32"/>
          <w:szCs w:val="32"/>
          <w:lang w:val="en-US" w:eastAsia="zh-CN" w:bidi="ar-SA"/>
        </w:rPr>
        <w:t>采用事前资助方式支持的项目费开支范围包括直接费用和间接费用。</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6" w:firstLineChars="200"/>
        <w:jc w:val="both"/>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楷体_GB2312" w:hAnsi="楷体_GB2312" w:eastAsia="楷体_GB2312" w:cs="楷体_GB2312"/>
          <w:color w:val="000000"/>
          <w:spacing w:val="-6"/>
          <w:kern w:val="2"/>
          <w:sz w:val="32"/>
          <w:szCs w:val="32"/>
          <w:lang w:val="en-US" w:eastAsia="zh-CN" w:bidi="ar-SA"/>
        </w:rPr>
        <w:t>（一）</w:t>
      </w:r>
      <w:r>
        <w:rPr>
          <w:rFonts w:hint="eastAsia" w:ascii="仿宋_GB2312" w:hAnsi="仿宋_GB2312" w:eastAsia="仿宋_GB2312" w:cs="仿宋_GB2312"/>
          <w:color w:val="000000"/>
          <w:spacing w:val="-6"/>
          <w:kern w:val="2"/>
          <w:sz w:val="32"/>
          <w:szCs w:val="32"/>
          <w:lang w:val="en-US" w:eastAsia="zh-CN" w:bidi="ar-SA"/>
        </w:rPr>
        <w:t>直接费用是指在项目实施过程中发生的与之直接相关的费用，具体包括：</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8" w:firstLineChars="200"/>
        <w:jc w:val="both"/>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仿宋_GB2312" w:hAnsi="仿宋_GB2312" w:eastAsia="仿宋_GB2312" w:cs="仿宋_GB2312"/>
          <w:b/>
          <w:bCs/>
          <w:color w:val="000000"/>
          <w:spacing w:val="-6"/>
          <w:kern w:val="2"/>
          <w:sz w:val="32"/>
          <w:szCs w:val="32"/>
          <w:lang w:val="en-US" w:eastAsia="zh-CN" w:bidi="ar-SA"/>
        </w:rPr>
        <w:t>1.设备费：</w:t>
      </w:r>
      <w:r>
        <w:rPr>
          <w:rFonts w:hint="eastAsia" w:ascii="仿宋_GB2312" w:hAnsi="仿宋_GB2312" w:eastAsia="仿宋_GB2312" w:cs="仿宋_GB2312"/>
          <w:color w:val="000000"/>
          <w:spacing w:val="-6"/>
          <w:kern w:val="2"/>
          <w:sz w:val="32"/>
          <w:szCs w:val="32"/>
          <w:lang w:val="en-US" w:eastAsia="zh-CN" w:bidi="ar-SA"/>
        </w:rPr>
        <w:t>在项目实施过程中购置或试制专用仪器设备，对现有仪器设备进行升级改造，租赁外单位仪器设备，计算类仪器设备和软件工具发生的费用。</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6" w:firstLineChars="200"/>
        <w:jc w:val="both"/>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仿宋_GB2312" w:hAnsi="仿宋_GB2312" w:eastAsia="仿宋_GB2312" w:cs="仿宋_GB2312"/>
          <w:color w:val="000000"/>
          <w:spacing w:val="-6"/>
          <w:kern w:val="2"/>
          <w:sz w:val="32"/>
          <w:szCs w:val="32"/>
          <w:lang w:val="en-US" w:eastAsia="zh-CN" w:bidi="ar-SA"/>
        </w:rPr>
        <w:t>应当严格控制设备购置，鼓励开放共享、自主研制、租赁专用仪器设备以及对现有仪器设备进行升级改造，避免重复购置。确需购置仪器设备的，申请单位须同时提交本单位大型科研仪器设备查重及共享情况自查报告，并对拟购置设备的必要性，设备的主要性能指标、主要技术参数和用途进行单独说明。</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8" w:firstLineChars="200"/>
        <w:jc w:val="both"/>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仿宋_GB2312" w:hAnsi="仿宋_GB2312" w:eastAsia="仿宋_GB2312" w:cs="仿宋_GB2312"/>
          <w:b/>
          <w:bCs/>
          <w:color w:val="000000"/>
          <w:spacing w:val="-6"/>
          <w:kern w:val="2"/>
          <w:sz w:val="32"/>
          <w:szCs w:val="32"/>
          <w:lang w:val="en-US" w:eastAsia="zh-CN" w:bidi="ar-SA"/>
        </w:rPr>
        <w:t>2.业务费：</w:t>
      </w:r>
      <w:r>
        <w:rPr>
          <w:rFonts w:hint="eastAsia" w:ascii="仿宋_GB2312" w:hAnsi="仿宋_GB2312" w:eastAsia="仿宋_GB2312" w:cs="仿宋_GB2312"/>
          <w:b w:val="0"/>
          <w:bCs w:val="0"/>
          <w:color w:val="000000"/>
          <w:spacing w:val="-6"/>
          <w:kern w:val="2"/>
          <w:sz w:val="32"/>
          <w:szCs w:val="32"/>
          <w:lang w:val="en-US" w:eastAsia="zh-CN" w:bidi="ar-SA"/>
        </w:rPr>
        <w:t>是指在项目实施过程中消耗的各种材料、测试化验加工、燃料动力、档案/出版/文献/信息传播/知识产权事务、会议/差旅/国际合作交流等费用，以及其他相关支出，其中，</w:t>
      </w:r>
      <w:r>
        <w:rPr>
          <w:rFonts w:hint="eastAsia" w:ascii="仿宋_GB2312" w:hAnsi="仿宋_GB2312" w:eastAsia="仿宋_GB2312" w:cs="仿宋_GB2312"/>
          <w:color w:val="000000"/>
          <w:spacing w:val="-6"/>
          <w:kern w:val="2"/>
          <w:sz w:val="32"/>
          <w:szCs w:val="32"/>
          <w:lang w:val="en-US" w:eastAsia="zh-CN" w:bidi="ar-SA"/>
        </w:rPr>
        <w:t>在项目实施过程中消耗的各种原材料、辅助材料、低值易耗品等的采购及运输、装卸、整理等材料及相关费用；在项目实施过程中支付给外单位(包括项目依托单位内部独立经济核算单位)的检验、测试、化验及加工等测试化验加工费用；在项目实施过程中相关大型仪器设备、专用科学装置等运行发生的可以单独计量的水、电、气、燃料消耗等燃料动力费用；在项目实施过程中发生的差旅费、会议费和国际合作交流费；在项目实施过程中需支付的出版费、资料费、专用软件购买费、文献检索费、专利申请及其他知识产权事务等费用；在项目实施过程中发生的其他业务支出。</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8" w:firstLineChars="200"/>
        <w:jc w:val="both"/>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仿宋_GB2312" w:hAnsi="仿宋_GB2312" w:eastAsia="仿宋_GB2312" w:cs="仿宋_GB2312"/>
          <w:b/>
          <w:bCs/>
          <w:color w:val="000000"/>
          <w:spacing w:val="-6"/>
          <w:kern w:val="2"/>
          <w:sz w:val="32"/>
          <w:szCs w:val="32"/>
          <w:lang w:val="en-US" w:eastAsia="zh-CN" w:bidi="ar-SA"/>
        </w:rPr>
        <w:t>3.劳务费：</w:t>
      </w:r>
      <w:r>
        <w:rPr>
          <w:rFonts w:hint="eastAsia" w:ascii="仿宋_GB2312" w:hAnsi="仿宋_GB2312" w:eastAsia="仿宋_GB2312" w:cs="仿宋_GB2312"/>
          <w:color w:val="000000"/>
          <w:spacing w:val="-6"/>
          <w:kern w:val="2"/>
          <w:sz w:val="32"/>
          <w:szCs w:val="32"/>
          <w:lang w:val="en-US" w:eastAsia="zh-CN" w:bidi="ar-SA"/>
        </w:rPr>
        <w:t>在项目实施过程中支付给参与项目的在校生、博士后、访问学者以及项目聘用的研究人员、科研辅助人员、科研财务助理等的劳务性费用，以及在项目实施过程中支付给临时聘请的咨询专家的费用。</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6" w:firstLineChars="200"/>
        <w:jc w:val="both"/>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仿宋_GB2312" w:hAnsi="仿宋_GB2312" w:eastAsia="仿宋_GB2312" w:cs="仿宋_GB2312"/>
          <w:color w:val="000000"/>
          <w:spacing w:val="-6"/>
          <w:kern w:val="2"/>
          <w:sz w:val="32"/>
          <w:szCs w:val="32"/>
          <w:lang w:val="en-US" w:eastAsia="zh-CN" w:bidi="ar-SA"/>
        </w:rPr>
        <w:t>项目承担单位为事业单位的，在编人员不得开支劳务费；</w:t>
      </w:r>
      <w:r>
        <w:rPr>
          <w:rFonts w:hint="eastAsia" w:ascii="仿宋_GB2312" w:hAnsi="仿宋_GB2312" w:eastAsia="仿宋_GB2312" w:cs="仿宋_GB2312"/>
          <w:color w:val="auto"/>
          <w:spacing w:val="-6"/>
          <w:kern w:val="2"/>
          <w:sz w:val="32"/>
          <w:szCs w:val="32"/>
          <w:lang w:val="en-US" w:eastAsia="zh-CN" w:bidi="ar-SA"/>
        </w:rPr>
        <w:t>项目</w:t>
      </w:r>
      <w:r>
        <w:rPr>
          <w:rFonts w:hint="eastAsia" w:ascii="仿宋_GB2312" w:hAnsi="仿宋_GB2312" w:eastAsia="仿宋_GB2312" w:cs="仿宋_GB2312"/>
          <w:color w:val="000000"/>
          <w:spacing w:val="-6"/>
          <w:kern w:val="2"/>
          <w:sz w:val="32"/>
          <w:szCs w:val="32"/>
          <w:lang w:val="en-US" w:eastAsia="zh-CN" w:bidi="ar-SA"/>
        </w:rPr>
        <w:t>承担单位为非事业单位的，除为项目实施专门聘用的人员外，其他人员不得开支劳务费。项目聘用人员的劳务费开支标准，参照参照我市科学研究和技术服务业从业人员平均工资水平，根据其在项目研究中承担的工作任务确定，其社会保险补助、住房公积金等纳入劳务费科目开支。劳务费预算不设比例限制，应据实编制并进行说明。</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6" w:firstLineChars="200"/>
        <w:jc w:val="both"/>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仿宋_GB2312" w:hAnsi="仿宋_GB2312" w:eastAsia="仿宋_GB2312" w:cs="仿宋_GB2312"/>
          <w:color w:val="000000"/>
          <w:spacing w:val="-6"/>
          <w:kern w:val="2"/>
          <w:sz w:val="32"/>
          <w:szCs w:val="32"/>
          <w:lang w:val="en-US" w:eastAsia="zh-CN" w:bidi="ar-SA"/>
        </w:rPr>
        <w:t>支付给临时聘请的咨询专家的费用，不得支付给参与本项目及所属课题研究和管理的相关工作人员。</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6" w:firstLineChars="200"/>
        <w:jc w:val="both"/>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楷体_GB2312" w:hAnsi="楷体_GB2312" w:eastAsia="楷体_GB2312" w:cs="楷体_GB2312"/>
          <w:color w:val="000000"/>
          <w:spacing w:val="-6"/>
          <w:kern w:val="2"/>
          <w:sz w:val="32"/>
          <w:szCs w:val="32"/>
          <w:lang w:val="en-US" w:eastAsia="zh-CN" w:bidi="ar-SA"/>
        </w:rPr>
        <w:t>（二）</w:t>
      </w:r>
      <w:r>
        <w:rPr>
          <w:rFonts w:hint="eastAsia" w:ascii="仿宋_GB2312" w:hAnsi="仿宋_GB2312" w:eastAsia="仿宋_GB2312" w:cs="仿宋_GB2312"/>
          <w:color w:val="000000"/>
          <w:spacing w:val="-6"/>
          <w:kern w:val="2"/>
          <w:sz w:val="32"/>
          <w:szCs w:val="32"/>
          <w:lang w:val="en-US" w:eastAsia="zh-CN" w:bidi="ar-SA"/>
        </w:rPr>
        <w:t>间接费用，是指项目承担单位在项目组织实施过程中发生的无法在直接费用中列支的管理费用和绩效支出。</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6" w:firstLineChars="200"/>
        <w:jc w:val="both"/>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仿宋_GB2312" w:hAnsi="仿宋_GB2312" w:eastAsia="仿宋_GB2312" w:cs="仿宋_GB2312"/>
          <w:color w:val="000000"/>
          <w:spacing w:val="-6"/>
          <w:kern w:val="2"/>
          <w:sz w:val="32"/>
          <w:szCs w:val="32"/>
          <w:lang w:val="en-US" w:eastAsia="zh-CN" w:bidi="ar-SA"/>
        </w:rPr>
        <w:t>管理费用主要用于补偿项目承担单位为了项目实施提供的现有仪器设备及房屋，水、电、气、暖等消耗支出；绩效支出为项目承担单位为了提高本项目科研工作绩效而安排的激励性支出。基本办公用品购置费、基础设施建设翻新费用、物业费等原则上不得在直接费用和间接费用列支。</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6" w:firstLineChars="200"/>
        <w:jc w:val="both"/>
        <w:textAlignment w:val="auto"/>
        <w:rPr>
          <w:rFonts w:hint="eastAsia" w:ascii="仿宋_GB2312" w:hAnsi="仿宋_GB2312" w:eastAsia="仿宋_GB2312" w:cs="仿宋_GB2312"/>
          <w:color w:val="auto"/>
          <w:spacing w:val="-6"/>
          <w:kern w:val="2"/>
          <w:sz w:val="32"/>
          <w:szCs w:val="32"/>
          <w:highlight w:val="none"/>
          <w:lang w:val="en-US" w:eastAsia="zh-CN" w:bidi="ar-SA"/>
        </w:rPr>
      </w:pPr>
      <w:r>
        <w:rPr>
          <w:rFonts w:hint="eastAsia" w:ascii="仿宋_GB2312" w:hAnsi="仿宋_GB2312" w:eastAsia="仿宋_GB2312" w:cs="仿宋_GB2312"/>
          <w:color w:val="000000"/>
          <w:spacing w:val="-6"/>
          <w:kern w:val="2"/>
          <w:sz w:val="32"/>
          <w:szCs w:val="32"/>
          <w:lang w:val="en-US" w:eastAsia="zh-CN" w:bidi="ar-SA"/>
        </w:rPr>
        <w:t>结合不同学科特点，间接费用一般按照不超过项目直接费用扣除设备购置费后的一定比例核定，由项目</w:t>
      </w:r>
      <w:r>
        <w:rPr>
          <w:rFonts w:hint="eastAsia" w:ascii="仿宋_GB2312" w:hAnsi="仿宋_GB2312" w:eastAsia="仿宋_GB2312" w:cs="仿宋_GB2312"/>
          <w:strike w:val="0"/>
          <w:dstrike w:val="0"/>
          <w:color w:val="auto"/>
          <w:spacing w:val="-6"/>
          <w:kern w:val="2"/>
          <w:sz w:val="32"/>
          <w:szCs w:val="32"/>
          <w:lang w:val="en-US" w:eastAsia="zh-CN" w:bidi="ar-SA"/>
        </w:rPr>
        <w:t>承担</w:t>
      </w:r>
      <w:r>
        <w:rPr>
          <w:rFonts w:hint="eastAsia" w:ascii="仿宋_GB2312" w:hAnsi="仿宋_GB2312" w:eastAsia="仿宋_GB2312" w:cs="仿宋_GB2312"/>
          <w:color w:val="000000"/>
          <w:spacing w:val="-6"/>
          <w:kern w:val="2"/>
          <w:sz w:val="32"/>
          <w:szCs w:val="32"/>
          <w:lang w:val="en-US" w:eastAsia="zh-CN" w:bidi="ar-SA"/>
        </w:rPr>
        <w:t>单位统筹安排使用。</w:t>
      </w:r>
      <w:r>
        <w:rPr>
          <w:rFonts w:hint="eastAsia" w:ascii="仿宋_GB2312" w:hAnsi="仿宋_GB2312" w:eastAsia="仿宋_GB2312" w:cs="仿宋_GB2312"/>
          <w:color w:val="auto"/>
          <w:spacing w:val="-6"/>
          <w:kern w:val="2"/>
          <w:sz w:val="32"/>
          <w:szCs w:val="32"/>
          <w:lang w:val="en-US" w:eastAsia="zh-CN" w:bidi="ar-SA"/>
        </w:rPr>
        <w:t>其中，500万元以下的部分，比例不超过35%，500万元至1000万元的部分比例不超过30%，1000万元以上的部分比例不超过25%；对数学等纯理论基础研究项目及决策科学项目，间接费用比例可进一步提高到不超过60%。</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6" w:firstLineChars="200"/>
        <w:jc w:val="both"/>
        <w:textAlignment w:val="auto"/>
        <w:rPr>
          <w:rFonts w:hint="eastAsia" w:ascii="仿宋_GB2312" w:hAnsi="仿宋_GB2312" w:eastAsia="仿宋_GB2312" w:cs="仿宋_GB2312"/>
          <w:color w:val="auto"/>
          <w:spacing w:val="-6"/>
          <w:kern w:val="2"/>
          <w:sz w:val="32"/>
          <w:szCs w:val="32"/>
          <w:highlight w:val="none"/>
          <w:lang w:val="en-US" w:eastAsia="zh-CN" w:bidi="ar-SA"/>
        </w:rPr>
      </w:pPr>
      <w:r>
        <w:rPr>
          <w:rFonts w:hint="eastAsia" w:ascii="仿宋_GB2312" w:hAnsi="仿宋_GB2312" w:eastAsia="仿宋_GB2312" w:cs="仿宋_GB2312"/>
          <w:color w:val="auto"/>
          <w:spacing w:val="-6"/>
          <w:kern w:val="2"/>
          <w:sz w:val="32"/>
          <w:szCs w:val="32"/>
          <w:highlight w:val="none"/>
          <w:lang w:val="en-US" w:eastAsia="zh-CN" w:bidi="ar-SA"/>
        </w:rPr>
        <w:t>项目承担单位应当建立健全间接费用的内部管理办法，不得在核定的间接费用以外再以任何名义在项目资金中重复提取、列支相关费用。绩效支出只能用于项目组成员，项目承担单位不得截留、挪用、挤占。</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8" w:firstLineChars="200"/>
        <w:jc w:val="both"/>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楷体_GB2312" w:hAnsi="楷体_GB2312" w:eastAsia="楷体_GB2312" w:cs="楷体_GB2312"/>
          <w:b/>
          <w:bCs/>
          <w:color w:val="000000"/>
          <w:spacing w:val="-6"/>
          <w:kern w:val="2"/>
          <w:sz w:val="32"/>
          <w:szCs w:val="32"/>
          <w:lang w:val="en-US" w:eastAsia="zh-CN" w:bidi="ar-SA"/>
        </w:rPr>
        <w:t>第十条【包干制试点】</w:t>
      </w:r>
      <w:r>
        <w:rPr>
          <w:rFonts w:hint="eastAsia" w:ascii="仿宋_GB2312" w:hAnsi="仿宋_GB2312" w:eastAsia="仿宋_GB2312" w:cs="仿宋_GB2312"/>
          <w:color w:val="000000"/>
          <w:spacing w:val="-6"/>
          <w:kern w:val="2"/>
          <w:sz w:val="32"/>
          <w:szCs w:val="32"/>
          <w:lang w:val="en-US" w:eastAsia="zh-CN" w:bidi="ar-SA"/>
        </w:rPr>
        <w:t>采用包干制试点的项目，本着科学、合理、规范、有效的原则申请资助额度，无需编制项目预算。包干制项目资金由项目负责人根据试点单位制定的项目经费包干制管理规定自主决定使用，按照本办法第九条规定的开支范围列支，无需履行调剂程序。对于项目承担单位为项目研究提供的有关物耗和管理费用，由项目承担单位根据实际管理需要，充分征求项目负责人意见合理确定。</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8" w:firstLineChars="200"/>
        <w:jc w:val="both"/>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楷体_GB2312" w:hAnsi="楷体_GB2312" w:eastAsia="楷体_GB2312" w:cs="楷体_GB2312"/>
          <w:b/>
          <w:bCs/>
          <w:color w:val="000000"/>
          <w:spacing w:val="-6"/>
          <w:kern w:val="2"/>
          <w:sz w:val="32"/>
          <w:szCs w:val="32"/>
          <w:lang w:val="en-US" w:eastAsia="zh-CN" w:bidi="ar-SA"/>
        </w:rPr>
        <w:t>第十一条【计划管理费】</w:t>
      </w:r>
      <w:r>
        <w:rPr>
          <w:rFonts w:hint="eastAsia" w:ascii="仿宋_GB2312" w:hAnsi="仿宋_GB2312" w:eastAsia="仿宋_GB2312" w:cs="仿宋_GB2312"/>
          <w:color w:val="000000"/>
          <w:spacing w:val="-6"/>
          <w:kern w:val="2"/>
          <w:sz w:val="32"/>
          <w:szCs w:val="32"/>
          <w:lang w:val="en-US" w:eastAsia="zh-CN" w:bidi="ar-SA"/>
        </w:rPr>
        <w:t>计划管理费，是指市科技部门为组织开展专项资金项目管理所发生的相关费用。年度计划管理费的提取比例应控制在财政年度专项资金总</w:t>
      </w:r>
      <w:r>
        <w:rPr>
          <w:rFonts w:hint="eastAsia" w:ascii="仿宋_GB2312" w:hAnsi="仿宋_GB2312" w:eastAsia="仿宋_GB2312" w:cs="仿宋_GB2312"/>
          <w:color w:val="auto"/>
          <w:spacing w:val="-6"/>
          <w:kern w:val="2"/>
          <w:sz w:val="32"/>
          <w:szCs w:val="32"/>
          <w:lang w:val="en-US" w:eastAsia="zh-CN" w:bidi="ar-SA"/>
        </w:rPr>
        <w:t>预算的3%以内。</w:t>
      </w:r>
      <w:r>
        <w:rPr>
          <w:rFonts w:hint="eastAsia" w:ascii="仿宋_GB2312" w:hAnsi="仿宋_GB2312" w:eastAsia="仿宋_GB2312" w:cs="仿宋_GB2312"/>
          <w:color w:val="000000"/>
          <w:spacing w:val="-6"/>
          <w:kern w:val="2"/>
          <w:sz w:val="32"/>
          <w:szCs w:val="32"/>
          <w:lang w:val="en-US" w:eastAsia="zh-CN" w:bidi="ar-SA"/>
        </w:rPr>
        <w:t>计划管理费具体开支范围包括：</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6" w:firstLineChars="200"/>
        <w:jc w:val="both"/>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楷体_GB2312" w:hAnsi="楷体_GB2312" w:eastAsia="楷体_GB2312" w:cs="楷体_GB2312"/>
          <w:color w:val="000000"/>
          <w:spacing w:val="-6"/>
          <w:kern w:val="2"/>
          <w:sz w:val="32"/>
          <w:szCs w:val="32"/>
          <w:lang w:val="en-US" w:eastAsia="zh-CN" w:bidi="ar-SA"/>
        </w:rPr>
        <w:t>（一）</w:t>
      </w:r>
      <w:r>
        <w:rPr>
          <w:rFonts w:hint="eastAsia" w:ascii="仿宋_GB2312" w:hAnsi="仿宋_GB2312" w:eastAsia="仿宋_GB2312" w:cs="仿宋_GB2312"/>
          <w:color w:val="000000"/>
          <w:spacing w:val="-6"/>
          <w:kern w:val="2"/>
          <w:sz w:val="32"/>
          <w:szCs w:val="32"/>
          <w:lang w:val="en-US" w:eastAsia="zh-CN" w:bidi="ar-SA"/>
        </w:rPr>
        <w:t>市级财政科技计划项目咨询、评审、验收、督查、评估及相关档案管理。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6" w:firstLineChars="200"/>
        <w:jc w:val="both"/>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仿宋_GB2312" w:hAnsi="仿宋_GB2312" w:eastAsia="仿宋_GB2312" w:cs="仿宋_GB2312"/>
          <w:color w:val="000000"/>
          <w:spacing w:val="-6"/>
          <w:kern w:val="2"/>
          <w:sz w:val="32"/>
          <w:szCs w:val="32"/>
          <w:lang w:val="en-US" w:eastAsia="zh-CN" w:bidi="ar-SA"/>
        </w:rPr>
        <w:t>（二）科技创新统计、调查、监测、规划。</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6" w:firstLineChars="200"/>
        <w:jc w:val="both"/>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仿宋_GB2312" w:hAnsi="仿宋_GB2312" w:eastAsia="仿宋_GB2312" w:cs="仿宋_GB2312"/>
          <w:color w:val="000000"/>
          <w:spacing w:val="-6"/>
          <w:kern w:val="2"/>
          <w:sz w:val="32"/>
          <w:szCs w:val="32"/>
          <w:lang w:val="en-US" w:eastAsia="zh-CN" w:bidi="ar-SA"/>
        </w:rPr>
        <w:t>（三）科技计划资金绩效评价、审计及计划项目管理内控制度建设。</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6" w:firstLineChars="200"/>
        <w:jc w:val="both"/>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仿宋_GB2312" w:hAnsi="仿宋_GB2312" w:eastAsia="仿宋_GB2312" w:cs="仿宋_GB2312"/>
          <w:color w:val="000000"/>
          <w:spacing w:val="-6"/>
          <w:kern w:val="2"/>
          <w:sz w:val="32"/>
          <w:szCs w:val="32"/>
          <w:lang w:val="en-US" w:eastAsia="zh-CN" w:bidi="ar-SA"/>
        </w:rPr>
        <w:t>（四）科技计划项目管理培训、调研。</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6" w:firstLineChars="200"/>
        <w:jc w:val="both"/>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仿宋_GB2312" w:hAnsi="仿宋_GB2312" w:eastAsia="仿宋_GB2312" w:cs="仿宋_GB2312"/>
          <w:color w:val="000000"/>
          <w:spacing w:val="-6"/>
          <w:kern w:val="2"/>
          <w:sz w:val="32"/>
          <w:szCs w:val="32"/>
          <w:lang w:val="en-US" w:eastAsia="zh-CN" w:bidi="ar-SA"/>
        </w:rPr>
        <w:t>（五）科技企业的辅导和培训服务。</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6" w:firstLineChars="200"/>
        <w:jc w:val="both"/>
        <w:textAlignment w:val="auto"/>
        <w:rPr>
          <w:rFonts w:hint="eastAsia" w:ascii="仿宋_GB2312" w:hAnsi="仿宋_GB2312" w:eastAsia="仿宋_GB2312" w:cs="仿宋_GB2312"/>
          <w:color w:val="auto"/>
          <w:spacing w:val="-6"/>
          <w:kern w:val="2"/>
          <w:sz w:val="32"/>
          <w:szCs w:val="32"/>
          <w:lang w:val="en-US" w:eastAsia="zh-CN" w:bidi="ar-SA"/>
        </w:rPr>
      </w:pPr>
      <w:r>
        <w:rPr>
          <w:rFonts w:hint="eastAsia" w:ascii="仿宋_GB2312" w:hAnsi="仿宋_GB2312" w:eastAsia="仿宋_GB2312" w:cs="仿宋_GB2312"/>
          <w:color w:val="000000"/>
          <w:spacing w:val="-6"/>
          <w:kern w:val="2"/>
          <w:sz w:val="32"/>
          <w:szCs w:val="32"/>
          <w:lang w:val="en-US" w:eastAsia="zh-CN" w:bidi="ar-SA"/>
        </w:rPr>
        <w:t>（六）</w:t>
      </w:r>
      <w:r>
        <w:rPr>
          <w:rFonts w:hint="eastAsia" w:ascii="仿宋_GB2312" w:hAnsi="仿宋_GB2312" w:eastAsia="仿宋_GB2312" w:cs="仿宋_GB2312"/>
          <w:color w:val="auto"/>
          <w:spacing w:val="-6"/>
          <w:kern w:val="2"/>
          <w:sz w:val="32"/>
          <w:szCs w:val="32"/>
          <w:lang w:val="en-US" w:eastAsia="zh-CN" w:bidi="ar-SA"/>
        </w:rPr>
        <w:t>科技政策、科技计划项目管理工作需要的采购服务。</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6" w:firstLineChars="200"/>
        <w:jc w:val="both"/>
        <w:textAlignment w:val="auto"/>
        <w:rPr>
          <w:rFonts w:hint="eastAsia" w:ascii="仿宋_GB2312" w:hAnsi="仿宋_GB2312" w:eastAsia="仿宋_GB2312" w:cs="仿宋_GB2312"/>
          <w:color w:val="auto"/>
          <w:spacing w:val="-6"/>
          <w:kern w:val="2"/>
          <w:sz w:val="32"/>
          <w:szCs w:val="32"/>
          <w:lang w:val="en-US" w:eastAsia="zh-CN" w:bidi="ar-SA"/>
        </w:rPr>
      </w:pPr>
      <w:r>
        <w:rPr>
          <w:rFonts w:hint="eastAsia" w:ascii="仿宋_GB2312" w:hAnsi="仿宋_GB2312" w:eastAsia="仿宋_GB2312" w:cs="仿宋_GB2312"/>
          <w:color w:val="000000"/>
          <w:spacing w:val="-6"/>
          <w:kern w:val="2"/>
          <w:sz w:val="32"/>
          <w:szCs w:val="32"/>
          <w:lang w:val="en-US" w:eastAsia="zh-CN" w:bidi="ar-SA"/>
        </w:rPr>
        <w:t>（七）</w:t>
      </w:r>
      <w:r>
        <w:rPr>
          <w:rFonts w:hint="eastAsia" w:ascii="仿宋_GB2312" w:hAnsi="仿宋_GB2312" w:eastAsia="仿宋_GB2312" w:cs="仿宋_GB2312"/>
          <w:color w:val="auto"/>
          <w:spacing w:val="-6"/>
          <w:kern w:val="2"/>
          <w:sz w:val="32"/>
          <w:szCs w:val="32"/>
          <w:lang w:val="en-US" w:eastAsia="zh-CN" w:bidi="ar-SA"/>
        </w:rPr>
        <w:t>根据省科技厅、市委市政府工作安排，需要开展的创新创业大赛、研发资源普查、重大科技学术会议、展览、科技创新宣传、科学技术普及等其他科技专项管理工作。</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8" w:firstLineChars="200"/>
        <w:jc w:val="both"/>
        <w:textAlignment w:val="auto"/>
        <w:rPr>
          <w:rFonts w:hint="eastAsia" w:ascii="仿宋_GB2312" w:hAnsi="仿宋_GB2312" w:eastAsia="仿宋_GB2312" w:cs="仿宋_GB2312"/>
          <w:color w:val="auto"/>
          <w:spacing w:val="-6"/>
          <w:kern w:val="2"/>
          <w:sz w:val="32"/>
          <w:szCs w:val="32"/>
          <w:lang w:val="en-US" w:eastAsia="zh-CN" w:bidi="ar-SA"/>
        </w:rPr>
      </w:pPr>
      <w:r>
        <w:rPr>
          <w:rFonts w:hint="eastAsia" w:ascii="楷体_GB2312" w:hAnsi="楷体_GB2312" w:eastAsia="楷体_GB2312" w:cs="楷体_GB2312"/>
          <w:b/>
          <w:bCs/>
          <w:color w:val="auto"/>
          <w:spacing w:val="-6"/>
          <w:kern w:val="2"/>
          <w:sz w:val="32"/>
          <w:szCs w:val="32"/>
          <w:lang w:val="en-US" w:eastAsia="zh-CN" w:bidi="ar-SA"/>
        </w:rPr>
        <w:t>第十二条</w:t>
      </w:r>
      <w:r>
        <w:rPr>
          <w:rFonts w:hint="eastAsia" w:ascii="楷体_GB2312" w:hAnsi="楷体_GB2312" w:eastAsia="楷体_GB2312" w:cs="楷体_GB2312"/>
          <w:b/>
          <w:bCs/>
          <w:color w:val="000000"/>
          <w:spacing w:val="-6"/>
          <w:kern w:val="2"/>
          <w:sz w:val="32"/>
          <w:szCs w:val="32"/>
          <w:lang w:val="en-US" w:eastAsia="zh-CN" w:bidi="ar-SA"/>
        </w:rPr>
        <w:t>【专家咨询费】</w:t>
      </w:r>
      <w:r>
        <w:rPr>
          <w:rFonts w:hint="eastAsia" w:ascii="仿宋_GB2312" w:hAnsi="仿宋_GB2312" w:eastAsia="仿宋_GB2312" w:cs="仿宋_GB2312"/>
          <w:color w:val="auto"/>
          <w:spacing w:val="-6"/>
          <w:kern w:val="2"/>
          <w:sz w:val="32"/>
          <w:szCs w:val="32"/>
          <w:lang w:val="en-US" w:eastAsia="zh-CN" w:bidi="ar-SA"/>
        </w:rPr>
        <w:t>专家咨询费列支标准及要求。</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6" w:firstLineChars="200"/>
        <w:jc w:val="both"/>
        <w:textAlignment w:val="auto"/>
        <w:rPr>
          <w:rFonts w:hint="eastAsia" w:ascii="仿宋_GB2312" w:hAnsi="仿宋_GB2312" w:eastAsia="仿宋_GB2312" w:cs="仿宋_GB2312"/>
          <w:color w:val="auto"/>
          <w:spacing w:val="-6"/>
          <w:kern w:val="2"/>
          <w:sz w:val="32"/>
          <w:szCs w:val="32"/>
          <w:lang w:val="en-US" w:eastAsia="zh-CN" w:bidi="ar-SA"/>
        </w:rPr>
      </w:pPr>
      <w:r>
        <w:rPr>
          <w:rFonts w:hint="eastAsia" w:ascii="仿宋_GB2312" w:hAnsi="仿宋_GB2312" w:eastAsia="仿宋_GB2312" w:cs="仿宋_GB2312"/>
          <w:color w:val="auto"/>
          <w:spacing w:val="-6"/>
          <w:kern w:val="2"/>
          <w:sz w:val="32"/>
          <w:szCs w:val="32"/>
          <w:lang w:val="en-US" w:eastAsia="zh-CN" w:bidi="ar-SA"/>
        </w:rPr>
        <w:t>（一）本办法所称专家咨询费包含：市科技部门在项目管理过程中支付给临时聘请的咨询专家的费用；项目承担单位在项目实施过程中支付给临时聘请的咨询专家的费用。</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6" w:firstLineChars="200"/>
        <w:jc w:val="both"/>
        <w:textAlignment w:val="auto"/>
        <w:rPr>
          <w:rFonts w:hint="eastAsia" w:ascii="仿宋_GB2312" w:hAnsi="仿宋_GB2312" w:eastAsia="仿宋_GB2312" w:cs="仿宋_GB2312"/>
          <w:color w:val="auto"/>
          <w:spacing w:val="-6"/>
          <w:kern w:val="2"/>
          <w:sz w:val="32"/>
          <w:szCs w:val="32"/>
          <w:lang w:val="en-US" w:eastAsia="zh-CN" w:bidi="ar-SA"/>
        </w:rPr>
      </w:pPr>
      <w:r>
        <w:rPr>
          <w:rFonts w:hint="eastAsia" w:ascii="仿宋_GB2312" w:hAnsi="仿宋_GB2312" w:eastAsia="仿宋_GB2312" w:cs="仿宋_GB2312"/>
          <w:color w:val="auto"/>
          <w:spacing w:val="-6"/>
          <w:kern w:val="2"/>
          <w:sz w:val="32"/>
          <w:szCs w:val="32"/>
          <w:lang w:val="en-US" w:eastAsia="zh-CN" w:bidi="ar-SA"/>
        </w:rPr>
        <w:t>（二）专家咨询费发放对象：市科技部门发放专家咨询费的对象应是市科技部门专家库或省科技厅专家库中入库的专家；项目承担单位发放专家咨询费的对象由单位根据项目实际情况，按照内部规定和流程选择精通、熟悉项目内容和领域的相关专家。市科技部门机关人员、参与项目研究及其管理的相关人员不得作为专家领取咨询费。</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6" w:firstLineChars="200"/>
        <w:jc w:val="both"/>
        <w:textAlignment w:val="auto"/>
        <w:rPr>
          <w:rFonts w:hint="eastAsia" w:ascii="仿宋_GB2312" w:hAnsi="仿宋_GB2312" w:eastAsia="仿宋_GB2312" w:cs="仿宋_GB2312"/>
          <w:color w:val="auto"/>
          <w:spacing w:val="-6"/>
          <w:kern w:val="2"/>
          <w:sz w:val="32"/>
          <w:szCs w:val="32"/>
          <w:lang w:val="en-US" w:eastAsia="zh-CN" w:bidi="ar-SA"/>
        </w:rPr>
      </w:pPr>
      <w:r>
        <w:rPr>
          <w:rFonts w:hint="eastAsia" w:ascii="仿宋_GB2312" w:hAnsi="仿宋_GB2312" w:eastAsia="仿宋_GB2312" w:cs="仿宋_GB2312"/>
          <w:color w:val="auto"/>
          <w:spacing w:val="-6"/>
          <w:kern w:val="2"/>
          <w:sz w:val="32"/>
          <w:szCs w:val="32"/>
          <w:lang w:val="en-US" w:eastAsia="zh-CN" w:bidi="ar-SA"/>
        </w:rPr>
        <w:t>（三）专家咨询费的发放应采用银行转账方式。</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6" w:firstLineChars="200"/>
        <w:jc w:val="both"/>
        <w:textAlignment w:val="auto"/>
        <w:rPr>
          <w:rFonts w:hint="eastAsia" w:ascii="仿宋_GB2312" w:hAnsi="仿宋_GB2312" w:eastAsia="仿宋_GB2312" w:cs="仿宋_GB2312"/>
          <w:color w:val="auto"/>
          <w:spacing w:val="-6"/>
          <w:kern w:val="2"/>
          <w:sz w:val="32"/>
          <w:szCs w:val="32"/>
          <w:lang w:val="en-US" w:eastAsia="zh-CN" w:bidi="ar-SA"/>
        </w:rPr>
      </w:pPr>
      <w:r>
        <w:rPr>
          <w:rFonts w:hint="eastAsia" w:ascii="仿宋_GB2312" w:hAnsi="仿宋_GB2312" w:eastAsia="仿宋_GB2312" w:cs="仿宋_GB2312"/>
          <w:color w:val="auto"/>
          <w:spacing w:val="-6"/>
          <w:kern w:val="2"/>
          <w:sz w:val="32"/>
          <w:szCs w:val="32"/>
          <w:lang w:val="en-US" w:eastAsia="zh-CN" w:bidi="ar-SA"/>
        </w:rPr>
        <w:t>（四）专家咨询费标准：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6" w:firstLineChars="200"/>
        <w:jc w:val="both"/>
        <w:textAlignment w:val="auto"/>
        <w:rPr>
          <w:rFonts w:hint="eastAsia" w:ascii="仿宋_GB2312" w:hAnsi="仿宋_GB2312" w:eastAsia="仿宋_GB2312" w:cs="仿宋_GB2312"/>
          <w:color w:val="auto"/>
          <w:spacing w:val="-6"/>
          <w:kern w:val="2"/>
          <w:sz w:val="32"/>
          <w:szCs w:val="32"/>
          <w:lang w:val="en-US" w:eastAsia="zh-CN" w:bidi="ar-SA"/>
        </w:rPr>
      </w:pPr>
      <w:r>
        <w:rPr>
          <w:rFonts w:hint="eastAsia" w:ascii="仿宋_GB2312" w:hAnsi="仿宋_GB2312" w:eastAsia="仿宋_GB2312" w:cs="仿宋_GB2312"/>
          <w:color w:val="auto"/>
          <w:spacing w:val="-6"/>
          <w:kern w:val="2"/>
          <w:sz w:val="32"/>
          <w:szCs w:val="32"/>
          <w:lang w:val="en-US" w:eastAsia="zh-CN" w:bidi="ar-SA"/>
        </w:rPr>
        <w:t>1.高级专业技术职称人员的专家咨询费标准为1500元／人天（税后）；其他专业人员的专家咨询费标准为900元／人天（税后）。</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6" w:firstLineChars="200"/>
        <w:jc w:val="both"/>
        <w:textAlignment w:val="auto"/>
        <w:rPr>
          <w:rFonts w:hint="eastAsia" w:ascii="仿宋_GB2312" w:hAnsi="仿宋_GB2312" w:eastAsia="仿宋_GB2312" w:cs="仿宋_GB2312"/>
          <w:color w:val="auto"/>
          <w:spacing w:val="-6"/>
          <w:kern w:val="2"/>
          <w:sz w:val="32"/>
          <w:szCs w:val="32"/>
          <w:lang w:val="en-US" w:eastAsia="zh-CN" w:bidi="ar-SA"/>
        </w:rPr>
      </w:pPr>
      <w:r>
        <w:rPr>
          <w:rFonts w:hint="eastAsia" w:ascii="仿宋_GB2312" w:hAnsi="仿宋_GB2312" w:eastAsia="仿宋_GB2312" w:cs="仿宋_GB2312"/>
          <w:color w:val="auto"/>
          <w:spacing w:val="-6"/>
          <w:kern w:val="2"/>
          <w:sz w:val="32"/>
          <w:szCs w:val="32"/>
          <w:lang w:val="en-US" w:eastAsia="zh-CN" w:bidi="ar-SA"/>
        </w:rPr>
        <w:t>2.院士、全国知名专家，可按照高级专业技术职称人员的专家咨询费标准上浮50%执行。</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6" w:firstLineChars="200"/>
        <w:jc w:val="both"/>
        <w:textAlignment w:val="auto"/>
        <w:rPr>
          <w:rFonts w:hint="eastAsia" w:ascii="仿宋_GB2312" w:hAnsi="仿宋_GB2312" w:eastAsia="仿宋_GB2312" w:cs="仿宋_GB2312"/>
          <w:color w:val="auto"/>
          <w:spacing w:val="-6"/>
          <w:kern w:val="2"/>
          <w:sz w:val="32"/>
          <w:szCs w:val="32"/>
          <w:lang w:val="en-US" w:eastAsia="zh-CN" w:bidi="ar-SA"/>
        </w:rPr>
      </w:pPr>
      <w:r>
        <w:rPr>
          <w:rFonts w:hint="eastAsia" w:ascii="仿宋_GB2312" w:hAnsi="仿宋_GB2312" w:eastAsia="仿宋_GB2312" w:cs="仿宋_GB2312"/>
          <w:color w:val="auto"/>
          <w:spacing w:val="-6"/>
          <w:kern w:val="2"/>
          <w:sz w:val="32"/>
          <w:szCs w:val="32"/>
          <w:lang w:val="en-US" w:eastAsia="zh-CN" w:bidi="ar-SA"/>
        </w:rPr>
        <w:t>（五）专家咨询活动的组织形式主要有会议、现场访谈或勘察、通讯、网评四种形式。不同形式组织的专家咨询活动适用专家咨询费标准如下：</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6" w:firstLineChars="200"/>
        <w:jc w:val="both"/>
        <w:textAlignment w:val="auto"/>
        <w:rPr>
          <w:rFonts w:hint="eastAsia" w:ascii="仿宋_GB2312" w:hAnsi="仿宋_GB2312" w:eastAsia="仿宋_GB2312" w:cs="仿宋_GB2312"/>
          <w:color w:val="auto"/>
          <w:spacing w:val="-6"/>
          <w:kern w:val="2"/>
          <w:sz w:val="32"/>
          <w:szCs w:val="32"/>
          <w:lang w:val="en-US" w:eastAsia="zh-CN" w:bidi="ar-SA"/>
        </w:rPr>
      </w:pPr>
      <w:r>
        <w:rPr>
          <w:rFonts w:hint="eastAsia" w:ascii="仿宋_GB2312" w:hAnsi="仿宋_GB2312" w:eastAsia="仿宋_GB2312" w:cs="仿宋_GB2312"/>
          <w:color w:val="auto"/>
          <w:spacing w:val="-6"/>
          <w:kern w:val="2"/>
          <w:sz w:val="32"/>
          <w:szCs w:val="32"/>
          <w:lang w:val="en-US" w:eastAsia="zh-CN" w:bidi="ar-SA"/>
        </w:rPr>
        <w:t>1.会议形式，是指通过召开专家参加的会议，征询专家的意见和建议。会期半天的，按本条第（四）款标准的60%执行；会期不超过两天（含两天）的，按本条第（四）款标准执行；会期超过两天的，第一、二天按本条第（四）款标准执行，第三天及以后按本条第（四）款标准的50%执行。</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6" w:firstLineChars="200"/>
        <w:jc w:val="both"/>
        <w:textAlignment w:val="auto"/>
        <w:rPr>
          <w:rFonts w:hint="eastAsia" w:ascii="仿宋_GB2312" w:hAnsi="仿宋_GB2312" w:eastAsia="仿宋_GB2312" w:cs="仿宋_GB2312"/>
          <w:color w:val="auto"/>
          <w:spacing w:val="-6"/>
          <w:kern w:val="2"/>
          <w:sz w:val="32"/>
          <w:szCs w:val="32"/>
          <w:lang w:val="en-US" w:eastAsia="zh-CN" w:bidi="ar-SA"/>
        </w:rPr>
      </w:pPr>
      <w:r>
        <w:rPr>
          <w:rFonts w:hint="eastAsia" w:ascii="仿宋_GB2312" w:hAnsi="仿宋_GB2312" w:eastAsia="仿宋_GB2312" w:cs="仿宋_GB2312"/>
          <w:color w:val="auto"/>
          <w:spacing w:val="-6"/>
          <w:kern w:val="2"/>
          <w:sz w:val="32"/>
          <w:szCs w:val="32"/>
          <w:lang w:val="en-US" w:eastAsia="zh-CN" w:bidi="ar-SA"/>
        </w:rPr>
        <w:t>2.现场访谈或勘察形式，是指通过组织现场谈话，或者查看实地、实物、原始业务资料等方式征询专家的意见和建议。按会议组织形式的标准执行。</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6" w:firstLineChars="200"/>
        <w:jc w:val="both"/>
        <w:textAlignment w:val="auto"/>
        <w:rPr>
          <w:rFonts w:hint="eastAsia" w:ascii="仿宋_GB2312" w:hAnsi="仿宋_GB2312" w:eastAsia="仿宋_GB2312" w:cs="仿宋_GB2312"/>
          <w:color w:val="auto"/>
          <w:spacing w:val="-6"/>
          <w:kern w:val="2"/>
          <w:sz w:val="32"/>
          <w:szCs w:val="32"/>
          <w:lang w:val="en-US" w:eastAsia="zh-CN" w:bidi="ar-SA"/>
        </w:rPr>
      </w:pPr>
      <w:r>
        <w:rPr>
          <w:rFonts w:hint="eastAsia" w:ascii="仿宋_GB2312" w:hAnsi="仿宋_GB2312" w:eastAsia="仿宋_GB2312" w:cs="仿宋_GB2312"/>
          <w:color w:val="auto"/>
          <w:spacing w:val="-6"/>
          <w:kern w:val="2"/>
          <w:sz w:val="32"/>
          <w:szCs w:val="32"/>
          <w:lang w:val="en-US" w:eastAsia="zh-CN" w:bidi="ar-SA"/>
        </w:rPr>
        <w:t>3.通讯形式，是指通过信函、邮件等方式征询专家的意见和建议。按次计算，每次按本条第（四）款标准的30%执行。</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6" w:firstLineChars="200"/>
        <w:jc w:val="both"/>
        <w:textAlignment w:val="auto"/>
        <w:rPr>
          <w:rFonts w:hint="eastAsia" w:ascii="仿宋_GB2312" w:hAnsi="仿宋_GB2312" w:eastAsia="仿宋_GB2312" w:cs="仿宋_GB2312"/>
          <w:color w:val="auto"/>
          <w:spacing w:val="-6"/>
          <w:kern w:val="2"/>
          <w:sz w:val="32"/>
          <w:szCs w:val="32"/>
          <w:lang w:val="en-US" w:eastAsia="zh-CN" w:bidi="ar-SA"/>
        </w:rPr>
      </w:pPr>
      <w:r>
        <w:rPr>
          <w:rFonts w:hint="eastAsia" w:ascii="仿宋_GB2312" w:hAnsi="仿宋_GB2312" w:eastAsia="仿宋_GB2312" w:cs="仿宋_GB2312"/>
          <w:color w:val="auto"/>
          <w:spacing w:val="-6"/>
          <w:kern w:val="2"/>
          <w:sz w:val="32"/>
          <w:szCs w:val="32"/>
          <w:lang w:val="en-US" w:eastAsia="zh-CN" w:bidi="ar-SA"/>
        </w:rPr>
        <w:t>4.网评方式，是指专家通过远程在线登录信息系统，在信息系统中对相关项目进行在线评审。对于网评方式，应根据专家实际评审的项目数量和项目资料的数量，合理测算专家的工作量，折算为相应的天数后，按会议形式的标准执行。</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6" w:firstLineChars="200"/>
        <w:jc w:val="both"/>
        <w:textAlignment w:val="auto"/>
        <w:rPr>
          <w:rFonts w:hint="default" w:ascii="仿宋_GB2312" w:hAnsi="仿宋_GB2312" w:eastAsia="仿宋_GB2312" w:cs="仿宋_GB2312"/>
          <w:color w:val="auto"/>
          <w:spacing w:val="-6"/>
          <w:kern w:val="2"/>
          <w:sz w:val="32"/>
          <w:szCs w:val="32"/>
          <w:lang w:val="en" w:eastAsia="zh-CN" w:bidi="ar-SA"/>
        </w:rPr>
      </w:pPr>
      <w:r>
        <w:rPr>
          <w:rFonts w:hint="eastAsia" w:ascii="仿宋_GB2312" w:hAnsi="仿宋_GB2312" w:eastAsia="仿宋_GB2312" w:cs="仿宋_GB2312"/>
          <w:color w:val="auto"/>
          <w:spacing w:val="-6"/>
          <w:kern w:val="2"/>
          <w:sz w:val="32"/>
          <w:szCs w:val="32"/>
          <w:lang w:val="en-US" w:eastAsia="zh-CN" w:bidi="ar-SA"/>
        </w:rPr>
        <w:t>（六）不同领域、相同专业技术职称的专家咨询费标准应当保持一致。专家咨询费的发放应当按国家有关规定由单位代缴代扣个人所得税。</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6" w:firstLineChars="200"/>
        <w:jc w:val="both"/>
        <w:textAlignment w:val="auto"/>
        <w:rPr>
          <w:rFonts w:hint="eastAsia" w:ascii="仿宋_GB2312" w:hAnsi="仿宋_GB2312" w:eastAsia="仿宋_GB2312" w:cs="仿宋_GB2312"/>
          <w:color w:val="auto"/>
          <w:spacing w:val="-6"/>
          <w:kern w:val="2"/>
          <w:sz w:val="32"/>
          <w:szCs w:val="32"/>
          <w:lang w:val="en-US" w:eastAsia="zh-CN" w:bidi="ar-SA"/>
        </w:rPr>
      </w:pPr>
      <w:r>
        <w:rPr>
          <w:rFonts w:hint="eastAsia" w:ascii="仿宋_GB2312" w:hAnsi="仿宋_GB2312" w:eastAsia="仿宋_GB2312" w:cs="仿宋_GB2312"/>
          <w:color w:val="auto"/>
          <w:spacing w:val="-6"/>
          <w:kern w:val="2"/>
          <w:sz w:val="32"/>
          <w:szCs w:val="32"/>
          <w:lang w:val="en-US" w:eastAsia="zh-CN" w:bidi="ar-SA"/>
        </w:rPr>
        <w:t>（七）专家咨询费发放单位应建立专家咨询费支付审核机制，核实专家咨询行为及专家咨询费发放的真实性、合规性，并及时向代理银行办理支付手续。对专家信息不真实、存在虚假咨询行为，以及其他违反本办法或有关规定的，按有关规定严肃追责处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6" w:firstLineChars="200"/>
        <w:jc w:val="both"/>
        <w:textAlignment w:val="auto"/>
        <w:rPr>
          <w:rFonts w:hint="eastAsia" w:ascii="仿宋_GB2312" w:hAnsi="仿宋_GB2312" w:eastAsia="仿宋_GB2312" w:cs="仿宋_GB2312"/>
          <w:color w:val="auto"/>
          <w:spacing w:val="-6"/>
          <w:kern w:val="2"/>
          <w:sz w:val="32"/>
          <w:szCs w:val="32"/>
          <w:lang w:val="en-US" w:eastAsia="zh-CN" w:bidi="ar-SA"/>
        </w:rPr>
      </w:pPr>
      <w:r>
        <w:rPr>
          <w:rFonts w:hint="eastAsia" w:ascii="仿宋_GB2312" w:hAnsi="仿宋_GB2312" w:eastAsia="仿宋_GB2312" w:cs="仿宋_GB2312"/>
          <w:color w:val="auto"/>
          <w:spacing w:val="-6"/>
          <w:kern w:val="2"/>
          <w:sz w:val="32"/>
          <w:szCs w:val="32"/>
          <w:lang w:val="en-US" w:eastAsia="zh-CN" w:bidi="ar-SA"/>
        </w:rPr>
        <w:t>（八）项目承担单位应当对专家咨询费的开支做好财务记录，并及时归档，定期对专家咨询费支付情况进行检查。</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240" w:lineRule="auto"/>
        <w:ind w:right="0" w:firstLine="2156" w:firstLineChars="700"/>
        <w:jc w:val="both"/>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黑体" w:hAnsi="黑体" w:eastAsia="黑体" w:cs="黑体"/>
          <w:color w:val="000000"/>
          <w:spacing w:val="-6"/>
          <w:kern w:val="2"/>
          <w:sz w:val="32"/>
          <w:szCs w:val="32"/>
          <w:lang w:val="en-US" w:eastAsia="zh-CN" w:bidi="ar-SA"/>
        </w:rPr>
        <w:t>第三章 资金的使用管理及执行</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240" w:lineRule="auto"/>
        <w:ind w:right="0" w:firstLine="618" w:firstLineChars="200"/>
        <w:jc w:val="both"/>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楷体_GB2312" w:hAnsi="楷体_GB2312" w:eastAsia="楷体_GB2312" w:cs="楷体_GB2312"/>
          <w:b/>
          <w:bCs/>
          <w:color w:val="000000"/>
          <w:spacing w:val="-6"/>
          <w:kern w:val="2"/>
          <w:sz w:val="32"/>
          <w:szCs w:val="32"/>
          <w:lang w:val="en-US" w:eastAsia="zh-CN" w:bidi="ar-SA"/>
        </w:rPr>
        <w:t>第十三条【管理制度】</w:t>
      </w:r>
      <w:r>
        <w:rPr>
          <w:rFonts w:hint="eastAsia" w:ascii="仿宋_GB2312" w:hAnsi="仿宋_GB2312" w:eastAsia="仿宋_GB2312" w:cs="仿宋_GB2312"/>
          <w:color w:val="000000"/>
          <w:spacing w:val="-6"/>
          <w:kern w:val="2"/>
          <w:sz w:val="32"/>
          <w:szCs w:val="32"/>
          <w:lang w:val="en-US" w:eastAsia="zh-CN" w:bidi="ar-SA"/>
        </w:rPr>
        <w:t>项目承担单位应建立健全项目资金管理制度，加强项目资金管理，落实单位自筹资金及相关保障条件，对专项资金实行专账管理、单独核算、专款专用，对其中的财政资助经费和自筹经费分别进行单独核算，即在单位适用的会计制度一级科目统括之下，按照规定的项目支出范围设置明细科目，按开支范围与标准执行，进行会计核算，并对资金支出的真实性、合法性、完整性负责。</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8" w:firstLineChars="200"/>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楷体_GB2312" w:hAnsi="楷体_GB2312" w:eastAsia="楷体_GB2312" w:cs="楷体_GB2312"/>
          <w:b/>
          <w:bCs/>
          <w:color w:val="000000"/>
          <w:spacing w:val="-6"/>
          <w:kern w:val="2"/>
          <w:sz w:val="32"/>
          <w:szCs w:val="32"/>
          <w:lang w:val="en-US" w:eastAsia="zh-CN" w:bidi="ar-SA"/>
        </w:rPr>
        <w:t>第十四条【资金拨付】</w:t>
      </w:r>
      <w:r>
        <w:rPr>
          <w:rFonts w:hint="eastAsia" w:ascii="仿宋_GB2312" w:hAnsi="仿宋_GB2312" w:eastAsia="仿宋_GB2312" w:cs="仿宋_GB2312"/>
          <w:color w:val="000000"/>
          <w:spacing w:val="-6"/>
          <w:kern w:val="2"/>
          <w:sz w:val="32"/>
          <w:szCs w:val="32"/>
          <w:lang w:val="en-US" w:eastAsia="zh-CN" w:bidi="ar-SA"/>
        </w:rPr>
        <w:t>项目资金按照国库集中支付有关规定拨付，由多个单位共同承担同一项目的，资金拨付至牵头单位，项目牵头单位应及时按预算和任务书转拨合作单位资金，并加强对转拨资金的监督管理。项目资金根据资助总额、项目实施进度和自筹资金投入额度，分阶段、分批次拨付。</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6" w:firstLineChars="200"/>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仿宋_GB2312" w:hAnsi="仿宋_GB2312" w:eastAsia="仿宋_GB2312" w:cs="仿宋_GB2312"/>
          <w:color w:val="000000"/>
          <w:spacing w:val="-6"/>
          <w:kern w:val="2"/>
          <w:sz w:val="32"/>
          <w:szCs w:val="32"/>
          <w:lang w:val="en-US" w:eastAsia="zh-CN" w:bidi="ar-SA"/>
        </w:rPr>
        <w:t>（一）资助金额50万元（含）以下的项目，可简化流程一次性拨付。</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6" w:firstLineChars="200"/>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仿宋_GB2312" w:hAnsi="仿宋_GB2312" w:eastAsia="仿宋_GB2312" w:cs="仿宋_GB2312"/>
          <w:color w:val="000000"/>
          <w:spacing w:val="-6"/>
          <w:kern w:val="2"/>
          <w:sz w:val="32"/>
          <w:szCs w:val="32"/>
          <w:lang w:val="en-US" w:eastAsia="zh-CN" w:bidi="ar-SA"/>
        </w:rPr>
        <w:t>（二）资助金额 50万元（含）以上的项目，一般分两批拨付；首批按不超过资助金额 70%的比例拨付，剩余资金待中期检查通过后拨付。</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8" w:firstLineChars="200"/>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楷体_GB2312" w:hAnsi="楷体_GB2312" w:eastAsia="楷体_GB2312" w:cs="楷体_GB2312"/>
          <w:b/>
          <w:bCs/>
          <w:color w:val="000000"/>
          <w:spacing w:val="-6"/>
          <w:kern w:val="2"/>
          <w:sz w:val="32"/>
          <w:szCs w:val="32"/>
          <w:lang w:val="en-US" w:eastAsia="zh-CN" w:bidi="ar-SA"/>
        </w:rPr>
        <w:t>第十五条【预算调剂】</w:t>
      </w:r>
      <w:r>
        <w:rPr>
          <w:rFonts w:hint="eastAsia" w:ascii="仿宋_GB2312" w:hAnsi="仿宋_GB2312" w:eastAsia="仿宋_GB2312" w:cs="仿宋_GB2312"/>
          <w:color w:val="000000"/>
          <w:spacing w:val="-6"/>
          <w:kern w:val="2"/>
          <w:sz w:val="32"/>
          <w:szCs w:val="32"/>
          <w:lang w:val="en-US" w:eastAsia="zh-CN" w:bidi="ar-SA"/>
        </w:rPr>
        <w:t>项目承担单位必须严格执行批复后的资金预算，确有必要调整时，按以下程序办理：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6" w:firstLineChars="200"/>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仿宋_GB2312" w:hAnsi="仿宋_GB2312" w:eastAsia="仿宋_GB2312" w:cs="仿宋_GB2312"/>
          <w:color w:val="000000"/>
          <w:spacing w:val="-6"/>
          <w:kern w:val="2"/>
          <w:sz w:val="32"/>
          <w:szCs w:val="32"/>
          <w:lang w:val="en-US" w:eastAsia="zh-CN" w:bidi="ar-SA"/>
        </w:rPr>
        <w:t>（一）项目预算总额调整报市科技部门审批。</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6" w:firstLineChars="200"/>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仿宋_GB2312" w:hAnsi="仿宋_GB2312" w:eastAsia="仿宋_GB2312" w:cs="仿宋_GB2312"/>
          <w:color w:val="000000"/>
          <w:spacing w:val="-6"/>
          <w:kern w:val="2"/>
          <w:sz w:val="32"/>
          <w:szCs w:val="32"/>
          <w:lang w:val="en-US" w:eastAsia="zh-CN" w:bidi="ar-SA"/>
        </w:rPr>
        <w:t>（二）项目预算总额不变，合作单位之间发生预算调剂，应协商一致并重新签订合作协议后，报市科技部门审批。</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6" w:firstLineChars="200"/>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仿宋_GB2312" w:hAnsi="仿宋_GB2312" w:eastAsia="仿宋_GB2312" w:cs="仿宋_GB2312"/>
          <w:color w:val="000000"/>
          <w:spacing w:val="-6"/>
          <w:kern w:val="2"/>
          <w:sz w:val="32"/>
          <w:szCs w:val="32"/>
          <w:lang w:val="en-US" w:eastAsia="zh-CN" w:bidi="ar-SA"/>
        </w:rPr>
        <w:t>（三）项目预算总额不变，直接费用调剂权下放至项目承担单位，项目负责人根据项目开展实际需要经项目承担单位批准后对直接费用中各项费用进行调剂；项目间接费用不得调增。</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240" w:lineRule="auto"/>
        <w:ind w:right="0" w:firstLine="616" w:firstLineChars="200"/>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仿宋_GB2312" w:hAnsi="仿宋_GB2312" w:eastAsia="仿宋_GB2312" w:cs="仿宋_GB2312"/>
          <w:color w:val="000000"/>
          <w:spacing w:val="-6"/>
          <w:kern w:val="2"/>
          <w:sz w:val="32"/>
          <w:szCs w:val="32"/>
          <w:lang w:val="en-US" w:eastAsia="zh-CN" w:bidi="ar-SA"/>
        </w:rPr>
        <w:t>（四）预算调整情况应在验收报告中予以说明。</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420" w:lineRule="atLeast"/>
        <w:ind w:right="0" w:firstLine="618" w:firstLineChars="200"/>
        <w:jc w:val="both"/>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楷体_GB2312" w:hAnsi="楷体_GB2312" w:eastAsia="楷体_GB2312" w:cs="楷体_GB2312"/>
          <w:b/>
          <w:bCs/>
          <w:color w:val="000000"/>
          <w:spacing w:val="-6"/>
          <w:kern w:val="2"/>
          <w:sz w:val="32"/>
          <w:szCs w:val="32"/>
          <w:lang w:val="en-US" w:eastAsia="zh-CN" w:bidi="ar-SA"/>
        </w:rPr>
        <w:t>第十六条【资金结算方式】</w:t>
      </w:r>
      <w:r>
        <w:rPr>
          <w:rFonts w:hint="eastAsia" w:ascii="仿宋_GB2312" w:hAnsi="仿宋_GB2312" w:eastAsia="仿宋_GB2312" w:cs="仿宋_GB2312"/>
          <w:color w:val="000000"/>
          <w:spacing w:val="-6"/>
          <w:kern w:val="2"/>
          <w:sz w:val="32"/>
          <w:szCs w:val="32"/>
          <w:lang w:val="en-US" w:eastAsia="zh-CN" w:bidi="ar-SA"/>
        </w:rPr>
        <w:t>科研院所、高等学校等事业单位承担项目所发生的差旅/会议/国际合作交流、材料和测试化验加工等支出，按财政部门相关规定实行银行转账或“公务卡”结算。企业承担科技项目发生的费用应使用企业账户进行结算。</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420" w:lineRule="atLeast"/>
        <w:ind w:right="0" w:firstLine="618" w:firstLineChars="200"/>
        <w:jc w:val="both"/>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楷体_GB2312" w:hAnsi="楷体_GB2312" w:eastAsia="楷体_GB2312" w:cs="楷体_GB2312"/>
          <w:b/>
          <w:bCs/>
          <w:color w:val="000000"/>
          <w:spacing w:val="-6"/>
          <w:kern w:val="2"/>
          <w:sz w:val="32"/>
          <w:szCs w:val="32"/>
          <w:lang w:val="en-US" w:eastAsia="zh-CN" w:bidi="ar-SA"/>
        </w:rPr>
        <w:t>第十七条【成果归属】</w:t>
      </w:r>
      <w:r>
        <w:rPr>
          <w:rFonts w:hint="eastAsia" w:ascii="仿宋_GB2312" w:hAnsi="仿宋_GB2312" w:eastAsia="仿宋_GB2312" w:cs="仿宋_GB2312"/>
          <w:color w:val="000000"/>
          <w:spacing w:val="-6"/>
          <w:kern w:val="2"/>
          <w:sz w:val="32"/>
          <w:szCs w:val="32"/>
          <w:lang w:val="en-US" w:eastAsia="zh-CN" w:bidi="ar-SA"/>
        </w:rPr>
        <w:t>项目实施过程中，行政事业单位使用专项资金形成的固定资产属于国有资产，应按照有关国有资产管理规定执行；企业使用专项资金形成的固定资产，按照《企业财务通则》等相关规章制度执行。使用专项资金形成的知识产权等无形资产，按照国家有关规定执行；形成的大型科学仪器设备、科学数据、自然科技资源等，按照有关规定开放共享。</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420" w:lineRule="atLeast"/>
        <w:ind w:right="0" w:firstLine="618" w:firstLineChars="200"/>
        <w:jc w:val="both"/>
        <w:textAlignment w:val="auto"/>
        <w:rPr>
          <w:rFonts w:hint="eastAsia" w:ascii="仿宋_GB2312" w:hAnsi="仿宋_GB2312" w:eastAsia="仿宋_GB2312" w:cs="仿宋_GB2312"/>
          <w:color w:val="000000"/>
          <w:spacing w:val="-6"/>
          <w:kern w:val="2"/>
          <w:sz w:val="32"/>
          <w:szCs w:val="32"/>
          <w:highlight w:val="none"/>
          <w:lang w:val="en-US" w:eastAsia="zh-CN" w:bidi="ar-SA"/>
        </w:rPr>
      </w:pPr>
      <w:r>
        <w:rPr>
          <w:rFonts w:hint="eastAsia" w:ascii="楷体_GB2312" w:hAnsi="楷体_GB2312" w:eastAsia="楷体_GB2312" w:cs="楷体_GB2312"/>
          <w:b/>
          <w:bCs/>
          <w:color w:val="000000"/>
          <w:spacing w:val="-6"/>
          <w:kern w:val="2"/>
          <w:sz w:val="32"/>
          <w:szCs w:val="32"/>
          <w:lang w:val="en-US" w:eastAsia="zh-CN" w:bidi="ar-SA"/>
        </w:rPr>
        <w:t>第十八条</w:t>
      </w:r>
      <w:r>
        <w:rPr>
          <w:rFonts w:hint="eastAsia" w:ascii="楷体_GB2312" w:hAnsi="楷体_GB2312" w:eastAsia="楷体_GB2312" w:cs="楷体_GB2312"/>
          <w:b/>
          <w:bCs/>
          <w:color w:val="000000"/>
          <w:spacing w:val="-6"/>
          <w:kern w:val="2"/>
          <w:sz w:val="32"/>
          <w:szCs w:val="32"/>
          <w:highlight w:val="none"/>
          <w:lang w:val="en-US" w:eastAsia="zh-CN" w:bidi="ar-SA"/>
        </w:rPr>
        <w:t>【经费决算】</w:t>
      </w:r>
      <w:r>
        <w:rPr>
          <w:rFonts w:hint="eastAsia" w:ascii="仿宋_GB2312" w:hAnsi="仿宋_GB2312" w:eastAsia="仿宋_GB2312" w:cs="仿宋_GB2312"/>
          <w:color w:val="000000"/>
          <w:spacing w:val="-6"/>
          <w:kern w:val="2"/>
          <w:sz w:val="32"/>
          <w:szCs w:val="32"/>
          <w:highlight w:val="none"/>
          <w:lang w:val="en-US" w:eastAsia="zh-CN" w:bidi="ar-SA"/>
        </w:rPr>
        <w:t>项目实施期满后，市科技部门或委托项目管理专业机构依据任务书对项目进行综合绩效评价，合并开展财务验收和技术验收，其中财政资金资助50万元（含）以上项目须出具专项审计报告，专项审计报告应包含财政资金的支出情况及自筹或配套资金的支出情况；财政资金资助50 万元以下项目由项目承担单位编制经费决算表，并对主要支出提供相关明细和财务凭证。</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240" w:lineRule="auto"/>
        <w:ind w:right="0" w:firstLine="618" w:firstLineChars="200"/>
        <w:jc w:val="left"/>
        <w:textAlignment w:val="auto"/>
        <w:rPr>
          <w:rFonts w:hint="eastAsia" w:ascii="仿宋_GB2312" w:hAnsi="仿宋_GB2312" w:eastAsia="仿宋_GB2312" w:cs="仿宋_GB2312"/>
          <w:i w:val="0"/>
          <w:caps w:val="0"/>
          <w:color w:val="auto"/>
          <w:spacing w:val="0"/>
          <w:sz w:val="32"/>
          <w:szCs w:val="32"/>
          <w:u w:val="none"/>
          <w:shd w:val="clear" w:color="auto" w:fill="FFFFFF"/>
          <w:lang w:val="en-US" w:eastAsia="zh-CN"/>
        </w:rPr>
      </w:pPr>
      <w:r>
        <w:rPr>
          <w:rFonts w:hint="eastAsia" w:ascii="楷体_GB2312" w:hAnsi="楷体_GB2312" w:eastAsia="楷体_GB2312" w:cs="楷体_GB2312"/>
          <w:b/>
          <w:bCs/>
          <w:color w:val="000000"/>
          <w:spacing w:val="-6"/>
          <w:kern w:val="2"/>
          <w:sz w:val="32"/>
          <w:szCs w:val="32"/>
          <w:lang w:val="en-US" w:eastAsia="zh-CN" w:bidi="ar-SA"/>
        </w:rPr>
        <w:t>第十九条</w:t>
      </w:r>
      <w:r>
        <w:rPr>
          <w:rFonts w:hint="eastAsia" w:ascii="楷体_GB2312" w:hAnsi="楷体_GB2312" w:eastAsia="楷体_GB2312" w:cs="楷体_GB2312"/>
          <w:b/>
          <w:bCs/>
          <w:i w:val="0"/>
          <w:caps w:val="0"/>
          <w:color w:val="auto"/>
          <w:spacing w:val="0"/>
          <w:sz w:val="32"/>
          <w:szCs w:val="32"/>
          <w:u w:val="none"/>
          <w:shd w:val="clear" w:color="auto" w:fill="FFFFFF"/>
          <w:lang w:val="en-US" w:eastAsia="zh-CN"/>
        </w:rPr>
        <w:t>【结余资金】</w:t>
      </w:r>
      <w:r>
        <w:rPr>
          <w:rFonts w:hint="eastAsia" w:ascii="仿宋_GB2312" w:hAnsi="仿宋_GB2312" w:eastAsia="仿宋_GB2312" w:cs="仿宋_GB2312"/>
          <w:i w:val="0"/>
          <w:caps w:val="0"/>
          <w:color w:val="auto"/>
          <w:spacing w:val="0"/>
          <w:sz w:val="32"/>
          <w:szCs w:val="32"/>
          <w:u w:val="none"/>
          <w:shd w:val="clear" w:color="auto" w:fill="FFFFFF"/>
          <w:lang w:val="en-US" w:eastAsia="zh-CN"/>
        </w:rPr>
        <w:t>结余资金是指项目结束或因故终止时，项目经费总预算减去实际总支出经费后的余额。因故终止项目的结余资金还包括处理已购物资、材料及仪器、设备的变价收入。项目结余资金按以下方式处理：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240" w:lineRule="auto"/>
        <w:ind w:right="0" w:firstLine="640" w:firstLineChars="200"/>
        <w:jc w:val="left"/>
        <w:textAlignment w:val="auto"/>
        <w:rPr>
          <w:rFonts w:hint="eastAsia" w:ascii="仿宋_GB2312" w:hAnsi="仿宋_GB2312" w:eastAsia="仿宋_GB2312" w:cs="仿宋_GB2312"/>
          <w:i w:val="0"/>
          <w:caps w:val="0"/>
          <w:color w:val="auto"/>
          <w:spacing w:val="0"/>
          <w:sz w:val="32"/>
          <w:szCs w:val="32"/>
          <w:u w:val="none"/>
          <w:shd w:val="clear" w:color="auto" w:fill="FFFFFF"/>
          <w:lang w:val="en-US" w:eastAsia="zh-CN"/>
        </w:rPr>
      </w:pPr>
      <w:r>
        <w:rPr>
          <w:rFonts w:hint="eastAsia" w:ascii="仿宋_GB2312" w:hAnsi="仿宋_GB2312" w:eastAsia="仿宋_GB2312" w:cs="仿宋_GB2312"/>
          <w:i w:val="0"/>
          <w:caps w:val="0"/>
          <w:color w:val="auto"/>
          <w:spacing w:val="0"/>
          <w:sz w:val="32"/>
          <w:szCs w:val="32"/>
          <w:u w:val="none"/>
          <w:shd w:val="clear" w:color="auto" w:fill="FFFFFF"/>
          <w:lang w:val="en-US" w:eastAsia="zh-CN"/>
        </w:rPr>
        <w:t>（一）项目验收结论为通过的，结余资金留归</w:t>
      </w:r>
      <w:r>
        <w:rPr>
          <w:rFonts w:hint="eastAsia" w:ascii="仿宋_GB2312" w:hAnsi="仿宋_GB2312" w:eastAsia="仿宋_GB2312" w:cs="仿宋_GB2312"/>
          <w:i w:val="0"/>
          <w:caps w:val="0"/>
          <w:color w:val="auto"/>
          <w:spacing w:val="0"/>
          <w:sz w:val="32"/>
          <w:szCs w:val="32"/>
          <w:u w:val="none"/>
          <w:shd w:val="clear" w:color="auto" w:fill="FFFFFF"/>
          <w:lang w:val="en-US" w:eastAsia="zh-CN"/>
        </w:rPr>
        <w:t>项目</w:t>
      </w:r>
      <w:r>
        <w:rPr>
          <w:rFonts w:hint="eastAsia" w:ascii="仿宋_GB2312" w:hAnsi="仿宋_GB2312" w:eastAsia="仿宋_GB2312" w:cs="仿宋_GB2312"/>
          <w:i w:val="0"/>
          <w:caps w:val="0"/>
          <w:color w:val="auto"/>
          <w:spacing w:val="0"/>
          <w:sz w:val="32"/>
          <w:szCs w:val="32"/>
          <w:u w:val="none"/>
          <w:shd w:val="clear" w:color="auto" w:fill="FFFFFF"/>
          <w:lang w:val="en-US" w:eastAsia="zh-CN"/>
        </w:rPr>
        <w:t>承担单位统筹安排用于后续科研活动的直接支出。</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240" w:lineRule="auto"/>
        <w:ind w:right="0" w:firstLine="640" w:firstLineChars="200"/>
        <w:jc w:val="left"/>
        <w:textAlignment w:val="auto"/>
        <w:rPr>
          <w:rFonts w:hint="eastAsia" w:ascii="仿宋_GB2312" w:hAnsi="仿宋_GB2312" w:eastAsia="仿宋_GB2312" w:cs="仿宋_GB2312"/>
          <w:i w:val="0"/>
          <w:caps w:val="0"/>
          <w:color w:val="auto"/>
          <w:spacing w:val="0"/>
          <w:sz w:val="32"/>
          <w:szCs w:val="32"/>
          <w:u w:val="none"/>
          <w:shd w:val="clear" w:color="auto" w:fill="FFFFFF"/>
          <w:lang w:val="en-US" w:eastAsia="zh-CN"/>
        </w:rPr>
      </w:pPr>
      <w:r>
        <w:rPr>
          <w:rFonts w:hint="eastAsia" w:ascii="仿宋_GB2312" w:hAnsi="仿宋_GB2312" w:eastAsia="仿宋_GB2312" w:cs="仿宋_GB2312"/>
          <w:i w:val="0"/>
          <w:caps w:val="0"/>
          <w:color w:val="auto"/>
          <w:spacing w:val="0"/>
          <w:sz w:val="32"/>
          <w:szCs w:val="32"/>
          <w:u w:val="none"/>
          <w:shd w:val="clear" w:color="auto" w:fill="FFFFFF"/>
          <w:lang w:val="en-US" w:eastAsia="zh-CN"/>
        </w:rPr>
        <w:t>（二）项目验收结论为结题的，退回结余资金。</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240" w:lineRule="auto"/>
        <w:ind w:right="0" w:firstLine="640" w:firstLineChars="200"/>
        <w:jc w:val="left"/>
        <w:textAlignment w:val="auto"/>
        <w:rPr>
          <w:rFonts w:hint="eastAsia" w:ascii="仿宋_GB2312" w:hAnsi="仿宋_GB2312" w:eastAsia="仿宋_GB2312" w:cs="仿宋_GB2312"/>
          <w:i w:val="0"/>
          <w:caps w:val="0"/>
          <w:color w:val="auto"/>
          <w:spacing w:val="0"/>
          <w:sz w:val="32"/>
          <w:szCs w:val="32"/>
          <w:u w:val="none"/>
          <w:shd w:val="clear" w:color="auto" w:fill="FFFFFF"/>
          <w:lang w:val="en-US" w:eastAsia="zh-CN"/>
        </w:rPr>
      </w:pPr>
      <w:r>
        <w:rPr>
          <w:rFonts w:hint="eastAsia" w:ascii="仿宋_GB2312" w:hAnsi="仿宋_GB2312" w:eastAsia="仿宋_GB2312" w:cs="仿宋_GB2312"/>
          <w:i w:val="0"/>
          <w:caps w:val="0"/>
          <w:color w:val="auto"/>
          <w:spacing w:val="0"/>
          <w:sz w:val="32"/>
          <w:szCs w:val="32"/>
          <w:u w:val="none"/>
          <w:shd w:val="clear" w:color="auto" w:fill="FFFFFF"/>
          <w:lang w:val="en-US" w:eastAsia="zh-CN"/>
        </w:rPr>
        <w:t>（三）项目验收结论为不通过的，退回结余资金，视情况追缴前期已使用资金。</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240" w:lineRule="auto"/>
        <w:ind w:right="0" w:firstLine="640" w:firstLineChars="200"/>
        <w:jc w:val="both"/>
        <w:textAlignment w:val="auto"/>
        <w:rPr>
          <w:rFonts w:hint="eastAsia" w:ascii="楷体_GB2312" w:hAnsi="楷体_GB2312" w:eastAsia="楷体_GB2312" w:cs="楷体_GB2312"/>
          <w:b/>
          <w:bCs/>
          <w:color w:val="000000"/>
          <w:spacing w:val="-6"/>
          <w:kern w:val="2"/>
          <w:sz w:val="32"/>
          <w:szCs w:val="32"/>
          <w:lang w:val="en-US" w:eastAsia="zh-CN" w:bidi="ar-SA"/>
        </w:rPr>
      </w:pPr>
      <w:r>
        <w:rPr>
          <w:rFonts w:hint="eastAsia" w:ascii="仿宋_GB2312" w:hAnsi="仿宋_GB2312" w:eastAsia="仿宋_GB2312" w:cs="仿宋_GB2312"/>
          <w:i w:val="0"/>
          <w:caps w:val="0"/>
          <w:color w:val="auto"/>
          <w:spacing w:val="0"/>
          <w:sz w:val="32"/>
          <w:szCs w:val="32"/>
          <w:u w:val="none"/>
          <w:shd w:val="clear" w:color="auto" w:fill="FFFFFF"/>
          <w:lang w:val="en-US" w:eastAsia="zh-CN"/>
        </w:rPr>
        <w:t>（四）市科技部门终止的项目，停止后续拨款，退回未使用资金，并视情况追缴前期已使用资金。</w:t>
      </w:r>
      <w:r>
        <w:rPr>
          <w:rFonts w:hint="eastAsia" w:ascii="楷体_GB2312" w:hAnsi="楷体_GB2312" w:eastAsia="楷体_GB2312" w:cs="楷体_GB2312"/>
          <w:b/>
          <w:bCs/>
          <w:color w:val="000000"/>
          <w:spacing w:val="-6"/>
          <w:kern w:val="2"/>
          <w:sz w:val="32"/>
          <w:szCs w:val="32"/>
          <w:lang w:val="en-US" w:eastAsia="zh-CN" w:bidi="ar-SA"/>
        </w:rPr>
        <w:t xml:space="preserve">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240" w:lineRule="auto"/>
        <w:ind w:right="0" w:firstLine="618" w:firstLineChars="200"/>
        <w:jc w:val="both"/>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楷体_GB2312" w:hAnsi="楷体_GB2312" w:eastAsia="楷体_GB2312" w:cs="楷体_GB2312"/>
          <w:b/>
          <w:bCs/>
          <w:color w:val="000000"/>
          <w:spacing w:val="-6"/>
          <w:kern w:val="2"/>
          <w:sz w:val="32"/>
          <w:szCs w:val="32"/>
          <w:lang w:val="en-US" w:eastAsia="zh-CN" w:bidi="ar-SA"/>
        </w:rPr>
        <w:t>第二十条【负面清单】</w:t>
      </w:r>
      <w:r>
        <w:rPr>
          <w:rFonts w:hint="eastAsia" w:ascii="仿宋_GB2312" w:hAnsi="仿宋_GB2312" w:eastAsia="仿宋_GB2312" w:cs="仿宋_GB2312"/>
          <w:color w:val="000000"/>
          <w:spacing w:val="-6"/>
          <w:kern w:val="2"/>
          <w:sz w:val="32"/>
          <w:szCs w:val="32"/>
          <w:lang w:val="en-US" w:eastAsia="zh-CN" w:bidi="ar-SA"/>
        </w:rPr>
        <w:t>项目承担单位在科技项目经费使用和管理中，严禁使用项目经费支付罚款、捐款、赞助、投资等，严禁以任何方式牟取私利，并不得存在以下行为：</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240" w:lineRule="auto"/>
        <w:ind w:left="0" w:right="0" w:firstLine="420"/>
        <w:jc w:val="both"/>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仿宋_GB2312" w:hAnsi="仿宋_GB2312" w:eastAsia="仿宋_GB2312" w:cs="仿宋_GB2312"/>
          <w:color w:val="000000"/>
          <w:spacing w:val="-6"/>
          <w:kern w:val="2"/>
          <w:sz w:val="32"/>
          <w:szCs w:val="32"/>
          <w:lang w:val="en-US" w:eastAsia="zh-CN" w:bidi="ar-SA"/>
        </w:rPr>
        <w:t>（一）未对项目经费进行单独核算。</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240" w:lineRule="auto"/>
        <w:ind w:left="0" w:right="0" w:firstLine="420"/>
        <w:jc w:val="both"/>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仿宋_GB2312" w:hAnsi="仿宋_GB2312" w:eastAsia="仿宋_GB2312" w:cs="仿宋_GB2312"/>
          <w:color w:val="000000"/>
          <w:spacing w:val="-6"/>
          <w:kern w:val="2"/>
          <w:sz w:val="32"/>
          <w:szCs w:val="32"/>
          <w:lang w:val="en-US" w:eastAsia="zh-CN" w:bidi="ar-SA"/>
        </w:rPr>
        <w:t>（二）编报虚假预算、套取财政资金。</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240" w:lineRule="auto"/>
        <w:ind w:left="0" w:right="0" w:firstLine="420"/>
        <w:jc w:val="both"/>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仿宋_GB2312" w:hAnsi="仿宋_GB2312" w:eastAsia="仿宋_GB2312" w:cs="仿宋_GB2312"/>
          <w:color w:val="000000"/>
          <w:spacing w:val="-6"/>
          <w:kern w:val="2"/>
          <w:sz w:val="32"/>
          <w:szCs w:val="32"/>
          <w:lang w:val="en-US" w:eastAsia="zh-CN" w:bidi="ar-SA"/>
        </w:rPr>
        <w:t>（三）截留、挤占、挪用项目经费。</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240" w:lineRule="auto"/>
        <w:ind w:left="0" w:right="0" w:firstLine="420"/>
        <w:jc w:val="both"/>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仿宋_GB2312" w:hAnsi="仿宋_GB2312" w:eastAsia="仿宋_GB2312" w:cs="仿宋_GB2312"/>
          <w:color w:val="000000"/>
          <w:spacing w:val="-6"/>
          <w:kern w:val="2"/>
          <w:sz w:val="32"/>
          <w:szCs w:val="32"/>
          <w:lang w:val="en-US" w:eastAsia="zh-CN" w:bidi="ar-SA"/>
        </w:rPr>
        <w:t>（四）违反规定转拨、转移项目经费。</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240" w:lineRule="auto"/>
        <w:ind w:left="0" w:right="0" w:firstLine="420"/>
        <w:jc w:val="both"/>
        <w:textAlignment w:val="auto"/>
        <w:rPr>
          <w:rFonts w:hint="eastAsia" w:ascii="仿宋_GB2312" w:hAnsi="仿宋_GB2312" w:eastAsia="仿宋_GB2312" w:cs="仿宋_GB2312"/>
          <w:color w:val="000000"/>
          <w:spacing w:val="-6"/>
          <w:kern w:val="2"/>
          <w:sz w:val="32"/>
          <w:szCs w:val="32"/>
          <w:highlight w:val="none"/>
          <w:lang w:val="en-US" w:eastAsia="zh-CN" w:bidi="ar-SA"/>
        </w:rPr>
      </w:pPr>
      <w:r>
        <w:rPr>
          <w:rFonts w:hint="eastAsia" w:ascii="仿宋_GB2312" w:hAnsi="仿宋_GB2312" w:eastAsia="仿宋_GB2312" w:cs="仿宋_GB2312"/>
          <w:color w:val="000000"/>
          <w:spacing w:val="-6"/>
          <w:kern w:val="2"/>
          <w:sz w:val="32"/>
          <w:szCs w:val="32"/>
          <w:highlight w:val="none"/>
          <w:lang w:val="en-US" w:eastAsia="zh-CN" w:bidi="ar-SA"/>
        </w:rPr>
        <w:t>（五）未获批准擅自变更项目承担主体。</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240" w:lineRule="auto"/>
        <w:ind w:left="0" w:right="0" w:firstLine="420"/>
        <w:jc w:val="both"/>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仿宋_GB2312" w:hAnsi="仿宋_GB2312" w:eastAsia="仿宋_GB2312" w:cs="仿宋_GB2312"/>
          <w:color w:val="000000"/>
          <w:spacing w:val="-6"/>
          <w:kern w:val="2"/>
          <w:sz w:val="32"/>
          <w:szCs w:val="32"/>
          <w:lang w:val="en-US" w:eastAsia="zh-CN" w:bidi="ar-SA"/>
        </w:rPr>
        <w:t>（六）提供虚假财务会计信息，虚列支出。</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240" w:lineRule="auto"/>
        <w:ind w:left="0" w:right="0" w:firstLine="420"/>
        <w:jc w:val="both"/>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仿宋_GB2312" w:hAnsi="仿宋_GB2312" w:eastAsia="仿宋_GB2312" w:cs="仿宋_GB2312"/>
          <w:color w:val="000000"/>
          <w:spacing w:val="-6"/>
          <w:kern w:val="2"/>
          <w:sz w:val="32"/>
          <w:szCs w:val="32"/>
          <w:lang w:val="en-US" w:eastAsia="zh-CN" w:bidi="ar-SA"/>
        </w:rPr>
        <w:t>（七）虚假承诺配套资金。</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240" w:lineRule="auto"/>
        <w:ind w:left="0" w:right="0" w:firstLine="420"/>
        <w:jc w:val="both"/>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仿宋_GB2312" w:hAnsi="仿宋_GB2312" w:eastAsia="仿宋_GB2312" w:cs="仿宋_GB2312"/>
          <w:color w:val="000000"/>
          <w:spacing w:val="-6"/>
          <w:kern w:val="2"/>
          <w:sz w:val="32"/>
          <w:szCs w:val="32"/>
          <w:lang w:val="en-US" w:eastAsia="zh-CN" w:bidi="ar-SA"/>
        </w:rPr>
        <w:t>（八）未按规定执行和调整预算。</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240" w:lineRule="auto"/>
        <w:ind w:left="0" w:right="0" w:firstLine="420"/>
        <w:jc w:val="both"/>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仿宋_GB2312" w:hAnsi="仿宋_GB2312" w:eastAsia="仿宋_GB2312" w:cs="仿宋_GB2312"/>
          <w:color w:val="000000"/>
          <w:spacing w:val="-6"/>
          <w:kern w:val="2"/>
          <w:sz w:val="32"/>
          <w:szCs w:val="32"/>
          <w:lang w:val="en-US" w:eastAsia="zh-CN" w:bidi="ar-SA"/>
        </w:rPr>
        <w:t>（九）发生设备购置、租赁，测试、化验、加工，对外合作等事项未签订相关合同或协议。</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240" w:lineRule="auto"/>
        <w:ind w:left="0" w:right="0" w:firstLine="420"/>
        <w:jc w:val="left"/>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仿宋_GB2312" w:hAnsi="仿宋_GB2312" w:eastAsia="仿宋_GB2312" w:cs="仿宋_GB2312"/>
          <w:color w:val="000000"/>
          <w:spacing w:val="-6"/>
          <w:kern w:val="2"/>
          <w:sz w:val="32"/>
          <w:szCs w:val="32"/>
          <w:lang w:val="en-US" w:eastAsia="zh-CN" w:bidi="ar-SA"/>
        </w:rPr>
        <w:t>（十）随意调账变动支出、随意修改记账凭证、以表代账应付财务审计和检查。</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240" w:lineRule="auto"/>
        <w:ind w:left="0" w:right="0" w:firstLine="420"/>
        <w:jc w:val="left"/>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仿宋_GB2312" w:hAnsi="仿宋_GB2312" w:eastAsia="仿宋_GB2312" w:cs="仿宋_GB2312"/>
          <w:color w:val="000000"/>
          <w:spacing w:val="-6"/>
          <w:kern w:val="2"/>
          <w:sz w:val="32"/>
          <w:szCs w:val="32"/>
          <w:lang w:val="en-US" w:eastAsia="zh-CN" w:bidi="ar-SA"/>
        </w:rPr>
        <w:t>（十一）违反其他国家法律法规及相关规章制度的行为。</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420" w:lineRule="atLeast"/>
        <w:ind w:right="0" w:firstLine="2464" w:firstLineChars="800"/>
        <w:jc w:val="left"/>
        <w:textAlignment w:val="auto"/>
        <w:rPr>
          <w:rFonts w:hint="eastAsia" w:ascii="黑体" w:hAnsi="黑体" w:eastAsia="黑体" w:cs="黑体"/>
          <w:b w:val="0"/>
          <w:bCs w:val="0"/>
          <w:color w:val="000000"/>
          <w:spacing w:val="-6"/>
          <w:kern w:val="2"/>
          <w:sz w:val="32"/>
          <w:szCs w:val="32"/>
          <w:lang w:val="en-US" w:eastAsia="zh-CN" w:bidi="ar-SA"/>
        </w:rPr>
      </w:pPr>
      <w:r>
        <w:rPr>
          <w:rFonts w:hint="eastAsia" w:ascii="黑体" w:hAnsi="黑体" w:eastAsia="黑体" w:cs="黑体"/>
          <w:b w:val="0"/>
          <w:bCs w:val="0"/>
          <w:color w:val="000000"/>
          <w:spacing w:val="-6"/>
          <w:kern w:val="2"/>
          <w:sz w:val="32"/>
          <w:szCs w:val="32"/>
          <w:lang w:val="en-US" w:eastAsia="zh-CN" w:bidi="ar-SA"/>
        </w:rPr>
        <w:t>第四章 资金绩效管理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420" w:lineRule="atLeast"/>
        <w:ind w:right="0" w:firstLine="618" w:firstLineChars="200"/>
        <w:jc w:val="left"/>
        <w:textAlignment w:val="auto"/>
        <w:rPr>
          <w:rFonts w:hint="eastAsia" w:ascii="仿宋_GB2312" w:hAnsi="仿宋_GB2312" w:eastAsia="仿宋_GB2312" w:cs="仿宋_GB2312"/>
          <w:b w:val="0"/>
          <w:bCs w:val="0"/>
          <w:color w:val="auto"/>
          <w:spacing w:val="-6"/>
          <w:kern w:val="2"/>
          <w:sz w:val="32"/>
          <w:szCs w:val="32"/>
          <w:lang w:val="en-US" w:eastAsia="zh-CN" w:bidi="ar-SA"/>
        </w:rPr>
      </w:pPr>
      <w:r>
        <w:rPr>
          <w:rFonts w:hint="eastAsia" w:ascii="楷体_GB2312" w:hAnsi="楷体_GB2312" w:eastAsia="楷体_GB2312" w:cs="楷体_GB2312"/>
          <w:b/>
          <w:bCs/>
          <w:color w:val="000000"/>
          <w:spacing w:val="-6"/>
          <w:kern w:val="2"/>
          <w:sz w:val="32"/>
          <w:szCs w:val="32"/>
          <w:lang w:val="en-US" w:eastAsia="zh-CN" w:bidi="ar-SA"/>
        </w:rPr>
        <w:t>第二十一条【部门绩效评估】</w:t>
      </w:r>
      <w:r>
        <w:rPr>
          <w:rFonts w:hint="eastAsia" w:ascii="仿宋_GB2312" w:hAnsi="仿宋_GB2312" w:eastAsia="仿宋_GB2312" w:cs="仿宋_GB2312"/>
          <w:b w:val="0"/>
          <w:bCs w:val="0"/>
          <w:color w:val="auto"/>
          <w:spacing w:val="-6"/>
          <w:kern w:val="2"/>
          <w:sz w:val="32"/>
          <w:szCs w:val="32"/>
          <w:lang w:val="en-US" w:eastAsia="zh-CN" w:bidi="ar-SA"/>
        </w:rPr>
        <w:t>市科技部门应加强对项目资金的绩效管理，对新增的重大政策、项目开展事前绩效评估，科学合理编制绩效目标，加强绩效运行监控，开展绩效自评，强化评价结果运用。</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420" w:lineRule="atLeast"/>
        <w:ind w:right="0" w:firstLine="618" w:firstLineChars="200"/>
        <w:jc w:val="left"/>
        <w:textAlignment w:val="auto"/>
        <w:rPr>
          <w:rFonts w:hint="eastAsia" w:ascii="仿宋_GB2312" w:hAnsi="仿宋_GB2312" w:eastAsia="仿宋_GB2312" w:cs="仿宋_GB2312"/>
          <w:b w:val="0"/>
          <w:bCs w:val="0"/>
          <w:color w:val="auto"/>
          <w:spacing w:val="-6"/>
          <w:kern w:val="2"/>
          <w:sz w:val="32"/>
          <w:szCs w:val="32"/>
          <w:lang w:val="en-US" w:eastAsia="zh-CN" w:bidi="ar-SA"/>
        </w:rPr>
      </w:pPr>
      <w:r>
        <w:rPr>
          <w:rFonts w:hint="eastAsia" w:ascii="楷体_GB2312" w:hAnsi="楷体_GB2312" w:eastAsia="楷体_GB2312" w:cs="楷体_GB2312"/>
          <w:b/>
          <w:bCs/>
          <w:color w:val="000000"/>
          <w:spacing w:val="-6"/>
          <w:kern w:val="2"/>
          <w:sz w:val="32"/>
          <w:szCs w:val="32"/>
          <w:lang w:val="en-US" w:eastAsia="zh-CN" w:bidi="ar-SA"/>
        </w:rPr>
        <w:t>第二十二条【财政绩效评价】</w:t>
      </w:r>
      <w:r>
        <w:rPr>
          <w:rFonts w:hint="eastAsia" w:ascii="仿宋_GB2312" w:hAnsi="仿宋_GB2312" w:eastAsia="仿宋_GB2312" w:cs="仿宋_GB2312"/>
          <w:b w:val="0"/>
          <w:bCs w:val="0"/>
          <w:color w:val="auto"/>
          <w:spacing w:val="-6"/>
          <w:kern w:val="2"/>
          <w:sz w:val="32"/>
          <w:szCs w:val="32"/>
          <w:lang w:val="en-US" w:eastAsia="zh-CN" w:bidi="ar-SA"/>
        </w:rPr>
        <w:t>市财政部门在预算年度后，根据需要</w:t>
      </w:r>
      <w:r>
        <w:rPr>
          <w:rFonts w:hint="eastAsia" w:ascii="仿宋_GB2312" w:hAnsi="仿宋_GB2312" w:eastAsia="仿宋_GB2312" w:cs="仿宋_GB2312"/>
          <w:b w:val="0"/>
          <w:bCs w:val="0"/>
          <w:strike/>
          <w:dstrike w:val="0"/>
          <w:color w:val="FF0000"/>
          <w:spacing w:val="-6"/>
          <w:kern w:val="2"/>
          <w:sz w:val="32"/>
          <w:szCs w:val="32"/>
          <w:lang w:val="en-US" w:eastAsia="zh-CN" w:bidi="ar-SA"/>
        </w:rPr>
        <w:t>，</w:t>
      </w:r>
      <w:r>
        <w:rPr>
          <w:rFonts w:hint="eastAsia" w:ascii="仿宋_GB2312" w:hAnsi="仿宋_GB2312" w:eastAsia="仿宋_GB2312" w:cs="仿宋_GB2312"/>
          <w:b w:val="0"/>
          <w:bCs w:val="0"/>
          <w:color w:val="auto"/>
          <w:spacing w:val="-6"/>
          <w:kern w:val="2"/>
          <w:sz w:val="32"/>
          <w:szCs w:val="32"/>
          <w:lang w:val="en-US" w:eastAsia="zh-CN" w:bidi="ar-SA"/>
        </w:rPr>
        <w:t>在市科技自评的基础上，开展重点绩效评价。绩效评价结果作为以后年度预算安排、改进管理和政策调整的重要依据。</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420" w:lineRule="atLeast"/>
        <w:ind w:right="0" w:firstLine="618" w:firstLineChars="200"/>
        <w:jc w:val="left"/>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楷体_GB2312" w:hAnsi="楷体_GB2312" w:eastAsia="楷体_GB2312" w:cs="楷体_GB2312"/>
          <w:b/>
          <w:bCs/>
          <w:color w:val="000000"/>
          <w:spacing w:val="-6"/>
          <w:kern w:val="2"/>
          <w:sz w:val="32"/>
          <w:szCs w:val="32"/>
          <w:lang w:val="en-US" w:eastAsia="zh-CN" w:bidi="ar-SA"/>
        </w:rPr>
        <w:t>第二十三条【项目单位评估】</w:t>
      </w:r>
      <w:r>
        <w:rPr>
          <w:rFonts w:hint="eastAsia" w:ascii="仿宋_GB2312" w:hAnsi="仿宋_GB2312" w:eastAsia="仿宋_GB2312" w:cs="仿宋_GB2312"/>
          <w:b w:val="0"/>
          <w:bCs w:val="0"/>
          <w:color w:val="auto"/>
          <w:spacing w:val="-6"/>
          <w:kern w:val="2"/>
          <w:sz w:val="32"/>
          <w:szCs w:val="32"/>
          <w:lang w:val="en-US" w:eastAsia="zh-CN" w:bidi="ar-SA"/>
        </w:rPr>
        <w:t>项目承担单位要增强绩效意识，按照要求，认真履行项目绩效管理实施主体责任，严格抓好绩效目标管理、运行监控、绩效自评等环节的工作落实。必要时市财政部门、市科技部门根据需要委托第三方评估机构开展绩效评价，重点评价计划目标完成、管理、产出、效果、影响等绩效指标，评价结果作为以后年度专项资金预算安排的重要依据。</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420" w:lineRule="atLeast"/>
        <w:ind w:right="0" w:firstLine="2464" w:firstLineChars="800"/>
        <w:jc w:val="left"/>
        <w:textAlignment w:val="auto"/>
        <w:rPr>
          <w:rFonts w:hint="eastAsia" w:ascii="黑体" w:hAnsi="黑体" w:eastAsia="黑体" w:cs="黑体"/>
          <w:b w:val="0"/>
          <w:bCs w:val="0"/>
          <w:color w:val="000000"/>
          <w:spacing w:val="-6"/>
          <w:kern w:val="2"/>
          <w:sz w:val="32"/>
          <w:szCs w:val="32"/>
          <w:lang w:val="en-US" w:eastAsia="zh-CN" w:bidi="ar-SA"/>
        </w:rPr>
      </w:pPr>
      <w:r>
        <w:rPr>
          <w:rFonts w:hint="eastAsia" w:ascii="黑体" w:hAnsi="黑体" w:eastAsia="黑体" w:cs="黑体"/>
          <w:b w:val="0"/>
          <w:bCs w:val="0"/>
          <w:color w:val="000000"/>
          <w:spacing w:val="-6"/>
          <w:kern w:val="2"/>
          <w:sz w:val="32"/>
          <w:szCs w:val="32"/>
          <w:lang w:val="en-US" w:eastAsia="zh-CN" w:bidi="ar-SA"/>
        </w:rPr>
        <w:t>第五章 资金监督管理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420" w:lineRule="atLeast"/>
        <w:ind w:right="0" w:firstLine="618" w:firstLineChars="200"/>
        <w:jc w:val="left"/>
        <w:textAlignment w:val="auto"/>
        <w:rPr>
          <w:rFonts w:hint="eastAsia" w:ascii="仿宋_GB2312" w:hAnsi="仿宋_GB2312" w:eastAsia="仿宋_GB2312" w:cs="仿宋_GB2312"/>
          <w:b w:val="0"/>
          <w:bCs w:val="0"/>
          <w:color w:val="auto"/>
          <w:spacing w:val="-6"/>
          <w:kern w:val="2"/>
          <w:sz w:val="32"/>
          <w:szCs w:val="32"/>
          <w:lang w:val="en-US" w:eastAsia="zh-CN" w:bidi="ar-SA"/>
        </w:rPr>
      </w:pPr>
      <w:r>
        <w:rPr>
          <w:rFonts w:hint="eastAsia" w:ascii="楷体_GB2312" w:hAnsi="楷体_GB2312" w:eastAsia="楷体_GB2312" w:cs="楷体_GB2312"/>
          <w:b/>
          <w:bCs/>
          <w:color w:val="000000"/>
          <w:spacing w:val="-6"/>
          <w:kern w:val="2"/>
          <w:sz w:val="32"/>
          <w:szCs w:val="32"/>
          <w:lang w:val="en-US" w:eastAsia="zh-CN" w:bidi="ar-SA"/>
        </w:rPr>
        <w:t>第二十四条【预算公开】</w:t>
      </w:r>
      <w:r>
        <w:rPr>
          <w:rFonts w:hint="eastAsia" w:ascii="仿宋_GB2312" w:hAnsi="仿宋_GB2312" w:eastAsia="仿宋_GB2312" w:cs="仿宋_GB2312"/>
          <w:b w:val="0"/>
          <w:bCs w:val="0"/>
          <w:color w:val="auto"/>
          <w:spacing w:val="-6"/>
          <w:kern w:val="2"/>
          <w:sz w:val="32"/>
          <w:szCs w:val="32"/>
          <w:lang w:val="en-US" w:eastAsia="zh-CN" w:bidi="ar-SA"/>
        </w:rPr>
        <w:t>项目资金的预算管理应当全面落实预算信息公开</w:t>
      </w:r>
      <w:bookmarkStart w:id="0" w:name="_GoBack"/>
      <w:bookmarkEnd w:id="0"/>
      <w:r>
        <w:rPr>
          <w:rFonts w:hint="eastAsia" w:ascii="仿宋_GB2312" w:hAnsi="仿宋_GB2312" w:eastAsia="仿宋_GB2312" w:cs="仿宋_GB2312"/>
          <w:b w:val="0"/>
          <w:bCs w:val="0"/>
          <w:color w:val="auto"/>
          <w:spacing w:val="-6"/>
          <w:kern w:val="2"/>
          <w:sz w:val="32"/>
          <w:szCs w:val="32"/>
          <w:lang w:val="en-US" w:eastAsia="zh-CN" w:bidi="ar-SA"/>
        </w:rPr>
        <w:t>要求。</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420" w:lineRule="atLeast"/>
        <w:ind w:right="0" w:firstLine="618" w:firstLineChars="200"/>
        <w:jc w:val="left"/>
        <w:textAlignment w:val="auto"/>
        <w:rPr>
          <w:rFonts w:hint="eastAsia" w:ascii="仿宋_GB2312" w:hAnsi="仿宋_GB2312" w:eastAsia="仿宋_GB2312" w:cs="仿宋_GB2312"/>
          <w:b w:val="0"/>
          <w:bCs w:val="0"/>
          <w:color w:val="auto"/>
          <w:spacing w:val="-6"/>
          <w:kern w:val="2"/>
          <w:sz w:val="32"/>
          <w:szCs w:val="32"/>
          <w:lang w:val="en-US" w:eastAsia="zh-CN" w:bidi="ar-SA"/>
        </w:rPr>
      </w:pPr>
      <w:r>
        <w:rPr>
          <w:rFonts w:hint="eastAsia" w:ascii="楷体_GB2312" w:hAnsi="楷体_GB2312" w:eastAsia="楷体_GB2312" w:cs="楷体_GB2312"/>
          <w:b/>
          <w:bCs/>
          <w:color w:val="000000"/>
          <w:spacing w:val="-6"/>
          <w:kern w:val="2"/>
          <w:sz w:val="32"/>
          <w:szCs w:val="32"/>
          <w:lang w:val="en-US" w:eastAsia="zh-CN" w:bidi="ar-SA"/>
        </w:rPr>
        <w:t>第二十五条【监督管理】</w:t>
      </w:r>
      <w:r>
        <w:rPr>
          <w:rFonts w:hint="eastAsia" w:ascii="仿宋_GB2312" w:hAnsi="仿宋_GB2312" w:eastAsia="仿宋_GB2312" w:cs="仿宋_GB2312"/>
          <w:b w:val="0"/>
          <w:bCs w:val="0"/>
          <w:color w:val="auto"/>
          <w:spacing w:val="-6"/>
          <w:kern w:val="2"/>
          <w:sz w:val="32"/>
          <w:szCs w:val="32"/>
          <w:lang w:val="en-US" w:eastAsia="zh-CN" w:bidi="ar-SA"/>
        </w:rPr>
        <w:t>市科技部门对项目资金的使用情况进行全面监管，对在管理工作中发现的问题以及收到的投诉举报依法开展调查、严肃处理违规违纪行为，并自觉接受财政、审计、监察等有关部门对专项资金的监督检查。</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420" w:lineRule="atLeast"/>
        <w:ind w:right="0" w:firstLine="618" w:firstLineChars="200"/>
        <w:jc w:val="left"/>
        <w:textAlignment w:val="auto"/>
        <w:rPr>
          <w:rFonts w:hint="eastAsia" w:ascii="仿宋_GB2312" w:hAnsi="仿宋_GB2312" w:eastAsia="仿宋_GB2312" w:cs="仿宋_GB2312"/>
          <w:b w:val="0"/>
          <w:bCs w:val="0"/>
          <w:color w:val="auto"/>
          <w:spacing w:val="-6"/>
          <w:kern w:val="2"/>
          <w:sz w:val="32"/>
          <w:szCs w:val="32"/>
          <w:lang w:val="en-US" w:eastAsia="zh-CN" w:bidi="ar-SA"/>
        </w:rPr>
      </w:pPr>
      <w:r>
        <w:rPr>
          <w:rFonts w:hint="eastAsia" w:ascii="楷体_GB2312" w:hAnsi="楷体_GB2312" w:eastAsia="楷体_GB2312" w:cs="楷体_GB2312"/>
          <w:b/>
          <w:bCs/>
          <w:color w:val="000000"/>
          <w:spacing w:val="-6"/>
          <w:kern w:val="2"/>
          <w:sz w:val="32"/>
          <w:szCs w:val="32"/>
          <w:lang w:val="en-US" w:eastAsia="zh-CN" w:bidi="ar-SA"/>
        </w:rPr>
        <w:t>第二十六条【管理责任】</w:t>
      </w:r>
      <w:r>
        <w:rPr>
          <w:rFonts w:hint="eastAsia" w:ascii="仿宋_GB2312" w:hAnsi="仿宋_GB2312" w:eastAsia="仿宋_GB2312" w:cs="仿宋_GB2312"/>
          <w:b w:val="0"/>
          <w:bCs w:val="0"/>
          <w:color w:val="auto"/>
          <w:spacing w:val="-6"/>
          <w:kern w:val="2"/>
          <w:sz w:val="32"/>
          <w:szCs w:val="32"/>
          <w:lang w:val="en-US" w:eastAsia="zh-CN" w:bidi="ar-SA"/>
        </w:rPr>
        <w:t>市财政部门、市科技部门及其工作人员、评审专家在专项资金项目预算审核、资金分配等管理环节工作中，存在违反本办法规定，以及其他滥用职权、玩忽职守、徇私舞弊等违法违纪行为的，按照《中华人民共和国预算法》《中华人民共和国公务员法》《行政监察法》《财政违法行为处罚处分条例》等有关规定追究责任；涉嫌犯罪的，依法移送司法机关处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420" w:lineRule="atLeast"/>
        <w:ind w:right="0" w:firstLine="618" w:firstLineChars="200"/>
        <w:jc w:val="left"/>
        <w:textAlignment w:val="auto"/>
        <w:rPr>
          <w:rFonts w:hint="eastAsia" w:ascii="仿宋_GB2312" w:hAnsi="仿宋_GB2312" w:eastAsia="仿宋_GB2312" w:cs="仿宋_GB2312"/>
          <w:b w:val="0"/>
          <w:bCs w:val="0"/>
          <w:color w:val="auto"/>
          <w:spacing w:val="-6"/>
          <w:kern w:val="2"/>
          <w:sz w:val="32"/>
          <w:szCs w:val="32"/>
          <w:lang w:val="en-US" w:eastAsia="zh-CN" w:bidi="ar-SA"/>
        </w:rPr>
      </w:pPr>
      <w:r>
        <w:rPr>
          <w:rFonts w:hint="eastAsia" w:ascii="楷体_GB2312" w:hAnsi="楷体_GB2312" w:eastAsia="楷体_GB2312" w:cs="楷体_GB2312"/>
          <w:b/>
          <w:bCs/>
          <w:color w:val="000000"/>
          <w:spacing w:val="-6"/>
          <w:kern w:val="2"/>
          <w:sz w:val="32"/>
          <w:szCs w:val="32"/>
          <w:lang w:val="en-US" w:eastAsia="zh-CN" w:bidi="ar-SA"/>
        </w:rPr>
        <w:t>第二十七条【责任追究】</w:t>
      </w:r>
      <w:r>
        <w:rPr>
          <w:rFonts w:hint="eastAsia" w:ascii="仿宋_GB2312" w:hAnsi="仿宋_GB2312" w:eastAsia="仿宋_GB2312" w:cs="仿宋_GB2312"/>
          <w:b w:val="0"/>
          <w:bCs w:val="0"/>
          <w:color w:val="auto"/>
          <w:spacing w:val="-6"/>
          <w:kern w:val="2"/>
          <w:sz w:val="32"/>
          <w:szCs w:val="32"/>
          <w:lang w:val="en-US" w:eastAsia="zh-CN" w:bidi="ar-SA"/>
        </w:rPr>
        <w:t>项目承担单位及其相关工作人员、项目负责人及其团队成员在资金管理使用过程中，不按规定管理和使用资金、不按时编报项目决算、不按规定进行会计核算，存在截留、挪用、侵占项目资金等违法违规行为的，按照《中华人民共和国预算法》及其实施条例、《中华人民共和国会计法》《财政违法行为处罚处分条例》等国家有关规定追究相关责任；涉嫌犯罪的，依法移送有关机关处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420" w:lineRule="atLeast"/>
        <w:ind w:right="0" w:firstLine="618" w:firstLineChars="200"/>
        <w:jc w:val="left"/>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楷体_GB2312" w:hAnsi="楷体_GB2312" w:eastAsia="楷体_GB2312" w:cs="楷体_GB2312"/>
          <w:b/>
          <w:bCs/>
          <w:color w:val="000000"/>
          <w:spacing w:val="-6"/>
          <w:kern w:val="2"/>
          <w:sz w:val="32"/>
          <w:szCs w:val="32"/>
          <w:lang w:val="en-US" w:eastAsia="zh-CN" w:bidi="ar-SA"/>
        </w:rPr>
        <w:t> 第二十八条【科研诚信管理】</w:t>
      </w:r>
      <w:r>
        <w:rPr>
          <w:rFonts w:hint="eastAsia" w:ascii="仿宋_GB2312" w:hAnsi="仿宋_GB2312" w:eastAsia="仿宋_GB2312" w:cs="仿宋_GB2312"/>
          <w:color w:val="000000"/>
          <w:spacing w:val="-6"/>
          <w:kern w:val="2"/>
          <w:sz w:val="32"/>
          <w:szCs w:val="32"/>
          <w:lang w:val="en-US" w:eastAsia="zh-CN" w:bidi="ar-SA"/>
        </w:rPr>
        <w:t>专项资金管理实行信用管理制度，市科技部门对科研活动责任主体违反相关管理规定或任务书约定，发生科研失信行为，按照《贵州省科研诚信管理办法(试行)》有关规定处理。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420" w:lineRule="atLeast"/>
        <w:ind w:right="0" w:firstLine="3388" w:firstLineChars="1100"/>
        <w:jc w:val="left"/>
        <w:textAlignment w:val="auto"/>
        <w:rPr>
          <w:rFonts w:hint="eastAsia" w:ascii="黑体" w:hAnsi="黑体" w:eastAsia="黑体" w:cs="黑体"/>
          <w:b w:val="0"/>
          <w:bCs w:val="0"/>
          <w:color w:val="000000"/>
          <w:spacing w:val="-6"/>
          <w:kern w:val="2"/>
          <w:sz w:val="32"/>
          <w:szCs w:val="32"/>
          <w:lang w:val="en-US" w:eastAsia="zh-CN" w:bidi="ar-SA"/>
        </w:rPr>
      </w:pPr>
      <w:r>
        <w:rPr>
          <w:rFonts w:hint="eastAsia" w:ascii="黑体" w:hAnsi="黑体" w:eastAsia="黑体" w:cs="黑体"/>
          <w:b w:val="0"/>
          <w:bCs w:val="0"/>
          <w:color w:val="000000"/>
          <w:spacing w:val="-6"/>
          <w:kern w:val="2"/>
          <w:sz w:val="32"/>
          <w:szCs w:val="32"/>
          <w:lang w:val="en-US" w:eastAsia="zh-CN" w:bidi="ar-SA"/>
        </w:rPr>
        <w:t>第六章 附则</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420" w:lineRule="atLeast"/>
        <w:ind w:right="0" w:firstLine="618" w:firstLineChars="200"/>
        <w:jc w:val="left"/>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楷体_GB2312" w:hAnsi="楷体_GB2312" w:eastAsia="楷体_GB2312" w:cs="楷体_GB2312"/>
          <w:b/>
          <w:bCs/>
          <w:color w:val="000000"/>
          <w:spacing w:val="-6"/>
          <w:kern w:val="2"/>
          <w:sz w:val="32"/>
          <w:szCs w:val="32"/>
          <w:lang w:val="en-US" w:eastAsia="zh-CN" w:bidi="ar-SA"/>
        </w:rPr>
        <w:t>第二十九条【政策解释】</w:t>
      </w:r>
      <w:r>
        <w:rPr>
          <w:rFonts w:hint="eastAsia" w:ascii="仿宋_GB2312" w:hAnsi="仿宋_GB2312" w:eastAsia="仿宋_GB2312" w:cs="仿宋_GB2312"/>
          <w:color w:val="000000"/>
          <w:spacing w:val="-6"/>
          <w:kern w:val="2"/>
          <w:sz w:val="32"/>
          <w:szCs w:val="32"/>
          <w:lang w:val="en-US" w:eastAsia="zh-CN" w:bidi="ar-SA"/>
        </w:rPr>
        <w:t>本办法由市财政部门、市科技部门负责解释。</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420" w:lineRule="atLeast"/>
        <w:ind w:right="0" w:firstLine="618" w:firstLineChars="200"/>
        <w:jc w:val="left"/>
        <w:textAlignment w:val="auto"/>
        <w:rPr>
          <w:rFonts w:hint="eastAsia" w:ascii="仿宋_GB2312" w:hAnsi="仿宋_GB2312" w:eastAsia="仿宋_GB2312" w:cs="仿宋_GB2312"/>
          <w:color w:val="000000"/>
          <w:spacing w:val="-6"/>
          <w:kern w:val="2"/>
          <w:sz w:val="32"/>
          <w:szCs w:val="32"/>
          <w:lang w:val="en-US" w:eastAsia="zh-CN" w:bidi="ar-SA"/>
        </w:rPr>
      </w:pPr>
      <w:r>
        <w:rPr>
          <w:rFonts w:hint="eastAsia" w:ascii="楷体_GB2312" w:hAnsi="楷体_GB2312" w:eastAsia="楷体_GB2312" w:cs="楷体_GB2312"/>
          <w:b/>
          <w:bCs/>
          <w:color w:val="000000"/>
          <w:spacing w:val="-6"/>
          <w:kern w:val="2"/>
          <w:sz w:val="32"/>
          <w:szCs w:val="32"/>
          <w:lang w:val="en-US" w:eastAsia="zh-CN" w:bidi="ar-SA"/>
        </w:rPr>
        <w:t>第三十条【生效日期】</w:t>
      </w:r>
      <w:r>
        <w:rPr>
          <w:rFonts w:hint="eastAsia" w:ascii="仿宋_GB2312" w:hAnsi="仿宋_GB2312" w:eastAsia="仿宋_GB2312" w:cs="仿宋_GB2312"/>
          <w:color w:val="000000"/>
          <w:spacing w:val="-6"/>
          <w:kern w:val="2"/>
          <w:sz w:val="32"/>
          <w:szCs w:val="32"/>
          <w:lang w:val="en-US" w:eastAsia="zh-CN" w:bidi="ar-SA"/>
        </w:rPr>
        <w:t>本办法自公布之日起施行。在执行过程中如遇国家、省有关政策调整，从其政策执行。</w:t>
      </w: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0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right" w:pos="8957"/>
        <w:tab w:val="clear" w:pos="4153"/>
      </w:tabs>
      <w:rPr>
        <w:rFonts w:hint="eastAsia"/>
        <w:lang w:eastAsia="zh-CN"/>
      </w:rPr>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3"/>
                            <w:rPr>
                              <w:rFonts w:hint="eastAsia" w:ascii="宋体" w:hAnsi="宋体" w:eastAsia="宋体" w:cs="宋体"/>
                              <w:sz w:val="24"/>
                              <w:szCs w:val="24"/>
                              <w:lang w:eastAsia="zh-CN"/>
                            </w:rPr>
                          </w:pP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PAGE  \* MERGEFORMAT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t>1</w:t>
                          </w:r>
                          <w:r>
                            <w:rPr>
                              <w:rFonts w:hint="eastAsia" w:ascii="宋体" w:hAnsi="宋体" w:eastAsia="宋体" w:cs="宋体"/>
                              <w:sz w:val="24"/>
                              <w:szCs w:val="24"/>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XuJ/hIwIAADcEAAAOAAAAZHJz&#10;L2Uyb0RvYy54bWytU82O0zAQviPxDpbvNGkrVl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mr/P04WJBcKWjr0h06MPErs6lRyl0265v&#10;dWvKIzp15kwVb/m6Rikb5sMjc+AGygffwwMOqQxSml6ipDLu89/eoz9GBislLbhWUI1loES90xhl&#10;pOUguEHYDoLeN3cG5B1jjyxPIj64oAZROtN8whKsYg7JlEdgpjmyYVCDeBeg9UYsExer1UXfW1fv&#10;qutnENOysNFPlvejjuh5u9oHoJ2GEDE7A4XhRQXsTGPsNynS/1c9eV33ffkM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FgAAAGRycy9QSwEC&#10;FAAUAAAACACHTuJAs0lY7tAAAAAFAQAADwAAAAAAAAABACAAAAA4AAAAZHJzL2Rvd25yZXYueG1s&#10;UEsBAhQAFAAAAAgAh07iQJe4n+EjAgAANwQAAA4AAAAAAAAAAQAgAAAANQEAAGRycy9lMm9Eb2Mu&#10;eG1sUEsFBgAAAAAGAAYAWQEAAMoFAAAAAA==&#10;">
              <v:fill on="f" focussize="0,0"/>
              <v:stroke on="f" weight="0.5pt"/>
              <v:imagedata o:title=""/>
              <o:lock v:ext="edit" aspectratio="f"/>
              <v:textbox inset="0mm,0mm,0mm,0mm" style="mso-fit-shape-to-text:t;">
                <w:txbxContent>
                  <w:p>
                    <w:pPr>
                      <w:pStyle w:val="3"/>
                      <w:rPr>
                        <w:rFonts w:hint="eastAsia" w:ascii="宋体" w:hAnsi="宋体" w:eastAsia="宋体" w:cs="宋体"/>
                        <w:sz w:val="24"/>
                        <w:szCs w:val="24"/>
                        <w:lang w:eastAsia="zh-CN"/>
                      </w:rPr>
                    </w:pP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PAGE  \* MERGEFORMAT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t>1</w:t>
                    </w:r>
                    <w:r>
                      <w:rPr>
                        <w:rFonts w:hint="eastAsia" w:ascii="宋体" w:hAnsi="宋体" w:eastAsia="宋体" w:cs="宋体"/>
                        <w:sz w:val="24"/>
                        <w:szCs w:val="24"/>
                        <w:lang w:eastAsia="zh-CN"/>
                      </w:rPr>
                      <w:fldChar w:fldCharType="end"/>
                    </w:r>
                  </w:p>
                </w:txbxContent>
              </v:textbox>
            </v:shape>
          </w:pict>
        </mc:Fallback>
      </mc:AlternateContent>
    </w:r>
    <w:r>
      <w:rPr>
        <w:rFonts w:hint="eastAsia"/>
        <w:lang w:eastAsia="zh-CN"/>
      </w:rPr>
      <w:tab/>
    </w:r>
  </w:p>
  <w:p>
    <w:pPr>
      <w:pStyle w:val="3"/>
      <w:tabs>
        <w:tab w:val="right" w:pos="8957"/>
        <w:tab w:val="clear" w:pos="4153"/>
      </w:tabs>
      <w:rPr>
        <w:rFonts w:hint="eastAsia"/>
        <w:lang w:eastAsia="zh-CN"/>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false"/>
  <w:bordersDoNotSurroundFooter w:val="false"/>
  <w:documentProtection w:enforcement="0"/>
  <w:defaultTabStop w:val="420"/>
  <w:hyphenationZone w:val="360"/>
  <w:drawingGridVerticalSpacing w:val="156"/>
  <w:displayHorizontalDrawingGridEvery w:val="1"/>
  <w:displayVerticalDrawingGridEvery w:val="1"/>
  <w:noPunctuationKerning w:val="true"/>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F606BD"/>
    <w:rsid w:val="01A92C17"/>
    <w:rsid w:val="0BAB74AF"/>
    <w:rsid w:val="0CD35E4C"/>
    <w:rsid w:val="0FEA4E0F"/>
    <w:rsid w:val="10F606BD"/>
    <w:rsid w:val="149420E1"/>
    <w:rsid w:val="172C6AC4"/>
    <w:rsid w:val="1BBB9F24"/>
    <w:rsid w:val="24CC31EB"/>
    <w:rsid w:val="253778EB"/>
    <w:rsid w:val="277B6DAF"/>
    <w:rsid w:val="29A76EBA"/>
    <w:rsid w:val="2C68742D"/>
    <w:rsid w:val="2D5671E6"/>
    <w:rsid w:val="2D67F6DB"/>
    <w:rsid w:val="2FB9864B"/>
    <w:rsid w:val="3B7D78E0"/>
    <w:rsid w:val="3BB560AD"/>
    <w:rsid w:val="3EE50DD6"/>
    <w:rsid w:val="40A07410"/>
    <w:rsid w:val="485F058B"/>
    <w:rsid w:val="4C765EC5"/>
    <w:rsid w:val="4CDF00EE"/>
    <w:rsid w:val="4EFD88D8"/>
    <w:rsid w:val="4FA661BB"/>
    <w:rsid w:val="5176413C"/>
    <w:rsid w:val="5BB23443"/>
    <w:rsid w:val="5DBBC61D"/>
    <w:rsid w:val="5EFDE776"/>
    <w:rsid w:val="5F4B5A5C"/>
    <w:rsid w:val="5F66109B"/>
    <w:rsid w:val="5FECB2FC"/>
    <w:rsid w:val="5FFFEEAC"/>
    <w:rsid w:val="630245A1"/>
    <w:rsid w:val="65BB6B97"/>
    <w:rsid w:val="66E7EF86"/>
    <w:rsid w:val="66FE5520"/>
    <w:rsid w:val="6934E555"/>
    <w:rsid w:val="69FC3C4D"/>
    <w:rsid w:val="6CFF9D86"/>
    <w:rsid w:val="6DBE7142"/>
    <w:rsid w:val="6DC39C4C"/>
    <w:rsid w:val="6FD7B4D0"/>
    <w:rsid w:val="6FDF9A6E"/>
    <w:rsid w:val="72FD28B3"/>
    <w:rsid w:val="730F5464"/>
    <w:rsid w:val="736F28BE"/>
    <w:rsid w:val="74C034F2"/>
    <w:rsid w:val="769FCC05"/>
    <w:rsid w:val="776B5476"/>
    <w:rsid w:val="777B52F8"/>
    <w:rsid w:val="77D9BB32"/>
    <w:rsid w:val="77DB9DC7"/>
    <w:rsid w:val="77DE903D"/>
    <w:rsid w:val="78FF5369"/>
    <w:rsid w:val="79B3055A"/>
    <w:rsid w:val="7B8E0238"/>
    <w:rsid w:val="7BF8449E"/>
    <w:rsid w:val="7BF930BF"/>
    <w:rsid w:val="7BFEB1B3"/>
    <w:rsid w:val="7DE4CEF7"/>
    <w:rsid w:val="7DEB4313"/>
    <w:rsid w:val="7DF70591"/>
    <w:rsid w:val="7EEFD21A"/>
    <w:rsid w:val="7EFB0BFE"/>
    <w:rsid w:val="7EFFD78F"/>
    <w:rsid w:val="7F37CA62"/>
    <w:rsid w:val="7F3B730B"/>
    <w:rsid w:val="7F4D418D"/>
    <w:rsid w:val="7F727220"/>
    <w:rsid w:val="7FDD82BE"/>
    <w:rsid w:val="7FE727B4"/>
    <w:rsid w:val="7FFDC3A8"/>
    <w:rsid w:val="7FFDC5F0"/>
    <w:rsid w:val="9795E33D"/>
    <w:rsid w:val="9FBD4E8D"/>
    <w:rsid w:val="9FFD72A9"/>
    <w:rsid w:val="A3EF0AA4"/>
    <w:rsid w:val="AAFF62DE"/>
    <w:rsid w:val="AFF6C7FE"/>
    <w:rsid w:val="AFFE581B"/>
    <w:rsid w:val="B33AC9BD"/>
    <w:rsid w:val="B5FEC5FA"/>
    <w:rsid w:val="B735A0BB"/>
    <w:rsid w:val="B7F79C63"/>
    <w:rsid w:val="B99B93E5"/>
    <w:rsid w:val="BE9B8C46"/>
    <w:rsid w:val="BF7D01AC"/>
    <w:rsid w:val="C6F9EB41"/>
    <w:rsid w:val="CFD9CEE7"/>
    <w:rsid w:val="CFF53F0E"/>
    <w:rsid w:val="D37F64ED"/>
    <w:rsid w:val="D3E857CA"/>
    <w:rsid w:val="D7FF6038"/>
    <w:rsid w:val="D97F81D9"/>
    <w:rsid w:val="D9FDDB55"/>
    <w:rsid w:val="DDFE3266"/>
    <w:rsid w:val="DEFFAA8E"/>
    <w:rsid w:val="DF7D3D79"/>
    <w:rsid w:val="DF7F5CBC"/>
    <w:rsid w:val="DF8B7015"/>
    <w:rsid w:val="DFBFD3CC"/>
    <w:rsid w:val="DFF54883"/>
    <w:rsid w:val="E178BF0C"/>
    <w:rsid w:val="E2FB04BE"/>
    <w:rsid w:val="E3FD8EBE"/>
    <w:rsid w:val="E5FD7AD6"/>
    <w:rsid w:val="EB756C9C"/>
    <w:rsid w:val="EDD7C1CC"/>
    <w:rsid w:val="EFE76AB5"/>
    <w:rsid w:val="F39EEA61"/>
    <w:rsid w:val="F4BFE68C"/>
    <w:rsid w:val="F4C60C14"/>
    <w:rsid w:val="F4F7658C"/>
    <w:rsid w:val="F5AE1BA8"/>
    <w:rsid w:val="F5D7F61C"/>
    <w:rsid w:val="F6D18C3D"/>
    <w:rsid w:val="F6EF66C6"/>
    <w:rsid w:val="F7CF9C0A"/>
    <w:rsid w:val="F7EF4D94"/>
    <w:rsid w:val="F7FEEF2E"/>
    <w:rsid w:val="FB3ECBB7"/>
    <w:rsid w:val="FB7BE090"/>
    <w:rsid w:val="FBCFAFF8"/>
    <w:rsid w:val="FBFB86AD"/>
    <w:rsid w:val="FBFF2509"/>
    <w:rsid w:val="FCBF245E"/>
    <w:rsid w:val="FCFF0573"/>
    <w:rsid w:val="FD199523"/>
    <w:rsid w:val="FDE3CCE2"/>
    <w:rsid w:val="FDFF138C"/>
    <w:rsid w:val="FEC723CD"/>
    <w:rsid w:val="FF70B084"/>
    <w:rsid w:val="FFD75160"/>
    <w:rsid w:val="FFFE221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7">
    <w:name w:val="Strong"/>
    <w:basedOn w:val="6"/>
    <w:qFormat/>
    <w:uiPriority w:val="0"/>
    <w:rPr>
      <w:b/>
    </w:rPr>
  </w:style>
  <w:style w:type="paragraph" w:styleId="8">
    <w:name w:val="No Spacing"/>
    <w:qFormat/>
    <w:uiPriority w:val="99"/>
    <w:pPr>
      <w:widowControl w:val="0"/>
      <w:jc w:val="both"/>
    </w:pPr>
    <w:rPr>
      <w:rFonts w:ascii="Calibri" w:hAnsi="Calibri" w:eastAsia="宋体" w:cs="Calibri"/>
      <w:kern w:val="2"/>
      <w:sz w:val="21"/>
      <w:szCs w:val="21"/>
      <w:lang w:val="en-US" w:eastAsia="zh-CN" w:bidi="ar-SA"/>
    </w:rPr>
  </w:style>
  <w:style w:type="character" w:customStyle="1" w:styleId="9">
    <w:name w:val="apple-converted-space"/>
    <w:basedOn w:val="6"/>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0</Words>
  <Characters>0</Characters>
  <Lines>0</Lines>
  <Paragraphs>0</Paragraphs>
  <TotalTime>36.6666666666667</TotalTime>
  <ScaleCrop>false</ScaleCrop>
  <LinksUpToDate>false</LinksUpToDate>
  <CharactersWithSpaces>0</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2022-04-17T00:29:00Z</dcterms:created>
  <dc:creator>李鹏</dc:creator>
  <cp:lastModifiedBy>ysgz</cp:lastModifiedBy>
  <dcterms:modified xsi:type="dcterms:W3CDTF">2025-05-15T10:31:37Z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70A5833D0730AE1BFB96016816BB8082</vt:lpwstr>
  </property>
</Properties>
</file>