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ind w:left="0" w:right="0"/>
        <w:jc w:val="center"/>
        <w:textAlignment w:val="auto"/>
        <w:rPr>
          <w:rFonts w:hint="eastAsia" w:ascii="方正小标宋简体" w:hAnsi="方正小标宋简体" w:eastAsia="方正小标宋简体" w:cs="方正小标宋简体"/>
          <w:color w:val="auto"/>
          <w:sz w:val="44"/>
          <w:szCs w:val="44"/>
          <w:highlight w:val="none"/>
          <w:u w:val="none"/>
        </w:rPr>
      </w:pPr>
      <w:r>
        <w:rPr>
          <w:rFonts w:hint="eastAsia" w:ascii="方正小标宋简体" w:hAnsi="方正小标宋简体" w:eastAsia="方正小标宋简体" w:cs="方正小标宋简体"/>
          <w:color w:val="auto"/>
          <w:sz w:val="44"/>
          <w:szCs w:val="44"/>
          <w:highlight w:val="none"/>
          <w:u w:val="none"/>
          <w:lang w:val="en-US" w:eastAsia="zh-CN"/>
        </w:rPr>
        <w:t>陕西省</w:t>
      </w:r>
      <w:r>
        <w:rPr>
          <w:rFonts w:hint="eastAsia" w:ascii="方正小标宋简体" w:hAnsi="方正小标宋简体" w:eastAsia="方正小标宋简体" w:cs="方正小标宋简体"/>
          <w:color w:val="auto"/>
          <w:sz w:val="44"/>
          <w:szCs w:val="44"/>
          <w:highlight w:val="none"/>
          <w:u w:val="none"/>
        </w:rPr>
        <w:t>天然气管网设施运行调度</w:t>
      </w:r>
    </w:p>
    <w:p>
      <w:pPr>
        <w:keepNext w:val="0"/>
        <w:keepLines w:val="0"/>
        <w:pageBreakBefore w:val="0"/>
        <w:widowControl w:val="0"/>
        <w:kinsoku/>
        <w:wordWrap/>
        <w:overflowPunct/>
        <w:topLinePunct w:val="0"/>
        <w:autoSpaceDE/>
        <w:autoSpaceDN/>
        <w:bidi w:val="0"/>
        <w:adjustRightInd w:val="0"/>
        <w:snapToGrid w:val="0"/>
        <w:spacing w:line="600" w:lineRule="exact"/>
        <w:ind w:left="0" w:right="0"/>
        <w:jc w:val="center"/>
        <w:textAlignment w:val="auto"/>
        <w:rPr>
          <w:rFonts w:hint="eastAsia" w:ascii="方正小标宋_GBK" w:hAnsi="方正小标宋_GBK" w:eastAsia="方正小标宋_GBK" w:cs="方正小标宋_GBK"/>
          <w:color w:val="auto"/>
          <w:sz w:val="44"/>
          <w:szCs w:val="44"/>
          <w:highlight w:val="none"/>
          <w:u w:val="none"/>
        </w:rPr>
      </w:pPr>
      <w:r>
        <w:rPr>
          <w:rFonts w:hint="eastAsia" w:ascii="方正小标宋简体" w:hAnsi="方正小标宋简体" w:eastAsia="方正小标宋简体" w:cs="方正小标宋简体"/>
          <w:color w:val="auto"/>
          <w:sz w:val="44"/>
          <w:szCs w:val="44"/>
          <w:highlight w:val="none"/>
          <w:u w:val="none"/>
        </w:rPr>
        <w:t>与应急保供管理办法（试行）</w:t>
      </w:r>
    </w:p>
    <w:p>
      <w:pPr>
        <w:keepNext w:val="0"/>
        <w:keepLines w:val="0"/>
        <w:pageBreakBefore w:val="0"/>
        <w:widowControl w:val="0"/>
        <w:kinsoku/>
        <w:wordWrap/>
        <w:overflowPunct/>
        <w:topLinePunct w:val="0"/>
        <w:autoSpaceDE/>
        <w:autoSpaceDN/>
        <w:bidi w:val="0"/>
        <w:adjustRightInd w:val="0"/>
        <w:snapToGrid w:val="0"/>
        <w:spacing w:line="600" w:lineRule="exact"/>
        <w:ind w:left="0" w:right="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（征求意见稿）</w:t>
      </w:r>
    </w:p>
    <w:p>
      <w:pPr>
        <w:keepNext w:val="0"/>
        <w:keepLines w:val="0"/>
        <w:pageBreakBefore w:val="0"/>
        <w:widowControl w:val="0"/>
        <w:kinsoku/>
        <w:wordWrap/>
        <w:overflowPunct/>
        <w:topLinePunct w:val="0"/>
        <w:autoSpaceDE/>
        <w:autoSpaceDN/>
        <w:bidi w:val="0"/>
        <w:adjustRightInd w:val="0"/>
        <w:snapToGrid w:val="0"/>
        <w:spacing w:line="600" w:lineRule="exact"/>
        <w:ind w:left="0" w:right="0"/>
        <w:jc w:val="center"/>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right="0" w:rightChars="0"/>
        <w:jc w:val="center"/>
        <w:textAlignment w:val="auto"/>
        <w:rPr>
          <w:rFonts w:hint="eastAsia" w:ascii="黑体" w:hAnsi="黑体" w:eastAsia="黑体" w:cs="黑体"/>
          <w:b w:val="0"/>
          <w:bCs w:val="0"/>
          <w:color w:val="auto"/>
          <w:sz w:val="32"/>
          <w:szCs w:val="32"/>
          <w:highlight w:val="none"/>
          <w:u w:val="none"/>
        </w:rPr>
      </w:pPr>
      <w:r>
        <w:rPr>
          <w:rFonts w:hint="eastAsia" w:ascii="黑体" w:hAnsi="黑体" w:eastAsia="黑体" w:cs="黑体"/>
          <w:color w:val="auto"/>
          <w:sz w:val="32"/>
          <w:szCs w:val="32"/>
          <w:highlight w:val="none"/>
          <w:u w:val="none"/>
          <w:lang w:val="en-US" w:eastAsia="zh-CN"/>
        </w:rPr>
        <w:t xml:space="preserve">第一章  </w:t>
      </w:r>
      <w:r>
        <w:rPr>
          <w:rFonts w:hint="eastAsia" w:ascii="黑体" w:hAnsi="黑体" w:eastAsia="黑体" w:cs="黑体"/>
          <w:color w:val="auto"/>
          <w:sz w:val="32"/>
          <w:szCs w:val="32"/>
          <w:highlight w:val="none"/>
          <w:u w:val="none"/>
        </w:rPr>
        <w:t>总则</w:t>
      </w:r>
    </w:p>
    <w:p>
      <w:pPr>
        <w:pStyle w:val="3"/>
        <w:keepNext w:val="0"/>
        <w:keepLines w:val="0"/>
        <w:pageBreakBefore w:val="0"/>
        <w:widowControl w:val="0"/>
        <w:kinsoku/>
        <w:wordWrap/>
        <w:overflowPunct/>
        <w:topLinePunct w:val="0"/>
        <w:autoSpaceDE w:val="0"/>
        <w:autoSpaceDN w:val="0"/>
        <w:bidi w:val="0"/>
        <w:adjustRightInd w:val="0"/>
        <w:snapToGrid w:val="0"/>
        <w:spacing w:after="0" w:line="600" w:lineRule="exact"/>
        <w:ind w:left="0" w:leftChars="0" w:right="0" w:firstLine="640" w:firstLineChars="200"/>
        <w:jc w:val="both"/>
        <w:textAlignment w:val="auto"/>
        <w:rPr>
          <w:rFonts w:hint="eastAsia" w:ascii="仿宋_GB2312" w:hAnsi="仿宋_GB2312" w:eastAsia="仿宋_GB2312" w:cs="仿宋_GB2312"/>
          <w:spacing w:val="-3"/>
          <w:sz w:val="32"/>
          <w:szCs w:val="32"/>
          <w:highlight w:val="none"/>
          <w:u w:val="none"/>
          <w:lang w:eastAsia="zh-CN"/>
        </w:rPr>
      </w:pPr>
      <w:r>
        <w:rPr>
          <w:rFonts w:hint="eastAsia" w:ascii="黑体" w:hAnsi="黑体" w:eastAsia="黑体" w:cs="黑体"/>
          <w:b w:val="0"/>
          <w:bCs w:val="0"/>
          <w:color w:val="auto"/>
          <w:sz w:val="32"/>
          <w:szCs w:val="32"/>
          <w:highlight w:val="none"/>
          <w:u w:val="none"/>
        </w:rPr>
        <w:t>第一条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spacing w:val="-3"/>
          <w:sz w:val="32"/>
          <w:szCs w:val="32"/>
          <w:highlight w:val="none"/>
          <w:u w:val="none"/>
          <w:lang w:val="en-US" w:eastAsia="zh-CN"/>
        </w:rPr>
        <w:t>为</w:t>
      </w:r>
      <w:r>
        <w:rPr>
          <w:rFonts w:hint="eastAsia" w:ascii="仿宋_GB2312" w:hAnsi="仿宋_GB2312" w:eastAsia="仿宋_GB2312" w:cs="仿宋_GB2312"/>
          <w:spacing w:val="-3"/>
          <w:sz w:val="32"/>
          <w:szCs w:val="32"/>
          <w:highlight w:val="none"/>
          <w:u w:val="none"/>
        </w:rPr>
        <w:t>深入贯彻落实石油天然气体制改革若干意见，</w:t>
      </w:r>
      <w:r>
        <w:rPr>
          <w:rFonts w:hint="eastAsia" w:ascii="仿宋_GB2312" w:hAnsi="仿宋_GB2312" w:eastAsia="仿宋_GB2312" w:cs="仿宋_GB2312"/>
          <w:spacing w:val="-3"/>
          <w:sz w:val="32"/>
          <w:szCs w:val="32"/>
          <w:highlight w:val="none"/>
          <w:u w:val="none"/>
          <w:lang w:eastAsia="zh-CN"/>
        </w:rPr>
        <w:t>根据《中共中央国务院关于深化石油天然气体制改革的若干意见》</w:t>
      </w:r>
      <w:r>
        <w:rPr>
          <w:rFonts w:hint="eastAsia" w:ascii="仿宋_GB2312" w:hAnsi="仿宋_GB2312" w:eastAsia="仿宋_GB2312" w:cs="仿宋_GB2312"/>
          <w:spacing w:val="-3"/>
          <w:sz w:val="32"/>
          <w:szCs w:val="32"/>
          <w:highlight w:val="none"/>
          <w:u w:val="none"/>
          <w:lang w:val="en-US" w:eastAsia="zh-CN"/>
        </w:rPr>
        <w:t>《国务院关于促进天然气协</w:t>
      </w:r>
      <w:r>
        <w:rPr>
          <w:rFonts w:hint="eastAsia" w:ascii="仿宋_GB2312" w:hAnsi="仿宋_GB2312" w:eastAsia="仿宋_GB2312" w:cs="仿宋_GB2312"/>
          <w:spacing w:val="-2"/>
          <w:sz w:val="32"/>
          <w:szCs w:val="32"/>
          <w:highlight w:val="none"/>
          <w:u w:val="none"/>
          <w:lang w:val="en-US" w:eastAsia="zh-CN"/>
        </w:rPr>
        <w:t>调稳定发展的若干意见》《天然气管网设施运行调度与应急保供管理办</w:t>
      </w:r>
      <w:r>
        <w:rPr>
          <w:rFonts w:hint="eastAsia" w:ascii="仿宋_GB2312" w:hAnsi="仿宋_GB2312" w:eastAsia="仿宋_GB2312" w:cs="仿宋_GB2312"/>
          <w:color w:val="000000"/>
          <w:spacing w:val="-2"/>
          <w:sz w:val="32"/>
          <w:szCs w:val="32"/>
          <w:highlight w:val="none"/>
          <w:u w:val="none"/>
          <w:lang w:val="en-US" w:eastAsia="zh-CN"/>
        </w:rPr>
        <w:t>法（试行）》</w:t>
      </w:r>
      <w:r>
        <w:rPr>
          <w:rFonts w:hint="eastAsia" w:hAnsi="仿宋_GB2312" w:cs="仿宋_GB2312"/>
          <w:color w:val="000000"/>
          <w:spacing w:val="-2"/>
          <w:sz w:val="32"/>
          <w:szCs w:val="32"/>
          <w:highlight w:val="none"/>
          <w:u w:val="none"/>
          <w:lang w:val="en-US" w:eastAsia="zh-CN"/>
        </w:rPr>
        <w:t>等文件</w:t>
      </w:r>
      <w:r>
        <w:rPr>
          <w:rFonts w:hint="eastAsia" w:ascii="仿宋_GB2312" w:hAnsi="仿宋_GB2312" w:eastAsia="仿宋_GB2312" w:cs="仿宋_GB2312"/>
          <w:color w:val="auto"/>
          <w:spacing w:val="-2"/>
          <w:sz w:val="32"/>
          <w:szCs w:val="32"/>
          <w:highlight w:val="none"/>
          <w:u w:val="none"/>
          <w:lang w:val="en-US" w:eastAsia="zh-CN"/>
        </w:rPr>
        <w:t>精神</w:t>
      </w:r>
      <w:r>
        <w:rPr>
          <w:rFonts w:hint="eastAsia" w:ascii="仿宋_GB2312" w:hAnsi="仿宋_GB2312" w:eastAsia="仿宋_GB2312" w:cs="仿宋_GB2312"/>
          <w:spacing w:val="-3"/>
          <w:sz w:val="32"/>
          <w:szCs w:val="32"/>
          <w:highlight w:val="none"/>
          <w:u w:val="none"/>
        </w:rPr>
        <w:t>，</w:t>
      </w:r>
      <w:r>
        <w:rPr>
          <w:rFonts w:hint="eastAsia" w:ascii="仿宋_GB2312" w:hAnsi="仿宋_GB2312" w:eastAsia="仿宋_GB2312" w:cs="仿宋_GB2312"/>
          <w:spacing w:val="-3"/>
          <w:sz w:val="32"/>
          <w:szCs w:val="32"/>
          <w:highlight w:val="none"/>
          <w:u w:val="none"/>
          <w:lang w:val="en-US" w:eastAsia="zh-CN"/>
        </w:rPr>
        <w:t>提升省内天然气管网设施运行调度和应急保障能力，保障管网设施公平开放和安全、稳定、高效运行，维护各方合法权益，制定本办法。</w:t>
      </w:r>
    </w:p>
    <w:p>
      <w:pPr>
        <w:pStyle w:val="3"/>
        <w:keepNext w:val="0"/>
        <w:keepLines w:val="0"/>
        <w:pageBreakBefore w:val="0"/>
        <w:widowControl w:val="0"/>
        <w:kinsoku/>
        <w:wordWrap/>
        <w:overflowPunct/>
        <w:topLinePunct w:val="0"/>
        <w:autoSpaceDE w:val="0"/>
        <w:autoSpaceDN w:val="0"/>
        <w:bidi w:val="0"/>
        <w:adjustRightInd w:val="0"/>
        <w:snapToGrid w:val="0"/>
        <w:spacing w:after="0" w:line="600" w:lineRule="exact"/>
        <w:ind w:left="0" w:leftChars="0" w:right="0" w:firstLine="640" w:firstLineChars="200"/>
        <w:jc w:val="both"/>
        <w:textAlignment w:val="auto"/>
        <w:rPr>
          <w:rFonts w:hint="default"/>
          <w:b/>
          <w:highlight w:val="none"/>
          <w:u w:val="none"/>
          <w:lang w:val="en-US" w:eastAsia="zh-CN"/>
        </w:rPr>
      </w:pPr>
      <w:r>
        <w:rPr>
          <w:rFonts w:hint="eastAsia" w:ascii="黑体" w:hAnsi="黑体" w:eastAsia="黑体" w:cs="黑体"/>
          <w:b w:val="0"/>
          <w:bCs w:val="0"/>
          <w:color w:val="auto"/>
          <w:sz w:val="32"/>
          <w:szCs w:val="32"/>
          <w:highlight w:val="none"/>
          <w:u w:val="none"/>
        </w:rPr>
        <w:t>第二条</w:t>
      </w:r>
      <w:r>
        <w:rPr>
          <w:rFonts w:hint="eastAsia" w:ascii="黑体" w:hAnsi="黑体" w:eastAsia="黑体" w:cs="黑体"/>
          <w:b w:val="0"/>
          <w:bCs w:val="0"/>
          <w:color w:val="auto"/>
          <w:sz w:val="32"/>
          <w:szCs w:val="32"/>
          <w:highlight w:val="none"/>
          <w:u w:val="none"/>
          <w:lang w:val="en-US" w:eastAsia="zh-CN"/>
        </w:rPr>
        <w:t xml:space="preserve"> </w:t>
      </w:r>
      <w:r>
        <w:rPr>
          <w:rFonts w:hint="eastAsia" w:ascii="仿宋_GB2312" w:hAnsi="仿宋_GB2312" w:eastAsia="仿宋_GB2312" w:cs="仿宋_GB2312"/>
          <w:spacing w:val="-3"/>
          <w:sz w:val="32"/>
          <w:szCs w:val="32"/>
          <w:highlight w:val="none"/>
          <w:u w:val="none"/>
          <w:lang w:val="en-US" w:eastAsia="zh-CN"/>
        </w:rPr>
        <w:t>陕西省</w:t>
      </w:r>
      <w:r>
        <w:rPr>
          <w:rFonts w:hint="eastAsia" w:ascii="仿宋_GB2312" w:hAnsi="仿宋_GB2312" w:eastAsia="仿宋_GB2312" w:cs="仿宋_GB2312"/>
          <w:sz w:val="32"/>
          <w:szCs w:val="32"/>
        </w:rPr>
        <w:t>内的天然气管网设施运营企业（以下简称</w:t>
      </w:r>
      <w:r>
        <w:rPr>
          <w:rFonts w:hint="eastAsia" w:hAnsi="仿宋_GB2312" w:cs="仿宋_GB2312"/>
          <w:sz w:val="32"/>
          <w:szCs w:val="32"/>
          <w:lang w:eastAsia="zh-CN"/>
        </w:rPr>
        <w:t>“</w:t>
      </w:r>
      <w:r>
        <w:rPr>
          <w:rFonts w:hint="eastAsia" w:ascii="仿宋_GB2312" w:hAnsi="仿宋_GB2312" w:eastAsia="仿宋_GB2312" w:cs="仿宋_GB2312"/>
          <w:sz w:val="32"/>
          <w:szCs w:val="32"/>
        </w:rPr>
        <w:t>管网运营企业</w:t>
      </w:r>
      <w:r>
        <w:rPr>
          <w:rFonts w:hint="eastAsia" w:hAnsi="仿宋_GB2312" w:cs="仿宋_GB2312"/>
          <w:sz w:val="32"/>
          <w:szCs w:val="32"/>
          <w:lang w:eastAsia="zh-CN"/>
        </w:rPr>
        <w:t>”</w:t>
      </w:r>
      <w:r>
        <w:rPr>
          <w:rFonts w:hint="eastAsia" w:ascii="仿宋_GB2312" w:hAnsi="仿宋_GB2312" w:eastAsia="仿宋_GB2312" w:cs="仿宋_GB2312"/>
          <w:sz w:val="32"/>
          <w:szCs w:val="32"/>
        </w:rPr>
        <w:t>），接受天然气管网设施服务的企业,以及与</w:t>
      </w:r>
      <w:r>
        <w:rPr>
          <w:rFonts w:hint="eastAsia" w:ascii="仿宋_GB2312" w:hAnsi="仿宋_GB2312" w:eastAsia="仿宋_GB2312" w:cs="仿宋_GB2312"/>
          <w:sz w:val="32"/>
          <w:szCs w:val="32"/>
          <w:lang w:val="en-US" w:eastAsia="zh-CN"/>
        </w:rPr>
        <w:t>陕西省</w:t>
      </w:r>
      <w:r>
        <w:rPr>
          <w:rFonts w:hint="eastAsia" w:ascii="仿宋_GB2312" w:hAnsi="仿宋_GB2312" w:eastAsia="仿宋_GB2312" w:cs="仿宋_GB2312"/>
          <w:sz w:val="32"/>
          <w:szCs w:val="32"/>
        </w:rPr>
        <w:t>内天然气管网设施存在物理连接的产、运、储、销等企业，适用本实施细则。</w:t>
      </w:r>
    </w:p>
    <w:p>
      <w:pPr>
        <w:pStyle w:val="3"/>
        <w:keepNext w:val="0"/>
        <w:keepLines w:val="0"/>
        <w:pageBreakBefore w:val="0"/>
        <w:widowControl w:val="0"/>
        <w:numPr>
          <w:ilvl w:val="0"/>
          <w:numId w:val="0"/>
        </w:numPr>
        <w:tabs>
          <w:tab w:val="left" w:pos="2048"/>
        </w:tabs>
        <w:kinsoku/>
        <w:wordWrap/>
        <w:overflowPunct/>
        <w:topLinePunct w:val="0"/>
        <w:autoSpaceDE w:val="0"/>
        <w:autoSpaceDN w:val="0"/>
        <w:bidi w:val="0"/>
        <w:adjustRightInd w:val="0"/>
        <w:snapToGrid w:val="0"/>
        <w:spacing w:after="0" w:line="60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b w:val="0"/>
          <w:bCs w:val="0"/>
          <w:color w:val="auto"/>
          <w:sz w:val="32"/>
          <w:szCs w:val="32"/>
          <w:highlight w:val="none"/>
          <w:u w:val="none"/>
        </w:rPr>
        <w:t>第三条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z w:val="32"/>
          <w:szCs w:val="32"/>
          <w:highlight w:val="none"/>
          <w:u w:val="none"/>
          <w:lang w:val="en-US" w:eastAsia="zh-CN"/>
        </w:rPr>
        <w:t>省</w:t>
      </w:r>
      <w:r>
        <w:rPr>
          <w:rFonts w:hint="eastAsia" w:ascii="仿宋_GB2312" w:hAnsi="仿宋_GB2312" w:eastAsia="仿宋_GB2312" w:cs="仿宋_GB2312"/>
          <w:color w:val="auto"/>
          <w:sz w:val="32"/>
          <w:szCs w:val="32"/>
          <w:highlight w:val="none"/>
          <w:u w:val="none"/>
        </w:rPr>
        <w:t>发展改革委负责指导协调</w:t>
      </w:r>
      <w:r>
        <w:rPr>
          <w:rFonts w:hint="eastAsia" w:ascii="仿宋_GB2312" w:hAnsi="仿宋_GB2312" w:eastAsia="仿宋_GB2312" w:cs="仿宋_GB2312"/>
          <w:color w:val="auto"/>
          <w:sz w:val="32"/>
          <w:szCs w:val="32"/>
          <w:highlight w:val="none"/>
          <w:u w:val="none"/>
          <w:lang w:val="en-US" w:eastAsia="zh-CN"/>
        </w:rPr>
        <w:t>全省</w:t>
      </w:r>
      <w:r>
        <w:rPr>
          <w:rFonts w:hint="eastAsia" w:ascii="仿宋_GB2312" w:hAnsi="仿宋_GB2312" w:eastAsia="仿宋_GB2312" w:cs="仿宋_GB2312"/>
          <w:color w:val="auto"/>
          <w:sz w:val="32"/>
          <w:szCs w:val="32"/>
          <w:highlight w:val="none"/>
          <w:u w:val="none"/>
        </w:rPr>
        <w:t>天然气管网设施运行调度，指挥</w:t>
      </w:r>
      <w:r>
        <w:rPr>
          <w:rFonts w:hint="eastAsia" w:ascii="仿宋_GB2312" w:hAnsi="仿宋_GB2312" w:eastAsia="仿宋_GB2312" w:cs="仿宋_GB2312"/>
          <w:color w:val="auto"/>
          <w:sz w:val="32"/>
          <w:szCs w:val="32"/>
          <w:highlight w:val="none"/>
          <w:u w:val="none"/>
          <w:lang w:val="en-US" w:eastAsia="zh-CN"/>
        </w:rPr>
        <w:t>省内</w:t>
      </w:r>
      <w:r>
        <w:rPr>
          <w:rFonts w:hint="eastAsia" w:ascii="仿宋_GB2312" w:hAnsi="仿宋_GB2312" w:eastAsia="仿宋_GB2312" w:cs="仿宋_GB2312"/>
          <w:color w:val="auto"/>
          <w:sz w:val="32"/>
          <w:szCs w:val="32"/>
          <w:highlight w:val="none"/>
          <w:u w:val="none"/>
        </w:rPr>
        <w:t>天然气应急保供；指导</w:t>
      </w:r>
      <w:r>
        <w:rPr>
          <w:rFonts w:hint="eastAsia" w:ascii="仿宋_GB2312" w:hAnsi="仿宋_GB2312" w:eastAsia="仿宋_GB2312" w:cs="仿宋_GB2312"/>
          <w:color w:val="auto"/>
          <w:sz w:val="32"/>
          <w:szCs w:val="32"/>
          <w:highlight w:val="none"/>
          <w:u w:val="none"/>
          <w:lang w:val="en-US" w:eastAsia="zh-CN"/>
        </w:rPr>
        <w:t>县级以上</w:t>
      </w:r>
      <w:r>
        <w:rPr>
          <w:rFonts w:hint="eastAsia" w:ascii="仿宋_GB2312" w:hAnsi="仿宋_GB2312" w:eastAsia="仿宋_GB2312" w:cs="仿宋_GB2312"/>
          <w:color w:val="auto"/>
          <w:sz w:val="32"/>
          <w:szCs w:val="32"/>
          <w:highlight w:val="none"/>
          <w:u w:val="none"/>
        </w:rPr>
        <w:t>人民政府有关部门开展本行政区域</w:t>
      </w:r>
      <w:r>
        <w:rPr>
          <w:rFonts w:hint="eastAsia" w:ascii="仿宋_GB2312" w:hAnsi="仿宋_GB2312" w:eastAsia="仿宋_GB2312" w:cs="仿宋_GB2312"/>
          <w:color w:val="auto"/>
          <w:sz w:val="32"/>
          <w:szCs w:val="32"/>
          <w:highlight w:val="none"/>
          <w:u w:val="none"/>
          <w:lang w:val="en-US" w:eastAsia="zh-CN"/>
        </w:rPr>
        <w:t>天然气</w:t>
      </w:r>
      <w:r>
        <w:rPr>
          <w:rFonts w:hint="eastAsia" w:ascii="仿宋_GB2312" w:hAnsi="仿宋_GB2312" w:eastAsia="仿宋_GB2312" w:cs="仿宋_GB2312"/>
          <w:color w:val="auto"/>
          <w:sz w:val="32"/>
          <w:szCs w:val="32"/>
          <w:highlight w:val="none"/>
          <w:u w:val="none"/>
        </w:rPr>
        <w:t>相关管理和应急保供工作。国家能源局派出机构在职责范围内开展相关工作。</w:t>
      </w:r>
    </w:p>
    <w:p>
      <w:pPr>
        <w:pStyle w:val="3"/>
        <w:keepNext w:val="0"/>
        <w:keepLines w:val="0"/>
        <w:pageBreakBefore w:val="0"/>
        <w:widowControl w:val="0"/>
        <w:numPr>
          <w:ilvl w:val="0"/>
          <w:numId w:val="0"/>
        </w:numPr>
        <w:tabs>
          <w:tab w:val="left" w:pos="2048"/>
        </w:tabs>
        <w:kinsoku/>
        <w:wordWrap/>
        <w:overflowPunct/>
        <w:topLinePunct w:val="0"/>
        <w:autoSpaceDE w:val="0"/>
        <w:autoSpaceDN w:val="0"/>
        <w:bidi w:val="0"/>
        <w:adjustRightInd w:val="0"/>
        <w:snapToGrid w:val="0"/>
        <w:spacing w:after="0" w:line="600" w:lineRule="exact"/>
        <w:ind w:right="0" w:rightChars="0" w:firstLine="640" w:firstLineChars="200"/>
        <w:jc w:val="both"/>
        <w:textAlignment w:val="auto"/>
        <w:rPr>
          <w:rFonts w:hint="eastAsia"/>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省内天然气</w:t>
      </w:r>
      <w:r>
        <w:rPr>
          <w:rFonts w:hint="eastAsia" w:ascii="仿宋_GB2312" w:hAnsi="仿宋_GB2312" w:eastAsia="仿宋_GB2312" w:cs="仿宋_GB2312"/>
          <w:color w:val="auto"/>
          <w:sz w:val="32"/>
          <w:szCs w:val="32"/>
          <w:highlight w:val="none"/>
          <w:u w:val="none"/>
        </w:rPr>
        <w:t>管网</w:t>
      </w:r>
      <w:r>
        <w:rPr>
          <w:rFonts w:hint="eastAsia" w:ascii="仿宋_GB2312" w:hAnsi="仿宋_GB2312" w:eastAsia="仿宋_GB2312" w:cs="仿宋_GB2312"/>
          <w:color w:val="auto"/>
          <w:sz w:val="32"/>
          <w:szCs w:val="32"/>
          <w:highlight w:val="none"/>
          <w:u w:val="none"/>
          <w:lang w:eastAsia="zh-CN"/>
        </w:rPr>
        <w:t>设施</w:t>
      </w:r>
      <w:r>
        <w:rPr>
          <w:rFonts w:hint="eastAsia" w:ascii="仿宋_GB2312" w:hAnsi="仿宋_GB2312" w:eastAsia="仿宋_GB2312" w:cs="仿宋_GB2312"/>
          <w:color w:val="auto"/>
          <w:sz w:val="32"/>
          <w:szCs w:val="32"/>
          <w:highlight w:val="none"/>
          <w:u w:val="none"/>
        </w:rPr>
        <w:t>运营企业依法依规运营管理其拥有的或受托管理的天然气管网设施，公平提供运输、存储等服务，按照相关政府部门指挥开展天然气应急保供。</w:t>
      </w:r>
    </w:p>
    <w:p>
      <w:pPr>
        <w:keepNext w:val="0"/>
        <w:keepLines w:val="0"/>
        <w:pageBreakBefore w:val="0"/>
        <w:widowControl w:val="0"/>
        <w:kinsoku/>
        <w:wordWrap/>
        <w:overflowPunct/>
        <w:topLinePunct w:val="0"/>
        <w:autoSpaceDE/>
        <w:autoSpaceDN/>
        <w:bidi w:val="0"/>
        <w:adjustRightInd w:val="0"/>
        <w:snapToGrid w:val="0"/>
        <w:spacing w:line="600" w:lineRule="exact"/>
        <w:ind w:left="0" w:right="0"/>
        <w:jc w:val="center"/>
        <w:textAlignment w:val="auto"/>
        <w:rPr>
          <w:rFonts w:hint="eastAsia" w:ascii="黑体" w:hAnsi="黑体" w:eastAsia="黑体" w:cs="黑体"/>
          <w:b w:val="0"/>
          <w:bCs w:val="0"/>
          <w:color w:val="auto"/>
          <w:sz w:val="32"/>
          <w:szCs w:val="32"/>
          <w:highlight w:val="none"/>
          <w:u w:val="none"/>
        </w:rPr>
      </w:pPr>
      <w:r>
        <w:rPr>
          <w:rFonts w:hint="eastAsia" w:ascii="黑体" w:hAnsi="黑体" w:eastAsia="黑体" w:cs="黑体"/>
          <w:color w:val="auto"/>
          <w:sz w:val="32"/>
          <w:szCs w:val="32"/>
          <w:highlight w:val="none"/>
          <w:u w:val="none"/>
        </w:rPr>
        <w:t xml:space="preserve">第二章 </w:t>
      </w:r>
      <w:r>
        <w:rPr>
          <w:rFonts w:hint="eastAsia" w:ascii="黑体" w:hAnsi="黑体" w:eastAsia="黑体" w:cs="黑体"/>
          <w:color w:val="auto"/>
          <w:sz w:val="32"/>
          <w:szCs w:val="32"/>
          <w:highlight w:val="none"/>
          <w:u w:val="none"/>
          <w:lang w:val="en-US" w:eastAsia="zh-CN"/>
        </w:rPr>
        <w:t xml:space="preserve"> 运输</w:t>
      </w:r>
      <w:r>
        <w:rPr>
          <w:rFonts w:hint="eastAsia" w:ascii="黑体" w:hAnsi="黑体" w:eastAsia="黑体" w:cs="黑体"/>
          <w:color w:val="auto"/>
          <w:sz w:val="32"/>
          <w:szCs w:val="32"/>
          <w:highlight w:val="none"/>
          <w:u w:val="none"/>
        </w:rPr>
        <w:t>服务</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b w:val="0"/>
          <w:bCs w:val="0"/>
          <w:color w:val="auto"/>
          <w:sz w:val="32"/>
          <w:szCs w:val="32"/>
          <w:highlight w:val="none"/>
          <w:u w:val="none"/>
        </w:rPr>
        <w:t>第四条</w:t>
      </w:r>
      <w:r>
        <w:rPr>
          <w:rFonts w:hint="eastAsia" w:ascii="仿宋_GB2312" w:hAnsi="仿宋_GB2312" w:eastAsia="仿宋_GB2312" w:cs="仿宋_GB2312"/>
          <w:color w:val="auto"/>
          <w:sz w:val="32"/>
          <w:szCs w:val="32"/>
          <w:highlight w:val="none"/>
          <w:u w:val="none"/>
        </w:rPr>
        <w:t xml:space="preserve"> 管网运营企业根据天然气管网设施运行情况，公平、公正、公开为托运商提供服务，满足托运商运输天然气需求。</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b w:val="0"/>
          <w:bCs w:val="0"/>
          <w:color w:val="auto"/>
          <w:sz w:val="32"/>
          <w:szCs w:val="32"/>
          <w:highlight w:val="none"/>
          <w:u w:val="none"/>
        </w:rPr>
        <w:t>第五条</w:t>
      </w:r>
      <w:r>
        <w:rPr>
          <w:rFonts w:hint="eastAsia" w:ascii="仿宋_GB2312" w:hAnsi="仿宋_GB2312" w:eastAsia="仿宋_GB2312" w:cs="仿宋_GB2312"/>
          <w:color w:val="auto"/>
          <w:sz w:val="32"/>
          <w:szCs w:val="32"/>
          <w:highlight w:val="none"/>
          <w:u w:val="none"/>
        </w:rPr>
        <w:t xml:space="preserve"> 托运商提出服务申请，由管网运营企业按照容量服务分配规则受理。管网运营企业对不符合服务条件和要求，或存在信息造假、重大违约等行为的托运商服务申请不予受理；已经受理的，可以终止服务。审核结果应当告知托运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黑体" w:hAnsi="黑体" w:eastAsia="黑体" w:cs="黑体"/>
          <w:b w:val="0"/>
          <w:bCs w:val="0"/>
          <w:color w:val="auto"/>
          <w:sz w:val="32"/>
          <w:szCs w:val="32"/>
          <w:highlight w:val="none"/>
          <w:u w:val="none"/>
          <w:lang w:val="en-US" w:eastAsia="zh-CN"/>
        </w:rPr>
        <w:t>第六条</w:t>
      </w:r>
      <w:r>
        <w:rPr>
          <w:rFonts w:hint="eastAsia" w:ascii="仿宋_GB2312" w:hAnsi="仿宋_GB2312" w:eastAsia="仿宋_GB2312" w:cs="仿宋_GB2312"/>
          <w:b w:val="0"/>
          <w:bCs w:val="0"/>
          <w:color w:val="auto"/>
          <w:sz w:val="32"/>
          <w:szCs w:val="32"/>
          <w:highlight w:val="none"/>
          <w:u w:val="none"/>
          <w:lang w:val="en-US" w:eastAsia="zh-CN"/>
        </w:rPr>
        <w:t xml:space="preserve"> 管网运营企业</w:t>
      </w:r>
      <w:r>
        <w:rPr>
          <w:rFonts w:hint="eastAsia" w:ascii="仿宋_GB2312" w:hAnsi="仿宋_GB2312" w:eastAsia="仿宋_GB2312" w:cs="仿宋_GB2312"/>
          <w:color w:val="auto"/>
          <w:sz w:val="32"/>
          <w:szCs w:val="32"/>
          <w:highlight w:val="none"/>
          <w:u w:val="none"/>
        </w:rPr>
        <w:t>每年</w:t>
      </w:r>
      <w:r>
        <w:rPr>
          <w:rFonts w:hint="eastAsia" w:ascii="仿宋_GB2312" w:hAnsi="仿宋_GB2312" w:eastAsia="仿宋_GB2312" w:cs="仿宋_GB2312"/>
          <w:color w:val="auto"/>
          <w:sz w:val="32"/>
          <w:szCs w:val="32"/>
          <w:highlight w:val="none"/>
          <w:u w:val="none"/>
          <w:lang w:val="en-US" w:eastAsia="zh-CN"/>
        </w:rPr>
        <w:t>定期</w:t>
      </w:r>
      <w:r>
        <w:rPr>
          <w:rFonts w:hint="eastAsia" w:ascii="仿宋_GB2312" w:hAnsi="仿宋_GB2312" w:eastAsia="仿宋_GB2312" w:cs="仿宋_GB2312"/>
          <w:color w:val="auto"/>
          <w:sz w:val="32"/>
          <w:szCs w:val="32"/>
          <w:highlight w:val="none"/>
          <w:u w:val="none"/>
        </w:rPr>
        <w:t>集中受理托运商长期容量服务申请，</w:t>
      </w:r>
      <w:r>
        <w:rPr>
          <w:rFonts w:hint="eastAsia" w:ascii="仿宋_GB2312" w:hAnsi="仿宋_GB2312" w:eastAsia="仿宋_GB2312" w:cs="仿宋_GB2312"/>
          <w:b w:val="0"/>
          <w:bCs w:val="0"/>
          <w:color w:val="auto"/>
          <w:sz w:val="32"/>
          <w:szCs w:val="32"/>
          <w:highlight w:val="none"/>
          <w:u w:val="none"/>
          <w:lang w:val="en-US" w:eastAsia="zh-CN"/>
        </w:rPr>
        <w:t>根据天然气管网设施容量情况，与通过容量服务申请的托运商签订年度服务合同。在现有容量服务结束前15个工作日内，托运商应向管网运营企业提交新的容量服务申请，</w:t>
      </w:r>
      <w:r>
        <w:rPr>
          <w:rFonts w:hint="eastAsia" w:ascii="仿宋_GB2312" w:hAnsi="仿宋_GB2312" w:eastAsia="仿宋_GB2312" w:cs="仿宋_GB2312"/>
          <w:color w:val="auto"/>
          <w:sz w:val="32"/>
          <w:szCs w:val="32"/>
          <w:highlight w:val="none"/>
          <w:u w:val="none"/>
        </w:rPr>
        <w:t>如未按时提交新的容量服务申请，</w:t>
      </w:r>
      <w:r>
        <w:rPr>
          <w:rFonts w:hint="eastAsia" w:ascii="仿宋_GB2312" w:hAnsi="仿宋_GB2312" w:eastAsia="仿宋_GB2312" w:cs="仿宋_GB2312"/>
          <w:color w:val="auto"/>
          <w:sz w:val="32"/>
          <w:szCs w:val="32"/>
          <w:highlight w:val="none"/>
          <w:u w:val="none"/>
          <w:lang w:val="en-US" w:eastAsia="zh-CN"/>
        </w:rPr>
        <w:t>将</w:t>
      </w:r>
      <w:r>
        <w:rPr>
          <w:rFonts w:hint="eastAsia" w:ascii="仿宋_GB2312" w:hAnsi="仿宋_GB2312" w:eastAsia="仿宋_GB2312" w:cs="仿宋_GB2312"/>
          <w:color w:val="auto"/>
          <w:sz w:val="32"/>
          <w:szCs w:val="32"/>
          <w:highlight w:val="none"/>
          <w:u w:val="none"/>
        </w:rPr>
        <w:t>被视为主动放弃现有容量服务</w:t>
      </w:r>
      <w:r>
        <w:rPr>
          <w:rFonts w:hint="eastAsia" w:ascii="仿宋_GB2312" w:hAnsi="仿宋_GB2312" w:eastAsia="仿宋_GB2312" w:cs="仿宋_GB2312"/>
          <w:color w:val="auto"/>
          <w:sz w:val="32"/>
          <w:szCs w:val="32"/>
          <w:highlight w:val="none"/>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黑体" w:hAnsi="黑体" w:eastAsia="黑体" w:cs="黑体"/>
          <w:b w:val="0"/>
          <w:bCs w:val="0"/>
          <w:color w:val="auto"/>
          <w:sz w:val="32"/>
          <w:szCs w:val="32"/>
          <w:highlight w:val="none"/>
          <w:u w:val="none"/>
          <w:lang w:val="en-US" w:eastAsia="zh-CN"/>
        </w:rPr>
        <w:t>第七条</w:t>
      </w:r>
      <w:r>
        <w:rPr>
          <w:rFonts w:hint="eastAsia" w:ascii="仿宋_GB2312" w:hAnsi="仿宋_GB2312" w:eastAsia="仿宋_GB2312" w:cs="仿宋_GB2312"/>
          <w:b w:val="0"/>
          <w:bCs w:val="0"/>
          <w:color w:val="auto"/>
          <w:sz w:val="32"/>
          <w:szCs w:val="32"/>
          <w:highlight w:val="none"/>
          <w:u w:val="none"/>
          <w:lang w:val="en-US" w:eastAsia="zh-CN"/>
        </w:rPr>
        <w:t xml:space="preserve"> 托运商有短期容量服务或临时容量服务需求的，应</w:t>
      </w:r>
      <w:r>
        <w:rPr>
          <w:rFonts w:hint="eastAsia" w:ascii="仿宋_GB2312" w:hAnsi="仿宋_GB2312" w:eastAsia="仿宋_GB2312" w:cs="仿宋_GB2312"/>
          <w:sz w:val="32"/>
          <w:szCs w:val="32"/>
        </w:rPr>
        <w:t>向管网运营企业提交容量服务申请</w:t>
      </w:r>
      <w:r>
        <w:rPr>
          <w:rFonts w:hint="eastAsia" w:ascii="仿宋_GB2312" w:hAnsi="仿宋_GB2312" w:eastAsia="仿宋_GB2312" w:cs="仿宋_GB2312"/>
          <w:b w:val="0"/>
          <w:bCs w:val="0"/>
          <w:color w:val="auto"/>
          <w:sz w:val="32"/>
          <w:szCs w:val="32"/>
          <w:highlight w:val="none"/>
          <w:u w:val="none"/>
          <w:lang w:val="en-US" w:eastAsia="zh-CN"/>
        </w:rPr>
        <w:t>。管网运营企业根据天然气管网设施容量剩余情况，按照先到先得、申请服务时长优先等原则决定容量分配，</w:t>
      </w:r>
      <w:r>
        <w:rPr>
          <w:rFonts w:hint="eastAsia" w:ascii="仿宋_GB2312" w:hAnsi="仿宋_GB2312" w:eastAsia="仿宋_GB2312" w:cs="仿宋_GB2312"/>
          <w:sz w:val="32"/>
          <w:szCs w:val="32"/>
        </w:rPr>
        <w:t>并于收到申请之日起5个工作日内答复结果。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eastAsia" w:ascii="黑体" w:hAnsi="黑体" w:eastAsia="黑体" w:cs="黑体"/>
          <w:b w:val="0"/>
          <w:bCs w:val="0"/>
          <w:color w:val="auto"/>
          <w:sz w:val="32"/>
          <w:szCs w:val="32"/>
          <w:highlight w:val="none"/>
          <w:u w:val="none"/>
        </w:rPr>
      </w:pPr>
      <w:r>
        <w:rPr>
          <w:rFonts w:hint="eastAsia" w:ascii="黑体" w:hAnsi="黑体" w:eastAsia="黑体" w:cs="黑体"/>
          <w:color w:val="auto"/>
          <w:sz w:val="32"/>
          <w:szCs w:val="32"/>
          <w:highlight w:val="none"/>
          <w:u w:val="none"/>
          <w:lang w:val="en-US" w:eastAsia="zh-CN"/>
        </w:rPr>
        <w:t>第八条</w:t>
      </w:r>
      <w:r>
        <w:rPr>
          <w:rFonts w:hint="eastAsia" w:ascii="仿宋_GB2312" w:hAnsi="仿宋_GB2312" w:eastAsia="仿宋_GB2312" w:cs="仿宋_GB2312"/>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highlight w:val="none"/>
          <w:u w:val="none"/>
        </w:rPr>
        <w:t>对需承担</w:t>
      </w:r>
      <w:r>
        <w:rPr>
          <w:rFonts w:hint="eastAsia" w:ascii="仿宋_GB2312" w:hAnsi="仿宋_GB2312" w:eastAsia="仿宋_GB2312" w:cs="仿宋_GB2312"/>
          <w:color w:val="auto"/>
          <w:sz w:val="32"/>
          <w:szCs w:val="32"/>
          <w:highlight w:val="none"/>
          <w:u w:val="none"/>
          <w:lang w:eastAsia="zh-CN"/>
        </w:rPr>
        <w:t>国家或全省</w:t>
      </w:r>
      <w:r>
        <w:rPr>
          <w:rFonts w:hint="eastAsia" w:ascii="仿宋_GB2312" w:hAnsi="仿宋_GB2312" w:eastAsia="仿宋_GB2312" w:cs="仿宋_GB2312"/>
          <w:color w:val="auto"/>
          <w:sz w:val="32"/>
          <w:szCs w:val="32"/>
          <w:highlight w:val="none"/>
          <w:u w:val="none"/>
          <w:lang w:val="en-US" w:eastAsia="zh-CN"/>
        </w:rPr>
        <w:t>民生保供、重大应急保障、重点项目保供</w:t>
      </w:r>
      <w:r>
        <w:rPr>
          <w:rFonts w:hint="eastAsia" w:ascii="仿宋_GB2312" w:hAnsi="仿宋_GB2312" w:eastAsia="仿宋_GB2312" w:cs="仿宋_GB2312"/>
          <w:color w:val="auto"/>
          <w:sz w:val="32"/>
          <w:szCs w:val="32"/>
          <w:highlight w:val="none"/>
          <w:u w:val="none"/>
        </w:rPr>
        <w:t>的天然气资源，管网运营企业应当简化申请、受理流程，优先提供服务。</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b w:val="0"/>
          <w:bCs w:val="0"/>
          <w:color w:val="auto"/>
          <w:sz w:val="32"/>
          <w:szCs w:val="32"/>
          <w:highlight w:val="none"/>
          <w:u w:val="none"/>
        </w:rPr>
        <w:t>第</w:t>
      </w:r>
      <w:r>
        <w:rPr>
          <w:rFonts w:hint="eastAsia" w:ascii="黑体" w:hAnsi="黑体" w:eastAsia="黑体" w:cs="黑体"/>
          <w:b w:val="0"/>
          <w:bCs w:val="0"/>
          <w:color w:val="auto"/>
          <w:sz w:val="32"/>
          <w:szCs w:val="32"/>
          <w:highlight w:val="none"/>
          <w:u w:val="none"/>
          <w:lang w:val="en-US" w:eastAsia="zh-CN"/>
        </w:rPr>
        <w:t>九</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托运商提交的月度及以上容量服务需求计划</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与合同</w:t>
      </w:r>
      <w:r>
        <w:rPr>
          <w:rFonts w:hint="eastAsia" w:ascii="仿宋_GB2312" w:hAnsi="仿宋_GB2312" w:eastAsia="仿宋_GB2312" w:cs="仿宋_GB2312"/>
          <w:color w:val="auto"/>
          <w:sz w:val="32"/>
          <w:szCs w:val="32"/>
          <w:highlight w:val="none"/>
          <w:u w:val="none"/>
          <w:lang w:val="en-US" w:eastAsia="zh-CN"/>
        </w:rPr>
        <w:t>签订容量</w:t>
      </w:r>
      <w:r>
        <w:rPr>
          <w:rFonts w:hint="eastAsia" w:ascii="仿宋_GB2312" w:hAnsi="仿宋_GB2312" w:eastAsia="仿宋_GB2312" w:cs="仿宋_GB2312"/>
          <w:color w:val="auto"/>
          <w:sz w:val="32"/>
          <w:szCs w:val="32"/>
          <w:highlight w:val="none"/>
          <w:u w:val="none"/>
        </w:rPr>
        <w:t>偏差值在3%以内为正常波动，管网运营企业按照托运商提交的容量服务需求计划分配容量。当托运商提交的月度及以上容量服务需求计划小于合同</w:t>
      </w:r>
      <w:r>
        <w:rPr>
          <w:rFonts w:hint="eastAsia" w:ascii="仿宋_GB2312" w:hAnsi="仿宋_GB2312" w:eastAsia="仿宋_GB2312" w:cs="仿宋_GB2312"/>
          <w:color w:val="auto"/>
          <w:sz w:val="32"/>
          <w:szCs w:val="32"/>
          <w:highlight w:val="none"/>
          <w:u w:val="none"/>
          <w:lang w:val="en-US" w:eastAsia="zh-CN"/>
        </w:rPr>
        <w:t>签订容量</w:t>
      </w:r>
      <w:r>
        <w:rPr>
          <w:rFonts w:hint="eastAsia" w:ascii="仿宋_GB2312" w:hAnsi="仿宋_GB2312" w:eastAsia="仿宋_GB2312" w:cs="仿宋_GB2312"/>
          <w:color w:val="auto"/>
          <w:sz w:val="32"/>
          <w:szCs w:val="32"/>
          <w:highlight w:val="none"/>
          <w:u w:val="none"/>
        </w:rPr>
        <w:t>时且差值大于3%时，管网运营企业按照托运商提交的容量服务需求计划分配容量，其剩余容量服务视为托运商主动放弃，放弃</w:t>
      </w:r>
      <w:r>
        <w:rPr>
          <w:rFonts w:hint="eastAsia" w:ascii="仿宋_GB2312" w:hAnsi="仿宋_GB2312" w:eastAsia="仿宋_GB2312" w:cs="仿宋_GB2312"/>
          <w:color w:val="auto"/>
          <w:sz w:val="32"/>
          <w:szCs w:val="32"/>
          <w:highlight w:val="none"/>
          <w:u w:val="none"/>
          <w:lang w:val="en-US" w:eastAsia="zh-CN"/>
        </w:rPr>
        <w:t>的</w:t>
      </w:r>
      <w:r>
        <w:rPr>
          <w:rFonts w:hint="eastAsia" w:ascii="仿宋_GB2312" w:hAnsi="仿宋_GB2312" w:eastAsia="仿宋_GB2312" w:cs="仿宋_GB2312"/>
          <w:color w:val="auto"/>
          <w:sz w:val="32"/>
          <w:szCs w:val="32"/>
          <w:highlight w:val="none"/>
          <w:u w:val="none"/>
        </w:rPr>
        <w:t>容量服务由管网运营企业重新分配。当托运商提交的月度及以上容量服务需求计划大于合同</w:t>
      </w:r>
      <w:r>
        <w:rPr>
          <w:rFonts w:hint="eastAsia" w:ascii="仿宋_GB2312" w:hAnsi="仿宋_GB2312" w:eastAsia="仿宋_GB2312" w:cs="仿宋_GB2312"/>
          <w:color w:val="auto"/>
          <w:sz w:val="32"/>
          <w:szCs w:val="32"/>
          <w:highlight w:val="none"/>
          <w:u w:val="none"/>
          <w:lang w:val="en-US" w:eastAsia="zh-CN"/>
        </w:rPr>
        <w:t>签订容量</w:t>
      </w:r>
      <w:r>
        <w:rPr>
          <w:rFonts w:hint="eastAsia" w:ascii="仿宋_GB2312" w:hAnsi="仿宋_GB2312" w:eastAsia="仿宋_GB2312" w:cs="仿宋_GB2312"/>
          <w:color w:val="auto"/>
          <w:sz w:val="32"/>
          <w:szCs w:val="32"/>
          <w:highlight w:val="none"/>
          <w:u w:val="none"/>
        </w:rPr>
        <w:t>且差值大于3%时，管网运营企业先按照合同约定分配容量服务后，根据剩余容量服务情况决定是否接受超出合同约定的容量服务。</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val="0"/>
          <w:color w:val="auto"/>
          <w:sz w:val="32"/>
          <w:szCs w:val="32"/>
          <w:highlight w:val="none"/>
          <w:u w:val="none"/>
        </w:rPr>
        <w:t>第</w:t>
      </w:r>
      <w:r>
        <w:rPr>
          <w:rFonts w:hint="eastAsia" w:ascii="黑体" w:hAnsi="黑体" w:eastAsia="黑体" w:cs="黑体"/>
          <w:b w:val="0"/>
          <w:bCs w:val="0"/>
          <w:color w:val="auto"/>
          <w:sz w:val="32"/>
          <w:szCs w:val="32"/>
          <w:highlight w:val="none"/>
          <w:u w:val="none"/>
          <w:lang w:val="en-US" w:eastAsia="zh-CN"/>
        </w:rPr>
        <w:t>十</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sz w:val="32"/>
          <w:szCs w:val="32"/>
        </w:rPr>
        <w:t>当托运商年度实际使用容量小于合同预定容量的90%时，管网运营企业按照合同预定容量的90%结算费用,因管网运营企业原因造成的除外；当托运商年度实际使用容量大于或等于合同预定容量的90%时，管网运营企业根据托运商实际使用容量结算费用。托运商合同不满一年的,实际使用容量结算周期按合同周期确定。</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color w:val="FF0000"/>
        </w:rPr>
      </w:pPr>
      <w:r>
        <w:rPr>
          <w:rFonts w:hint="eastAsia" w:ascii="黑体" w:hAnsi="黑体" w:eastAsia="黑体" w:cs="黑体"/>
          <w:b w:val="0"/>
          <w:bCs w:val="0"/>
          <w:color w:val="auto"/>
          <w:sz w:val="32"/>
          <w:szCs w:val="32"/>
          <w:highlight w:val="none"/>
          <w:u w:val="none"/>
        </w:rPr>
        <w:t>第</w:t>
      </w:r>
      <w:r>
        <w:rPr>
          <w:rFonts w:hint="eastAsia" w:ascii="黑体" w:hAnsi="黑体" w:eastAsia="黑体" w:cs="黑体"/>
          <w:b w:val="0"/>
          <w:bCs w:val="0"/>
          <w:color w:val="auto"/>
          <w:sz w:val="32"/>
          <w:szCs w:val="32"/>
          <w:highlight w:val="none"/>
          <w:u w:val="none"/>
          <w:lang w:val="en-US" w:eastAsia="zh-CN"/>
        </w:rPr>
        <w:t>十一</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z w:val="32"/>
          <w:szCs w:val="32"/>
          <w:highlight w:val="none"/>
          <w:u w:val="none"/>
          <w:lang w:eastAsia="zh-CN"/>
        </w:rPr>
        <w:t>省内天然气管道运输价格实行政府定价，管网运营企业应当按照规定的价格政策向用户收取服务费用</w:t>
      </w:r>
      <w:r>
        <w:rPr>
          <w:rFonts w:hint="eastAsia" w:ascii="仿宋_GB2312" w:hAnsi="仿宋_GB2312" w:eastAsia="仿宋_GB2312" w:cs="仿宋_GB2312"/>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黑体" w:hAnsi="黑体" w:eastAsia="黑体" w:cs="黑体"/>
          <w:color w:val="auto"/>
          <w:sz w:val="32"/>
          <w:szCs w:val="32"/>
          <w:highlight w:val="none"/>
          <w:u w:val="none"/>
        </w:rPr>
      </w:pPr>
      <w:r>
        <w:rPr>
          <w:rFonts w:hint="eastAsia" w:ascii="黑体" w:hAnsi="黑体" w:eastAsia="黑体" w:cs="黑体"/>
          <w:b w:val="0"/>
          <w:bCs w:val="0"/>
          <w:color w:val="auto"/>
          <w:sz w:val="32"/>
          <w:szCs w:val="32"/>
          <w:highlight w:val="none"/>
          <w:u w:val="none"/>
        </w:rPr>
        <w:t>第</w:t>
      </w:r>
      <w:r>
        <w:rPr>
          <w:rFonts w:hint="eastAsia" w:ascii="黑体" w:hAnsi="黑体" w:eastAsia="黑体" w:cs="黑体"/>
          <w:b w:val="0"/>
          <w:bCs w:val="0"/>
          <w:color w:val="auto"/>
          <w:sz w:val="32"/>
          <w:szCs w:val="32"/>
          <w:highlight w:val="none"/>
          <w:u w:val="none"/>
          <w:lang w:val="en-US" w:eastAsia="zh-CN"/>
        </w:rPr>
        <w:t>十二</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管网运营企业应当按照《油气管网设施公平开放监管办法》及相关配套文件要求，公开和报送相关信息。</w:t>
      </w:r>
    </w:p>
    <w:p>
      <w:pPr>
        <w:keepNext w:val="0"/>
        <w:keepLines w:val="0"/>
        <w:pageBreakBefore w:val="0"/>
        <w:widowControl w:val="0"/>
        <w:kinsoku/>
        <w:wordWrap/>
        <w:overflowPunct/>
        <w:topLinePunct w:val="0"/>
        <w:autoSpaceDE/>
        <w:autoSpaceDN/>
        <w:bidi w:val="0"/>
        <w:adjustRightInd w:val="0"/>
        <w:snapToGrid w:val="0"/>
        <w:spacing w:line="600" w:lineRule="exact"/>
        <w:ind w:left="0" w:right="0"/>
        <w:jc w:val="center"/>
        <w:textAlignment w:val="auto"/>
        <w:rPr>
          <w:rFonts w:hint="eastAsia" w:ascii="黑体" w:hAnsi="黑体" w:eastAsia="黑体" w:cs="黑体"/>
          <w:b w:val="0"/>
          <w:bCs w:val="0"/>
          <w:color w:val="auto"/>
          <w:sz w:val="32"/>
          <w:szCs w:val="32"/>
          <w:highlight w:val="none"/>
          <w:u w:val="none"/>
        </w:rPr>
      </w:pPr>
      <w:r>
        <w:rPr>
          <w:rFonts w:hint="eastAsia" w:ascii="黑体" w:hAnsi="黑体" w:eastAsia="黑体" w:cs="黑体"/>
          <w:color w:val="auto"/>
          <w:sz w:val="32"/>
          <w:szCs w:val="32"/>
          <w:highlight w:val="none"/>
          <w:u w:val="none"/>
        </w:rPr>
        <w:t xml:space="preserve">第三章 </w:t>
      </w:r>
      <w:r>
        <w:rPr>
          <w:rFonts w:hint="eastAsia" w:ascii="黑体" w:hAnsi="黑体" w:eastAsia="黑体" w:cs="黑体"/>
          <w:color w:val="auto"/>
          <w:sz w:val="32"/>
          <w:szCs w:val="32"/>
          <w:highlight w:val="none"/>
          <w:u w:val="none"/>
          <w:lang w:val="en-US" w:eastAsia="zh-CN"/>
        </w:rPr>
        <w:t xml:space="preserve"> </w:t>
      </w:r>
      <w:r>
        <w:rPr>
          <w:rFonts w:hint="eastAsia" w:ascii="黑体" w:hAnsi="黑体" w:eastAsia="黑体" w:cs="黑体"/>
          <w:color w:val="auto"/>
          <w:sz w:val="32"/>
          <w:szCs w:val="32"/>
          <w:highlight w:val="none"/>
          <w:u w:val="none"/>
        </w:rPr>
        <w:t>运行调度</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000000"/>
          <w:sz w:val="32"/>
          <w:szCs w:val="32"/>
          <w:highlight w:val="none"/>
          <w:u w:val="none"/>
        </w:rPr>
      </w:pPr>
      <w:r>
        <w:rPr>
          <w:rFonts w:hint="eastAsia" w:ascii="黑体" w:hAnsi="黑体" w:eastAsia="黑体" w:cs="黑体"/>
          <w:b w:val="0"/>
          <w:bCs w:val="0"/>
          <w:color w:val="auto"/>
          <w:sz w:val="32"/>
          <w:szCs w:val="32"/>
          <w:highlight w:val="none"/>
          <w:u w:val="none"/>
        </w:rPr>
        <w:t>第十</w:t>
      </w:r>
      <w:r>
        <w:rPr>
          <w:rFonts w:hint="eastAsia" w:ascii="黑体" w:hAnsi="黑体" w:eastAsia="黑体" w:cs="黑体"/>
          <w:b w:val="0"/>
          <w:bCs w:val="0"/>
          <w:color w:val="auto"/>
          <w:sz w:val="32"/>
          <w:szCs w:val="32"/>
          <w:highlight w:val="none"/>
          <w:u w:val="none"/>
          <w:lang w:val="en-US" w:eastAsia="zh-CN"/>
        </w:rPr>
        <w:t>三</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000000"/>
          <w:sz w:val="32"/>
          <w:szCs w:val="32"/>
          <w:highlight w:val="none"/>
          <w:u w:val="none"/>
        </w:rPr>
        <w:t>管网运营企业负责组织其拥有或受托管理的天然气管网设施生产运行，</w:t>
      </w:r>
      <w:r>
        <w:rPr>
          <w:rFonts w:hint="eastAsia" w:ascii="仿宋_GB2312" w:hAnsi="仿宋_GB2312" w:eastAsia="仿宋_GB2312" w:cs="仿宋_GB2312"/>
          <w:sz w:val="32"/>
          <w:szCs w:val="32"/>
        </w:rPr>
        <w:t>实行统一调度指挥、远程监控操作、维检修作业。</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000000"/>
          <w:sz w:val="32"/>
          <w:szCs w:val="32"/>
          <w:highlight w:val="none"/>
          <w:u w:val="none"/>
        </w:rPr>
      </w:pPr>
      <w:r>
        <w:rPr>
          <w:rFonts w:hint="eastAsia" w:ascii="黑体" w:hAnsi="黑体" w:eastAsia="黑体" w:cs="黑体"/>
          <w:b w:val="0"/>
          <w:bCs w:val="0"/>
          <w:color w:val="auto"/>
          <w:sz w:val="32"/>
          <w:szCs w:val="32"/>
          <w:highlight w:val="none"/>
          <w:u w:val="none"/>
        </w:rPr>
        <w:t>第十</w:t>
      </w:r>
      <w:r>
        <w:rPr>
          <w:rFonts w:hint="eastAsia" w:ascii="黑体" w:hAnsi="黑体" w:eastAsia="黑体" w:cs="黑体"/>
          <w:b w:val="0"/>
          <w:bCs w:val="0"/>
          <w:color w:val="auto"/>
          <w:sz w:val="32"/>
          <w:szCs w:val="32"/>
          <w:highlight w:val="none"/>
          <w:u w:val="none"/>
          <w:lang w:val="en-US" w:eastAsia="zh-CN"/>
        </w:rPr>
        <w:t>四</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000000"/>
          <w:sz w:val="32"/>
          <w:szCs w:val="32"/>
          <w:highlight w:val="none"/>
          <w:u w:val="none"/>
        </w:rPr>
        <w:t>管网运营企业应当根据与托运商签署的服务合同，制定输气计划。托运商应当根据合同约定，按时提交上下载点的年度、月度输气计划以及日指定计划。管网运营企业、托运商、供气方及用户任何一方无法执行输气计划时，应当及时通知相关各方。管网运营企业可结合服务合同约定和管网运行情况，与托运商协商一致后调整输气计划。</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b w:val="0"/>
          <w:bCs w:val="0"/>
          <w:color w:val="auto"/>
          <w:sz w:val="32"/>
          <w:szCs w:val="32"/>
          <w:highlight w:val="none"/>
          <w:u w:val="none"/>
        </w:rPr>
        <w:t>第十</w:t>
      </w:r>
      <w:r>
        <w:rPr>
          <w:rFonts w:hint="eastAsia" w:ascii="黑体" w:hAnsi="黑体" w:eastAsia="黑体" w:cs="黑体"/>
          <w:b w:val="0"/>
          <w:bCs w:val="0"/>
          <w:color w:val="auto"/>
          <w:sz w:val="32"/>
          <w:szCs w:val="32"/>
          <w:highlight w:val="none"/>
          <w:u w:val="none"/>
          <w:lang w:val="en-US" w:eastAsia="zh-CN"/>
        </w:rPr>
        <w:t>五</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管网运营企业应当组织托运商</w:t>
      </w:r>
      <w:r>
        <w:rPr>
          <w:rFonts w:hint="eastAsia" w:ascii="仿宋_GB2312" w:hAnsi="仿宋_GB2312" w:eastAsia="仿宋_GB2312" w:cs="仿宋_GB2312"/>
          <w:color w:val="000000"/>
          <w:sz w:val="32"/>
          <w:szCs w:val="32"/>
          <w:highlight w:val="none"/>
          <w:u w:val="none"/>
        </w:rPr>
        <w:t>制定日指定计划。管网运营企业对托运商提出的符合合同约定的日指定计划</w:t>
      </w:r>
      <w:r>
        <w:rPr>
          <w:rFonts w:hint="eastAsia" w:ascii="仿宋_GB2312" w:hAnsi="仿宋_GB2312" w:eastAsia="仿宋_GB2312" w:cs="仿宋_GB2312"/>
          <w:color w:val="auto"/>
          <w:sz w:val="32"/>
          <w:szCs w:val="32"/>
          <w:highlight w:val="none"/>
          <w:u w:val="none"/>
        </w:rPr>
        <w:t>，应当接受并执行。托运商日指定与月计划存在偏差、托运商变更日指定计划，须经管网运营企业同意。若托运商未按照合同约定的时间提交日指定计划，或提交的日指定计划不符合合同约定且未被管网运营企业接受，管网运营企业有权</w:t>
      </w:r>
      <w:r>
        <w:rPr>
          <w:rFonts w:hint="eastAsia" w:ascii="仿宋_GB2312" w:hAnsi="仿宋_GB2312" w:eastAsia="仿宋_GB2312" w:cs="仿宋_GB2312"/>
          <w:color w:val="auto"/>
          <w:sz w:val="32"/>
          <w:szCs w:val="32"/>
          <w:highlight w:val="none"/>
          <w:u w:val="none"/>
          <w:lang w:val="en-US" w:eastAsia="zh-CN"/>
        </w:rPr>
        <w:t>调整</w:t>
      </w:r>
      <w:r>
        <w:rPr>
          <w:rFonts w:hint="eastAsia" w:ascii="仿宋_GB2312" w:hAnsi="仿宋_GB2312" w:eastAsia="仿宋_GB2312" w:cs="仿宋_GB2312"/>
          <w:color w:val="auto"/>
          <w:sz w:val="32"/>
          <w:szCs w:val="32"/>
          <w:highlight w:val="none"/>
          <w:u w:val="none"/>
        </w:rPr>
        <w:t>托运商的日指定计划。</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000000"/>
          <w:sz w:val="32"/>
          <w:szCs w:val="32"/>
          <w:highlight w:val="none"/>
          <w:u w:val="none"/>
        </w:rPr>
      </w:pPr>
      <w:r>
        <w:rPr>
          <w:rFonts w:hint="eastAsia" w:ascii="仿宋_GB2312" w:hAnsi="仿宋_GB2312" w:eastAsia="仿宋_GB2312" w:cs="仿宋_GB2312"/>
          <w:color w:val="000000"/>
          <w:sz w:val="32"/>
          <w:szCs w:val="32"/>
          <w:highlight w:val="none"/>
          <w:u w:val="none"/>
          <w:lang w:val="en-US" w:eastAsia="zh-CN"/>
        </w:rPr>
        <w:t>托运商、用户、</w:t>
      </w:r>
      <w:r>
        <w:rPr>
          <w:rFonts w:hint="eastAsia" w:ascii="仿宋_GB2312" w:hAnsi="仿宋_GB2312" w:eastAsia="仿宋_GB2312" w:cs="仿宋_GB2312"/>
          <w:color w:val="000000"/>
          <w:sz w:val="32"/>
          <w:szCs w:val="32"/>
          <w:highlight w:val="none"/>
          <w:u w:val="none"/>
        </w:rPr>
        <w:t>管网运营企业等相关方应当按照日指定量严格控制实际的上下载气量。对托运商不按日指定量上下载天然气的，管网运营企业可采取措施予以限制。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b w:val="0"/>
          <w:bCs w:val="0"/>
          <w:color w:val="auto"/>
          <w:sz w:val="32"/>
          <w:szCs w:val="32"/>
          <w:highlight w:val="none"/>
          <w:u w:val="none"/>
        </w:rPr>
        <w:t>第十</w:t>
      </w:r>
      <w:r>
        <w:rPr>
          <w:rFonts w:hint="eastAsia" w:ascii="黑体" w:hAnsi="黑体" w:eastAsia="黑体" w:cs="黑体"/>
          <w:b w:val="0"/>
          <w:bCs w:val="0"/>
          <w:color w:val="auto"/>
          <w:sz w:val="32"/>
          <w:szCs w:val="32"/>
          <w:highlight w:val="none"/>
          <w:u w:val="none"/>
          <w:lang w:eastAsia="zh-CN"/>
        </w:rPr>
        <w:t>六</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z w:val="32"/>
          <w:szCs w:val="32"/>
          <w:highlight w:val="none"/>
          <w:u w:val="none"/>
          <w:lang w:eastAsia="zh-CN"/>
        </w:rPr>
        <w:t>托运商应</w:t>
      </w:r>
      <w:r>
        <w:rPr>
          <w:rFonts w:hint="eastAsia" w:ascii="仿宋_GB2312" w:hAnsi="仿宋_GB2312" w:eastAsia="仿宋_GB2312" w:cs="仿宋_GB2312"/>
          <w:color w:val="auto"/>
          <w:sz w:val="32"/>
          <w:szCs w:val="32"/>
          <w:highlight w:val="none"/>
          <w:u w:val="none"/>
        </w:rPr>
        <w:t>当保障管网</w:t>
      </w:r>
      <w:r>
        <w:rPr>
          <w:rFonts w:hint="eastAsia" w:ascii="仿宋_GB2312" w:hAnsi="仿宋_GB2312" w:eastAsia="仿宋_GB2312" w:cs="仿宋_GB2312"/>
          <w:color w:val="auto"/>
          <w:sz w:val="32"/>
          <w:szCs w:val="32"/>
          <w:highlight w:val="none"/>
          <w:u w:val="none"/>
          <w:lang w:val="en-US" w:eastAsia="zh-CN"/>
        </w:rPr>
        <w:t>设施</w:t>
      </w:r>
      <w:r>
        <w:rPr>
          <w:rFonts w:hint="eastAsia" w:ascii="仿宋_GB2312" w:hAnsi="仿宋_GB2312" w:eastAsia="仿宋_GB2312" w:cs="仿宋_GB2312"/>
          <w:color w:val="auto"/>
          <w:sz w:val="32"/>
          <w:szCs w:val="32"/>
          <w:highlight w:val="none"/>
          <w:u w:val="none"/>
        </w:rPr>
        <w:t>进出气量平衡。</w:t>
      </w:r>
      <w:r>
        <w:rPr>
          <w:rFonts w:hint="eastAsia" w:ascii="仿宋_GB2312" w:hAnsi="仿宋_GB2312" w:eastAsia="仿宋_GB2312" w:cs="仿宋_GB2312"/>
          <w:sz w:val="32"/>
          <w:szCs w:val="32"/>
        </w:rPr>
        <w:t>托运商当日进、出管网设施气量差值不应超过当日进气量的3%，累计进、出管网设施气量差值不应超过该累计期内日均进气量的8%；重大节假日期间,托运商当日进、出管网设施气量差值不应超过当日进气量的4%，累计进、出管网设施气量差值不应超过该累计期内日均进气量的10%。因管网运营企业原因造成的，不应当计入托运商进、出管网设施气量差值。</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当超过上述限值时，托运商应当自主平衡</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sz w:val="32"/>
          <w:szCs w:val="32"/>
        </w:rPr>
        <w:t>或使用管网运营企业提供的不平衡服务</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若托运商不能自主平衡，管网运营企业可采取物理平衡措施，使不平衡气量恢复至限值以内</w:t>
      </w:r>
      <w:r>
        <w:rPr>
          <w:rFonts w:hint="eastAsia" w:ascii="仿宋_GB2312" w:hAnsi="仿宋_GB2312" w:eastAsia="仿宋_GB2312" w:cs="仿宋_GB2312"/>
          <w:color w:val="auto"/>
          <w:sz w:val="32"/>
          <w:szCs w:val="32"/>
          <w:highlight w:val="none"/>
          <w:u w:val="none"/>
          <w:lang w:eastAsia="zh-Hans"/>
        </w:rPr>
        <w:t>，</w:t>
      </w:r>
      <w:r>
        <w:rPr>
          <w:rFonts w:hint="eastAsia" w:ascii="仿宋_GB2312" w:hAnsi="仿宋_GB2312" w:eastAsia="仿宋_GB2312" w:cs="仿宋_GB2312"/>
          <w:color w:val="auto"/>
          <w:sz w:val="32"/>
          <w:szCs w:val="32"/>
          <w:highlight w:val="none"/>
          <w:u w:val="none"/>
          <w:lang w:val="en-US" w:eastAsia="zh-Hans"/>
        </w:rPr>
        <w:t>由此造成的损失由托运商承担</w:t>
      </w:r>
      <w:r>
        <w:rPr>
          <w:rFonts w:hint="eastAsia" w:ascii="仿宋_GB2312" w:hAnsi="仿宋_GB2312" w:eastAsia="仿宋_GB2312" w:cs="仿宋_GB2312"/>
          <w:color w:val="auto"/>
          <w:sz w:val="32"/>
          <w:szCs w:val="32"/>
          <w:highlight w:val="none"/>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黑体" w:hAnsi="黑体" w:eastAsia="黑体" w:cs="黑体"/>
          <w:b w:val="0"/>
          <w:bCs w:val="0"/>
          <w:color w:val="auto"/>
          <w:sz w:val="32"/>
          <w:szCs w:val="32"/>
          <w:highlight w:val="none"/>
          <w:u w:val="none"/>
        </w:rPr>
        <w:t>第十</w:t>
      </w:r>
      <w:r>
        <w:rPr>
          <w:rFonts w:hint="eastAsia" w:ascii="黑体" w:hAnsi="黑体" w:eastAsia="黑体" w:cs="黑体"/>
          <w:b w:val="0"/>
          <w:bCs w:val="0"/>
          <w:color w:val="auto"/>
          <w:sz w:val="32"/>
          <w:szCs w:val="32"/>
          <w:highlight w:val="none"/>
          <w:u w:val="none"/>
          <w:lang w:eastAsia="zh-CN"/>
        </w:rPr>
        <w:t>七</w:t>
      </w:r>
      <w:r>
        <w:rPr>
          <w:rFonts w:hint="eastAsia" w:ascii="黑体" w:hAnsi="黑体" w:eastAsia="黑体" w:cs="黑体"/>
          <w:b w:val="0"/>
          <w:bCs w:val="0"/>
          <w:color w:val="auto"/>
          <w:sz w:val="32"/>
          <w:szCs w:val="32"/>
          <w:highlight w:val="none"/>
          <w:u w:val="none"/>
        </w:rPr>
        <w:t>条</w:t>
      </w:r>
      <w:r>
        <w:rPr>
          <w:rFonts w:hint="eastAsia" w:ascii="黑体" w:hAnsi="黑体" w:eastAsia="黑体" w:cs="黑体"/>
          <w:b w:val="0"/>
          <w:bCs w:val="0"/>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highlight w:val="none"/>
          <w:u w:val="none"/>
        </w:rPr>
        <w:t>管网运营企业</w:t>
      </w:r>
      <w:r>
        <w:rPr>
          <w:rFonts w:hint="eastAsia" w:ascii="仿宋_GB2312" w:hAnsi="仿宋_GB2312" w:eastAsia="仿宋_GB2312" w:cs="仿宋_GB2312"/>
          <w:color w:val="auto"/>
          <w:sz w:val="32"/>
          <w:szCs w:val="32"/>
          <w:highlight w:val="none"/>
          <w:u w:val="none"/>
          <w:lang w:val="en-US" w:eastAsia="zh-CN"/>
        </w:rPr>
        <w:t>可</w:t>
      </w:r>
      <w:r>
        <w:rPr>
          <w:rFonts w:hint="eastAsia" w:ascii="仿宋_GB2312" w:hAnsi="仿宋_GB2312" w:eastAsia="仿宋_GB2312" w:cs="仿宋_GB2312"/>
          <w:color w:val="auto"/>
          <w:sz w:val="32"/>
          <w:szCs w:val="32"/>
          <w:highlight w:val="none"/>
          <w:u w:val="none"/>
        </w:rPr>
        <w:t>在</w:t>
      </w:r>
      <w:r>
        <w:rPr>
          <w:rFonts w:hint="eastAsia" w:ascii="仿宋_GB2312" w:hAnsi="仿宋_GB2312" w:eastAsia="仿宋_GB2312" w:cs="仿宋_GB2312"/>
          <w:color w:val="auto"/>
          <w:sz w:val="32"/>
          <w:szCs w:val="32"/>
          <w:highlight w:val="none"/>
          <w:u w:val="none"/>
          <w:lang w:val="en-US" w:eastAsia="zh-CN"/>
        </w:rPr>
        <w:t>确保管网安全平稳运行的前提下，</w:t>
      </w:r>
      <w:r>
        <w:rPr>
          <w:rFonts w:hint="eastAsia" w:ascii="仿宋_GB2312" w:hAnsi="仿宋_GB2312" w:eastAsia="仿宋_GB2312" w:cs="仿宋_GB2312"/>
          <w:color w:val="auto"/>
          <w:sz w:val="32"/>
          <w:szCs w:val="32"/>
          <w:highlight w:val="none"/>
          <w:u w:val="none"/>
        </w:rPr>
        <w:t>为托运商提供不平衡气量借</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存）</w:t>
      </w:r>
      <w:r>
        <w:rPr>
          <w:rFonts w:hint="eastAsia" w:ascii="仿宋_GB2312" w:hAnsi="仿宋_GB2312" w:eastAsia="仿宋_GB2312" w:cs="仿宋_GB2312"/>
          <w:color w:val="auto"/>
          <w:sz w:val="32"/>
          <w:szCs w:val="32"/>
          <w:highlight w:val="none"/>
          <w:u w:val="none"/>
        </w:rPr>
        <w:t>气服务</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具体实施由管网运营企业根据管网设施运行情况确定。</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使用不平衡气量借气方须在7日内向管网运营企业补还全部借气，逾期未还的，管网运营企业可扣减使用方相应数量的下载气量。对无法通过扣减还气的，管网运营企业可通过交易中心采取公开竞价方式代购气量，费用由使用方全额支付。推动建立第三方气量平衡辅助服务市场。</w:t>
      </w:r>
    </w:p>
    <w:p>
      <w:pPr>
        <w:keepNext w:val="0"/>
        <w:keepLines w:val="0"/>
        <w:pageBreakBefore w:val="0"/>
        <w:widowControl/>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使用不平衡气量存气方须在7日内提取全部存气,逾期未提的，管网运营企业可扣减使用方相应数量的上载气量。对无法扣减上载气量的，管网运营企业可通过代储或在交易中心采取公开拍卖方式代销气量,与使用方据实核算，费用由使用方全额支付。</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000000"/>
          <w:sz w:val="32"/>
          <w:szCs w:val="32"/>
          <w:highlight w:val="none"/>
          <w:u w:val="none"/>
        </w:rPr>
      </w:pPr>
      <w:r>
        <w:rPr>
          <w:rFonts w:hint="eastAsia" w:ascii="黑体" w:hAnsi="黑体" w:eastAsia="黑体" w:cs="黑体"/>
          <w:b w:val="0"/>
          <w:bCs w:val="0"/>
          <w:color w:val="auto"/>
          <w:sz w:val="32"/>
          <w:szCs w:val="32"/>
          <w:highlight w:val="none"/>
          <w:u w:val="none"/>
        </w:rPr>
        <w:t>第十</w:t>
      </w:r>
      <w:r>
        <w:rPr>
          <w:rFonts w:hint="eastAsia" w:ascii="黑体" w:hAnsi="黑体" w:eastAsia="黑体" w:cs="黑体"/>
          <w:b w:val="0"/>
          <w:bCs w:val="0"/>
          <w:color w:val="auto"/>
          <w:sz w:val="32"/>
          <w:szCs w:val="32"/>
          <w:highlight w:val="none"/>
          <w:u w:val="none"/>
          <w:lang w:val="en-US" w:eastAsia="zh-CN"/>
        </w:rPr>
        <w:t>八</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管网运营企业应当根据区域天然气供需状况和发展规划，公平、公正的为托运商提供管</w:t>
      </w:r>
      <w:r>
        <w:rPr>
          <w:rFonts w:hint="eastAsia" w:ascii="仿宋_GB2312" w:hAnsi="仿宋_GB2312" w:eastAsia="仿宋_GB2312" w:cs="仿宋_GB2312"/>
          <w:color w:val="000000"/>
          <w:sz w:val="32"/>
          <w:szCs w:val="32"/>
          <w:highlight w:val="none"/>
          <w:u w:val="none"/>
        </w:rPr>
        <w:t>道上下载服务。</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b w:val="0"/>
          <w:bCs w:val="0"/>
          <w:color w:val="000000"/>
          <w:sz w:val="32"/>
          <w:szCs w:val="32"/>
          <w:highlight w:val="none"/>
          <w:u w:val="none"/>
        </w:rPr>
        <w:t>第十</w:t>
      </w:r>
      <w:r>
        <w:rPr>
          <w:rFonts w:hint="eastAsia" w:ascii="黑体" w:hAnsi="黑体" w:eastAsia="黑体" w:cs="黑体"/>
          <w:b w:val="0"/>
          <w:bCs w:val="0"/>
          <w:color w:val="000000"/>
          <w:sz w:val="32"/>
          <w:szCs w:val="32"/>
          <w:highlight w:val="none"/>
          <w:u w:val="none"/>
          <w:lang w:val="en-US" w:eastAsia="zh-CN"/>
        </w:rPr>
        <w:t>九</w:t>
      </w:r>
      <w:r>
        <w:rPr>
          <w:rFonts w:hint="eastAsia" w:ascii="黑体" w:hAnsi="黑体" w:eastAsia="黑体" w:cs="黑体"/>
          <w:b w:val="0"/>
          <w:bCs w:val="0"/>
          <w:color w:val="000000"/>
          <w:sz w:val="32"/>
          <w:szCs w:val="32"/>
          <w:highlight w:val="none"/>
          <w:u w:val="none"/>
        </w:rPr>
        <w:t>条</w:t>
      </w:r>
      <w:r>
        <w:rPr>
          <w:rFonts w:hint="eastAsia" w:ascii="仿宋_GB2312" w:hAnsi="仿宋_GB2312" w:eastAsia="仿宋_GB2312" w:cs="仿宋_GB2312"/>
          <w:color w:val="000000"/>
          <w:sz w:val="32"/>
          <w:szCs w:val="32"/>
          <w:highlight w:val="none"/>
          <w:u w:val="none"/>
        </w:rPr>
        <w:t xml:space="preserve"> 管网运营企业须控制天然气管网管存处在合理区间，管网管存不应当低于管存控制低限且不应当高于管</w:t>
      </w:r>
      <w:r>
        <w:rPr>
          <w:rFonts w:hint="eastAsia" w:ascii="仿宋_GB2312" w:hAnsi="仿宋_GB2312" w:eastAsia="仿宋_GB2312" w:cs="仿宋_GB2312"/>
          <w:color w:val="auto"/>
          <w:sz w:val="32"/>
          <w:szCs w:val="32"/>
          <w:highlight w:val="none"/>
          <w:u w:val="none"/>
        </w:rPr>
        <w:t>存控制高限。</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color w:val="auto"/>
          <w:sz w:val="32"/>
          <w:szCs w:val="32"/>
          <w:highlight w:val="none"/>
          <w:u w:val="none"/>
          <w:lang w:val="en-US" w:eastAsia="zh-CN"/>
        </w:rPr>
        <w:t>第二十条</w:t>
      </w:r>
      <w:r>
        <w:rPr>
          <w:rFonts w:hint="eastAsia" w:ascii="仿宋_GB2312" w:hAnsi="仿宋_GB2312" w:eastAsia="仿宋_GB2312" w:cs="仿宋_GB2312"/>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highlight w:val="none"/>
          <w:u w:val="none"/>
        </w:rPr>
        <w:t>管网运营企业承担保障天然气管网设施安全生产的主体责任，应当加强管道保护，强化安全风险管控，排查整改安全隐患，及时处置突发事件，保障管网设施安全稳定运行。</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rPr>
        <w:t>当发生对天然气管网运行安全和供气安全产生威胁的</w:t>
      </w:r>
      <w:r>
        <w:rPr>
          <w:rFonts w:hint="eastAsia" w:ascii="仿宋_GB2312" w:hAnsi="仿宋_GB2312" w:eastAsia="仿宋_GB2312" w:cs="仿宋_GB2312"/>
          <w:color w:val="auto"/>
          <w:sz w:val="32"/>
          <w:szCs w:val="32"/>
          <w:highlight w:val="none"/>
          <w:u w:val="none"/>
          <w:lang w:eastAsia="zh-CN"/>
        </w:rPr>
        <w:t>突发</w:t>
      </w:r>
      <w:r>
        <w:rPr>
          <w:rFonts w:hint="eastAsia" w:ascii="仿宋_GB2312" w:hAnsi="仿宋_GB2312" w:eastAsia="仿宋_GB2312" w:cs="仿宋_GB2312"/>
          <w:color w:val="auto"/>
          <w:sz w:val="32"/>
          <w:szCs w:val="32"/>
          <w:highlight w:val="none"/>
          <w:u w:val="none"/>
        </w:rPr>
        <w:t>情况时，托运商应配合管网运营企业采取措施，</w:t>
      </w:r>
      <w:r>
        <w:rPr>
          <w:rFonts w:hint="eastAsia" w:ascii="仿宋_GB2312" w:hAnsi="仿宋_GB2312" w:eastAsia="仿宋_GB2312" w:cs="仿宋_GB2312"/>
          <w:color w:val="auto"/>
          <w:sz w:val="32"/>
          <w:szCs w:val="32"/>
          <w:highlight w:val="none"/>
          <w:u w:val="none"/>
          <w:lang w:val="en-US" w:eastAsia="zh-CN"/>
        </w:rPr>
        <w:t>保障天然气管网安全运行。</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Hans"/>
        </w:rPr>
        <w:t>第</w:t>
      </w:r>
      <w:r>
        <w:rPr>
          <w:rFonts w:hint="eastAsia" w:ascii="黑体" w:hAnsi="黑体" w:eastAsia="黑体" w:cs="黑体"/>
          <w:color w:val="auto"/>
          <w:sz w:val="32"/>
          <w:szCs w:val="32"/>
          <w:highlight w:val="none"/>
          <w:u w:val="none"/>
          <w:lang w:val="en-US" w:eastAsia="zh-CN"/>
        </w:rPr>
        <w:t>二十一</w:t>
      </w:r>
      <w:r>
        <w:rPr>
          <w:rFonts w:hint="eastAsia" w:ascii="黑体" w:hAnsi="黑体" w:eastAsia="黑体" w:cs="黑体"/>
          <w:color w:val="auto"/>
          <w:sz w:val="32"/>
          <w:szCs w:val="32"/>
          <w:highlight w:val="none"/>
          <w:u w:val="none"/>
          <w:lang w:val="en-US" w:eastAsia="zh-Hans"/>
        </w:rPr>
        <w:t>条</w:t>
      </w:r>
      <w:r>
        <w:rPr>
          <w:rFonts w:hint="default" w:ascii="仿宋_GB2312" w:hAnsi="仿宋_GB2312" w:eastAsia="仿宋_GB2312" w:cs="仿宋_GB2312"/>
          <w:color w:val="auto"/>
          <w:sz w:val="32"/>
          <w:szCs w:val="32"/>
          <w:highlight w:val="none"/>
          <w:u w:val="none"/>
          <w:lang w:eastAsia="zh-Hans"/>
        </w:rPr>
        <w:t xml:space="preserve"> </w:t>
      </w:r>
      <w:r>
        <w:rPr>
          <w:rFonts w:hint="default" w:ascii="仿宋_GB2312" w:hAnsi="仿宋_GB2312" w:eastAsia="仿宋_GB2312" w:cs="仿宋_GB2312"/>
          <w:color w:val="auto"/>
          <w:sz w:val="32"/>
          <w:szCs w:val="32"/>
          <w:highlight w:val="none"/>
          <w:u w:val="none"/>
          <w:lang w:val="en-US" w:eastAsia="zh-CN"/>
        </w:rPr>
        <w:t>支持、鼓励</w:t>
      </w:r>
      <w:r>
        <w:rPr>
          <w:rFonts w:hint="eastAsia" w:ascii="仿宋_GB2312" w:hAnsi="仿宋_GB2312" w:eastAsia="仿宋_GB2312" w:cs="仿宋_GB2312"/>
          <w:color w:val="auto"/>
          <w:sz w:val="32"/>
          <w:szCs w:val="32"/>
          <w:highlight w:val="none"/>
          <w:u w:val="none"/>
          <w:lang w:val="en-US" w:eastAsia="zh-CN"/>
        </w:rPr>
        <w:t>省内天然气管网与国家管网充分互联互通，国家过境天然</w:t>
      </w:r>
      <w:r>
        <w:rPr>
          <w:rFonts w:hint="eastAsia" w:ascii="仿宋_GB2312" w:hAnsi="仿宋_GB2312" w:eastAsia="仿宋_GB2312" w:cs="仿宋_GB2312"/>
          <w:color w:val="auto"/>
          <w:sz w:val="32"/>
          <w:szCs w:val="32"/>
          <w:highlight w:val="none"/>
          <w:u w:val="none"/>
        </w:rPr>
        <w:t>气</w:t>
      </w:r>
      <w:r>
        <w:rPr>
          <w:rFonts w:hint="eastAsia" w:ascii="仿宋_GB2312" w:hAnsi="仿宋_GB2312" w:eastAsia="仿宋_GB2312" w:cs="仿宋_GB2312"/>
          <w:color w:val="auto"/>
          <w:sz w:val="32"/>
          <w:szCs w:val="32"/>
          <w:highlight w:val="none"/>
          <w:u w:val="none"/>
          <w:lang w:val="en-US" w:eastAsia="zh-CN"/>
        </w:rPr>
        <w:t>管道要结合陕西省资源生产消费特点，留足上下载通道，满足资源运行调度需要；省内天然气管网运营企业应充分发挥全省“一张网”输配体系效能，推动省内可利用资源与下游用户的有效衔接，全力保障省内用气需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right="0" w:rightChars="0"/>
        <w:jc w:val="center"/>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lang w:val="en-US" w:eastAsia="zh-CN"/>
        </w:rPr>
        <w:t xml:space="preserve">第四章  </w:t>
      </w:r>
      <w:r>
        <w:rPr>
          <w:rFonts w:hint="eastAsia" w:ascii="黑体" w:hAnsi="黑体" w:eastAsia="黑体" w:cs="黑体"/>
          <w:color w:val="auto"/>
          <w:sz w:val="32"/>
          <w:szCs w:val="32"/>
          <w:highlight w:val="none"/>
          <w:u w:val="none"/>
        </w:rPr>
        <w:t>应急保供</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b w:val="0"/>
          <w:bCs w:val="0"/>
          <w:color w:val="auto"/>
          <w:sz w:val="32"/>
          <w:szCs w:val="32"/>
          <w:highlight w:val="none"/>
          <w:u w:val="none"/>
        </w:rPr>
        <w:t>第</w:t>
      </w:r>
      <w:r>
        <w:rPr>
          <w:rFonts w:hint="eastAsia" w:ascii="黑体" w:hAnsi="黑体" w:eastAsia="黑体" w:cs="黑体"/>
          <w:b w:val="0"/>
          <w:bCs w:val="0"/>
          <w:color w:val="auto"/>
          <w:sz w:val="32"/>
          <w:szCs w:val="32"/>
          <w:highlight w:val="none"/>
          <w:u w:val="none"/>
          <w:lang w:val="en-US" w:eastAsia="zh-CN"/>
        </w:rPr>
        <w:t>二十二</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z w:val="32"/>
          <w:szCs w:val="32"/>
          <w:highlight w:val="none"/>
          <w:u w:val="none"/>
          <w:lang w:val="en-US" w:eastAsia="zh-CN"/>
        </w:rPr>
        <w:t>省</w:t>
      </w:r>
      <w:r>
        <w:rPr>
          <w:rFonts w:hint="eastAsia" w:ascii="仿宋_GB2312" w:hAnsi="仿宋_GB2312" w:eastAsia="仿宋_GB2312" w:cs="仿宋_GB2312"/>
          <w:color w:val="auto"/>
          <w:sz w:val="32"/>
          <w:szCs w:val="32"/>
          <w:highlight w:val="none"/>
          <w:u w:val="none"/>
        </w:rPr>
        <w:t>发展改革委负责</w:t>
      </w:r>
      <w:r>
        <w:rPr>
          <w:rFonts w:hint="eastAsia" w:ascii="仿宋_GB2312" w:hAnsi="仿宋_GB2312" w:eastAsia="仿宋_GB2312" w:cs="仿宋_GB2312"/>
          <w:color w:val="auto"/>
          <w:sz w:val="32"/>
          <w:szCs w:val="32"/>
          <w:highlight w:val="none"/>
          <w:u w:val="none"/>
          <w:lang w:val="en-US" w:eastAsia="zh-CN"/>
        </w:rPr>
        <w:t>全省</w:t>
      </w:r>
      <w:r>
        <w:rPr>
          <w:rFonts w:hint="eastAsia" w:ascii="仿宋_GB2312" w:hAnsi="仿宋_GB2312" w:eastAsia="仿宋_GB2312" w:cs="仿宋_GB2312"/>
          <w:color w:val="auto"/>
          <w:sz w:val="32"/>
          <w:szCs w:val="32"/>
          <w:highlight w:val="none"/>
          <w:u w:val="none"/>
        </w:rPr>
        <w:t>天然气应急保供指挥</w:t>
      </w:r>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sz w:val="32"/>
          <w:szCs w:val="32"/>
        </w:rPr>
        <w:t>各市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、县人民政府</w:t>
      </w:r>
      <w:r>
        <w:rPr>
          <w:rFonts w:hint="eastAsia" w:ascii="仿宋_GB2312" w:hAnsi="仿宋_GB2312" w:eastAsia="仿宋_GB2312" w:cs="仿宋_GB2312"/>
          <w:color w:val="auto"/>
          <w:sz w:val="32"/>
          <w:szCs w:val="32"/>
          <w:highlight w:val="none"/>
          <w:u w:val="none"/>
        </w:rPr>
        <w:t>承担本行政区域民生用气保障的主体责任，</w:t>
      </w:r>
      <w:r>
        <w:rPr>
          <w:rFonts w:hint="eastAsia" w:ascii="仿宋_GB2312" w:hAnsi="仿宋_GB2312" w:eastAsia="仿宋_GB2312" w:cs="仿宋_GB2312"/>
          <w:color w:val="auto"/>
          <w:sz w:val="32"/>
          <w:szCs w:val="32"/>
          <w:highlight w:val="none"/>
          <w:u w:val="none"/>
          <w:lang w:val="en-US" w:eastAsia="zh-CN"/>
        </w:rPr>
        <w:t>负责组织本行政区域内的天然气应急保供，</w:t>
      </w:r>
      <w:r>
        <w:rPr>
          <w:rFonts w:hint="eastAsia" w:ascii="仿宋_GB2312" w:hAnsi="仿宋_GB2312" w:eastAsia="仿宋_GB2312" w:cs="仿宋_GB2312"/>
          <w:sz w:val="32"/>
          <w:szCs w:val="32"/>
        </w:rPr>
        <w:t>排查本行政区域内民生用气保障存在的重大问题风险</w:t>
      </w:r>
      <w:r>
        <w:rPr>
          <w:rFonts w:hint="eastAsia" w:ascii="仿宋_GB2312" w:hAnsi="仿宋_GB2312" w:eastAsia="仿宋_GB2312" w:cs="仿宋_GB2312"/>
          <w:color w:val="auto"/>
          <w:sz w:val="32"/>
          <w:szCs w:val="32"/>
          <w:highlight w:val="none"/>
          <w:u w:val="none"/>
        </w:rPr>
        <w:t>。供气方负责保障天然气资源供应</w:t>
      </w:r>
      <w:r>
        <w:rPr>
          <w:rFonts w:hint="eastAsia" w:ascii="仿宋_GB2312" w:hAnsi="仿宋_GB2312" w:eastAsia="仿宋_GB2312" w:cs="仿宋_GB2312"/>
          <w:color w:val="auto"/>
          <w:sz w:val="32"/>
          <w:szCs w:val="32"/>
          <w:highlight w:val="none"/>
          <w:u w:val="none"/>
          <w:lang w:val="en-US" w:eastAsia="zh-CN"/>
        </w:rPr>
        <w:t>及上下载资源的调度协调</w:t>
      </w:r>
      <w:r>
        <w:rPr>
          <w:rFonts w:hint="eastAsia" w:ascii="仿宋_GB2312" w:hAnsi="仿宋_GB2312" w:eastAsia="仿宋_GB2312" w:cs="仿宋_GB2312"/>
          <w:color w:val="auto"/>
          <w:sz w:val="32"/>
          <w:szCs w:val="32"/>
          <w:highlight w:val="none"/>
          <w:u w:val="none"/>
        </w:rPr>
        <w:t>，履行合同，配合应急保供</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sz w:val="32"/>
          <w:szCs w:val="32"/>
        </w:rPr>
        <w:t>管网运营企业负责</w:t>
      </w:r>
      <w:r>
        <w:rPr>
          <w:rFonts w:hint="eastAsia" w:ascii="仿宋_GB2312" w:hAnsi="仿宋_GB2312" w:eastAsia="仿宋_GB2312" w:cs="仿宋_GB2312"/>
          <w:sz w:val="32"/>
          <w:szCs w:val="32"/>
          <w:lang w:val="en-US" w:eastAsia="zh-CN"/>
        </w:rPr>
        <w:t>供气区域</w:t>
      </w:r>
      <w:r>
        <w:rPr>
          <w:rFonts w:hint="eastAsia" w:ascii="仿宋_GB2312" w:hAnsi="仿宋_GB2312" w:eastAsia="仿宋_GB2312" w:cs="仿宋_GB2312"/>
          <w:sz w:val="32"/>
          <w:szCs w:val="32"/>
        </w:rPr>
        <w:t>天然气应急保供调度协调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确保</w:t>
      </w:r>
      <w:r>
        <w:rPr>
          <w:rFonts w:hint="eastAsia" w:ascii="仿宋_GB2312" w:hAnsi="仿宋_GB2312" w:eastAsia="仿宋_GB2312" w:cs="仿宋_GB2312"/>
          <w:color w:val="auto"/>
          <w:sz w:val="32"/>
          <w:szCs w:val="32"/>
          <w:highlight w:val="none"/>
          <w:u w:val="none"/>
          <w:lang w:val="en-US" w:eastAsia="zh-CN"/>
        </w:rPr>
        <w:t>管网安全平稳运行，配合供气方做好进销平衡和应急保供。用气方履行合同</w:t>
      </w:r>
      <w:r>
        <w:rPr>
          <w:rFonts w:hint="eastAsia" w:ascii="仿宋_GB2312" w:hAnsi="仿宋_GB2312" w:eastAsia="仿宋_GB2312" w:cs="仿宋_GB2312"/>
          <w:color w:val="auto"/>
          <w:sz w:val="32"/>
          <w:szCs w:val="32"/>
          <w:highlight w:val="none"/>
          <w:u w:val="none"/>
        </w:rPr>
        <w:t>，配合应急保供。</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40" w:firstLineChars="200"/>
        <w:jc w:val="both"/>
        <w:textAlignment w:val="auto"/>
        <w:rPr>
          <w:rFonts w:hint="eastAsia" w:ascii="仿宋_GB2312" w:hAnsi="仿宋_GB2312" w:eastAsia="仿宋_GB2312" w:cs="仿宋_GB2312"/>
          <w:color w:val="000000"/>
          <w:sz w:val="32"/>
          <w:szCs w:val="32"/>
          <w:highlight w:val="none"/>
          <w:u w:val="none"/>
          <w:lang w:val="en-US" w:eastAsia="zh-CN"/>
        </w:rPr>
      </w:pPr>
      <w:r>
        <w:rPr>
          <w:rFonts w:hint="eastAsia" w:ascii="黑体" w:hAnsi="黑体" w:eastAsia="黑体" w:cs="黑体"/>
          <w:b w:val="0"/>
          <w:bCs w:val="0"/>
          <w:color w:val="auto"/>
          <w:sz w:val="32"/>
          <w:szCs w:val="32"/>
          <w:highlight w:val="none"/>
          <w:u w:val="none"/>
        </w:rPr>
        <w:t>第二十</w:t>
      </w:r>
      <w:r>
        <w:rPr>
          <w:rFonts w:hint="eastAsia" w:ascii="黑体" w:hAnsi="黑体" w:eastAsia="黑体" w:cs="黑体"/>
          <w:b w:val="0"/>
          <w:bCs w:val="0"/>
          <w:color w:val="auto"/>
          <w:sz w:val="32"/>
          <w:szCs w:val="32"/>
          <w:highlight w:val="none"/>
          <w:u w:val="none"/>
          <w:lang w:val="en-US" w:eastAsia="zh-CN"/>
        </w:rPr>
        <w:t>三</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pacing w:val="-3"/>
          <w:kern w:val="2"/>
          <w:sz w:val="32"/>
          <w:szCs w:val="32"/>
          <w:highlight w:val="none"/>
          <w:u w:val="none"/>
          <w:lang w:val="en-US" w:eastAsia="zh-CN" w:bidi="ar-SA"/>
        </w:rPr>
        <w:t>各市（区）、县人民政府要加强地方应急储备和城镇燃气储备的统筹建设、协同运营和灵活调配，强化地方天然气供应安全保障。各市（区）组织建立不低于保障本行政区域上年5天日均消费量的天然气应急储备，组织城镇燃气企业建立不低于保障其年用气量5%的天然气储备，要充分发挥LNG储罐供暖季多次调峰的作用，供暖季LNG储罐罐存实行日调度。省发展改革委、省住房城乡建设厅按照职责分工对各级储气责任主体所属LNG储罐罐存做好监督检查。对暂不具备条件的县，由所在市（区）统筹安排实施区域互补，或租赁、购买等方式补齐储气能力不足的短板。实施集中采暖地区及关中重点消费地区要研究进一步提高储备标准。</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eastAsia" w:ascii="仿宋_GB2312" w:hAnsi="仿宋_GB2312" w:eastAsia="仿宋_GB2312" w:cs="仿宋_GB2312"/>
          <w:color w:val="auto"/>
          <w:spacing w:val="-3"/>
          <w:sz w:val="32"/>
          <w:szCs w:val="32"/>
          <w:highlight w:val="yellow"/>
          <w:u w:val="none"/>
          <w:lang w:val="en-US" w:eastAsia="zh-CN"/>
        </w:rPr>
      </w:pPr>
      <w:r>
        <w:rPr>
          <w:rFonts w:hint="eastAsia" w:ascii="黑体" w:hAnsi="黑体" w:eastAsia="黑体" w:cs="黑体"/>
          <w:b w:val="0"/>
          <w:bCs w:val="0"/>
          <w:color w:val="auto"/>
          <w:sz w:val="32"/>
          <w:szCs w:val="32"/>
          <w:highlight w:val="none"/>
          <w:u w:val="none"/>
        </w:rPr>
        <w:t>第二十</w:t>
      </w:r>
      <w:r>
        <w:rPr>
          <w:rFonts w:hint="eastAsia" w:ascii="黑体" w:hAnsi="黑体" w:eastAsia="黑体" w:cs="黑体"/>
          <w:b w:val="0"/>
          <w:bCs w:val="0"/>
          <w:color w:val="auto"/>
          <w:sz w:val="32"/>
          <w:szCs w:val="32"/>
          <w:highlight w:val="none"/>
          <w:u w:val="none"/>
          <w:lang w:val="en-US" w:eastAsia="zh-CN"/>
        </w:rPr>
        <w:t>四</w:t>
      </w:r>
      <w:r>
        <w:rPr>
          <w:rFonts w:hint="eastAsia" w:ascii="黑体" w:hAnsi="黑体" w:eastAsia="黑体" w:cs="黑体"/>
          <w:b w:val="0"/>
          <w:bCs w:val="0"/>
          <w:color w:val="auto"/>
          <w:sz w:val="32"/>
          <w:szCs w:val="32"/>
          <w:highlight w:val="none"/>
          <w:u w:val="none"/>
        </w:rPr>
        <w:t>条</w:t>
      </w:r>
      <w:r>
        <w:rPr>
          <w:rFonts w:hint="eastAsia" w:ascii="黑体" w:hAnsi="黑体" w:eastAsia="黑体" w:cs="黑体"/>
          <w:b w:val="0"/>
          <w:bCs w:val="0"/>
          <w:color w:val="auto"/>
          <w:sz w:val="32"/>
          <w:szCs w:val="32"/>
          <w:highlight w:val="none"/>
          <w:u w:val="none"/>
          <w:lang w:val="en-US" w:eastAsia="zh-CN"/>
        </w:rPr>
        <w:t xml:space="preserve"> </w:t>
      </w:r>
      <w:r>
        <w:rPr>
          <w:rFonts w:hint="eastAsia" w:ascii="仿宋_GB2312" w:hAnsi="仿宋_GB2312" w:eastAsia="仿宋_GB2312" w:cs="仿宋_GB2312"/>
          <w:spacing w:val="-3"/>
          <w:sz w:val="32"/>
          <w:szCs w:val="32"/>
          <w:highlight w:val="none"/>
          <w:u w:val="none"/>
          <w:lang w:val="en-US" w:eastAsia="zh-CN"/>
        </w:rPr>
        <w:t>省发展改革委负责组织制定全省天然气供应应急压减预案，掌握各市（区）天然气应急压减预案、供气方可中断用户压减预案；县级以上人民政府有关部门负责制定本行政区域天然气供应应急压减预案，应按照本行政区域上年日峰值用气量的15%（国家另有调整的按最新要求执行，下同）落实可压减用气量。</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28" w:firstLineChars="200"/>
        <w:jc w:val="both"/>
        <w:textAlignment w:val="auto"/>
        <w:rPr>
          <w:rFonts w:hint="default" w:ascii="仿宋_GB2312" w:hAnsi="仿宋_GB2312" w:eastAsia="仿宋_GB2312" w:cs="仿宋_GB2312"/>
          <w:color w:val="FF0000"/>
          <w:spacing w:val="-3"/>
          <w:kern w:val="2"/>
          <w:sz w:val="32"/>
          <w:szCs w:val="32"/>
          <w:highlight w:val="none"/>
          <w:u w:val="none"/>
          <w:lang w:val="en-US" w:eastAsia="zh-Hans" w:bidi="ar-SA"/>
        </w:rPr>
      </w:pPr>
      <w:r>
        <w:rPr>
          <w:rFonts w:hint="eastAsia" w:ascii="仿宋_GB2312" w:hAnsi="仿宋_GB2312" w:eastAsia="仿宋_GB2312" w:cs="仿宋_GB2312"/>
          <w:color w:val="auto"/>
          <w:spacing w:val="-3"/>
          <w:kern w:val="2"/>
          <w:sz w:val="32"/>
          <w:szCs w:val="32"/>
          <w:highlight w:val="none"/>
          <w:u w:val="none"/>
          <w:lang w:val="en-US" w:eastAsia="zh-CN" w:bidi="ar-SA"/>
        </w:rPr>
        <w:t>供气方制定本企业可中断用户压减预案，明确可压减用户清单及压减量，在确保安全生产的前提下，可压减用气量应当达到上年日峰值供气量的15%，压减气量不得涉及民生用气。</w:t>
      </w:r>
    </w:p>
    <w:p>
      <w:pPr>
        <w:pStyle w:val="3"/>
        <w:keepNext w:val="0"/>
        <w:keepLines w:val="0"/>
        <w:pageBreakBefore w:val="0"/>
        <w:widowControl w:val="0"/>
        <w:kinsoku/>
        <w:wordWrap/>
        <w:overflowPunct/>
        <w:topLinePunct w:val="0"/>
        <w:autoSpaceDE w:val="0"/>
        <w:autoSpaceDN w:val="0"/>
        <w:bidi w:val="0"/>
        <w:adjustRightInd w:val="0"/>
        <w:snapToGrid w:val="0"/>
        <w:spacing w:after="0" w:line="600" w:lineRule="exact"/>
        <w:ind w:left="0" w:right="0" w:firstLine="628" w:firstLineChars="200"/>
        <w:jc w:val="both"/>
        <w:textAlignment w:val="auto"/>
        <w:rPr>
          <w:rFonts w:hint="default" w:ascii="仿宋_GB2312" w:hAnsi="仿宋_GB2312" w:eastAsia="仿宋_GB2312" w:cs="仿宋_GB2312"/>
          <w:color w:val="auto"/>
          <w:spacing w:val="-3"/>
          <w:kern w:val="2"/>
          <w:sz w:val="32"/>
          <w:szCs w:val="32"/>
          <w:highlight w:val="none"/>
          <w:u w:val="none"/>
          <w:lang w:val="en-US" w:eastAsia="zh-CN" w:bidi="ar-SA"/>
        </w:rPr>
      </w:pPr>
      <w:r>
        <w:rPr>
          <w:rFonts w:hint="eastAsia" w:ascii="仿宋_GB2312" w:hAnsi="仿宋_GB2312" w:eastAsia="仿宋_GB2312" w:cs="仿宋_GB2312"/>
          <w:color w:val="auto"/>
          <w:spacing w:val="-3"/>
          <w:kern w:val="2"/>
          <w:sz w:val="32"/>
          <w:szCs w:val="32"/>
          <w:highlight w:val="none"/>
          <w:u w:val="none"/>
          <w:lang w:val="en-US" w:eastAsia="zh-CN" w:bidi="ar-SA"/>
        </w:rPr>
        <w:t>管网运营企业制定管网安全运行应急保障预案，明确各类突发状况下应对措施及处理流程等，保障管网安全平稳运行，配合供气方、用气方的应急保供。</w:t>
      </w:r>
    </w:p>
    <w:p>
      <w:pPr>
        <w:pStyle w:val="3"/>
        <w:keepNext w:val="0"/>
        <w:keepLines w:val="0"/>
        <w:pageBreakBefore w:val="0"/>
        <w:widowControl w:val="0"/>
        <w:kinsoku/>
        <w:wordWrap/>
        <w:overflowPunct/>
        <w:topLinePunct w:val="0"/>
        <w:autoSpaceDE w:val="0"/>
        <w:autoSpaceDN w:val="0"/>
        <w:bidi w:val="0"/>
        <w:adjustRightInd w:val="0"/>
        <w:snapToGrid w:val="0"/>
        <w:spacing w:after="0" w:line="600" w:lineRule="exact"/>
        <w:ind w:left="0" w:right="0" w:firstLine="628" w:firstLineChars="200"/>
        <w:jc w:val="both"/>
        <w:textAlignment w:val="auto"/>
        <w:rPr>
          <w:rFonts w:hint="eastAsia" w:ascii="仿宋_GB2312" w:hAnsi="仿宋_GB2312" w:eastAsia="仿宋_GB2312" w:cs="仿宋_GB2312"/>
          <w:color w:val="auto"/>
          <w:spacing w:val="-3"/>
          <w:kern w:val="2"/>
          <w:sz w:val="32"/>
          <w:szCs w:val="32"/>
          <w:highlight w:val="none"/>
          <w:u w:val="none"/>
          <w:lang w:val="en-US" w:eastAsia="zh-CN" w:bidi="ar-SA"/>
        </w:rPr>
      </w:pPr>
      <w:r>
        <w:rPr>
          <w:rFonts w:hint="eastAsia" w:ascii="仿宋_GB2312" w:hAnsi="仿宋_GB2312" w:eastAsia="仿宋_GB2312" w:cs="仿宋_GB2312"/>
          <w:color w:val="auto"/>
          <w:spacing w:val="-3"/>
          <w:kern w:val="2"/>
          <w:sz w:val="32"/>
          <w:szCs w:val="32"/>
          <w:highlight w:val="none"/>
          <w:u w:val="none"/>
          <w:lang w:val="en-US" w:eastAsia="zh-CN" w:bidi="ar-SA"/>
        </w:rPr>
        <w:t>用气方制定本企业天然气供应应急预案，并报送所供气区域地方人民政府天然气主管部门备案。应急压减预案应明确可压减用户清单及压减量，在确保安全生产的前提下，可压减用气量应当达到上年日峰值供气量的15%，压减气量不得涉及民生用气。</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40" w:firstLineChars="200"/>
        <w:jc w:val="both"/>
        <w:textAlignment w:val="auto"/>
        <w:rPr>
          <w:rFonts w:hint="eastAsia" w:ascii="仿宋_GB2312" w:hAnsi="仿宋_GB2312" w:eastAsia="仿宋_GB2312" w:cs="仿宋_GB2312"/>
          <w:color w:val="auto"/>
          <w:spacing w:val="-3"/>
          <w:kern w:val="2"/>
          <w:sz w:val="32"/>
          <w:szCs w:val="32"/>
          <w:highlight w:val="none"/>
          <w:u w:val="none"/>
          <w:lang w:val="en-US" w:eastAsia="zh-CN" w:bidi="ar-SA"/>
        </w:rPr>
      </w:pPr>
      <w:r>
        <w:rPr>
          <w:rFonts w:hint="eastAsia" w:ascii="黑体" w:hAnsi="黑体" w:eastAsia="黑体" w:cs="黑体"/>
          <w:b w:val="0"/>
          <w:bCs w:val="0"/>
          <w:color w:val="auto"/>
          <w:sz w:val="32"/>
          <w:szCs w:val="32"/>
          <w:highlight w:val="none"/>
          <w:u w:val="none"/>
        </w:rPr>
        <w:t>第二十</w:t>
      </w:r>
      <w:r>
        <w:rPr>
          <w:rFonts w:hint="eastAsia" w:ascii="黑体" w:hAnsi="黑体" w:eastAsia="黑体" w:cs="黑体"/>
          <w:b w:val="0"/>
          <w:bCs w:val="0"/>
          <w:color w:val="auto"/>
          <w:sz w:val="32"/>
          <w:szCs w:val="32"/>
          <w:highlight w:val="none"/>
          <w:u w:val="none"/>
          <w:lang w:val="en-US" w:eastAsia="zh-CN"/>
        </w:rPr>
        <w:t>五</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pacing w:val="-3"/>
          <w:kern w:val="2"/>
          <w:sz w:val="32"/>
          <w:szCs w:val="32"/>
          <w:highlight w:val="none"/>
          <w:u w:val="none"/>
          <w:lang w:val="zh-CN" w:eastAsia="zh-CN" w:bidi="ar-SA"/>
        </w:rPr>
        <w:t>管网运营企业应当建立分级预警机制，加强供需监测，当出现区域天然气供需严重失衡时，向</w:t>
      </w:r>
      <w:r>
        <w:rPr>
          <w:rFonts w:hint="eastAsia" w:ascii="仿宋_GB2312" w:hAnsi="仿宋_GB2312" w:eastAsia="仿宋_GB2312" w:cs="仿宋_GB2312"/>
          <w:color w:val="auto"/>
          <w:spacing w:val="-3"/>
          <w:kern w:val="2"/>
          <w:sz w:val="32"/>
          <w:szCs w:val="32"/>
          <w:highlight w:val="none"/>
          <w:u w:val="none"/>
          <w:lang w:val="en-US" w:eastAsia="zh-CN" w:bidi="ar-SA"/>
        </w:rPr>
        <w:t>省发展改革委</w:t>
      </w:r>
      <w:r>
        <w:rPr>
          <w:rFonts w:hint="eastAsia" w:ascii="仿宋_GB2312" w:hAnsi="仿宋_GB2312" w:eastAsia="仿宋_GB2312" w:cs="仿宋_GB2312"/>
          <w:color w:val="auto"/>
          <w:spacing w:val="-3"/>
          <w:kern w:val="2"/>
          <w:sz w:val="32"/>
          <w:szCs w:val="32"/>
          <w:highlight w:val="none"/>
          <w:u w:val="none"/>
          <w:lang w:val="zh-CN" w:eastAsia="zh-CN" w:bidi="ar-SA"/>
        </w:rPr>
        <w:t>及时提出预警级别和应急保供方案建议。</w:t>
      </w:r>
      <w:r>
        <w:rPr>
          <w:rFonts w:hint="eastAsia" w:ascii="仿宋_GB2312" w:hAnsi="仿宋_GB2312" w:eastAsia="仿宋_GB2312" w:cs="仿宋_GB2312"/>
          <w:color w:val="auto"/>
          <w:spacing w:val="-3"/>
          <w:kern w:val="2"/>
          <w:sz w:val="32"/>
          <w:szCs w:val="32"/>
          <w:highlight w:val="none"/>
          <w:u w:val="none"/>
          <w:lang w:val="en-US" w:eastAsia="zh-CN" w:bidi="ar-SA"/>
        </w:rPr>
        <w:t>省发展改革委要加强天然气供需形势分析研判，提前谋划应对举措。各级、各天然气保供企业要坚持底线思维，从保障全区能源安全高度不折不扣推动工作落实，将合同履约不力、重大保供问题、“压非保民”预案启动、影响保供重大安全事故等事项及时准确真实地报告省发展改革委。</w:t>
      </w:r>
    </w:p>
    <w:p>
      <w:pPr>
        <w:pStyle w:val="3"/>
        <w:keepNext w:val="0"/>
        <w:keepLines w:val="0"/>
        <w:pageBreakBefore w:val="0"/>
        <w:widowControl w:val="0"/>
        <w:kinsoku/>
        <w:wordWrap/>
        <w:overflowPunct/>
        <w:topLinePunct w:val="0"/>
        <w:autoSpaceDE w:val="0"/>
        <w:autoSpaceDN w:val="0"/>
        <w:bidi w:val="0"/>
        <w:adjustRightInd w:val="0"/>
        <w:snapToGrid w:val="0"/>
        <w:spacing w:after="0" w:line="600" w:lineRule="exact"/>
        <w:ind w:left="0" w:leftChars="0" w:right="0" w:firstLine="628" w:firstLineChars="200"/>
        <w:jc w:val="both"/>
        <w:textAlignment w:val="auto"/>
        <w:rPr>
          <w:rFonts w:hint="eastAsia" w:ascii="仿宋_GB2312" w:hAnsi="仿宋_GB2312" w:eastAsia="仿宋_GB2312" w:cs="仿宋_GB2312"/>
          <w:spacing w:val="-3"/>
          <w:sz w:val="32"/>
          <w:szCs w:val="32"/>
          <w:highlight w:val="none"/>
          <w:u w:val="none"/>
          <w:lang w:val="en-US" w:eastAsia="zh-CN"/>
        </w:rPr>
      </w:pPr>
      <w:r>
        <w:rPr>
          <w:rFonts w:hint="eastAsia" w:ascii="仿宋_GB2312" w:hAnsi="仿宋_GB2312" w:eastAsia="仿宋_GB2312" w:cs="仿宋_GB2312"/>
          <w:spacing w:val="-3"/>
          <w:sz w:val="32"/>
          <w:szCs w:val="32"/>
          <w:highlight w:val="none"/>
          <w:u w:val="none"/>
          <w:lang w:val="en-US" w:eastAsia="zh-CN"/>
        </w:rPr>
        <w:t>各市（区）、县人民政府有关部门根据本行政区域天然气供需失衡情况，优先启用政府5天和城燃企业5%应急储备资源，</w:t>
      </w:r>
      <w:r>
        <w:rPr>
          <w:rFonts w:hint="eastAsia" w:ascii="仿宋_GB2312" w:hAnsi="仿宋_GB2312" w:eastAsia="仿宋_GB2312" w:cs="仿宋_GB2312"/>
          <w:color w:val="auto"/>
          <w:spacing w:val="-3"/>
          <w:sz w:val="32"/>
          <w:szCs w:val="32"/>
          <w:highlight w:val="none"/>
          <w:u w:val="none"/>
          <w:lang w:val="en-US" w:eastAsia="zh-CN"/>
        </w:rPr>
        <w:t>或通过</w:t>
      </w:r>
      <w:r>
        <w:rPr>
          <w:rFonts w:hint="eastAsia" w:ascii="仿宋_GB2312" w:hAnsi="仿宋_GB2312" w:eastAsia="仿宋_GB2312" w:cs="仿宋_GB2312"/>
          <w:color w:val="auto"/>
          <w:spacing w:val="-3"/>
          <w:sz w:val="32"/>
          <w:szCs w:val="32"/>
          <w:highlight w:val="none"/>
          <w:u w:val="none"/>
          <w:lang w:val="en-US" w:eastAsia="zh-Hans"/>
        </w:rPr>
        <w:t>购买</w:t>
      </w:r>
      <w:r>
        <w:rPr>
          <w:rFonts w:hint="eastAsia" w:hAnsi="仿宋_GB2312" w:cs="仿宋_GB2312"/>
          <w:color w:val="auto"/>
          <w:spacing w:val="-3"/>
          <w:sz w:val="32"/>
          <w:szCs w:val="32"/>
          <w:highlight w:val="none"/>
          <w:u w:val="none"/>
          <w:lang w:val="en-US" w:eastAsia="zh-CN"/>
        </w:rPr>
        <w:t>市场</w:t>
      </w:r>
      <w:r>
        <w:rPr>
          <w:rFonts w:hint="eastAsia" w:ascii="仿宋_GB2312" w:hAnsi="仿宋_GB2312" w:eastAsia="仿宋_GB2312" w:cs="仿宋_GB2312"/>
          <w:color w:val="auto"/>
          <w:spacing w:val="-3"/>
          <w:sz w:val="32"/>
          <w:szCs w:val="32"/>
          <w:highlight w:val="none"/>
          <w:u w:val="none"/>
          <w:lang w:val="en-US" w:eastAsia="zh-CN"/>
        </w:rPr>
        <w:t>资源等方式实施应急保供</w:t>
      </w:r>
      <w:r>
        <w:rPr>
          <w:rFonts w:hint="eastAsia" w:hAnsi="仿宋_GB2312" w:cs="仿宋_GB2312"/>
          <w:color w:val="auto"/>
          <w:spacing w:val="-3"/>
          <w:sz w:val="32"/>
          <w:szCs w:val="32"/>
          <w:highlight w:val="none"/>
          <w:u w:val="none"/>
          <w:lang w:val="en-US" w:eastAsia="zh-CN"/>
        </w:rPr>
        <w:t>。</w:t>
      </w:r>
      <w:r>
        <w:rPr>
          <w:rFonts w:hint="eastAsia" w:ascii="仿宋_GB2312" w:hAnsi="仿宋_GB2312" w:eastAsia="仿宋_GB2312" w:cs="仿宋_GB2312"/>
          <w:spacing w:val="-3"/>
          <w:sz w:val="32"/>
          <w:szCs w:val="32"/>
          <w:highlight w:val="none"/>
          <w:u w:val="none"/>
          <w:lang w:val="en-US" w:eastAsia="zh-CN"/>
        </w:rPr>
        <w:t>启动应急压减预案应提前报本地人民政府批准、上级人民政府备案，并至少提前48小时发布应急预警，有关企业应当至少提前24小时告知相关用户。</w:t>
      </w:r>
    </w:p>
    <w:p>
      <w:pPr>
        <w:pStyle w:val="3"/>
        <w:keepNext w:val="0"/>
        <w:keepLines w:val="0"/>
        <w:pageBreakBefore w:val="0"/>
        <w:widowControl w:val="0"/>
        <w:kinsoku/>
        <w:wordWrap/>
        <w:overflowPunct/>
        <w:topLinePunct w:val="0"/>
        <w:autoSpaceDE w:val="0"/>
        <w:autoSpaceDN w:val="0"/>
        <w:bidi w:val="0"/>
        <w:adjustRightInd w:val="0"/>
        <w:snapToGrid w:val="0"/>
        <w:spacing w:after="0" w:line="600" w:lineRule="exact"/>
        <w:ind w:left="0" w:leftChars="0" w:right="0" w:firstLine="628" w:firstLineChars="200"/>
        <w:jc w:val="both"/>
        <w:textAlignment w:val="auto"/>
        <w:rPr>
          <w:rFonts w:hint="eastAsia" w:ascii="仿宋_GB2312" w:hAnsi="仿宋_GB2312" w:eastAsia="仿宋_GB2312" w:cs="仿宋_GB2312"/>
          <w:spacing w:val="-3"/>
          <w:sz w:val="32"/>
          <w:szCs w:val="32"/>
          <w:highlight w:val="none"/>
          <w:u w:val="none"/>
          <w:lang w:val="en-US" w:eastAsia="zh-CN"/>
        </w:rPr>
      </w:pPr>
      <w:r>
        <w:rPr>
          <w:rFonts w:hint="eastAsia" w:ascii="仿宋_GB2312" w:hAnsi="仿宋_GB2312" w:eastAsia="仿宋_GB2312" w:cs="仿宋_GB2312"/>
          <w:spacing w:val="-3"/>
          <w:sz w:val="32"/>
          <w:szCs w:val="32"/>
          <w:highlight w:val="none"/>
          <w:u w:val="none"/>
          <w:lang w:val="en-US" w:eastAsia="zh-CN"/>
        </w:rPr>
        <w:t>供气方因自身原因不能保障合同履行，须先压减可中断用户用气，保障民生等重点用气。供气方可中断用户用气全部压减后仍不能保障民生等重点用气的，应当及时提请省发展改革委启动应急保供。</w:t>
      </w:r>
    </w:p>
    <w:p>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rPr>
          <w:rFonts w:hint="eastAsia" w:ascii="黑体" w:hAnsi="黑体" w:eastAsia="黑体" w:cs="黑体"/>
          <w:color w:val="auto"/>
          <w:sz w:val="32"/>
          <w:szCs w:val="32"/>
          <w:highlight w:val="yellow"/>
          <w:u w:val="none"/>
        </w:rPr>
      </w:pPr>
      <w:r>
        <w:rPr>
          <w:rFonts w:hint="eastAsia" w:ascii="黑体" w:hAnsi="黑体" w:eastAsia="黑体" w:cs="黑体"/>
          <w:b w:val="0"/>
          <w:bCs w:val="0"/>
          <w:color w:val="auto"/>
          <w:sz w:val="32"/>
          <w:szCs w:val="32"/>
          <w:highlight w:val="none"/>
          <w:u w:val="none"/>
        </w:rPr>
        <w:t>第二十</w:t>
      </w:r>
      <w:r>
        <w:rPr>
          <w:rFonts w:hint="eastAsia" w:ascii="黑体" w:hAnsi="黑体" w:eastAsia="黑体" w:cs="黑体"/>
          <w:b w:val="0"/>
          <w:bCs w:val="0"/>
          <w:color w:val="auto"/>
          <w:sz w:val="32"/>
          <w:szCs w:val="32"/>
          <w:highlight w:val="none"/>
          <w:u w:val="none"/>
          <w:lang w:val="en-US" w:eastAsia="zh-CN"/>
        </w:rPr>
        <w:t>六</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spacing w:val="-3"/>
          <w:kern w:val="0"/>
          <w:sz w:val="32"/>
          <w:szCs w:val="32"/>
          <w:highlight w:val="none"/>
          <w:u w:val="none"/>
          <w:lang w:val="en-US" w:eastAsia="zh-CN" w:bidi="ar-SA"/>
        </w:rPr>
        <w:t>当供需失衡状况恢复72小时后，经属地天然气运行主管部门确认后，及时解除应急状态。</w:t>
      </w:r>
    </w:p>
    <w:p>
      <w:pPr>
        <w:keepNext w:val="0"/>
        <w:keepLines w:val="0"/>
        <w:pageBreakBefore w:val="0"/>
        <w:widowControl w:val="0"/>
        <w:kinsoku/>
        <w:wordWrap/>
        <w:overflowPunct/>
        <w:topLinePunct w:val="0"/>
        <w:autoSpaceDE/>
        <w:autoSpaceDN/>
        <w:bidi w:val="0"/>
        <w:adjustRightInd w:val="0"/>
        <w:snapToGrid w:val="0"/>
        <w:spacing w:line="600" w:lineRule="exact"/>
        <w:ind w:left="0" w:right="0"/>
        <w:jc w:val="center"/>
        <w:textAlignment w:val="auto"/>
        <w:rPr>
          <w:rFonts w:hint="eastAsia" w:ascii="黑体" w:hAnsi="黑体" w:eastAsia="黑体" w:cs="黑体"/>
          <w:b w:val="0"/>
          <w:bCs w:val="0"/>
          <w:color w:val="auto"/>
          <w:sz w:val="32"/>
          <w:szCs w:val="32"/>
          <w:highlight w:val="none"/>
          <w:u w:val="none"/>
        </w:rPr>
      </w:pPr>
      <w:r>
        <w:rPr>
          <w:rFonts w:hint="eastAsia" w:ascii="黑体" w:hAnsi="黑体" w:eastAsia="黑体" w:cs="黑体"/>
          <w:color w:val="auto"/>
          <w:sz w:val="32"/>
          <w:szCs w:val="32"/>
          <w:highlight w:val="none"/>
          <w:u w:val="none"/>
        </w:rPr>
        <w:t xml:space="preserve">第五章 </w:t>
      </w:r>
      <w:r>
        <w:rPr>
          <w:rFonts w:hint="eastAsia" w:ascii="黑体" w:hAnsi="黑体" w:eastAsia="黑体" w:cs="黑体"/>
          <w:color w:val="auto"/>
          <w:sz w:val="32"/>
          <w:szCs w:val="32"/>
          <w:highlight w:val="none"/>
          <w:u w:val="none"/>
          <w:lang w:val="en-US" w:eastAsia="zh-CN"/>
        </w:rPr>
        <w:t xml:space="preserve"> </w:t>
      </w:r>
      <w:r>
        <w:rPr>
          <w:rFonts w:hint="eastAsia" w:ascii="黑体" w:hAnsi="黑体" w:eastAsia="黑体" w:cs="黑体"/>
          <w:color w:val="auto"/>
          <w:sz w:val="32"/>
          <w:szCs w:val="32"/>
          <w:highlight w:val="none"/>
          <w:u w:val="none"/>
        </w:rPr>
        <w:t>监督管理</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pacing w:val="-3"/>
          <w:kern w:val="2"/>
          <w:sz w:val="32"/>
          <w:szCs w:val="32"/>
          <w:highlight w:val="none"/>
          <w:u w:val="none"/>
          <w:lang w:val="en-US" w:eastAsia="zh-CN" w:bidi="ar-SA"/>
        </w:rPr>
      </w:pPr>
      <w:r>
        <w:rPr>
          <w:rFonts w:hint="eastAsia" w:ascii="黑体" w:hAnsi="黑体" w:eastAsia="黑体" w:cs="黑体"/>
          <w:b w:val="0"/>
          <w:bCs w:val="0"/>
          <w:color w:val="auto"/>
          <w:sz w:val="32"/>
          <w:szCs w:val="32"/>
          <w:highlight w:val="none"/>
          <w:u w:val="none"/>
        </w:rPr>
        <w:t>第二十</w:t>
      </w:r>
      <w:r>
        <w:rPr>
          <w:rFonts w:hint="eastAsia" w:ascii="黑体" w:hAnsi="黑体" w:eastAsia="黑体" w:cs="黑体"/>
          <w:b w:val="0"/>
          <w:bCs w:val="0"/>
          <w:color w:val="auto"/>
          <w:sz w:val="32"/>
          <w:szCs w:val="32"/>
          <w:highlight w:val="none"/>
          <w:u w:val="none"/>
          <w:lang w:val="en-US" w:eastAsia="zh-CN"/>
        </w:rPr>
        <w:t>七</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pacing w:val="-3"/>
          <w:kern w:val="2"/>
          <w:sz w:val="32"/>
          <w:szCs w:val="32"/>
          <w:highlight w:val="none"/>
          <w:u w:val="none"/>
          <w:lang w:val="en-US" w:eastAsia="zh-CN" w:bidi="ar-SA"/>
        </w:rPr>
        <w:t>省发展改革委会同省住房城乡建设厅、省应急管理厅、省市场监管局、国家能源局西北监管局等有关部门，依据有关法律法规和职责，对全省天然气管网设施运行实施监督管理。</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FF0000"/>
          <w:spacing w:val="-3"/>
          <w:kern w:val="2"/>
          <w:sz w:val="32"/>
          <w:szCs w:val="32"/>
          <w:highlight w:val="yellow"/>
          <w:u w:val="none"/>
          <w:lang w:val="en-US" w:eastAsia="zh-CN" w:bidi="ar-SA"/>
        </w:rPr>
      </w:pPr>
      <w:r>
        <w:rPr>
          <w:rFonts w:hint="eastAsia" w:ascii="黑体" w:hAnsi="黑体" w:eastAsia="黑体" w:cs="黑体"/>
          <w:b w:val="0"/>
          <w:bCs w:val="0"/>
          <w:color w:val="auto"/>
          <w:sz w:val="32"/>
          <w:szCs w:val="32"/>
          <w:highlight w:val="none"/>
          <w:u w:val="none"/>
        </w:rPr>
        <w:t>第二十</w:t>
      </w:r>
      <w:r>
        <w:rPr>
          <w:rFonts w:hint="eastAsia" w:ascii="黑体" w:hAnsi="黑体" w:eastAsia="黑体" w:cs="黑体"/>
          <w:b w:val="0"/>
          <w:bCs w:val="0"/>
          <w:color w:val="auto"/>
          <w:sz w:val="32"/>
          <w:szCs w:val="32"/>
          <w:highlight w:val="none"/>
          <w:u w:val="none"/>
          <w:lang w:val="en-US" w:eastAsia="zh-CN"/>
        </w:rPr>
        <w:t>八</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pacing w:val="-3"/>
          <w:kern w:val="2"/>
          <w:sz w:val="32"/>
          <w:szCs w:val="32"/>
          <w:highlight w:val="none"/>
          <w:u w:val="none"/>
          <w:lang w:val="en-US" w:eastAsia="zh-CN" w:bidi="ar-SA"/>
        </w:rPr>
        <w:t>管网运营企业依照相关准入标准确认合格托运商，合格托运商名单应当报省发展改革委、国家能源局西北监管局，不予受理的托运商名单及相应情况及时报送国家能源局西北监管局，国家能源局西北监管局负责相关监管。</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FF0000"/>
          <w:sz w:val="32"/>
          <w:szCs w:val="32"/>
          <w:highlight w:val="none"/>
          <w:u w:val="none"/>
        </w:rPr>
      </w:pPr>
      <w:r>
        <w:rPr>
          <w:rFonts w:hint="eastAsia" w:ascii="黑体" w:hAnsi="黑体" w:eastAsia="黑体" w:cs="黑体"/>
          <w:b w:val="0"/>
          <w:bCs w:val="0"/>
          <w:color w:val="auto"/>
          <w:sz w:val="32"/>
          <w:szCs w:val="32"/>
          <w:highlight w:val="none"/>
          <w:u w:val="none"/>
        </w:rPr>
        <w:t>第二十</w:t>
      </w:r>
      <w:r>
        <w:rPr>
          <w:rFonts w:hint="eastAsia" w:ascii="黑体" w:hAnsi="黑体" w:eastAsia="黑体" w:cs="黑体"/>
          <w:b w:val="0"/>
          <w:bCs w:val="0"/>
          <w:color w:val="auto"/>
          <w:sz w:val="32"/>
          <w:szCs w:val="32"/>
          <w:highlight w:val="none"/>
          <w:u w:val="none"/>
          <w:lang w:val="en-US" w:eastAsia="zh-CN"/>
        </w:rPr>
        <w:t>九</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pacing w:val="-3"/>
          <w:kern w:val="2"/>
          <w:sz w:val="32"/>
          <w:szCs w:val="32"/>
          <w:highlight w:val="none"/>
          <w:u w:val="none"/>
          <w:lang w:val="en-US" w:eastAsia="zh-CN" w:bidi="ar-SA"/>
        </w:rPr>
        <w:t>管网运营企业依照相关规则开展容量服务分配，年度及以上容量服务分配结果应当报省发展改革委、国家能源局西北监管局，国家能源局西北监管局负责相关监管。</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default" w:ascii="仿宋_GB2312" w:hAnsi="仿宋_GB2312" w:eastAsia="仿宋_GB2312" w:cs="仿宋_GB2312"/>
          <w:color w:val="auto"/>
          <w:spacing w:val="-3"/>
          <w:kern w:val="2"/>
          <w:sz w:val="32"/>
          <w:szCs w:val="32"/>
          <w:highlight w:val="none"/>
          <w:u w:val="none"/>
          <w:lang w:val="en-US" w:eastAsia="zh-CN" w:bidi="ar-SA"/>
        </w:rPr>
      </w:pPr>
      <w:r>
        <w:rPr>
          <w:rFonts w:hint="eastAsia" w:ascii="黑体" w:hAnsi="黑体" w:eastAsia="黑体" w:cs="黑体"/>
          <w:b w:val="0"/>
          <w:bCs w:val="0"/>
          <w:color w:val="auto"/>
          <w:sz w:val="32"/>
          <w:szCs w:val="32"/>
          <w:highlight w:val="none"/>
          <w:u w:val="none"/>
        </w:rPr>
        <w:t>第</w:t>
      </w:r>
      <w:r>
        <w:rPr>
          <w:rFonts w:hint="eastAsia" w:ascii="黑体" w:hAnsi="黑体" w:eastAsia="黑体" w:cs="黑体"/>
          <w:b w:val="0"/>
          <w:bCs w:val="0"/>
          <w:color w:val="auto"/>
          <w:sz w:val="32"/>
          <w:szCs w:val="32"/>
          <w:highlight w:val="none"/>
          <w:u w:val="none"/>
          <w:lang w:val="en-US" w:eastAsia="zh-CN"/>
        </w:rPr>
        <w:t>三十</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pacing w:val="-3"/>
          <w:kern w:val="2"/>
          <w:sz w:val="32"/>
          <w:szCs w:val="32"/>
          <w:highlight w:val="none"/>
          <w:u w:val="none"/>
          <w:lang w:val="en-US" w:eastAsia="zh-CN" w:bidi="ar-SA"/>
        </w:rPr>
        <w:t>省发展改革委会同省住房城乡建设厅组织建立全省天然气应急储备，各级地方政府、各相关企业负责落实天然气应急储备能力建设；省发展改革委会同省住房城乡建设厅统筹全省天然气应急储备使用，指导、监督各级地方政府、各</w:t>
      </w:r>
      <w:r>
        <w:rPr>
          <w:rFonts w:hint="eastAsia" w:ascii="仿宋_GB2312" w:hAnsi="仿宋_GB2312" w:eastAsia="仿宋_GB2312" w:cs="仿宋_GB2312"/>
          <w:color w:val="auto"/>
          <w:spacing w:val="-3"/>
          <w:kern w:val="2"/>
          <w:sz w:val="32"/>
          <w:szCs w:val="32"/>
          <w:highlight w:val="none"/>
          <w:u w:val="none"/>
          <w:lang w:val="en-US" w:eastAsia="zh-Hans" w:bidi="ar-SA"/>
        </w:rPr>
        <w:t>相</w:t>
      </w:r>
      <w:r>
        <w:rPr>
          <w:rFonts w:hint="eastAsia" w:ascii="仿宋_GB2312" w:hAnsi="仿宋_GB2312" w:eastAsia="仿宋_GB2312" w:cs="仿宋_GB2312"/>
          <w:color w:val="auto"/>
          <w:spacing w:val="-3"/>
          <w:kern w:val="2"/>
          <w:sz w:val="32"/>
          <w:szCs w:val="32"/>
          <w:highlight w:val="none"/>
          <w:u w:val="none"/>
          <w:lang w:val="en-US" w:eastAsia="zh-CN" w:bidi="ar-SA"/>
        </w:rPr>
        <w:t>关企业落实执行。</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b w:val="0"/>
          <w:bCs w:val="0"/>
          <w:color w:val="auto"/>
          <w:sz w:val="32"/>
          <w:szCs w:val="32"/>
          <w:highlight w:val="none"/>
          <w:u w:val="none"/>
        </w:rPr>
        <w:t>第三十</w:t>
      </w:r>
      <w:r>
        <w:rPr>
          <w:rFonts w:hint="eastAsia" w:ascii="黑体" w:hAnsi="黑体" w:eastAsia="黑体" w:cs="黑体"/>
          <w:b w:val="0"/>
          <w:bCs w:val="0"/>
          <w:color w:val="auto"/>
          <w:sz w:val="32"/>
          <w:szCs w:val="32"/>
          <w:highlight w:val="none"/>
          <w:u w:val="none"/>
          <w:lang w:eastAsia="zh-CN"/>
        </w:rPr>
        <w:t>一</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pacing w:val="-3"/>
          <w:kern w:val="2"/>
          <w:sz w:val="32"/>
          <w:szCs w:val="32"/>
          <w:highlight w:val="none"/>
          <w:u w:val="none"/>
          <w:lang w:val="en-US" w:eastAsia="zh-CN" w:bidi="ar-SA"/>
        </w:rPr>
        <w:t>省发展改革委会同相关部门组织对管网运营企业、托运商、供气方、用户建立信用信息记录、共享、公示等制度，依法依规实施信用监管。</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黑体" w:hAnsi="黑体" w:eastAsia="黑体" w:cs="黑体"/>
          <w:color w:val="auto"/>
          <w:sz w:val="32"/>
          <w:szCs w:val="32"/>
          <w:highlight w:val="none"/>
          <w:u w:val="none"/>
        </w:rPr>
      </w:pPr>
      <w:r>
        <w:rPr>
          <w:rFonts w:hint="eastAsia" w:ascii="黑体" w:hAnsi="黑体" w:eastAsia="黑体" w:cs="黑体"/>
          <w:b w:val="0"/>
          <w:bCs w:val="0"/>
          <w:color w:val="auto"/>
          <w:sz w:val="32"/>
          <w:szCs w:val="32"/>
          <w:highlight w:val="none"/>
          <w:u w:val="none"/>
        </w:rPr>
        <w:t>第三十</w:t>
      </w:r>
      <w:r>
        <w:rPr>
          <w:rFonts w:hint="eastAsia" w:ascii="黑体" w:hAnsi="黑体" w:eastAsia="黑体" w:cs="黑体"/>
          <w:b w:val="0"/>
          <w:bCs w:val="0"/>
          <w:color w:val="auto"/>
          <w:sz w:val="32"/>
          <w:szCs w:val="32"/>
          <w:highlight w:val="none"/>
          <w:u w:val="none"/>
          <w:lang w:val="en-US" w:eastAsia="zh-CN"/>
        </w:rPr>
        <w:t>二</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pacing w:val="-3"/>
          <w:kern w:val="2"/>
          <w:sz w:val="32"/>
          <w:szCs w:val="32"/>
          <w:highlight w:val="none"/>
          <w:u w:val="none"/>
          <w:lang w:val="en-US" w:eastAsia="zh-CN" w:bidi="ar-SA"/>
        </w:rPr>
        <w:t>管网运营企业、托运商、供气方、用户等违反有关法律法规和本办法规定的，由有关部门依法依规予以处理。</w:t>
      </w:r>
    </w:p>
    <w:p>
      <w:pPr>
        <w:keepNext w:val="0"/>
        <w:keepLines w:val="0"/>
        <w:pageBreakBefore w:val="0"/>
        <w:widowControl w:val="0"/>
        <w:kinsoku/>
        <w:wordWrap/>
        <w:overflowPunct/>
        <w:topLinePunct w:val="0"/>
        <w:autoSpaceDE/>
        <w:autoSpaceDN/>
        <w:bidi w:val="0"/>
        <w:adjustRightInd w:val="0"/>
        <w:snapToGrid w:val="0"/>
        <w:spacing w:line="600" w:lineRule="exact"/>
        <w:ind w:left="0" w:right="0"/>
        <w:jc w:val="center"/>
        <w:textAlignment w:val="auto"/>
        <w:rPr>
          <w:rFonts w:hint="eastAsia" w:ascii="黑体" w:hAnsi="黑体" w:eastAsia="黑体" w:cs="黑体"/>
          <w:b w:val="0"/>
          <w:bCs w:val="0"/>
          <w:color w:val="auto"/>
          <w:sz w:val="32"/>
          <w:szCs w:val="32"/>
          <w:highlight w:val="none"/>
          <w:u w:val="none"/>
        </w:rPr>
      </w:pPr>
      <w:r>
        <w:rPr>
          <w:rFonts w:hint="eastAsia" w:ascii="黑体" w:hAnsi="黑体" w:eastAsia="黑体" w:cs="黑体"/>
          <w:color w:val="auto"/>
          <w:sz w:val="32"/>
          <w:szCs w:val="32"/>
          <w:highlight w:val="none"/>
          <w:u w:val="none"/>
        </w:rPr>
        <w:t xml:space="preserve">第六章 </w:t>
      </w:r>
      <w:r>
        <w:rPr>
          <w:rFonts w:hint="eastAsia" w:ascii="黑体" w:hAnsi="黑体" w:eastAsia="黑体" w:cs="黑体"/>
          <w:color w:val="auto"/>
          <w:sz w:val="32"/>
          <w:szCs w:val="32"/>
          <w:highlight w:val="none"/>
          <w:u w:val="none"/>
          <w:lang w:val="en-US" w:eastAsia="zh-CN"/>
        </w:rPr>
        <w:t xml:space="preserve"> </w:t>
      </w:r>
      <w:r>
        <w:rPr>
          <w:rFonts w:hint="eastAsia" w:ascii="黑体" w:hAnsi="黑体" w:eastAsia="黑体" w:cs="黑体"/>
          <w:color w:val="auto"/>
          <w:sz w:val="32"/>
          <w:szCs w:val="32"/>
          <w:highlight w:val="none"/>
          <w:u w:val="none"/>
        </w:rPr>
        <w:t>附则</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pacing w:val="-3"/>
          <w:kern w:val="2"/>
          <w:sz w:val="32"/>
          <w:szCs w:val="32"/>
          <w:highlight w:val="none"/>
          <w:u w:val="none"/>
          <w:lang w:val="en-US" w:eastAsia="zh-CN" w:bidi="ar-SA"/>
        </w:rPr>
      </w:pPr>
      <w:r>
        <w:rPr>
          <w:rFonts w:hint="eastAsia" w:ascii="黑体" w:hAnsi="黑体" w:eastAsia="黑体" w:cs="黑体"/>
          <w:b w:val="0"/>
          <w:bCs w:val="0"/>
          <w:color w:val="auto"/>
          <w:sz w:val="32"/>
          <w:szCs w:val="32"/>
          <w:highlight w:val="none"/>
          <w:u w:val="none"/>
        </w:rPr>
        <w:t>第三十</w:t>
      </w:r>
      <w:r>
        <w:rPr>
          <w:rFonts w:hint="eastAsia" w:ascii="黑体" w:hAnsi="黑体" w:eastAsia="黑体" w:cs="黑体"/>
          <w:b w:val="0"/>
          <w:bCs w:val="0"/>
          <w:color w:val="auto"/>
          <w:sz w:val="32"/>
          <w:szCs w:val="32"/>
          <w:highlight w:val="none"/>
          <w:u w:val="none"/>
          <w:lang w:val="en-US" w:eastAsia="zh-CN"/>
        </w:rPr>
        <w:t>三</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pacing w:val="-3"/>
          <w:kern w:val="2"/>
          <w:sz w:val="32"/>
          <w:szCs w:val="32"/>
          <w:highlight w:val="none"/>
          <w:u w:val="none"/>
          <w:lang w:val="en-US" w:eastAsia="zh-CN" w:bidi="ar-SA"/>
        </w:rPr>
        <w:t>本办法中下列用语的含义是：</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jc w:val="both"/>
        <w:textAlignment w:val="auto"/>
        <w:rPr>
          <w:rFonts w:hint="eastAsia" w:ascii="仿宋_GB2312" w:hAnsi="仿宋_GB2312" w:eastAsia="仿宋_GB2312" w:cs="仿宋_GB2312"/>
          <w:color w:val="auto"/>
          <w:spacing w:val="-3"/>
          <w:kern w:val="2"/>
          <w:sz w:val="32"/>
          <w:szCs w:val="32"/>
          <w:highlight w:val="none"/>
          <w:u w:val="none"/>
          <w:lang w:val="en-US" w:eastAsia="zh-CN" w:bidi="ar-SA"/>
        </w:rPr>
      </w:pPr>
      <w:r>
        <w:rPr>
          <w:rFonts w:hint="eastAsia" w:ascii="仿宋_GB2312" w:hAnsi="仿宋_GB2312" w:eastAsia="仿宋_GB2312" w:cs="仿宋_GB2312"/>
          <w:b/>
          <w:bCs/>
          <w:color w:val="auto"/>
          <w:sz w:val="32"/>
          <w:szCs w:val="32"/>
          <w:highlight w:val="none"/>
          <w:u w:val="none"/>
        </w:rPr>
        <w:t>（一）天然气管网设施：</w:t>
      </w:r>
      <w:r>
        <w:rPr>
          <w:rFonts w:hint="eastAsia" w:ascii="仿宋_GB2312" w:hAnsi="仿宋_GB2312" w:eastAsia="仿宋_GB2312" w:cs="仿宋_GB2312"/>
          <w:color w:val="auto"/>
          <w:spacing w:val="-3"/>
          <w:kern w:val="2"/>
          <w:sz w:val="32"/>
          <w:szCs w:val="32"/>
          <w:highlight w:val="none"/>
          <w:u w:val="none"/>
          <w:lang w:val="en-US" w:eastAsia="zh-CN" w:bidi="ar-SA"/>
        </w:rPr>
        <w:t>符合相应技术条件和规范，并按照国家及地方有关规定履行审批、核准或备案手续且已取得合法运营资质的天然气管道、场站、液化天然气（LNG）接收储运装置、储气库等设施及附属的基础设施，不包括企业生产专用集输管道、输送非商品质量标准的天然气管网设施、军工或涉密天然气管网设施、企业自用的城镇燃气设施等管网设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jc w:val="both"/>
        <w:textAlignment w:val="auto"/>
        <w:rPr>
          <w:rFonts w:hint="eastAsia" w:ascii="仿宋_GB2312" w:hAnsi="仿宋_GB2312" w:eastAsia="仿宋_GB2312" w:cs="仿宋_GB2312"/>
          <w:color w:val="auto"/>
          <w:spacing w:val="-3"/>
          <w:kern w:val="2"/>
          <w:sz w:val="32"/>
          <w:szCs w:val="32"/>
          <w:highlight w:val="none"/>
          <w:u w:val="none"/>
          <w:lang w:val="en-US" w:eastAsia="zh-CN" w:bidi="ar-SA"/>
        </w:rPr>
      </w:pPr>
      <w:r>
        <w:rPr>
          <w:rFonts w:hint="eastAsia" w:ascii="仿宋_GB2312" w:hAnsi="仿宋_GB2312" w:eastAsia="仿宋_GB2312" w:cs="仿宋_GB2312"/>
          <w:b/>
          <w:bCs/>
          <w:color w:val="auto"/>
          <w:sz w:val="32"/>
          <w:szCs w:val="32"/>
          <w:highlight w:val="none"/>
          <w:u w:val="none"/>
        </w:rPr>
        <w:t>（二）管网运营企业：</w:t>
      </w:r>
      <w:r>
        <w:rPr>
          <w:rFonts w:hint="eastAsia" w:ascii="仿宋_GB2312" w:hAnsi="仿宋_GB2312" w:eastAsia="仿宋_GB2312" w:cs="仿宋_GB2312"/>
          <w:color w:val="auto"/>
          <w:spacing w:val="-3"/>
          <w:kern w:val="2"/>
          <w:sz w:val="32"/>
          <w:szCs w:val="32"/>
          <w:highlight w:val="none"/>
          <w:u w:val="none"/>
          <w:lang w:val="en-US" w:eastAsia="zh-CN" w:bidi="ar-SA"/>
        </w:rPr>
        <w:t>在中华人民共和国境内注册、符合国家法律法规及相关产业政策，合法运营天然气管网设施的企业。管网运营企业须具备提供运输、存储等服务以及维护天然气管网设施安全稳定运行的能力。</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sz w:val="32"/>
          <w:szCs w:val="32"/>
          <w:highlight w:val="none"/>
          <w:u w:val="none"/>
        </w:rPr>
        <w:t>（三）托运商：</w:t>
      </w:r>
      <w:r>
        <w:rPr>
          <w:rFonts w:hint="eastAsia" w:ascii="仿宋_GB2312" w:hAnsi="仿宋_GB2312" w:eastAsia="仿宋_GB2312" w:cs="仿宋_GB2312"/>
          <w:color w:val="auto"/>
          <w:spacing w:val="-3"/>
          <w:kern w:val="2"/>
          <w:sz w:val="32"/>
          <w:szCs w:val="32"/>
          <w:highlight w:val="none"/>
          <w:u w:val="none"/>
          <w:lang w:val="en-US" w:eastAsia="zh-CN" w:bidi="ar-SA"/>
        </w:rPr>
        <w:t>在中华人民共和国境内注册、符合国家法律法规及相关产业政策的天然气生产供应企业、贸易商、销售企业及大型终端用户，包括天然气（含煤制天然气、煤层气、页岩气、致密砂岩气、生物质气等）生产企业、城镇燃气企业、天然气零售企业、燃气发电企业、工业用户以及其他大型直供用户等。托运商须落实了对应的天然气资源和销售市场，执行天然气管网设施相关技术管理准则和操作程序，满足相关商业和技术要求。托运商委托管网运营企业提供天然气运输和存储等服务，并按照服务合同约定组织上载或下载天然气。</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jc w:val="both"/>
        <w:textAlignment w:val="auto"/>
        <w:rPr>
          <w:rFonts w:hint="eastAsia" w:ascii="仿宋_GB2312" w:hAnsi="仿宋_GB2312" w:eastAsia="仿宋_GB2312" w:cs="仿宋_GB2312"/>
          <w:color w:val="auto"/>
          <w:spacing w:val="-3"/>
          <w:kern w:val="2"/>
          <w:sz w:val="32"/>
          <w:szCs w:val="32"/>
          <w:highlight w:val="none"/>
          <w:u w:val="none"/>
          <w:lang w:val="en-US" w:eastAsia="zh-CN" w:bidi="ar-SA"/>
        </w:rPr>
      </w:pPr>
      <w:r>
        <w:rPr>
          <w:rFonts w:hint="eastAsia" w:ascii="仿宋_GB2312" w:hAnsi="仿宋_GB2312" w:eastAsia="仿宋_GB2312" w:cs="仿宋_GB2312"/>
          <w:b/>
          <w:bCs/>
          <w:color w:val="auto"/>
          <w:sz w:val="32"/>
          <w:szCs w:val="32"/>
          <w:highlight w:val="none"/>
          <w:u w:val="none"/>
        </w:rPr>
        <w:t>（四）供气方：</w:t>
      </w:r>
      <w:r>
        <w:rPr>
          <w:rFonts w:hint="eastAsia" w:ascii="仿宋_GB2312" w:hAnsi="仿宋_GB2312" w:eastAsia="仿宋_GB2312" w:cs="仿宋_GB2312"/>
          <w:color w:val="auto"/>
          <w:spacing w:val="-3"/>
          <w:kern w:val="2"/>
          <w:sz w:val="32"/>
          <w:szCs w:val="32"/>
          <w:highlight w:val="none"/>
          <w:u w:val="none"/>
          <w:lang w:val="en-US" w:eastAsia="zh-CN" w:bidi="ar-SA"/>
        </w:rPr>
        <w:t>油气田、储气库、LNG接收站以及境外管道等天然气资源的生产供应企业和利用天然气管网设施采购天然气资源进行供应的企业。</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sz w:val="32"/>
          <w:szCs w:val="32"/>
          <w:highlight w:val="none"/>
          <w:u w:val="none"/>
        </w:rPr>
        <w:t>（五）用户：</w:t>
      </w:r>
      <w:r>
        <w:rPr>
          <w:rFonts w:hint="eastAsia" w:ascii="仿宋_GB2312" w:hAnsi="仿宋_GB2312" w:eastAsia="仿宋_GB2312" w:cs="仿宋_GB2312"/>
          <w:color w:val="auto"/>
          <w:sz w:val="32"/>
          <w:szCs w:val="32"/>
          <w:highlight w:val="none"/>
          <w:u w:val="none"/>
        </w:rPr>
        <w:t>城镇燃气企业、工业用户等从天然气管网设施下载天然气的企业，按照购销合同约定接收天然气。</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sz w:val="32"/>
          <w:szCs w:val="32"/>
          <w:highlight w:val="none"/>
          <w:u w:val="none"/>
        </w:rPr>
        <w:t>（六）天然气管网设施容量：</w:t>
      </w:r>
      <w:r>
        <w:rPr>
          <w:rFonts w:hint="eastAsia" w:ascii="仿宋_GB2312" w:hAnsi="仿宋_GB2312" w:eastAsia="仿宋_GB2312" w:cs="仿宋_GB2312"/>
          <w:color w:val="auto"/>
          <w:sz w:val="32"/>
          <w:szCs w:val="32"/>
          <w:highlight w:val="none"/>
          <w:u w:val="none"/>
        </w:rPr>
        <w:t>天然气管道输送能力或储气库、LNG接收站等设施服务能力。</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sz w:val="32"/>
          <w:szCs w:val="32"/>
          <w:highlight w:val="none"/>
          <w:u w:val="none"/>
        </w:rPr>
        <w:t>（七）日指定：</w:t>
      </w:r>
      <w:r>
        <w:rPr>
          <w:rFonts w:hint="eastAsia" w:ascii="仿宋_GB2312" w:hAnsi="仿宋_GB2312" w:eastAsia="仿宋_GB2312" w:cs="仿宋_GB2312"/>
          <w:color w:val="auto"/>
          <w:sz w:val="32"/>
          <w:szCs w:val="32"/>
          <w:highlight w:val="none"/>
          <w:u w:val="none"/>
        </w:rPr>
        <w:t>管网运营企业与托运商确定的日输气计划。</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sz w:val="32"/>
          <w:szCs w:val="32"/>
          <w:highlight w:val="none"/>
          <w:u w:val="none"/>
        </w:rPr>
        <w:t>（八）物理平衡措施：</w:t>
      </w:r>
      <w:r>
        <w:rPr>
          <w:rFonts w:hint="eastAsia" w:ascii="仿宋_GB2312" w:hAnsi="仿宋_GB2312" w:eastAsia="仿宋_GB2312" w:cs="仿宋_GB2312"/>
          <w:color w:val="auto"/>
          <w:sz w:val="32"/>
          <w:szCs w:val="32"/>
          <w:highlight w:val="none"/>
          <w:u w:val="none"/>
        </w:rPr>
        <w:t>是指通过压力或流量控制，来限制上游资源进气量或下游用户</w:t>
      </w:r>
      <w:r>
        <w:rPr>
          <w:rFonts w:hint="eastAsia" w:ascii="仿宋_GB2312" w:hAnsi="仿宋_GB2312" w:eastAsia="仿宋_GB2312" w:cs="仿宋_GB2312"/>
          <w:color w:val="auto"/>
          <w:sz w:val="32"/>
          <w:szCs w:val="32"/>
          <w:highlight w:val="none"/>
          <w:u w:val="none"/>
          <w:lang w:val="en-US" w:eastAsia="zh-CN"/>
        </w:rPr>
        <w:t>用</w:t>
      </w:r>
      <w:r>
        <w:rPr>
          <w:rFonts w:hint="eastAsia" w:ascii="仿宋_GB2312" w:hAnsi="仿宋_GB2312" w:eastAsia="仿宋_GB2312" w:cs="仿宋_GB2312"/>
          <w:color w:val="auto"/>
          <w:sz w:val="32"/>
          <w:szCs w:val="32"/>
          <w:highlight w:val="none"/>
          <w:u w:val="none"/>
        </w:rPr>
        <w:t>气量、储气库注采气量，直至强制关阀的平衡措施。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sz w:val="32"/>
          <w:szCs w:val="32"/>
          <w:highlight w:val="none"/>
          <w:u w:val="none"/>
        </w:rPr>
        <w:t>（九）管存控制限值：</w:t>
      </w:r>
      <w:r>
        <w:rPr>
          <w:rFonts w:hint="eastAsia" w:ascii="仿宋_GB2312" w:hAnsi="仿宋_GB2312" w:eastAsia="仿宋_GB2312" w:cs="仿宋_GB2312"/>
          <w:color w:val="auto"/>
          <w:sz w:val="32"/>
          <w:szCs w:val="32"/>
          <w:highlight w:val="none"/>
          <w:u w:val="none"/>
        </w:rPr>
        <w:t>管网正常运行时，所允许的管存最低限值为管存控制低限，所允许的管存最高限值为管存控制高限。</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sz w:val="32"/>
          <w:szCs w:val="32"/>
          <w:highlight w:val="none"/>
          <w:u w:val="none"/>
          <w:lang w:eastAsia="zh-CN"/>
        </w:rPr>
        <w:t>（</w:t>
      </w:r>
      <w:r>
        <w:rPr>
          <w:rFonts w:hint="eastAsia" w:ascii="仿宋_GB2312" w:hAnsi="仿宋_GB2312" w:eastAsia="仿宋_GB2312" w:cs="仿宋_GB2312"/>
          <w:b/>
          <w:bCs/>
          <w:color w:val="auto"/>
          <w:sz w:val="32"/>
          <w:szCs w:val="32"/>
          <w:highlight w:val="none"/>
          <w:u w:val="none"/>
          <w:lang w:val="en-US" w:eastAsia="zh-CN"/>
        </w:rPr>
        <w:t>十）不平衡气量：</w:t>
      </w:r>
      <w:r>
        <w:rPr>
          <w:rFonts w:hint="eastAsia" w:ascii="仿宋_GB2312" w:hAnsi="仿宋_GB2312" w:eastAsia="仿宋_GB2312" w:cs="仿宋_GB2312"/>
          <w:color w:val="auto"/>
          <w:sz w:val="32"/>
          <w:szCs w:val="32"/>
          <w:highlight w:val="none"/>
          <w:u w:val="none"/>
          <w:lang w:val="en-US" w:eastAsia="zh-CN"/>
        </w:rPr>
        <w:t>在一个平衡周期结束时点存在进出管网天然气量正负偏差之和。</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color w:val="auto"/>
          <w:sz w:val="32"/>
          <w:szCs w:val="32"/>
          <w:highlight w:val="none"/>
          <w:u w:val="none"/>
        </w:rPr>
        <w:t>（十</w:t>
      </w:r>
      <w:r>
        <w:rPr>
          <w:rFonts w:hint="eastAsia" w:ascii="仿宋_GB2312" w:hAnsi="仿宋_GB2312" w:eastAsia="仿宋_GB2312" w:cs="仿宋_GB2312"/>
          <w:b/>
          <w:bCs/>
          <w:color w:val="auto"/>
          <w:sz w:val="32"/>
          <w:szCs w:val="32"/>
          <w:highlight w:val="none"/>
          <w:u w:val="none"/>
          <w:lang w:val="en-US" w:eastAsia="zh-CN"/>
        </w:rPr>
        <w:t>一</w:t>
      </w:r>
      <w:r>
        <w:rPr>
          <w:rFonts w:hint="eastAsia" w:ascii="仿宋_GB2312" w:hAnsi="仿宋_GB2312" w:eastAsia="仿宋_GB2312" w:cs="仿宋_GB2312"/>
          <w:b/>
          <w:bCs/>
          <w:color w:val="auto"/>
          <w:sz w:val="32"/>
          <w:szCs w:val="32"/>
          <w:highlight w:val="none"/>
          <w:u w:val="none"/>
        </w:rPr>
        <w:t>）重大节假日：</w:t>
      </w:r>
      <w:r>
        <w:rPr>
          <w:rFonts w:hint="eastAsia" w:ascii="仿宋_GB2312" w:hAnsi="仿宋_GB2312" w:eastAsia="仿宋_GB2312" w:cs="仿宋_GB2312"/>
          <w:color w:val="auto"/>
          <w:sz w:val="32"/>
          <w:szCs w:val="32"/>
          <w:highlight w:val="none"/>
          <w:u w:val="none"/>
        </w:rPr>
        <w:t>国庆、春节。</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b/>
          <w:bCs/>
          <w:sz w:val="32"/>
          <w:szCs w:val="32"/>
        </w:rPr>
        <w:t>（十二）储气设施：</w:t>
      </w:r>
      <w:r>
        <w:rPr>
          <w:rFonts w:hint="eastAsia" w:ascii="仿宋_GB2312" w:hAnsi="仿宋_GB2312" w:eastAsia="仿宋_GB2312" w:cs="仿宋_GB2312"/>
          <w:sz w:val="32"/>
          <w:szCs w:val="32"/>
        </w:rPr>
        <w:t>包括地下储气库,陆上LNG、CNG储罐，沿海LNG接收站储罐等。</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FF0000"/>
          <w:spacing w:val="-3"/>
          <w:kern w:val="2"/>
          <w:sz w:val="32"/>
          <w:szCs w:val="32"/>
          <w:highlight w:val="none"/>
          <w:u w:val="none"/>
          <w:lang w:val="en-US" w:eastAsia="zh-CN" w:bidi="ar-SA"/>
        </w:rPr>
      </w:pPr>
      <w:r>
        <w:rPr>
          <w:rFonts w:hint="eastAsia" w:ascii="黑体" w:hAnsi="黑体" w:eastAsia="黑体" w:cs="黑体"/>
          <w:b w:val="0"/>
          <w:bCs w:val="0"/>
          <w:color w:val="auto"/>
          <w:sz w:val="32"/>
          <w:szCs w:val="32"/>
          <w:highlight w:val="none"/>
          <w:u w:val="none"/>
        </w:rPr>
        <w:t>第三十</w:t>
      </w:r>
      <w:r>
        <w:rPr>
          <w:rFonts w:hint="eastAsia" w:ascii="黑体" w:hAnsi="黑体" w:eastAsia="黑体" w:cs="黑体"/>
          <w:b w:val="0"/>
          <w:bCs w:val="0"/>
          <w:color w:val="auto"/>
          <w:sz w:val="32"/>
          <w:szCs w:val="32"/>
          <w:highlight w:val="none"/>
          <w:u w:val="none"/>
          <w:lang w:val="en-US" w:eastAsia="zh-CN"/>
        </w:rPr>
        <w:t>四</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pacing w:val="-3"/>
          <w:kern w:val="2"/>
          <w:sz w:val="32"/>
          <w:szCs w:val="32"/>
          <w:highlight w:val="none"/>
          <w:u w:val="none"/>
          <w:lang w:val="en-US" w:eastAsia="zh-CN" w:bidi="ar-SA"/>
        </w:rPr>
        <w:t>各市级人民政府有关部门应当按照本办法，加强本行政区域内地方天然气管网设施应急保供管理工作。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b w:val="0"/>
          <w:bCs w:val="0"/>
          <w:color w:val="auto"/>
          <w:sz w:val="32"/>
          <w:szCs w:val="32"/>
          <w:highlight w:val="none"/>
          <w:u w:val="none"/>
        </w:rPr>
        <w:t>第三十</w:t>
      </w:r>
      <w:r>
        <w:rPr>
          <w:rFonts w:hint="eastAsia" w:ascii="黑体" w:hAnsi="黑体" w:eastAsia="黑体" w:cs="黑体"/>
          <w:b w:val="0"/>
          <w:bCs w:val="0"/>
          <w:color w:val="auto"/>
          <w:sz w:val="32"/>
          <w:szCs w:val="32"/>
          <w:highlight w:val="none"/>
          <w:u w:val="none"/>
          <w:lang w:val="en-US" w:eastAsia="zh-CN"/>
        </w:rPr>
        <w:t>五</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w:t>
      </w:r>
      <w:r>
        <w:rPr>
          <w:rFonts w:hint="eastAsia" w:ascii="仿宋_GB2312" w:hAnsi="仿宋_GB2312" w:eastAsia="仿宋_GB2312" w:cs="仿宋_GB2312"/>
          <w:color w:val="auto"/>
          <w:spacing w:val="-3"/>
          <w:kern w:val="2"/>
          <w:sz w:val="32"/>
          <w:szCs w:val="32"/>
          <w:highlight w:val="none"/>
          <w:u w:val="none"/>
          <w:lang w:val="en-US" w:eastAsia="zh-CN" w:bidi="ar-SA"/>
        </w:rPr>
        <w:t>本办法实施生效前，托运商与管网运营企业已有明确合同或协议约定的，原则上合同期内继续按合同或协议约定执行。新签、续签或补签合同，按本办法执行。</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b w:val="0"/>
          <w:bCs w:val="0"/>
          <w:color w:val="auto"/>
          <w:sz w:val="32"/>
          <w:szCs w:val="32"/>
          <w:highlight w:val="none"/>
          <w:u w:val="none"/>
        </w:rPr>
        <w:t>第三十</w:t>
      </w:r>
      <w:r>
        <w:rPr>
          <w:rFonts w:hint="eastAsia" w:ascii="黑体" w:hAnsi="黑体" w:eastAsia="黑体" w:cs="黑体"/>
          <w:b w:val="0"/>
          <w:bCs w:val="0"/>
          <w:color w:val="auto"/>
          <w:sz w:val="32"/>
          <w:szCs w:val="32"/>
          <w:highlight w:val="none"/>
          <w:u w:val="none"/>
          <w:lang w:val="en-US" w:eastAsia="zh-CN"/>
        </w:rPr>
        <w:t>六</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本办法由</w:t>
      </w:r>
      <w:r>
        <w:rPr>
          <w:rFonts w:hint="eastAsia" w:ascii="仿宋_GB2312" w:hAnsi="仿宋_GB2312" w:eastAsia="仿宋_GB2312" w:cs="仿宋_GB2312"/>
          <w:color w:val="auto"/>
          <w:sz w:val="32"/>
          <w:szCs w:val="32"/>
          <w:highlight w:val="none"/>
          <w:u w:val="none"/>
          <w:lang w:val="en-US" w:eastAsia="zh-CN"/>
        </w:rPr>
        <w:t>省</w:t>
      </w:r>
      <w:r>
        <w:rPr>
          <w:rFonts w:hint="eastAsia" w:ascii="仿宋_GB2312" w:hAnsi="仿宋_GB2312" w:eastAsia="仿宋_GB2312" w:cs="仿宋_GB2312"/>
          <w:color w:val="auto"/>
          <w:sz w:val="32"/>
          <w:szCs w:val="32"/>
          <w:highlight w:val="none"/>
          <w:u w:val="none"/>
        </w:rPr>
        <w:t>发展改革委负责解释。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jc w:val="both"/>
        <w:textAlignment w:val="auto"/>
      </w:pPr>
      <w:r>
        <w:rPr>
          <w:rFonts w:hint="eastAsia" w:ascii="黑体" w:hAnsi="黑体" w:eastAsia="黑体" w:cs="黑体"/>
          <w:b w:val="0"/>
          <w:bCs w:val="0"/>
          <w:color w:val="auto"/>
          <w:sz w:val="32"/>
          <w:szCs w:val="32"/>
          <w:highlight w:val="none"/>
          <w:u w:val="none"/>
        </w:rPr>
        <w:t>第三十</w:t>
      </w:r>
      <w:r>
        <w:rPr>
          <w:rFonts w:hint="eastAsia" w:ascii="黑体" w:hAnsi="黑体" w:eastAsia="黑体" w:cs="黑体"/>
          <w:b w:val="0"/>
          <w:bCs w:val="0"/>
          <w:color w:val="auto"/>
          <w:sz w:val="32"/>
          <w:szCs w:val="32"/>
          <w:highlight w:val="none"/>
          <w:u w:val="none"/>
          <w:lang w:val="en-US" w:eastAsia="zh-CN"/>
        </w:rPr>
        <w:t>七</w:t>
      </w:r>
      <w:r>
        <w:rPr>
          <w:rFonts w:hint="eastAsia" w:ascii="黑体" w:hAnsi="黑体" w:eastAsia="黑体" w:cs="黑体"/>
          <w:b w:val="0"/>
          <w:bCs w:val="0"/>
          <w:color w:val="auto"/>
          <w:sz w:val="32"/>
          <w:szCs w:val="32"/>
          <w:highlight w:val="none"/>
          <w:u w:val="none"/>
        </w:rPr>
        <w:t>条</w:t>
      </w:r>
      <w:r>
        <w:rPr>
          <w:rFonts w:hint="eastAsia" w:ascii="仿宋_GB2312" w:hAnsi="仿宋_GB2312" w:eastAsia="仿宋_GB2312" w:cs="仿宋_GB2312"/>
          <w:color w:val="auto"/>
          <w:sz w:val="32"/>
          <w:szCs w:val="32"/>
          <w:highlight w:val="none"/>
          <w:u w:val="none"/>
        </w:rPr>
        <w:t xml:space="preserve"> 本办法自</w:t>
      </w:r>
      <w:r>
        <w:rPr>
          <w:rFonts w:hint="eastAsia" w:ascii="仿宋_GB2312" w:hAnsi="仿宋_GB2312" w:eastAsia="仿宋_GB2312" w:cs="仿宋_GB2312"/>
          <w:color w:val="auto"/>
          <w:sz w:val="32"/>
          <w:szCs w:val="32"/>
          <w:highlight w:val="none"/>
          <w:u w:val="none"/>
          <w:lang w:eastAsia="zh-CN"/>
        </w:rPr>
        <w:t>印发之日起施行</w:t>
      </w:r>
      <w:r>
        <w:rPr>
          <w:rFonts w:hint="eastAsia" w:ascii="仿宋_GB2312" w:hAnsi="仿宋_GB2312" w:eastAsia="仿宋_GB2312" w:cs="仿宋_GB2312"/>
          <w:color w:val="auto"/>
          <w:sz w:val="32"/>
          <w:szCs w:val="32"/>
          <w:highlight w:val="none"/>
          <w:u w:val="none"/>
        </w:rPr>
        <w:t>。</w:t>
      </w:r>
    </w:p>
    <w:p>
      <w:bookmarkStart w:id="0" w:name="_GoBack"/>
      <w:bookmarkEnd w:id="0"/>
    </w:p>
    <w:sectPr>
      <w:pgSz w:w="11906" w:h="16838"/>
      <w:pgMar w:top="2154" w:right="1474" w:bottom="1440" w:left="1587"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4Yzg5NzYxYWNlMDgxMjZlNTM2MTIwMTJlYjQ2NGYifQ=="/>
  </w:docVars>
  <w:rsids>
    <w:rsidRoot w:val="57B1367E"/>
    <w:rsid w:val="57B136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next w:val="4"/>
    <w:uiPriority w:val="0"/>
    <w:pPr>
      <w:spacing w:before="0" w:after="140" w:line="276" w:lineRule="auto"/>
    </w:pPr>
  </w:style>
  <w:style w:type="paragraph" w:customStyle="1" w:styleId="4">
    <w:name w:val="正文首行缩进1"/>
    <w:basedOn w:val="3"/>
    <w:qFormat/>
    <w:uiPriority w:val="0"/>
    <w:pPr>
      <w:spacing w:after="0" w:line="500" w:lineRule="exact"/>
      <w:ind w:firstLine="420"/>
    </w:pPr>
    <w:rPr>
      <w:rFonts w:ascii="仿宋_GB2312"/>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2023-10-20T08:03:00Z</dcterms:created>
  <dc:creator>admin</dc:creator>
  <cp:lastModifiedBy>admin</cp:lastModifiedBy>
  <dcterms:modified xsi:type="dcterms:W3CDTF">2023-10-20T08:03:38Z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5B98803F8D82415897A5C3CBF70056F2_11</vt:lpwstr>
  </property>
</Properties>
</file>