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620" w:lineRule="exact"/>
        <w:jc w:val="center"/>
        <w:textAlignment w:val="auto"/>
        <w:rPr>
          <w:rFonts w:ascii="方正小标宋_GBK" w:eastAsia="方正小标宋_GBK"/>
          <w:color w:val="auto"/>
          <w:sz w:val="44"/>
          <w:szCs w:val="44"/>
        </w:rPr>
      </w:pPr>
      <w:bookmarkStart w:id="0" w:name="_GoBack"/>
      <w:r>
        <w:rPr>
          <w:rFonts w:hint="eastAsia" w:ascii="方正小标宋_GBK" w:eastAsia="方正小标宋_GBK"/>
          <w:color w:val="auto"/>
          <w:sz w:val="44"/>
          <w:szCs w:val="44"/>
          <w:lang w:eastAsia="zh-CN"/>
        </w:rPr>
        <w:t>长春市关于</w:t>
      </w:r>
      <w:r>
        <w:rPr>
          <w:rFonts w:hint="eastAsia" w:ascii="方正小标宋_GBK" w:eastAsia="方正小标宋_GBK"/>
          <w:color w:val="auto"/>
          <w:sz w:val="44"/>
          <w:szCs w:val="44"/>
        </w:rPr>
        <w:t>推动</w:t>
      </w:r>
      <w:r>
        <w:rPr>
          <w:rFonts w:ascii="方正小标宋_GBK" w:eastAsia="方正小标宋_GBK"/>
          <w:color w:val="auto"/>
          <w:sz w:val="44"/>
          <w:szCs w:val="44"/>
        </w:rPr>
        <w:t>经济稳增长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620" w:lineRule="exact"/>
        <w:jc w:val="center"/>
        <w:textAlignment w:val="auto"/>
        <w:rPr>
          <w:rFonts w:ascii="方正小标宋_GBK" w:eastAsia="方正小标宋_GBK"/>
          <w:color w:val="auto"/>
          <w:sz w:val="44"/>
          <w:szCs w:val="44"/>
        </w:rPr>
      </w:pPr>
      <w:r>
        <w:rPr>
          <w:rFonts w:hint="eastAsia" w:ascii="方正小标宋_GBK" w:eastAsia="方正小标宋_GBK"/>
          <w:color w:val="auto"/>
          <w:sz w:val="44"/>
          <w:szCs w:val="44"/>
        </w:rPr>
        <w:t>全力实现</w:t>
      </w:r>
      <w:r>
        <w:rPr>
          <w:rFonts w:ascii="方正小标宋_GBK" w:eastAsia="方正小标宋_GBK"/>
          <w:color w:val="auto"/>
          <w:sz w:val="44"/>
          <w:szCs w:val="44"/>
        </w:rPr>
        <w:t>一季度</w:t>
      </w:r>
      <w:r>
        <w:rPr>
          <w:rFonts w:hint="eastAsia" w:ascii="方正小标宋_GBK" w:eastAsia="方正小标宋_GBK"/>
          <w:color w:val="auto"/>
          <w:sz w:val="44"/>
          <w:szCs w:val="44"/>
        </w:rPr>
        <w:t>“开门红”的</w:t>
      </w:r>
      <w:r>
        <w:rPr>
          <w:rFonts w:ascii="方正小标宋_GBK" w:eastAsia="方正小标宋_GBK"/>
          <w:color w:val="auto"/>
          <w:sz w:val="44"/>
          <w:szCs w:val="44"/>
        </w:rPr>
        <w:t>若干政策措施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620" w:lineRule="exact"/>
        <w:jc w:val="center"/>
        <w:textAlignment w:val="auto"/>
        <w:rPr>
          <w:rFonts w:hint="eastAsia" w:ascii="方正小标宋_GBK" w:eastAsia="方正小标宋_GBK"/>
          <w:color w:val="auto"/>
          <w:sz w:val="44"/>
          <w:szCs w:val="44"/>
          <w:lang w:eastAsia="zh-CN"/>
        </w:rPr>
      </w:pPr>
      <w:r>
        <w:rPr>
          <w:rFonts w:hint="eastAsia" w:ascii="方正小标宋_GBK" w:eastAsia="方正小标宋_GBK"/>
          <w:color w:val="auto"/>
          <w:sz w:val="44"/>
          <w:szCs w:val="44"/>
        </w:rPr>
        <w:t>实施细则</w:t>
      </w:r>
      <w:r>
        <w:rPr>
          <w:rFonts w:hint="eastAsia" w:ascii="方正小标宋_GBK" w:eastAsia="方正小标宋_GBK"/>
          <w:color w:val="auto"/>
          <w:sz w:val="44"/>
          <w:szCs w:val="44"/>
          <w:lang w:eastAsia="zh-CN"/>
        </w:rPr>
        <w:t>（工信部分）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620" w:lineRule="exact"/>
        <w:ind w:firstLine="880" w:firstLineChars="200"/>
        <w:textAlignment w:val="auto"/>
        <w:rPr>
          <w:rFonts w:hint="eastAsia" w:ascii="方正小标宋_GBK" w:eastAsia="方正小标宋_GBK"/>
          <w:color w:val="auto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620" w:lineRule="exact"/>
        <w:ind w:firstLine="880" w:firstLineChars="200"/>
        <w:textAlignment w:val="auto"/>
        <w:rPr>
          <w:rFonts w:hint="eastAsia" w:ascii="方正小标宋_GBK" w:eastAsia="方正小标宋_GBK"/>
          <w:color w:val="auto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6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bidi="ar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bidi="ar"/>
        </w:rPr>
        <w:t>为贯彻落实《长春市关于推动经济稳增长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 w:bidi="ar"/>
        </w:rPr>
        <w:t xml:space="preserve"> 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bidi="ar"/>
        </w:rPr>
        <w:t>全力实现一季度“开门红”的若干政策措施》(以下简称《若干政策》)文件精神，本着“简洁、透明、高效、规范”原则，制定本实施细则。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62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eastAsia="zh-CN" w:bidi="ar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eastAsia="zh-CN" w:bidi="ar"/>
        </w:rPr>
        <w:t>一、政策条款1：鼓励企业春节期间连续生产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620" w:lineRule="exact"/>
        <w:ind w:firstLine="640" w:firstLineChars="200"/>
        <w:textAlignment w:val="auto"/>
        <w:rPr>
          <w:rFonts w:ascii="方正仿宋_GBK" w:hAnsi="方正仿宋_GBK" w:eastAsia="方正仿宋_GBK" w:cs="方正仿宋_GBK"/>
          <w:color w:val="auto"/>
          <w:sz w:val="32"/>
          <w:szCs w:val="32"/>
          <w:lang w:bidi="ar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bidi="ar"/>
        </w:rPr>
        <w:t>对2024年春节期间连续生产，一季度产值达到5000万元以上且不低于2023年同期产值的规模以上工业企业，按照企业春节期间连续生产天数、加班人数等指标划分3个档位，分别给予10万元、20万元、30万元奖补支持。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620" w:lineRule="exact"/>
        <w:ind w:firstLine="640" w:firstLineChars="200"/>
        <w:textAlignment w:val="auto"/>
        <w:rPr>
          <w:rFonts w:hint="eastAsia" w:ascii="楷体" w:hAnsi="楷体" w:eastAsia="楷体" w:cs="楷体"/>
          <w:color w:val="auto"/>
          <w:sz w:val="32"/>
          <w:szCs w:val="32"/>
          <w:lang w:bidi="ar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eastAsia="zh-CN" w:bidi="ar"/>
        </w:rPr>
        <w:t>（一）</w:t>
      </w:r>
      <w:r>
        <w:rPr>
          <w:rFonts w:hint="eastAsia" w:ascii="楷体" w:hAnsi="楷体" w:eastAsia="楷体" w:cs="楷体"/>
          <w:color w:val="auto"/>
          <w:sz w:val="32"/>
          <w:szCs w:val="32"/>
          <w:lang w:bidi="ar"/>
        </w:rPr>
        <w:t>奖励对象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620" w:lineRule="exact"/>
        <w:ind w:firstLine="640" w:firstLineChars="200"/>
        <w:textAlignment w:val="auto"/>
        <w:rPr>
          <w:rFonts w:ascii="黑体" w:hAnsi="宋体" w:eastAsia="黑体" w:cs="方正仿宋_GBK"/>
          <w:color w:val="auto"/>
          <w:sz w:val="32"/>
          <w:szCs w:val="32"/>
          <w:lang w:val="en" w:bidi="ar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" w:bidi="ar"/>
        </w:rPr>
        <w:t>长春市规模以上工业企业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620" w:lineRule="exact"/>
        <w:ind w:firstLine="640" w:firstLineChars="200"/>
        <w:textAlignment w:val="auto"/>
        <w:rPr>
          <w:rFonts w:hint="eastAsia" w:ascii="楷体" w:hAnsi="楷体" w:eastAsia="楷体" w:cs="楷体"/>
          <w:color w:val="auto"/>
          <w:sz w:val="32"/>
          <w:szCs w:val="32"/>
          <w:lang w:eastAsia="zh-CN" w:bidi="ar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eastAsia="zh-CN" w:bidi="ar"/>
        </w:rPr>
        <w:t>（二）奖励条件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620" w:lineRule="exact"/>
        <w:ind w:firstLine="640" w:firstLineChars="200"/>
        <w:textAlignment w:val="auto"/>
        <w:rPr>
          <w:rFonts w:ascii="黑体" w:hAnsi="宋体" w:eastAsia="黑体" w:cs="方正仿宋_GBK"/>
          <w:color w:val="auto"/>
          <w:sz w:val="32"/>
          <w:szCs w:val="32"/>
          <w:lang w:bidi="ar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bidi="ar"/>
        </w:rPr>
        <w:t>2024年春节期间连续生产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 w:bidi="ar"/>
        </w:rPr>
        <w:t>4天以上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 w:bidi="ar"/>
        </w:rPr>
        <w:t>且加班人数占总员工人数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 w:bidi="ar"/>
        </w:rPr>
        <w:t>50%以上，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bidi="ar"/>
        </w:rPr>
        <w:t>一季度产值达到5000万元以上且不低于2023年同期产值的规模以上工业企业。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620" w:lineRule="exact"/>
        <w:ind w:firstLine="640" w:firstLineChars="200"/>
        <w:textAlignment w:val="auto"/>
        <w:rPr>
          <w:rFonts w:hint="eastAsia" w:ascii="楷体" w:hAnsi="楷体" w:eastAsia="楷体" w:cs="楷体"/>
          <w:color w:val="auto"/>
          <w:sz w:val="32"/>
          <w:szCs w:val="32"/>
          <w:lang w:eastAsia="zh-CN" w:bidi="ar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eastAsia="zh-CN" w:bidi="ar"/>
        </w:rPr>
        <w:t>（三）奖励标准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620" w:lineRule="exact"/>
        <w:ind w:firstLine="640" w:firstLineChars="200"/>
        <w:textAlignment w:val="auto"/>
        <w:rPr>
          <w:rFonts w:ascii="黑体" w:hAnsi="宋体" w:eastAsia="黑体" w:cs="方正仿宋_GBK"/>
          <w:color w:val="auto"/>
          <w:sz w:val="32"/>
          <w:szCs w:val="32"/>
          <w:lang w:bidi="ar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bidi="ar"/>
        </w:rPr>
        <w:t>按照企业春节期间连续生产天数、加班人数等指标划分3个档位，分别给予10万元、20万元、30万元奖补支持。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 w:bidi="ar"/>
        </w:rPr>
        <w:t>本条政策奖励总额1000万元以内。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620" w:lineRule="exact"/>
        <w:ind w:firstLine="640" w:firstLineChars="200"/>
        <w:textAlignment w:val="auto"/>
        <w:rPr>
          <w:rFonts w:hint="eastAsia" w:ascii="楷体" w:hAnsi="楷体" w:eastAsia="楷体" w:cs="楷体"/>
          <w:color w:val="auto"/>
          <w:sz w:val="32"/>
          <w:szCs w:val="32"/>
          <w:lang w:eastAsia="zh-CN" w:bidi="ar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eastAsia="zh-CN" w:bidi="ar"/>
        </w:rPr>
        <w:t>（四）实施程序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620" w:lineRule="exact"/>
        <w:ind w:firstLine="640" w:firstLineChars="200"/>
        <w:textAlignment w:val="auto"/>
        <w:rPr>
          <w:rFonts w:ascii="方正仿宋_GBK" w:hAnsi="方正仿宋_GBK" w:eastAsia="方正仿宋_GBK" w:cs="方正仿宋_GBK"/>
          <w:color w:val="auto"/>
          <w:sz w:val="32"/>
          <w:szCs w:val="32"/>
          <w:lang w:bidi="ar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bidi="ar"/>
        </w:rPr>
        <w:t>通过属地组织开展政策兑现工作，具体时间另行发文通知。兑现工作按照“企业申报、属地推荐、市局审核、专家评审、集体决策、社会公示”等流程开展，具体程序如下：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6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bidi="ar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 w:bidi="ar"/>
        </w:rPr>
        <w:t>1.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bidi="ar"/>
        </w:rPr>
        <w:t>企业申报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 w:bidi="ar"/>
        </w:rPr>
        <w:t>。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bidi="ar"/>
        </w:rPr>
        <w:t>市工信局发布正式通知，由属地工信部门组织企业进行申报。企业按照申报要求，自愿申报，自行组织材料（纸质版2份），上报属地工信部门。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6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bidi="ar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 w:bidi="ar"/>
        </w:rPr>
        <w:t>2.属地推荐。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bidi="ar"/>
        </w:rPr>
        <w:t>属地工信部门对企业申报材料进行初审，对符合条件的企业择优推荐。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6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bidi="ar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 w:bidi="ar"/>
        </w:rPr>
        <w:t>3.市局审核。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bidi="ar"/>
        </w:rPr>
        <w:t>市工信局相关业务处室对属地推荐企业进行审核。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6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bidi="ar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 w:bidi="ar"/>
        </w:rPr>
        <w:t>4.专家评审。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bidi="ar"/>
        </w:rPr>
        <w:t>组织召开专家评审会，对审核通过企业进行评审。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6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bidi="ar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 w:bidi="ar"/>
        </w:rPr>
        <w:t>5.集体决策。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bidi="ar"/>
        </w:rPr>
        <w:t>结合专家评审意见，确定获得奖励企业名单。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6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bidi="ar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 w:bidi="ar"/>
        </w:rPr>
        <w:t>6.社会公示。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bidi="ar"/>
        </w:rPr>
        <w:t>通过网络向社会公示获得奖励企业名单，兑现奖补资金。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6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/>
          <w:color w:val="auto"/>
          <w:sz w:val="32"/>
          <w:szCs w:val="32"/>
          <w:lang w:bidi="ar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eastAsia="zh-CN" w:bidi="ar"/>
        </w:rPr>
        <w:t>二、政策条款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val="en-US" w:eastAsia="zh-CN" w:bidi="ar"/>
        </w:rPr>
        <w:t>2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eastAsia="zh-CN" w:bidi="ar"/>
        </w:rPr>
        <w:t>：支持重点企业充分释放产能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620" w:lineRule="exact"/>
        <w:ind w:firstLine="640" w:firstLineChars="200"/>
        <w:textAlignment w:val="auto"/>
        <w:rPr>
          <w:rFonts w:ascii="方正仿宋_GBK" w:hAnsi="方正仿宋_GBK" w:eastAsia="方正仿宋_GBK" w:cs="方正仿宋_GBK"/>
          <w:color w:val="auto"/>
          <w:sz w:val="32"/>
          <w:szCs w:val="32"/>
          <w:lang w:bidi="ar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bidi="ar"/>
        </w:rPr>
        <w:t>支持有市场、有订单企业适度增加一季度生产负荷，对2024年一季度产值高于5000万元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 w:bidi="ar"/>
        </w:rPr>
        <w:t>、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bidi="ar"/>
        </w:rPr>
        <w:t>且产值增速不低于全市规上工业产值增速的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 w:bidi="ar"/>
        </w:rPr>
        <w:t>规模以上工业企业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bidi="ar"/>
        </w:rPr>
        <w:t>，按照增速8%以上和10%以上的标准，分别给予10万元、20万元奖补支持。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620" w:lineRule="exact"/>
        <w:ind w:firstLine="640" w:firstLineChars="200"/>
        <w:textAlignment w:val="auto"/>
        <w:rPr>
          <w:rFonts w:hint="eastAsia" w:ascii="楷体" w:hAnsi="楷体" w:eastAsia="楷体" w:cs="楷体"/>
          <w:color w:val="auto"/>
          <w:sz w:val="32"/>
          <w:szCs w:val="32"/>
          <w:lang w:eastAsia="zh-CN" w:bidi="ar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eastAsia="zh-CN" w:bidi="ar"/>
        </w:rPr>
        <w:t>（一）奖励对象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620" w:lineRule="exact"/>
        <w:ind w:firstLine="640" w:firstLineChars="200"/>
        <w:textAlignment w:val="auto"/>
        <w:rPr>
          <w:rFonts w:ascii="黑体" w:hAnsi="宋体" w:eastAsia="黑体" w:cs="方正仿宋_GBK"/>
          <w:color w:val="auto"/>
          <w:sz w:val="32"/>
          <w:szCs w:val="32"/>
          <w:lang w:val="en" w:bidi="ar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" w:bidi="ar"/>
        </w:rPr>
        <w:t>长春市规模以上工业企业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620" w:lineRule="exact"/>
        <w:ind w:firstLine="640" w:firstLineChars="200"/>
        <w:textAlignment w:val="auto"/>
        <w:rPr>
          <w:rFonts w:hint="eastAsia" w:ascii="楷体" w:hAnsi="楷体" w:eastAsia="楷体" w:cs="楷体"/>
          <w:color w:val="auto"/>
          <w:sz w:val="32"/>
          <w:szCs w:val="32"/>
          <w:lang w:eastAsia="zh-CN" w:bidi="ar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eastAsia="zh-CN" w:bidi="ar"/>
        </w:rPr>
        <w:t>（二）奖励条件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620" w:lineRule="exact"/>
        <w:ind w:firstLine="640" w:firstLineChars="200"/>
        <w:textAlignment w:val="auto"/>
        <w:rPr>
          <w:rFonts w:ascii="黑体" w:hAnsi="宋体" w:eastAsia="黑体" w:cs="方正仿宋_GBK"/>
          <w:color w:val="auto"/>
          <w:sz w:val="32"/>
          <w:szCs w:val="32"/>
          <w:lang w:bidi="ar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bidi="ar"/>
        </w:rPr>
        <w:t>2024年一季度产值高于5000万元，且产值增速不低于全市规上工业产值增速的规模以上工业企业。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620" w:lineRule="exact"/>
        <w:ind w:firstLine="640" w:firstLineChars="200"/>
        <w:textAlignment w:val="auto"/>
        <w:rPr>
          <w:rFonts w:hint="eastAsia" w:ascii="楷体" w:hAnsi="楷体" w:eastAsia="楷体" w:cs="楷体"/>
          <w:color w:val="auto"/>
          <w:sz w:val="32"/>
          <w:szCs w:val="32"/>
          <w:lang w:eastAsia="zh-CN" w:bidi="ar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eastAsia="zh-CN" w:bidi="ar"/>
        </w:rPr>
        <w:t>（三）奖励标准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620" w:lineRule="exact"/>
        <w:ind w:firstLine="640" w:firstLineChars="200"/>
        <w:textAlignment w:val="auto"/>
        <w:rPr>
          <w:rFonts w:ascii="黑体" w:hAnsi="宋体" w:eastAsia="黑体" w:cs="方正仿宋_GBK"/>
          <w:color w:val="auto"/>
          <w:sz w:val="32"/>
          <w:szCs w:val="32"/>
          <w:lang w:bidi="ar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bidi="ar"/>
        </w:rPr>
        <w:t>按照同比增长8%以上和10%以上的标准，分别给予10万元、20万元奖补支持。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620" w:lineRule="exact"/>
        <w:ind w:firstLine="640" w:firstLineChars="200"/>
        <w:textAlignment w:val="auto"/>
        <w:rPr>
          <w:rFonts w:hint="eastAsia" w:ascii="楷体" w:hAnsi="楷体" w:eastAsia="楷体" w:cs="楷体"/>
          <w:color w:val="auto"/>
          <w:sz w:val="32"/>
          <w:szCs w:val="32"/>
          <w:lang w:eastAsia="zh-CN" w:bidi="ar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eastAsia="zh-CN" w:bidi="ar"/>
        </w:rPr>
        <w:t>（四）实施程序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6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bidi="ar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bidi="ar"/>
        </w:rPr>
        <w:t>采取“免审即享”方式开展政策兑现工作，具体时间另行发文通知。兑现工作按照“企业申报、属地推荐、集体决策、社会公示”等流程开展，具体程序如下：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6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bidi="ar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 w:bidi="ar"/>
        </w:rPr>
        <w:t>1.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bidi="ar"/>
        </w:rPr>
        <w:t>企业申报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 w:bidi="ar"/>
        </w:rPr>
        <w:t>。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bidi="ar"/>
        </w:rPr>
        <w:t>市工信局发布正式通知，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" w:bidi="ar"/>
        </w:rPr>
        <w:t>符合条件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bidi="ar"/>
        </w:rPr>
        <w:t>的企业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" w:bidi="ar"/>
        </w:rPr>
        <w:t>自愿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bidi="ar"/>
        </w:rPr>
        <w:t>向属地工信部门提出申请（无需佐证材料）。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6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bidi="ar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 w:bidi="ar"/>
        </w:rPr>
        <w:t>2.属地推荐。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bidi="ar"/>
        </w:rPr>
        <w:t>属地工信部门协调属地统计部门，逐户核对企业情况，对符合条件的企业择优推荐。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6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bidi="ar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 w:bidi="ar"/>
        </w:rPr>
        <w:t>3.集体决策。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bidi="ar"/>
        </w:rPr>
        <w:t>市工信局协调市统计局对属地推荐企业进行审核，确定获得奖励企业名单。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6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bidi="ar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 w:bidi="ar"/>
        </w:rPr>
        <w:t>4.社会公示。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bidi="ar"/>
        </w:rPr>
        <w:t>通过网络向社会公示获得奖励企业名单，兑现奖补资金。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62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  <w:lang w:eastAsia="zh-CN" w:bidi="ar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  <w:lang w:eastAsia="zh-CN" w:bidi="ar"/>
        </w:rPr>
        <w:t>三、政策条款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  <w:lang w:val="en-US" w:eastAsia="zh-CN" w:bidi="ar"/>
        </w:rPr>
        <w:t>3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  <w:lang w:eastAsia="zh-CN" w:bidi="ar"/>
        </w:rPr>
        <w:t>：鼓励工业企业升级进档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620" w:lineRule="exact"/>
        <w:ind w:firstLine="640" w:firstLineChars="200"/>
        <w:textAlignment w:val="auto"/>
        <w:rPr>
          <w:rFonts w:ascii="方正仿宋_GBK" w:hAnsi="方正仿宋_GBK" w:eastAsia="方正仿宋_GBK" w:cs="方正仿宋_GBK"/>
          <w:color w:val="auto"/>
          <w:sz w:val="32"/>
          <w:szCs w:val="32"/>
          <w:lang w:bidi="ar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bidi="ar"/>
        </w:rPr>
        <w:t>持续加强中小工业企业扶持力度，对首次达到规模以上标准的工业企业，每户给予20万元奖励。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 w:bidi="ar"/>
        </w:rPr>
        <w:t>加大重点规模以上工业企业培育力度，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bidi="ar"/>
        </w:rPr>
        <w:t>对成长性好、市场前景广阔且年产值首次突破1亿元、5亿元、10亿元、50亿元、100亿元的规模以上工业企业，分别给予最高不超过10万元、30万元、50万元、100万元、200万元的奖励。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620" w:lineRule="exact"/>
        <w:ind w:firstLine="640" w:firstLineChars="200"/>
        <w:textAlignment w:val="auto"/>
        <w:rPr>
          <w:rFonts w:hint="eastAsia" w:ascii="楷体" w:hAnsi="楷体" w:eastAsia="楷体" w:cs="楷体"/>
          <w:color w:val="auto"/>
          <w:sz w:val="32"/>
          <w:szCs w:val="32"/>
          <w:lang w:bidi="ar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eastAsia="zh-CN" w:bidi="ar"/>
        </w:rPr>
        <w:t>（一）</w:t>
      </w:r>
      <w:r>
        <w:rPr>
          <w:rFonts w:hint="eastAsia" w:ascii="楷体" w:hAnsi="楷体" w:eastAsia="楷体" w:cs="楷体"/>
          <w:color w:val="auto"/>
          <w:sz w:val="32"/>
          <w:szCs w:val="32"/>
          <w:lang w:bidi="ar"/>
        </w:rPr>
        <w:t>奖励对象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620" w:lineRule="exact"/>
        <w:ind w:firstLine="640" w:firstLineChars="200"/>
        <w:textAlignment w:val="auto"/>
        <w:rPr>
          <w:rFonts w:ascii="黑体" w:hAnsi="宋体" w:eastAsia="黑体" w:cs="方正仿宋_GBK"/>
          <w:color w:val="auto"/>
          <w:sz w:val="32"/>
          <w:szCs w:val="32"/>
          <w:lang w:val="en" w:bidi="ar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" w:bidi="ar"/>
        </w:rPr>
        <w:t>长春市规模以上工业企业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620" w:lineRule="exact"/>
        <w:ind w:firstLine="640" w:firstLineChars="200"/>
        <w:textAlignment w:val="auto"/>
        <w:rPr>
          <w:rFonts w:hint="eastAsia" w:ascii="楷体" w:hAnsi="楷体" w:eastAsia="楷体" w:cs="楷体"/>
          <w:color w:val="auto"/>
          <w:sz w:val="32"/>
          <w:szCs w:val="32"/>
          <w:lang w:eastAsia="zh-CN" w:bidi="ar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eastAsia="zh-CN" w:bidi="ar"/>
        </w:rPr>
        <w:t>（二）奖励条件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6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bidi="ar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bidi="ar"/>
        </w:rPr>
        <w:t>1.入规奖励：首次达到规模以上标准的工业企业；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6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bidi="ar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bidi="ar"/>
        </w:rPr>
        <w:t>2.上台阶奖励：年产值首次突破1亿元、5亿元、10亿元、50亿元、100亿元的规模以上工业企业。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620" w:lineRule="exact"/>
        <w:ind w:firstLine="640" w:firstLineChars="200"/>
        <w:textAlignment w:val="auto"/>
        <w:rPr>
          <w:rFonts w:hint="eastAsia" w:ascii="楷体" w:hAnsi="楷体" w:eastAsia="楷体" w:cs="楷体"/>
          <w:color w:val="auto"/>
          <w:sz w:val="32"/>
          <w:szCs w:val="32"/>
          <w:lang w:eastAsia="zh-CN" w:bidi="ar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eastAsia="zh-CN" w:bidi="ar"/>
        </w:rPr>
        <w:t>（三）奖励标准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6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bidi="ar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bidi="ar"/>
        </w:rPr>
        <w:t>1.入规奖励：每户给予20万元奖励；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620" w:lineRule="exact"/>
        <w:ind w:firstLine="640" w:firstLineChars="200"/>
        <w:textAlignment w:val="auto"/>
        <w:rPr>
          <w:rFonts w:ascii="方正仿宋_GBK" w:hAnsi="方正仿宋_GBK" w:eastAsia="方正仿宋_GBK" w:cs="方正仿宋_GBK"/>
          <w:color w:val="auto"/>
          <w:sz w:val="32"/>
          <w:szCs w:val="32"/>
          <w:lang w:bidi="ar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bidi="ar"/>
        </w:rPr>
        <w:t>2.上台阶奖励：按照年产值首次突破1亿元、5亿元、10亿元、50亿元、100亿元的标准，分别给予最高不超过10万元、30万元、50万元、100万元、200万元的奖励。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620" w:lineRule="exact"/>
        <w:ind w:firstLine="640" w:firstLineChars="200"/>
        <w:textAlignment w:val="auto"/>
        <w:rPr>
          <w:rFonts w:hint="eastAsia" w:ascii="楷体" w:hAnsi="楷体" w:eastAsia="楷体" w:cs="楷体"/>
          <w:color w:val="auto"/>
          <w:sz w:val="32"/>
          <w:szCs w:val="32"/>
          <w:lang w:eastAsia="zh-CN" w:bidi="ar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eastAsia="zh-CN" w:bidi="ar"/>
        </w:rPr>
        <w:t>（四）实施程序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620" w:lineRule="exact"/>
        <w:ind w:firstLine="640" w:firstLineChars="200"/>
        <w:textAlignment w:val="auto"/>
        <w:rPr>
          <w:rFonts w:ascii="方正仿宋_GBK" w:hAnsi="方正仿宋_GBK" w:eastAsia="方正仿宋_GBK" w:cs="方正仿宋_GBK"/>
          <w:color w:val="auto"/>
          <w:sz w:val="32"/>
          <w:szCs w:val="32"/>
          <w:lang w:bidi="ar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bidi="ar"/>
        </w:rPr>
        <w:t>采取“免审即享”方式开展政策兑现工作，具体时间另行发文通知。兑现工作按照“企业申报、属地推荐、集体决策、社会公示”等流程开展，具体程序如下：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6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bidi="ar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 w:bidi="ar"/>
        </w:rPr>
        <w:t>1.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bidi="ar"/>
        </w:rPr>
        <w:t>企业申报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 w:bidi="ar"/>
        </w:rPr>
        <w:t>。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bidi="ar"/>
        </w:rPr>
        <w:t>市工信局发布正式通知，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" w:bidi="ar"/>
        </w:rPr>
        <w:t>符合条件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bidi="ar"/>
        </w:rPr>
        <w:t>的企业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" w:bidi="ar"/>
        </w:rPr>
        <w:t>自愿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bidi="ar"/>
        </w:rPr>
        <w:t>向属地工信部门提出申请（无需佐证材料）。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6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bidi="ar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 w:bidi="ar"/>
        </w:rPr>
        <w:t>2.属地推荐。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bidi="ar"/>
        </w:rPr>
        <w:t>属地工信部门协调属地统计部门，逐户核对企业情况，对符合条件的企业择优推荐。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6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bidi="ar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 w:bidi="ar"/>
        </w:rPr>
        <w:t>3.集体决策。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bidi="ar"/>
        </w:rPr>
        <w:t>市工信局协调市统计局对属地推荐企业进行审核，确定获得奖励企业名单。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6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bidi="ar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 w:bidi="ar"/>
        </w:rPr>
        <w:t>4.社会公示。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bidi="ar"/>
        </w:rPr>
        <w:t>通过网络向社会公示获得奖励企业名单，兑现奖补资金。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eastAsia="zh-CN" w:bidi="ar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eastAsia="zh-CN" w:bidi="ar"/>
        </w:rPr>
        <w:t>四、政策条款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val="en-US" w:eastAsia="zh-CN" w:bidi="ar"/>
        </w:rPr>
        <w:t>4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eastAsia="zh-CN" w:bidi="ar"/>
        </w:rPr>
        <w:t>：加大专精特新企业培育奖补力度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ind w:firstLine="640" w:firstLineChars="200"/>
        <w:textAlignment w:val="auto"/>
        <w:rPr>
          <w:color w:val="auto"/>
          <w:lang w:bidi="ar"/>
        </w:rPr>
      </w:pPr>
      <w:r>
        <w:rPr>
          <w:rFonts w:hint="eastAsia" w:ascii="方正仿宋_GBK" w:hAnsi="方正仿宋_GBK" w:eastAsia="方正仿宋_GBK" w:cs="方正仿宋_GBK"/>
          <w:color w:val="auto"/>
          <w:lang w:bidi="ar"/>
        </w:rPr>
        <w:t>对2024年首次认定为国家级、省级、市级的“专精特新”中小企业，分别给予50万元、20万元、10万元奖励。对2024年首次获批国家级制造业单项冠军企业、制造业单项冠军产品的，分别给予200万元、100万元奖励。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ind w:firstLine="640" w:firstLineChars="200"/>
        <w:textAlignment w:val="auto"/>
        <w:rPr>
          <w:rFonts w:hint="eastAsia" w:ascii="楷体" w:hAnsi="楷体" w:eastAsia="楷体" w:cs="楷体"/>
          <w:color w:val="auto"/>
          <w:lang w:bidi="ar"/>
        </w:rPr>
      </w:pPr>
      <w:r>
        <w:rPr>
          <w:rFonts w:hint="eastAsia" w:ascii="楷体" w:hAnsi="楷体" w:eastAsia="楷体" w:cs="楷体"/>
          <w:color w:val="auto"/>
          <w:lang w:eastAsia="zh-CN" w:bidi="ar"/>
        </w:rPr>
        <w:t>（一）</w:t>
      </w:r>
      <w:r>
        <w:rPr>
          <w:rFonts w:hint="eastAsia" w:ascii="楷体" w:hAnsi="楷体" w:eastAsia="楷体" w:cs="楷体"/>
          <w:color w:val="auto"/>
          <w:lang w:bidi="ar"/>
        </w:rPr>
        <w:t>奖励对象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ind w:firstLine="640" w:firstLineChars="200"/>
        <w:textAlignment w:val="auto"/>
        <w:rPr>
          <w:rFonts w:hint="eastAsia" w:eastAsia="仿宋_GB2312"/>
          <w:color w:val="auto"/>
          <w:lang w:val="en-US" w:eastAsia="zh-CN" w:bidi="ar"/>
        </w:rPr>
      </w:pPr>
      <w:r>
        <w:rPr>
          <w:rFonts w:hint="eastAsia"/>
          <w:color w:val="auto"/>
          <w:lang w:bidi="ar"/>
        </w:rPr>
        <w:t>长春市行政区域内注册的，2</w:t>
      </w:r>
      <w:r>
        <w:rPr>
          <w:color w:val="auto"/>
          <w:lang w:bidi="ar"/>
        </w:rPr>
        <w:t>024</w:t>
      </w:r>
      <w:r>
        <w:rPr>
          <w:rFonts w:hint="eastAsia"/>
          <w:color w:val="auto"/>
          <w:lang w:bidi="ar"/>
        </w:rPr>
        <w:t>年已被国家工信部、省工信厅、市工信局认定为“专精特新”中小企业的企业。</w:t>
      </w:r>
      <w:r>
        <w:rPr>
          <w:rFonts w:hint="eastAsia"/>
          <w:color w:val="auto"/>
          <w:lang w:val="en-US" w:eastAsia="zh-CN" w:bidi="ar"/>
        </w:rPr>
        <w:t>2024年首次获批工信部单项冠军企业、产品的企业。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ind w:firstLine="640" w:firstLineChars="200"/>
        <w:textAlignment w:val="auto"/>
        <w:rPr>
          <w:rFonts w:hint="eastAsia" w:ascii="楷体" w:hAnsi="楷体" w:eastAsia="楷体" w:cs="楷体"/>
          <w:color w:val="auto"/>
          <w:lang w:eastAsia="zh-CN" w:bidi="ar"/>
        </w:rPr>
      </w:pPr>
      <w:r>
        <w:rPr>
          <w:rFonts w:hint="eastAsia" w:ascii="楷体" w:hAnsi="楷体" w:eastAsia="楷体" w:cs="楷体"/>
          <w:color w:val="auto"/>
          <w:lang w:eastAsia="zh-CN" w:bidi="ar"/>
        </w:rPr>
        <w:t>（二）奖励标准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ind w:firstLine="640" w:firstLineChars="200"/>
        <w:textAlignment w:val="auto"/>
        <w:rPr>
          <w:color w:val="auto"/>
          <w:lang w:bidi="ar"/>
        </w:rPr>
      </w:pPr>
      <w:r>
        <w:rPr>
          <w:rFonts w:hint="eastAsia"/>
          <w:color w:val="auto"/>
          <w:lang w:bidi="ar"/>
        </w:rPr>
        <w:t>对2024年首次认定为国家级、省级、市级的“专精特新”中小企业，分别给予5</w:t>
      </w:r>
      <w:r>
        <w:rPr>
          <w:color w:val="auto"/>
          <w:lang w:bidi="ar"/>
        </w:rPr>
        <w:t>0</w:t>
      </w:r>
      <w:r>
        <w:rPr>
          <w:rFonts w:hint="eastAsia"/>
          <w:color w:val="auto"/>
          <w:lang w:bidi="ar"/>
        </w:rPr>
        <w:t>万元、2</w:t>
      </w:r>
      <w:r>
        <w:rPr>
          <w:color w:val="auto"/>
          <w:lang w:bidi="ar"/>
        </w:rPr>
        <w:t>0</w:t>
      </w:r>
      <w:r>
        <w:rPr>
          <w:rFonts w:hint="eastAsia"/>
          <w:color w:val="auto"/>
          <w:lang w:bidi="ar"/>
        </w:rPr>
        <w:t>万元、1</w:t>
      </w:r>
      <w:r>
        <w:rPr>
          <w:color w:val="auto"/>
          <w:lang w:bidi="ar"/>
        </w:rPr>
        <w:t>0</w:t>
      </w:r>
      <w:r>
        <w:rPr>
          <w:rFonts w:hint="eastAsia"/>
          <w:color w:val="auto"/>
          <w:lang w:bidi="ar"/>
        </w:rPr>
        <w:t>万元奖励。</w:t>
      </w:r>
      <w:r>
        <w:rPr>
          <w:rFonts w:hint="eastAsia" w:ascii="方正仿宋_GBK" w:hAnsi="方正仿宋_GBK" w:eastAsia="方正仿宋_GBK" w:cs="方正仿宋_GBK"/>
          <w:color w:val="auto"/>
          <w:lang w:bidi="ar"/>
        </w:rPr>
        <w:t>对2024年首次获批国家级制造业单项冠军企业、制造业单项冠军产品的，分别给予200万元、100万元奖励。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ind w:firstLine="640" w:firstLineChars="200"/>
        <w:textAlignment w:val="auto"/>
        <w:rPr>
          <w:rFonts w:hint="eastAsia" w:ascii="楷体" w:hAnsi="楷体" w:eastAsia="楷体" w:cs="楷体"/>
          <w:color w:val="auto"/>
          <w:lang w:eastAsia="zh-CN" w:bidi="ar"/>
        </w:rPr>
      </w:pPr>
      <w:r>
        <w:rPr>
          <w:rFonts w:hint="eastAsia" w:ascii="楷体" w:hAnsi="楷体" w:eastAsia="楷体" w:cs="楷体"/>
          <w:color w:val="auto"/>
          <w:lang w:eastAsia="zh-CN" w:bidi="ar"/>
        </w:rPr>
        <w:t>（三）实施程序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ind w:firstLine="640" w:firstLineChars="200"/>
        <w:textAlignment w:val="auto"/>
        <w:rPr>
          <w:rFonts w:hint="eastAsia"/>
          <w:color w:val="auto"/>
          <w:lang w:bidi="ar"/>
        </w:rPr>
      </w:pPr>
      <w:r>
        <w:rPr>
          <w:rFonts w:hint="eastAsia"/>
          <w:color w:val="auto"/>
          <w:lang w:bidi="ar"/>
        </w:rPr>
        <w:t>奖励项目上线长春市政策服务网上大厅，申报单位按要求在线上填报企业相关信息；如遇特殊情况，亦可采取线下方式申报。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eastAsia="zh-CN" w:bidi="ar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eastAsia="zh-CN" w:bidi="ar"/>
        </w:rPr>
        <w:t>五、政策条款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val="en-US" w:eastAsia="zh-CN" w:bidi="ar"/>
        </w:rPr>
        <w:t>5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eastAsia="zh-CN" w:bidi="ar"/>
        </w:rPr>
        <w:t>：全力支持企业“智改数转”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firstLine="660" w:firstLineChars="200"/>
        <w:textAlignment w:val="auto"/>
        <w:rPr>
          <w:rFonts w:ascii="方正仿宋_GBK" w:hAnsi="方正仿宋_GBK" w:eastAsia="方正仿宋_GBK" w:cs="方正仿宋_GBK"/>
          <w:color w:val="auto"/>
          <w:spacing w:val="5"/>
        </w:rPr>
      </w:pPr>
      <w:r>
        <w:rPr>
          <w:rFonts w:hint="eastAsia" w:ascii="方正仿宋_GBK" w:hAnsi="方正仿宋_GBK" w:eastAsia="方正仿宋_GBK" w:cs="方正仿宋_GBK"/>
          <w:color w:val="auto"/>
          <w:spacing w:val="5"/>
        </w:rPr>
        <w:t>统筹1.5亿元专项资金，支持重点工业企业“智改数转”项目建设，完成600户企业的数字化改造升级。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firstLine="660" w:firstLineChars="200"/>
        <w:textAlignment w:val="auto"/>
        <w:rPr>
          <w:rFonts w:hint="eastAsia" w:ascii="楷体" w:hAnsi="楷体" w:eastAsia="楷体" w:cs="楷体"/>
          <w:color w:val="auto"/>
          <w:spacing w:val="5"/>
          <w:lang w:eastAsia="zh-CN"/>
        </w:rPr>
      </w:pPr>
      <w:r>
        <w:rPr>
          <w:rFonts w:hint="eastAsia" w:ascii="楷体" w:hAnsi="楷体" w:eastAsia="楷体" w:cs="楷体"/>
          <w:color w:val="auto"/>
          <w:spacing w:val="5"/>
          <w:lang w:eastAsia="zh-CN"/>
        </w:rPr>
        <w:t>（一）奖励对象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firstLine="66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pacing w:val="5"/>
        </w:rPr>
      </w:pPr>
      <w:r>
        <w:rPr>
          <w:rFonts w:hint="eastAsia" w:ascii="方正仿宋_GBK" w:hAnsi="方正仿宋_GBK" w:eastAsia="方正仿宋_GBK" w:cs="方正仿宋_GBK"/>
          <w:color w:val="auto"/>
          <w:spacing w:val="5"/>
        </w:rPr>
        <w:t>中央财政拨付国家首批中小企业数字化转型试点城市1.5亿中小企业发展专项资金，用于支持汽车零部件配件制造、轨道交通高端装备制造、电子元器件制造、中成药生物药品制品制造等4个细分行业中小企业（重点支持规上中小企业），</w:t>
      </w:r>
      <w:r>
        <w:rPr>
          <w:rFonts w:hint="eastAsia" w:ascii="Times New Roman" w:hAnsi="Times New Roman" w:eastAsia="方正仿宋_GBK" w:cs="方正仿宋_GBK"/>
          <w:color w:val="auto"/>
          <w:kern w:val="0"/>
          <w:lang w:bidi="en-US"/>
        </w:rPr>
        <w:t>进行数字化转型，提升数字化水平。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firstLine="660" w:firstLineChars="200"/>
        <w:textAlignment w:val="auto"/>
        <w:rPr>
          <w:rFonts w:hint="eastAsia" w:ascii="楷体" w:hAnsi="楷体" w:eastAsia="楷体" w:cs="楷体"/>
          <w:color w:val="auto"/>
          <w:spacing w:val="5"/>
          <w:lang w:eastAsia="zh-CN"/>
        </w:rPr>
      </w:pPr>
      <w:r>
        <w:rPr>
          <w:rFonts w:hint="eastAsia" w:ascii="楷体" w:hAnsi="楷体" w:eastAsia="楷体" w:cs="楷体"/>
          <w:color w:val="auto"/>
          <w:spacing w:val="5"/>
          <w:lang w:eastAsia="zh-CN"/>
        </w:rPr>
        <w:t>（二）奖励条件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firstLine="660" w:firstLineChars="200"/>
        <w:textAlignment w:val="auto"/>
        <w:rPr>
          <w:rFonts w:ascii="方正仿宋_GBK" w:hAnsi="方正仿宋_GBK" w:eastAsia="方正仿宋_GBK" w:cs="方正仿宋_GBK"/>
          <w:color w:val="auto"/>
          <w:spacing w:val="5"/>
        </w:rPr>
      </w:pPr>
      <w:r>
        <w:rPr>
          <w:rFonts w:hint="eastAsia" w:ascii="方正仿宋_GBK" w:hAnsi="方正仿宋_GBK" w:eastAsia="方正仿宋_GBK" w:cs="方正仿宋_GBK"/>
          <w:color w:val="auto"/>
          <w:spacing w:val="5"/>
        </w:rPr>
        <w:t>支持软件、云服务支出，网关、路由等必要的数据采集传输设备支出，咨询诊断等服务支出。企业应注重加强改造深度，着重开展生产制造等相关环节的改造。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firstLine="660" w:firstLineChars="200"/>
        <w:textAlignment w:val="auto"/>
        <w:rPr>
          <w:rFonts w:hint="eastAsia" w:ascii="楷体" w:hAnsi="楷体" w:eastAsia="楷体" w:cs="楷体"/>
          <w:color w:val="auto"/>
          <w:spacing w:val="5"/>
          <w:lang w:eastAsia="zh-CN"/>
        </w:rPr>
      </w:pPr>
      <w:r>
        <w:rPr>
          <w:rFonts w:hint="eastAsia" w:ascii="楷体" w:hAnsi="楷体" w:eastAsia="楷体" w:cs="楷体"/>
          <w:color w:val="auto"/>
          <w:spacing w:val="5"/>
          <w:lang w:eastAsia="zh-CN"/>
        </w:rPr>
        <w:t>（三）奖励标准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firstLine="660" w:firstLineChars="200"/>
        <w:textAlignment w:val="auto"/>
        <w:rPr>
          <w:rFonts w:ascii="方正仿宋_GBK" w:hAnsi="方正仿宋_GBK" w:eastAsia="方正仿宋_GBK" w:cs="方正仿宋_GBK"/>
          <w:color w:val="auto"/>
          <w:spacing w:val="5"/>
        </w:rPr>
      </w:pPr>
      <w:r>
        <w:rPr>
          <w:rFonts w:hint="eastAsia" w:ascii="方正仿宋_GBK" w:hAnsi="方正仿宋_GBK" w:eastAsia="方正仿宋_GBK" w:cs="方正仿宋_GBK"/>
          <w:color w:val="auto"/>
          <w:spacing w:val="5"/>
        </w:rPr>
        <w:t>按核定改造投入的比例最高不超过</w:t>
      </w:r>
      <w:r>
        <w:rPr>
          <w:rFonts w:ascii="方正仿宋_GBK" w:hAnsi="方正仿宋_GBK" w:eastAsia="方正仿宋_GBK" w:cs="方正仿宋_GBK"/>
          <w:color w:val="auto"/>
          <w:spacing w:val="5"/>
        </w:rPr>
        <w:t>30%</w:t>
      </w:r>
      <w:r>
        <w:rPr>
          <w:rFonts w:hint="eastAsia" w:ascii="方正仿宋_GBK" w:hAnsi="方正仿宋_GBK" w:eastAsia="方正仿宋_GBK" w:cs="方正仿宋_GBK"/>
          <w:color w:val="auto"/>
          <w:spacing w:val="5"/>
        </w:rPr>
        <w:t>，奖补金额最高不超过</w:t>
      </w:r>
      <w:r>
        <w:rPr>
          <w:rFonts w:ascii="方正仿宋_GBK" w:hAnsi="方正仿宋_GBK" w:eastAsia="方正仿宋_GBK" w:cs="方正仿宋_GBK"/>
          <w:color w:val="auto"/>
          <w:spacing w:val="5"/>
        </w:rPr>
        <w:t>50</w:t>
      </w:r>
      <w:r>
        <w:rPr>
          <w:rFonts w:hint="eastAsia" w:ascii="方正仿宋_GBK" w:hAnsi="方正仿宋_GBK" w:eastAsia="方正仿宋_GBK" w:cs="方正仿宋_GBK"/>
          <w:color w:val="auto"/>
          <w:spacing w:val="5"/>
        </w:rPr>
        <w:t>万元。生产制造环节数字化改造项目将在此基础上给予更高比例支持。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firstLine="660" w:firstLineChars="200"/>
        <w:textAlignment w:val="auto"/>
        <w:rPr>
          <w:rFonts w:hint="eastAsia" w:ascii="楷体" w:hAnsi="楷体" w:eastAsia="楷体" w:cs="楷体"/>
          <w:color w:val="auto"/>
          <w:spacing w:val="5"/>
          <w:lang w:eastAsia="zh-CN"/>
        </w:rPr>
      </w:pPr>
      <w:r>
        <w:rPr>
          <w:rFonts w:hint="eastAsia" w:ascii="楷体" w:hAnsi="楷体" w:eastAsia="楷体" w:cs="楷体"/>
          <w:color w:val="auto"/>
          <w:spacing w:val="5"/>
          <w:lang w:eastAsia="zh-CN"/>
        </w:rPr>
        <w:t>（四）实施程序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firstLine="660" w:firstLineChars="200"/>
        <w:textAlignment w:val="auto"/>
        <w:rPr>
          <w:rFonts w:ascii="方正仿宋_GBK" w:hAnsi="方正仿宋_GBK" w:eastAsia="方正仿宋_GBK" w:cs="方正仿宋_GBK"/>
          <w:color w:val="auto"/>
          <w:spacing w:val="5"/>
        </w:rPr>
      </w:pPr>
      <w:r>
        <w:rPr>
          <w:rFonts w:hint="eastAsia" w:ascii="方正仿宋_GBK" w:hAnsi="方正仿宋_GBK" w:eastAsia="方正仿宋_GBK" w:cs="方正仿宋_GBK"/>
          <w:color w:val="auto"/>
          <w:spacing w:val="5"/>
        </w:rPr>
        <w:t>政策兑现按照“组织申报、属地推荐、联合审核、专家评审、集体决策、社会公示”等程序开展。具体程序如下：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firstLine="66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pacing w:val="5"/>
        </w:rPr>
      </w:pPr>
      <w:r>
        <w:rPr>
          <w:rFonts w:hint="eastAsia" w:ascii="方正仿宋_GBK" w:hAnsi="方正仿宋_GBK" w:eastAsia="方正仿宋_GBK" w:cs="方正仿宋_GBK"/>
          <w:color w:val="auto"/>
          <w:spacing w:val="5"/>
          <w:lang w:val="en-US" w:eastAsia="zh-CN"/>
        </w:rPr>
        <w:t>1.</w:t>
      </w:r>
      <w:r>
        <w:rPr>
          <w:rFonts w:hint="eastAsia" w:ascii="方正仿宋_GBK" w:hAnsi="方正仿宋_GBK" w:eastAsia="方正仿宋_GBK" w:cs="方正仿宋_GBK"/>
          <w:color w:val="auto"/>
          <w:spacing w:val="5"/>
        </w:rPr>
        <w:t>组织申报</w:t>
      </w:r>
      <w:r>
        <w:rPr>
          <w:rFonts w:hint="eastAsia" w:ascii="方正仿宋_GBK" w:hAnsi="方正仿宋_GBK" w:eastAsia="方正仿宋_GBK" w:cs="方正仿宋_GBK"/>
          <w:color w:val="auto"/>
          <w:spacing w:val="5"/>
          <w:lang w:eastAsia="zh-CN"/>
        </w:rPr>
        <w:t>。</w:t>
      </w:r>
      <w:r>
        <w:rPr>
          <w:rFonts w:hint="eastAsia" w:ascii="方正仿宋_GBK" w:hAnsi="方正仿宋_GBK" w:eastAsia="方正仿宋_GBK" w:cs="方正仿宋_GBK"/>
          <w:color w:val="auto"/>
          <w:spacing w:val="5"/>
        </w:rPr>
        <w:t>市工信局发布申报通知，由属地工信部门组织企业进行申报。企业自愿申报，按要求组织材料，上报属地工信部门。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firstLine="66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pacing w:val="5"/>
        </w:rPr>
      </w:pPr>
      <w:r>
        <w:rPr>
          <w:rFonts w:hint="eastAsia" w:ascii="方正仿宋_GBK" w:hAnsi="方正仿宋_GBK" w:eastAsia="方正仿宋_GBK" w:cs="方正仿宋_GBK"/>
          <w:color w:val="auto"/>
          <w:spacing w:val="5"/>
          <w:lang w:val="en-US" w:eastAsia="zh-CN"/>
        </w:rPr>
        <w:t>2.</w:t>
      </w:r>
      <w:r>
        <w:rPr>
          <w:rFonts w:hint="eastAsia" w:ascii="方正仿宋_GBK" w:hAnsi="方正仿宋_GBK" w:eastAsia="方正仿宋_GBK" w:cs="方正仿宋_GBK"/>
          <w:color w:val="auto"/>
          <w:spacing w:val="5"/>
        </w:rPr>
        <w:t>属地推荐</w:t>
      </w:r>
      <w:r>
        <w:rPr>
          <w:rFonts w:hint="eastAsia" w:ascii="方正仿宋_GBK" w:hAnsi="方正仿宋_GBK" w:eastAsia="方正仿宋_GBK" w:cs="方正仿宋_GBK"/>
          <w:color w:val="auto"/>
          <w:spacing w:val="5"/>
          <w:lang w:eastAsia="zh-CN"/>
        </w:rPr>
        <w:t>。</w:t>
      </w:r>
      <w:r>
        <w:rPr>
          <w:rFonts w:hint="eastAsia" w:ascii="方正仿宋_GBK" w:hAnsi="方正仿宋_GBK" w:eastAsia="方正仿宋_GBK" w:cs="方正仿宋_GBK"/>
          <w:color w:val="auto"/>
          <w:spacing w:val="5"/>
        </w:rPr>
        <w:t>属地工信部门联合财政部门对企业申报材料进行初审，对建设项目进行实地踏查，对符合条件的项目择优推荐。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firstLine="66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pacing w:val="5"/>
        </w:rPr>
      </w:pPr>
      <w:r>
        <w:rPr>
          <w:rFonts w:hint="eastAsia" w:ascii="方正仿宋_GBK" w:hAnsi="方正仿宋_GBK" w:eastAsia="方正仿宋_GBK" w:cs="方正仿宋_GBK"/>
          <w:color w:val="auto"/>
          <w:spacing w:val="5"/>
          <w:lang w:val="en-US" w:eastAsia="zh-CN"/>
        </w:rPr>
        <w:t>3.</w:t>
      </w:r>
      <w:r>
        <w:rPr>
          <w:rFonts w:hint="eastAsia" w:ascii="方正仿宋_GBK" w:hAnsi="方正仿宋_GBK" w:eastAsia="方正仿宋_GBK" w:cs="方正仿宋_GBK"/>
          <w:color w:val="auto"/>
          <w:spacing w:val="5"/>
        </w:rPr>
        <w:t>市局审核</w:t>
      </w:r>
      <w:r>
        <w:rPr>
          <w:rFonts w:hint="eastAsia" w:ascii="方正仿宋_GBK" w:hAnsi="方正仿宋_GBK" w:eastAsia="方正仿宋_GBK" w:cs="方正仿宋_GBK"/>
          <w:color w:val="auto"/>
          <w:spacing w:val="5"/>
          <w:lang w:eastAsia="zh-CN"/>
        </w:rPr>
        <w:t>。</w:t>
      </w:r>
      <w:r>
        <w:rPr>
          <w:rFonts w:hint="eastAsia" w:ascii="方正仿宋_GBK" w:hAnsi="方正仿宋_GBK" w:eastAsia="方正仿宋_GBK" w:cs="方正仿宋_GBK"/>
          <w:color w:val="auto"/>
          <w:spacing w:val="5"/>
        </w:rPr>
        <w:t>市工信局相关业务处室对属地推荐项目进行审核。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firstLine="66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pacing w:val="5"/>
        </w:rPr>
      </w:pPr>
      <w:r>
        <w:rPr>
          <w:rFonts w:hint="eastAsia" w:ascii="方正仿宋_GBK" w:hAnsi="方正仿宋_GBK" w:eastAsia="方正仿宋_GBK" w:cs="方正仿宋_GBK"/>
          <w:color w:val="auto"/>
          <w:spacing w:val="5"/>
          <w:lang w:val="en-US" w:eastAsia="zh-CN"/>
        </w:rPr>
        <w:t>4.</w:t>
      </w:r>
      <w:r>
        <w:rPr>
          <w:rFonts w:hint="eastAsia" w:ascii="方正仿宋_GBK" w:hAnsi="方正仿宋_GBK" w:eastAsia="方正仿宋_GBK" w:cs="方正仿宋_GBK"/>
          <w:color w:val="auto"/>
          <w:spacing w:val="5"/>
        </w:rPr>
        <w:t>专家评审</w:t>
      </w:r>
      <w:r>
        <w:rPr>
          <w:rFonts w:hint="eastAsia" w:ascii="方正仿宋_GBK" w:hAnsi="方正仿宋_GBK" w:eastAsia="方正仿宋_GBK" w:cs="方正仿宋_GBK"/>
          <w:color w:val="auto"/>
          <w:spacing w:val="5"/>
          <w:lang w:eastAsia="zh-CN"/>
        </w:rPr>
        <w:t>。</w:t>
      </w:r>
      <w:r>
        <w:rPr>
          <w:rFonts w:hint="eastAsia" w:ascii="方正仿宋_GBK" w:hAnsi="方正仿宋_GBK" w:eastAsia="方正仿宋_GBK" w:cs="方正仿宋_GBK"/>
          <w:color w:val="auto"/>
          <w:spacing w:val="5"/>
        </w:rPr>
        <w:t>市工信局组织召开专家评审会，对审核通过项目进行评审。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firstLine="66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pacing w:val="5"/>
        </w:rPr>
      </w:pPr>
      <w:r>
        <w:rPr>
          <w:rFonts w:hint="eastAsia" w:ascii="方正仿宋_GBK" w:hAnsi="方正仿宋_GBK" w:eastAsia="方正仿宋_GBK" w:cs="方正仿宋_GBK"/>
          <w:color w:val="auto"/>
          <w:spacing w:val="5"/>
          <w:lang w:val="en-US" w:eastAsia="zh-CN"/>
        </w:rPr>
        <w:t>5.</w:t>
      </w:r>
      <w:r>
        <w:rPr>
          <w:rFonts w:hint="eastAsia" w:ascii="方正仿宋_GBK" w:hAnsi="方正仿宋_GBK" w:eastAsia="方正仿宋_GBK" w:cs="方正仿宋_GBK"/>
          <w:color w:val="auto"/>
          <w:spacing w:val="5"/>
        </w:rPr>
        <w:t>集体决策</w:t>
      </w:r>
      <w:r>
        <w:rPr>
          <w:rFonts w:hint="eastAsia" w:ascii="方正仿宋_GBK" w:hAnsi="方正仿宋_GBK" w:eastAsia="方正仿宋_GBK" w:cs="方正仿宋_GBK"/>
          <w:color w:val="auto"/>
          <w:spacing w:val="5"/>
          <w:lang w:eastAsia="zh-CN"/>
        </w:rPr>
        <w:t>。</w:t>
      </w:r>
      <w:r>
        <w:rPr>
          <w:rFonts w:hint="eastAsia" w:ascii="方正仿宋_GBK" w:hAnsi="方正仿宋_GBK" w:eastAsia="方正仿宋_GBK" w:cs="方正仿宋_GBK"/>
          <w:color w:val="auto"/>
          <w:spacing w:val="5"/>
        </w:rPr>
        <w:t>市工信局结合专家评审意见，对审核通过项目进行审议。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firstLine="66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pacing w:val="5"/>
        </w:rPr>
      </w:pPr>
      <w:r>
        <w:rPr>
          <w:rFonts w:hint="eastAsia" w:ascii="方正仿宋_GBK" w:hAnsi="方正仿宋_GBK" w:eastAsia="方正仿宋_GBK" w:cs="方正仿宋_GBK"/>
          <w:color w:val="auto"/>
          <w:spacing w:val="5"/>
          <w:lang w:val="en-US" w:eastAsia="zh-CN"/>
        </w:rPr>
        <w:t>6.</w:t>
      </w:r>
      <w:r>
        <w:rPr>
          <w:rFonts w:hint="eastAsia" w:ascii="方正仿宋_GBK" w:hAnsi="方正仿宋_GBK" w:eastAsia="方正仿宋_GBK" w:cs="方正仿宋_GBK"/>
          <w:color w:val="auto"/>
          <w:spacing w:val="5"/>
        </w:rPr>
        <w:t>社会公示</w:t>
      </w:r>
      <w:r>
        <w:rPr>
          <w:rFonts w:hint="eastAsia" w:ascii="方正仿宋_GBK" w:hAnsi="方正仿宋_GBK" w:eastAsia="方正仿宋_GBK" w:cs="方正仿宋_GBK"/>
          <w:color w:val="auto"/>
          <w:spacing w:val="5"/>
          <w:lang w:eastAsia="zh-CN"/>
        </w:rPr>
        <w:t>。</w:t>
      </w:r>
      <w:r>
        <w:rPr>
          <w:rFonts w:hint="eastAsia" w:ascii="方正仿宋_GBK" w:hAnsi="方正仿宋_GBK" w:eastAsia="方正仿宋_GBK" w:cs="方正仿宋_GBK"/>
          <w:color w:val="auto"/>
          <w:spacing w:val="5"/>
        </w:rPr>
        <w:t>市工信局通过网络向社会公示拟支持项目信息，兑现奖补资金。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eastAsia="zh-CN" w:bidi="ar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eastAsia="zh-CN" w:bidi="ar"/>
        </w:rPr>
        <w:t>六、政策条款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val="en-US" w:eastAsia="zh-CN" w:bidi="ar"/>
        </w:rPr>
        <w:t>16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eastAsia="zh-CN" w:bidi="ar"/>
        </w:rPr>
        <w:t>：鼓励支持技改项目投资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bidi="ar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bidi="ar"/>
        </w:rPr>
        <w:t>鼓励存量企业追加投资，加大技术改造力度，对2024年新增固定资产总投资3000万元以上的项目，按设备投资5%给予最高不超过200万元的补助。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ind w:firstLine="640" w:firstLineChars="200"/>
        <w:textAlignment w:val="auto"/>
        <w:rPr>
          <w:rFonts w:hint="eastAsia" w:ascii="楷体" w:hAnsi="楷体" w:eastAsia="楷体" w:cs="楷体"/>
          <w:color w:val="auto"/>
          <w:sz w:val="32"/>
          <w:szCs w:val="32"/>
          <w:lang w:eastAsia="zh-CN" w:bidi="ar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eastAsia="zh-CN" w:bidi="ar"/>
        </w:rPr>
        <w:t>（一）奖励对象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bidi="ar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bidi="ar"/>
        </w:rPr>
        <w:t>长春市工业企业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ind w:firstLine="640" w:firstLineChars="200"/>
        <w:textAlignment w:val="auto"/>
        <w:rPr>
          <w:rFonts w:hint="eastAsia" w:ascii="楷体" w:hAnsi="楷体" w:eastAsia="楷体" w:cs="楷体"/>
          <w:color w:val="auto"/>
          <w:sz w:val="32"/>
          <w:szCs w:val="32"/>
          <w:lang w:eastAsia="zh-CN" w:bidi="ar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eastAsia="zh-CN" w:bidi="ar"/>
        </w:rPr>
        <w:t>（二）奖励条件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bidi="ar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bidi="ar"/>
        </w:rPr>
        <w:t>1.项目投资主体为2024年以前在长春市注册，具有独立法人资格。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bidi="ar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bidi="ar"/>
        </w:rPr>
        <w:t>2.申报项目为技术改造项目，建设地为长春市域内。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bidi="ar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bidi="ar"/>
        </w:rPr>
        <w:t>3. 2024年以来新增固定资产总投资额3000万元以上的项目。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ind w:firstLine="640" w:firstLineChars="200"/>
        <w:textAlignment w:val="auto"/>
        <w:rPr>
          <w:rFonts w:hint="eastAsia" w:ascii="楷体" w:hAnsi="楷体" w:eastAsia="楷体" w:cs="楷体"/>
          <w:color w:val="auto"/>
          <w:sz w:val="32"/>
          <w:szCs w:val="32"/>
          <w:lang w:eastAsia="zh-CN" w:bidi="ar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eastAsia="zh-CN" w:bidi="ar"/>
        </w:rPr>
        <w:t>（三）奖励标准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bidi="ar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bidi="ar"/>
        </w:rPr>
        <w:t>设备投资的5%，最高不超过200万元。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ind w:firstLine="640" w:firstLineChars="200"/>
        <w:textAlignment w:val="auto"/>
        <w:rPr>
          <w:rFonts w:hint="eastAsia" w:ascii="楷体" w:hAnsi="楷体" w:eastAsia="楷体" w:cs="楷体"/>
          <w:color w:val="auto"/>
          <w:sz w:val="32"/>
          <w:szCs w:val="32"/>
          <w:lang w:eastAsia="zh-CN" w:bidi="ar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eastAsia="zh-CN" w:bidi="ar"/>
        </w:rPr>
        <w:t>（四）实施程序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bidi="ar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bidi="ar"/>
        </w:rPr>
        <w:t>政策兑现按照“组织申报、属地推荐、联合审核、专家评审、集体决策、社会公示”等程序开展。具体程序如下：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bidi="ar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 w:bidi="ar"/>
        </w:rPr>
        <w:t>1.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bidi="ar"/>
        </w:rPr>
        <w:t>组织申报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 w:bidi="ar"/>
        </w:rPr>
        <w:t>。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bidi="ar"/>
        </w:rPr>
        <w:t>市工信局发布申报通知，由属地工信部门组织企业进行申报。企业自愿申报，按要求组织材料，上报属地工信部门。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bidi="ar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 w:bidi="ar"/>
        </w:rPr>
        <w:t>2.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bidi="ar"/>
        </w:rPr>
        <w:t>属地推荐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 w:bidi="ar"/>
        </w:rPr>
        <w:t>。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bidi="ar"/>
        </w:rPr>
        <w:t>属地工信部门联合财政部门对企业申报材料进行初审，对建设项目进行实地踏查，对符合条件的项目择优推荐。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bidi="ar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 w:bidi="ar"/>
        </w:rPr>
        <w:t>3.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bidi="ar"/>
        </w:rPr>
        <w:t>联合审核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 w:bidi="ar"/>
        </w:rPr>
        <w:t>。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bidi="ar"/>
        </w:rPr>
        <w:t>市工信局联合市财政局对属地推荐项目进行审核，联合审核通过的项目由申报企业提供专项审计报告。（审计报告在“注册会计师行业统一监管平台”可验证）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bidi="ar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 w:bidi="ar"/>
        </w:rPr>
        <w:t>4.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bidi="ar"/>
        </w:rPr>
        <w:t>专家评审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 w:bidi="ar"/>
        </w:rPr>
        <w:t>。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bidi="ar"/>
        </w:rPr>
        <w:t>市工信局组织召开专家评审会，对审核通过项目进行评审。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bidi="ar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 w:bidi="ar"/>
        </w:rPr>
        <w:t>5.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bidi="ar"/>
        </w:rPr>
        <w:t>集体决策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 w:bidi="ar"/>
        </w:rPr>
        <w:t>。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bidi="ar"/>
        </w:rPr>
        <w:t>市工信局结合专家评审意见，对审核通过项目进行审议。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bidi="ar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 w:bidi="ar"/>
        </w:rPr>
        <w:t>6.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bidi="ar"/>
        </w:rPr>
        <w:t>社会公示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 w:bidi="ar"/>
        </w:rPr>
        <w:t>。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bidi="ar"/>
        </w:rPr>
        <w:t>市工信局通过网络向社会公示拟支持项目信息。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eastAsia="zh-CN" w:bidi="ar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eastAsia="zh-CN" w:bidi="ar"/>
        </w:rPr>
        <w:t>七、政策条款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val="en-US" w:eastAsia="zh-CN" w:bidi="ar"/>
        </w:rPr>
        <w:t>22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eastAsia="zh-CN" w:bidi="ar"/>
        </w:rPr>
        <w:t>：集中开展助企纾困解难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60" w:lineRule="exact"/>
        <w:ind w:left="0" w:right="0" w:firstLine="660" w:firstLineChars="200"/>
        <w:jc w:val="both"/>
        <w:textAlignment w:val="auto"/>
        <w:rPr>
          <w:rFonts w:hint="eastAsia" w:ascii="方正仿宋_GBK" w:hAnsi="方正仿宋_GBK" w:eastAsia="方正仿宋_GBK" w:cs="方正仿宋_GBK"/>
          <w:color w:val="auto"/>
          <w:spacing w:val="5"/>
          <w:highlight w:val="none"/>
          <w:lang w:eastAsia="zh-CN"/>
        </w:rPr>
      </w:pPr>
      <w:r>
        <w:rPr>
          <w:rFonts w:hint="eastAsia" w:ascii="方正仿宋_GBK" w:hAnsi="方正仿宋_GBK" w:eastAsia="方正仿宋_GBK" w:cs="方正仿宋_GBK"/>
          <w:color w:val="auto"/>
          <w:spacing w:val="5"/>
          <w:highlight w:val="none"/>
          <w:lang w:eastAsia="zh-CN"/>
        </w:rPr>
        <w:t>持续深化“万人驻（助）万企”工作机制，依托区属平台公司或委托第三方，对“四上企业”开展财务、法律等专班直达服务。3月底前，集中梳理和研究解决一批市场主体在销售、原材料、用工等生产经营中的突出困难问题。强化重点企业电、油、气、运等各类生产要素保障，确保特殊气候、春节假期等期间不发生断供现象，全力支持企业加快发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en-US" w:eastAsia="zh-CN" w:bidi="ar-SA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en-US" w:eastAsia="zh-CN" w:bidi="ar-SA"/>
        </w:rPr>
        <w:t>（一）驻（助）企对象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60" w:lineRule="exact"/>
        <w:ind w:left="0" w:right="0" w:firstLine="640" w:firstLineChars="200"/>
        <w:jc w:val="both"/>
        <w:textAlignment w:val="auto"/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  <w:lang w:val="en-US" w:eastAsia="zh-CN" w:bidi="ar-SA"/>
        </w:rPr>
        <w:t>全市工业、服务业、建筑业、批零住餐业、房地产业的重点企业。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 w:eastAsia="zh-CN" w:bidi="ar-SA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 w:eastAsia="zh-CN" w:bidi="ar-SA"/>
        </w:rPr>
        <w:t>（二）驻（助）企主体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right="0" w:firstLine="640" w:firstLineChars="200"/>
        <w:jc w:val="both"/>
        <w:textAlignment w:val="auto"/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  <w:lang w:val="en-US" w:eastAsia="zh-CN" w:bidi="ar-SA"/>
        </w:rPr>
        <w:t>市工信局、市发改委、市建委、市房管局、市商务局等行业管理部门及各县（市）区、开发区。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 w:eastAsia="zh-CN" w:bidi="ar-SA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zh-CN" w:eastAsia="zh-CN" w:bidi="ar-SA"/>
        </w:rPr>
        <w:t>（三）驻（助）企职责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60" w:lineRule="exact"/>
        <w:ind w:left="0" w:right="0" w:firstLine="640" w:firstLineChars="200"/>
        <w:jc w:val="both"/>
        <w:textAlignment w:val="auto"/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  <w:lang w:val="en-US" w:eastAsia="zh-CN" w:bidi="ar-SA"/>
        </w:rPr>
        <w:t>通过驻（助）企专员对企业进行对接联络、入库入统、政策宣传、困难化解、发展参谋、党建指导、信访维稳、安全生产等方面的服务。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en-US" w:eastAsia="zh-CN" w:bidi="ar-SA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en-US" w:eastAsia="zh-CN" w:bidi="ar-SA"/>
        </w:rPr>
        <w:t>（四）驻（助）企机制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60" w:lineRule="exact"/>
        <w:ind w:left="0" w:leftChars="0" w:right="0" w:firstLine="640" w:firstLineChars="200"/>
        <w:jc w:val="both"/>
        <w:textAlignment w:val="auto"/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lang w:eastAsia="zh-CN"/>
        </w:rPr>
        <w:t>根据2024年度市政府第1次常务会议“坚持问题导向，发挥‘万人驻（助）万企’作用，深入一线摸清实情，了解问题真相，找准矛盾症结，务实解决问题”的具体要求，持续完善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驻（助）企服务“1+5+17”工作机制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通过四级问题处理、问题清单销号、定期调度推动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lang w:eastAsia="zh-CN"/>
        </w:rPr>
        <w:t>，充分发挥各行业管理部门的职能优势和各属地的创新服务，务实高效推进市区两级助（驻）企服务座谈会等驻（助）企载体活动，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  <w:lang w:val="en-US" w:eastAsia="zh-CN" w:bidi="ar-SA"/>
        </w:rPr>
        <w:t>针对驻（助）企过程中收集摸排的问题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</w:rPr>
        <w:t>，</w:t>
      </w:r>
      <w:r>
        <w:rPr>
          <w:rFonts w:hint="eastAsia" w:ascii="Times New Roman" w:hAnsi="Times New Roman" w:eastAsia="方正仿宋_GBK" w:cs="方正仿宋_GBK"/>
          <w:color w:val="auto"/>
          <w:sz w:val="32"/>
          <w:szCs w:val="32"/>
          <w:highlight w:val="none"/>
          <w:lang w:val="en-US" w:eastAsia="zh-CN" w:bidi="ar-SA"/>
        </w:rPr>
        <w:t>市直行管部门及属地要逐个研究、分层分类办理。其中，驻（助）企干部能够解决的，由其直接负责协调解决，不能解决的上报属地；属地能够解决的，由其负责协调解决，不能解决的，上报市直行业管理部门；市直行业管理部门能够解决的，由其负责协调解决，都无法解决的，上报“万人驻（助）万企”行动领导小组办公室统筹解决。对因客观条件限制确无法解决的，由驻（助）企干部向企业作出解释说明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黑体" w:hAnsi="黑体" w:eastAsia="黑体" w:cs="黑体"/>
          <w:color w:val="auto"/>
          <w:lang w:val="en-US" w:eastAsia="zh-CN"/>
        </w:rPr>
      </w:pPr>
      <w:r>
        <w:rPr>
          <w:rFonts w:hint="eastAsia" w:ascii="黑体" w:hAnsi="黑体" w:eastAsia="黑体" w:cs="黑体"/>
          <w:color w:val="auto"/>
          <w:lang w:val="en-US" w:eastAsia="zh-CN"/>
        </w:rPr>
        <w:t>八、附则</w:t>
      </w:r>
    </w:p>
    <w:p>
      <w:pPr>
        <w:spacing w:line="620" w:lineRule="exact"/>
        <w:ind w:firstLine="640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 w:bidi="ar"/>
        </w:rPr>
        <w:t>（一）企业对申报材料的真实性负责，不按程序申报、弄虚作假、编造项目骗取专项资金的企业，一经核实将连续三年取消申报资格；情节严重的，追究相关单位和人员责任。</w:t>
      </w:r>
    </w:p>
    <w:p>
      <w:pPr>
        <w:spacing w:line="620" w:lineRule="exact"/>
        <w:ind w:firstLine="640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bidi="ar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 w:bidi="ar"/>
        </w:rPr>
        <w:t>（二）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bidi="ar"/>
        </w:rPr>
        <w:t>属地工信部门对推荐企业的真实性负责，并承担专项资金使用的日常监管责任，配合开展绩效评价和审计等工作。</w:t>
      </w:r>
    </w:p>
    <w:p>
      <w:pPr>
        <w:spacing w:line="620" w:lineRule="exact"/>
        <w:ind w:firstLine="640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 w:bidi="ar"/>
        </w:rPr>
        <w:t>（三）申报企业近3年内在质量、安全、环保、统计等方面未发生重大事故，不属于失信被执行人。</w:t>
      </w:r>
    </w:p>
    <w:p>
      <w:pPr>
        <w:spacing w:line="620" w:lineRule="exact"/>
        <w:ind w:firstLine="640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bidi="ar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 w:bidi="ar"/>
        </w:rPr>
        <w:t>（四）本实施细则由市工信局会同市财政局负责解释。</w:t>
      </w:r>
    </w:p>
    <w:p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Y1MzAxMjU0NzYwOWRhNmYxMTk3MmE1NzExOTA2MWEifQ=="/>
  </w:docVars>
  <w:rsids>
    <w:rsidRoot w:val="59B06973"/>
    <w:rsid w:val="59B06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仿宋_GB2312" w:hAnsi="宋体" w:eastAsia="仿宋_GB2312" w:cs="Times New Roman"/>
      <w:color w:val="000000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1"/>
    <w:pPr>
      <w:ind w:left="120"/>
    </w:pPr>
    <w:rPr>
      <w:rFonts w:ascii="仿宋_GB2312" w:hAnsi="仿宋_GB2312" w:eastAsia="仿宋_GB2312" w:cs="仿宋_GB2312"/>
      <w:sz w:val="32"/>
      <w:szCs w:val="32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2024-02-07T07:45:00Z</dcterms:created>
  <dc:creator>愔愔</dc:creator>
  <cp:lastModifiedBy>愔愔</cp:lastModifiedBy>
  <dcterms:modified xsi:type="dcterms:W3CDTF">2024-02-07T07:48:35Z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C590D129D1724E89BA3F18A66E11293B_11</vt:lpwstr>
  </property>
</Properties>
</file>