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autoSpaceDE/>
        <w:autoSpaceDN/>
        <w:bidi w:val="0"/>
        <w:adjustRightInd w:val="0"/>
        <w:snapToGrid w:val="0"/>
        <w:spacing w:line="568" w:lineRule="exact"/>
        <w:ind w:left="0" w:leftChars="0" w:firstLine="0" w:firstLineChars="0"/>
        <w:jc w:val="both"/>
        <w:textAlignment w:val="auto"/>
        <w:rPr>
          <w:rFonts w:hint="default" w:ascii="Times New Roman" w:hAnsi="Times New Roman" w:eastAsia="方正仿宋_GBK" w:cs="Times New Roman"/>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cs="Times New Roman"/>
          <w:snapToGrid w:val="0"/>
          <w:color w:val="000000" w:themeColor="text1"/>
          <w:kern w:val="32"/>
          <w:sz w:val="32"/>
          <w:szCs w:val="32"/>
          <w:lang w:val="en-US" w:eastAsia="zh-CN"/>
          <w14:textFill>
            <w14:solidFill>
              <w14:schemeClr w14:val="tx1"/>
            </w14:solidFill>
          </w14:textFill>
        </w:rPr>
        <w:t>附件</w:t>
      </w:r>
      <w:r>
        <w:rPr>
          <w:rFonts w:hint="eastAsia" w:cs="Times New Roman"/>
          <w:snapToGrid w:val="0"/>
          <w:color w:val="000000" w:themeColor="text1"/>
          <w:kern w:val="32"/>
          <w:sz w:val="32"/>
          <w:szCs w:val="32"/>
          <w:lang w:val="en-US" w:eastAsia="zh-CN"/>
          <w14:textFill>
            <w14:solidFill>
              <w14:schemeClr w14:val="tx1"/>
            </w14:solidFill>
          </w14:textFill>
        </w:rPr>
        <w:t>3</w:t>
      </w:r>
      <w:r>
        <w:rPr>
          <w:rFonts w:hint="default" w:ascii="Times New Roman" w:hAnsi="Times New Roman" w:eastAsia="方正仿宋_GBK" w:cs="Times New Roman"/>
          <w:snapToGrid w:val="0"/>
          <w:color w:val="000000" w:themeColor="text1"/>
          <w:kern w:val="32"/>
          <w:sz w:val="32"/>
          <w:szCs w:val="32"/>
          <w:lang w:val="en-US" w:eastAsia="zh-CN"/>
          <w14:textFill>
            <w14:solidFill>
              <w14:schemeClr w14:val="tx1"/>
            </w14:solidFill>
          </w14:textFill>
        </w:rPr>
        <w:t>：</w:t>
      </w:r>
    </w:p>
    <w:p>
      <w:pPr>
        <w:keepNext w:val="0"/>
        <w:keepLines w:val="0"/>
        <w:pageBreakBefore w:val="0"/>
        <w:widowControl w:val="0"/>
        <w:kinsoku/>
        <w:wordWrap/>
        <w:overflowPunct w:val="0"/>
        <w:topLinePunct/>
        <w:autoSpaceDE/>
        <w:autoSpaceDN/>
        <w:bidi w:val="0"/>
        <w:adjustRightInd w:val="0"/>
        <w:snapToGrid w:val="0"/>
        <w:ind w:left="0" w:leftChars="0" w:firstLine="0" w:firstLineChars="0"/>
        <w:jc w:val="both"/>
        <w:textAlignment w:val="auto"/>
        <w:rPr>
          <w:rFonts w:hint="eastAsia" w:ascii="方正小标宋_GBK" w:hAnsi="方正小标宋_GBK" w:eastAsia="方正小标宋_GBK" w:cs="方正小标宋_GBK"/>
          <w:sz w:val="40"/>
          <w:szCs w:val="40"/>
        </w:rPr>
      </w:pPr>
    </w:p>
    <w:p>
      <w:pPr>
        <w:keepNext w:val="0"/>
        <w:keepLines w:val="0"/>
        <w:pageBreakBefore w:val="0"/>
        <w:widowControl w:val="0"/>
        <w:kinsoku/>
        <w:wordWrap/>
        <w:overflowPunct w:val="0"/>
        <w:topLinePunct/>
        <w:autoSpaceDE/>
        <w:autoSpaceDN/>
        <w:bidi w:val="0"/>
        <w:adjustRightInd w:val="0"/>
        <w:snapToGrid w:val="0"/>
        <w:ind w:left="0" w:leftChars="0" w:firstLine="0" w:firstLineChars="0"/>
        <w:jc w:val="center"/>
        <w:textAlignment w:val="auto"/>
        <w:rPr>
          <w:rFonts w:hint="eastAsia" w:ascii="方正小标宋_GBK" w:hAnsi="方正小标宋_GBK" w:eastAsia="方正小标宋_GBK" w:cs="方正小标宋_GBK"/>
          <w:sz w:val="40"/>
          <w:szCs w:val="40"/>
        </w:rPr>
      </w:pPr>
      <w:r>
        <w:rPr>
          <w:rFonts w:hint="eastAsia" w:ascii="方正小标宋_GBK" w:hAnsi="方正小标宋_GBK" w:eastAsia="方正小标宋_GBK" w:cs="方正小标宋_GBK"/>
          <w:sz w:val="40"/>
          <w:szCs w:val="40"/>
        </w:rPr>
        <w:t>喀什地区重点科技创新平台备案与管理办法（暂行）</w:t>
      </w:r>
    </w:p>
    <w:p>
      <w:pPr>
        <w:keepNext w:val="0"/>
        <w:keepLines w:val="0"/>
        <w:pageBreakBefore w:val="0"/>
        <w:widowControl w:val="0"/>
        <w:kinsoku/>
        <w:wordWrap/>
        <w:overflowPunct w:val="0"/>
        <w:topLinePunct/>
        <w:autoSpaceDE/>
        <w:autoSpaceDN/>
        <w:bidi w:val="0"/>
        <w:adjustRightInd w:val="0"/>
        <w:snapToGrid w:val="0"/>
        <w:ind w:left="0" w:leftChars="0" w:right="0" w:rightChars="0" w:firstLine="0" w:firstLineChars="0"/>
        <w:jc w:val="center"/>
        <w:textAlignment w:val="auto"/>
        <w:rPr>
          <w:rFonts w:hint="eastAsia" w:ascii="Times New Roman" w:hAnsi="Times New Roman" w:eastAsia="方正楷体_GBK" w:cs="Times New Roman"/>
          <w:b w:val="0"/>
          <w:bCs w:val="0"/>
          <w:sz w:val="32"/>
          <w:szCs w:val="32"/>
        </w:rPr>
      </w:pPr>
      <w:r>
        <w:rPr>
          <w:rFonts w:hint="eastAsia" w:ascii="Times New Roman" w:hAnsi="Times New Roman" w:eastAsia="方正楷体_GBK" w:cs="Times New Roman"/>
          <w:b w:val="0"/>
          <w:bCs w:val="0"/>
          <w:sz w:val="32"/>
          <w:szCs w:val="32"/>
        </w:rPr>
        <w:t>（</w:t>
      </w:r>
      <w:r>
        <w:rPr>
          <w:rFonts w:hint="eastAsia" w:eastAsia="方正楷体_GBK" w:cs="Times New Roman"/>
          <w:b w:val="0"/>
          <w:bCs w:val="0"/>
          <w:sz w:val="32"/>
          <w:szCs w:val="32"/>
          <w:lang w:eastAsia="zh-CN"/>
        </w:rPr>
        <w:t>征求意见稿</w:t>
      </w:r>
      <w:r>
        <w:rPr>
          <w:rFonts w:hint="eastAsia" w:ascii="Times New Roman" w:hAnsi="Times New Roman" w:eastAsia="方正楷体_GBK" w:cs="Times New Roman"/>
          <w:b w:val="0"/>
          <w:bCs w:val="0"/>
          <w:sz w:val="32"/>
          <w:szCs w:val="32"/>
        </w:rPr>
        <w:t>）</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bookmarkStart w:id="0" w:name="_GoBack"/>
      <w:bookmarkEnd w:id="0"/>
    </w:p>
    <w:p>
      <w:pPr>
        <w:keepNext w:val="0"/>
        <w:keepLines w:val="0"/>
        <w:pageBreakBefore w:val="0"/>
        <w:widowControl w:val="0"/>
        <w:kinsoku/>
        <w:wordWrap/>
        <w:overflowPunct w:val="0"/>
        <w:topLinePunct/>
        <w:autoSpaceDE/>
        <w:autoSpaceDN/>
        <w:bidi w:val="0"/>
        <w:adjustRightInd w:val="0"/>
        <w:snapToGrid w:val="0"/>
        <w:ind w:left="0" w:leftChars="0" w:firstLine="0" w:firstLineChars="0"/>
        <w:jc w:val="center"/>
        <w:textAlignment w:val="auto"/>
        <w:rPr>
          <w:rFonts w:hint="eastAsia"/>
        </w:rPr>
      </w:pPr>
      <w:r>
        <w:rPr>
          <w:rFonts w:hint="eastAsia" w:ascii="方正黑体_GBK" w:hAnsi="方正黑体_GBK" w:eastAsia="方正黑体_GBK" w:cs="方正黑体_GBK"/>
        </w:rPr>
        <w:t>第一章 总则</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ascii="方正楷体_GBK" w:hAnsi="方正楷体_GBK" w:eastAsia="方正楷体_GBK" w:cs="方正楷体_GBK"/>
          <w:b/>
          <w:bCs/>
        </w:rPr>
        <w:t>第一条</w:t>
      </w:r>
      <w:r>
        <w:rPr>
          <w:rFonts w:hint="eastAsia"/>
        </w:rPr>
        <w:t xml:space="preserve"> 为贯彻落实喀什地委、行署关于科技创新的决策部署，深入实施创新驱动发展战略，规范和加强喀什地区重点科技创新平台（以下简称“地区级创新平台”）的建设与管理，推动平台高质量发展，依据</w:t>
      </w:r>
      <w:r>
        <w:rPr>
          <w:rFonts w:hint="eastAsia"/>
          <w:lang w:eastAsia="zh-CN"/>
        </w:rPr>
        <w:t>《新疆维吾尔自治区工程技术研究中心管理办法（试行）》、</w:t>
      </w:r>
      <w:r>
        <w:rPr>
          <w:rFonts w:hint="eastAsia"/>
        </w:rPr>
        <w:t>《新疆维吾尔自治区新型研发机构认定管理办法》</w:t>
      </w:r>
      <w:r>
        <w:rPr>
          <w:rFonts w:hint="eastAsia"/>
          <w:lang w:eastAsia="zh-CN"/>
        </w:rPr>
        <w:t>、</w:t>
      </w:r>
      <w:r>
        <w:rPr>
          <w:rFonts w:hint="eastAsia"/>
        </w:rPr>
        <w:t>《新疆实验室建设工作指引》</w:t>
      </w:r>
      <w:r>
        <w:rPr>
          <w:rFonts w:hint="eastAsia"/>
          <w:lang w:eastAsia="zh-CN"/>
        </w:rPr>
        <w:t>、</w:t>
      </w:r>
      <w:r>
        <w:rPr>
          <w:rFonts w:hint="eastAsia"/>
        </w:rPr>
        <w:t>《新疆维吾尔自治区</w:t>
      </w:r>
      <w:r>
        <w:rPr>
          <w:rFonts w:hint="eastAsia"/>
          <w:lang w:eastAsia="zh-CN"/>
        </w:rPr>
        <w:t>高能级科技创新平台管理办法（试行）</w:t>
      </w:r>
      <w:r>
        <w:rPr>
          <w:rFonts w:hint="eastAsia"/>
        </w:rPr>
        <w:t>》等有关规定，结合地区实际，制定本办法。</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ascii="方正楷体_GBK" w:hAnsi="方正楷体_GBK" w:eastAsia="方正楷体_GBK" w:cs="方正楷体_GBK"/>
          <w:b/>
          <w:bCs/>
        </w:rPr>
        <w:t>第二条</w:t>
      </w:r>
      <w:r>
        <w:rPr>
          <w:rFonts w:hint="eastAsia"/>
        </w:rPr>
        <w:t xml:space="preserve"> 本办法所称</w:t>
      </w:r>
      <w:r>
        <w:rPr>
          <w:rFonts w:hint="eastAsia"/>
          <w:lang w:eastAsia="zh-CN"/>
        </w:rPr>
        <w:t>喀什</w:t>
      </w:r>
      <w:r>
        <w:rPr>
          <w:rFonts w:hint="eastAsia"/>
        </w:rPr>
        <w:t>地区</w:t>
      </w:r>
      <w:r>
        <w:rPr>
          <w:rFonts w:hint="eastAsia"/>
          <w:lang w:eastAsia="zh-CN"/>
        </w:rPr>
        <w:t>重点科技</w:t>
      </w:r>
      <w:r>
        <w:rPr>
          <w:rFonts w:hint="eastAsia"/>
        </w:rPr>
        <w:t>创新平台，是指依托喀什地区内具有较强科技创新能力的企业、高等院校、科研院所或其他独立法人机构建设的，围绕地区重点产业发展和民生改善需求，开展科学研究、技术开发、成果转化及产业化的各类</w:t>
      </w:r>
      <w:r>
        <w:rPr>
          <w:rFonts w:hint="eastAsia"/>
          <w:lang w:eastAsia="zh-CN"/>
        </w:rPr>
        <w:t>科技</w:t>
      </w:r>
      <w:r>
        <w:rPr>
          <w:rFonts w:hint="eastAsia"/>
        </w:rPr>
        <w:t>创新载体。主要包括以下类型：</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（一）实验室</w:t>
      </w:r>
      <w:r>
        <w:rPr>
          <w:rFonts w:hint="eastAsia"/>
          <w:b w:val="0"/>
          <w:bCs w:val="0"/>
          <w:lang w:eastAsia="zh-CN"/>
        </w:rPr>
        <w:t>。</w:t>
      </w:r>
      <w:r>
        <w:rPr>
          <w:rFonts w:hint="eastAsia"/>
          <w:b w:val="0"/>
          <w:bCs w:val="0"/>
        </w:rPr>
        <w:t>聚焦学科前沿和经济社会发展重大科技需求，以基础研究、应用基础研究和关键共性技术研究为核心，旨在产出原创性成果、聚集培养高层次人才、引领学科和产业发展的创新平台。</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（二）技术创新中心</w:t>
      </w:r>
      <w:r>
        <w:rPr>
          <w:rFonts w:hint="eastAsia"/>
          <w:b w:val="0"/>
          <w:bCs w:val="0"/>
          <w:lang w:eastAsia="zh-CN"/>
        </w:rPr>
        <w:t>。</w:t>
      </w:r>
      <w:r>
        <w:rPr>
          <w:rFonts w:hint="eastAsia"/>
          <w:b w:val="0"/>
          <w:bCs w:val="0"/>
        </w:rPr>
        <w:t>围绕自治区及地区重大战略任务和产业关键共性技术难题，开展核心技术攻关，为行业特别是科技型中小企业提供技术创新与成果转化服务，推动跨区域、跨领域协同创新的平台。</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（三）新型研发机构</w:t>
      </w:r>
      <w:r>
        <w:rPr>
          <w:rFonts w:hint="eastAsia"/>
          <w:b w:val="0"/>
          <w:bCs w:val="0"/>
          <w:lang w:eastAsia="zh-CN"/>
        </w:rPr>
        <w:t>。</w:t>
      </w:r>
      <w:r>
        <w:rPr>
          <w:rFonts w:hint="eastAsia"/>
          <w:b w:val="0"/>
          <w:bCs w:val="0"/>
        </w:rPr>
        <w:t>采用多元化投资、现代化管理、市场化运行、产学研协同、灵活用人机制等模式，主要从事科学研究、技术创新、研发服务和成果转化的独立法人机构（可依法注册为民办非企业、事业单位或企业）。</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（四）产学研</w:t>
      </w:r>
      <w:r>
        <w:rPr>
          <w:rFonts w:hint="eastAsia"/>
          <w:b w:val="0"/>
          <w:bCs w:val="0"/>
          <w:lang w:eastAsia="zh-CN"/>
        </w:rPr>
        <w:t>协同</w:t>
      </w:r>
      <w:r>
        <w:rPr>
          <w:rFonts w:hint="eastAsia"/>
          <w:b w:val="0"/>
          <w:bCs w:val="0"/>
        </w:rPr>
        <w:t>创新平台</w:t>
      </w:r>
      <w:r>
        <w:rPr>
          <w:rFonts w:hint="eastAsia"/>
          <w:b w:val="0"/>
          <w:bCs w:val="0"/>
          <w:lang w:eastAsia="zh-CN"/>
        </w:rPr>
        <w:t>。</w:t>
      </w:r>
      <w:r>
        <w:rPr>
          <w:rFonts w:hint="eastAsia"/>
          <w:b w:val="0"/>
          <w:bCs w:val="0"/>
        </w:rPr>
        <w:t>由企业与高等院校、科研院所通过合作共建，围绕主导产业和支柱产业的关键、共性技术问题，开展联合研发、技术引进、成果转化和产业化应用的合作创新平台。</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ascii="方正楷体_GBK" w:hAnsi="方正楷体_GBK" w:eastAsia="方正楷体_GBK" w:cs="方正楷体_GBK"/>
          <w:b/>
          <w:bCs/>
        </w:rPr>
        <w:t>第三条</w:t>
      </w:r>
      <w:r>
        <w:rPr>
          <w:rFonts w:hint="eastAsia"/>
        </w:rPr>
        <w:t xml:space="preserve"> 地区级创新平台的管理遵循“统筹规划、分类管理、择优备案、动态调整、注重实效”的原则，实行备案制，并建立定期审核与绩效评价机制。</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p>
    <w:p>
      <w:pPr>
        <w:keepNext w:val="0"/>
        <w:keepLines w:val="0"/>
        <w:pageBreakBefore w:val="0"/>
        <w:widowControl w:val="0"/>
        <w:kinsoku/>
        <w:wordWrap/>
        <w:overflowPunct w:val="0"/>
        <w:topLinePunct/>
        <w:autoSpaceDE/>
        <w:autoSpaceDN/>
        <w:bidi w:val="0"/>
        <w:adjustRightInd w:val="0"/>
        <w:snapToGrid w:val="0"/>
        <w:ind w:left="0" w:leftChars="0" w:firstLine="0" w:firstLineChars="0"/>
        <w:jc w:val="center"/>
        <w:textAlignment w:val="auto"/>
        <w:rPr>
          <w:rFonts w:hint="eastAsia" w:ascii="方正黑体_GBK" w:hAnsi="方正黑体_GBK" w:eastAsia="方正黑体_GBK" w:cs="方正黑体_GBK"/>
        </w:rPr>
      </w:pPr>
      <w:r>
        <w:rPr>
          <w:rFonts w:hint="eastAsia" w:ascii="方正黑体_GBK" w:hAnsi="方正黑体_GBK" w:eastAsia="方正黑体_GBK" w:cs="方正黑体_GBK"/>
        </w:rPr>
        <w:t>第二章 职责分工</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ascii="方正楷体_GBK" w:hAnsi="方正楷体_GBK" w:eastAsia="方正楷体_GBK" w:cs="方正楷体_GBK"/>
          <w:b/>
          <w:bCs/>
        </w:rPr>
        <w:t>第四条</w:t>
      </w:r>
      <w:r>
        <w:rPr>
          <w:rFonts w:hint="eastAsia"/>
        </w:rPr>
        <w:t xml:space="preserve"> 喀什地区科学技术局（以下简称“地区科技局”）是地区</w:t>
      </w:r>
      <w:r>
        <w:rPr>
          <w:rFonts w:hint="eastAsia"/>
          <w:lang w:eastAsia="zh-CN"/>
        </w:rPr>
        <w:t>重点科技</w:t>
      </w:r>
      <w:r>
        <w:rPr>
          <w:rFonts w:hint="eastAsia"/>
        </w:rPr>
        <w:t>创新平台的综合管理部门，主要职责包括：</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rPr>
        <w:t>（一）制定地区</w:t>
      </w:r>
      <w:r>
        <w:rPr>
          <w:rFonts w:hint="eastAsia"/>
          <w:lang w:eastAsia="zh-CN"/>
        </w:rPr>
        <w:t>重点科技</w:t>
      </w:r>
      <w:r>
        <w:rPr>
          <w:rFonts w:hint="eastAsia"/>
        </w:rPr>
        <w:t>创新平台的发展规划、政策措施和管理制度。</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rPr>
        <w:t>（二）组织协调平台的申报、备案、调整和撤销工作。</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rPr>
        <w:t>（三）指导、监督平台的运行管理和绩效评价。</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rPr>
        <w:t>（四）协调落实对平台的各项支持政策。</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ascii="方正楷体_GBK" w:hAnsi="方正楷体_GBK" w:eastAsia="方正楷体_GBK" w:cs="方正楷体_GBK"/>
          <w:b/>
          <w:bCs/>
        </w:rPr>
        <w:t>第五条</w:t>
      </w:r>
      <w:r>
        <w:rPr>
          <w:rFonts w:hint="eastAsia"/>
        </w:rPr>
        <w:t xml:space="preserve"> 各县（市）科技管理部门是地区</w:t>
      </w:r>
      <w:r>
        <w:rPr>
          <w:rFonts w:hint="eastAsia"/>
          <w:lang w:eastAsia="zh-CN"/>
        </w:rPr>
        <w:t>重点科技</w:t>
      </w:r>
      <w:r>
        <w:rPr>
          <w:rFonts w:hint="eastAsia"/>
        </w:rPr>
        <w:t>创新平台的推荐和协助管理单位，主要职责包括：</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rPr>
        <w:t>（一）组织动员本行政区域内符合条件的单位申报。</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rPr>
        <w:t>（二）对申报材料的真实性、合规性进行初审，并向地区科技局推荐。</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rPr>
        <w:t>（三）协助地区科技局对辖区内平台进行日常管理、指导和监督检查。</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ascii="方正楷体_GBK" w:hAnsi="方正楷体_GBK" w:eastAsia="方正楷体_GBK" w:cs="方正楷体_GBK"/>
          <w:b/>
          <w:bCs/>
        </w:rPr>
        <w:t>第六条</w:t>
      </w:r>
      <w:r>
        <w:rPr>
          <w:rFonts w:hint="eastAsia"/>
        </w:rPr>
        <w:t xml:space="preserve"> 依托单位（含牵头单位）是</w:t>
      </w:r>
      <w:r>
        <w:rPr>
          <w:rFonts w:hint="eastAsia"/>
          <w:lang w:eastAsia="zh-CN"/>
        </w:rPr>
        <w:t>地区重点科技创新</w:t>
      </w:r>
      <w:r>
        <w:rPr>
          <w:rFonts w:hint="eastAsia"/>
        </w:rPr>
        <w:t>平台建设、运行和管理的责任主体，主要职责包括：</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rPr>
        <w:t>（一）为平台提供人员、经费、设备、场地等必要的条件保障。</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rPr>
        <w:t>（二）建立健全平台内部管理制度和运行机制，聘任平台负责人。</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rPr>
        <w:t>（三）负责平台的开放共享、合作交流、人才引进与培养。</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rPr>
        <w:t>（四）按规定报送平台年度报告和绩效评价材料，并对其真实性负责。</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rPr>
        <w:t>（五）配合完成平台变更、撤销等重大事项报备工作。</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ascii="方正楷体_GBK" w:hAnsi="方正楷体_GBK" w:eastAsia="方正楷体_GBK" w:cs="方正楷体_GBK"/>
          <w:b/>
          <w:bCs/>
        </w:rPr>
        <w:t>第七条</w:t>
      </w:r>
      <w:r>
        <w:rPr>
          <w:rFonts w:hint="eastAsia"/>
        </w:rPr>
        <w:t xml:space="preserve"> 共建单位是</w:t>
      </w:r>
      <w:r>
        <w:rPr>
          <w:rFonts w:hint="eastAsia"/>
          <w:lang w:eastAsia="zh-CN"/>
        </w:rPr>
        <w:t>地区重点科技创新</w:t>
      </w:r>
      <w:r>
        <w:rPr>
          <w:rFonts w:hint="eastAsia"/>
        </w:rPr>
        <w:t>平台建设与运行的重要协同方，应根据共建协议，明确权利、义务和责任，指派专门机构和人员参与</w:t>
      </w:r>
      <w:r>
        <w:rPr>
          <w:rFonts w:hint="eastAsia"/>
          <w:lang w:eastAsia="zh-CN"/>
        </w:rPr>
        <w:t>科技创新</w:t>
      </w:r>
      <w:r>
        <w:rPr>
          <w:rFonts w:hint="eastAsia"/>
        </w:rPr>
        <w:t>平台工作，共享资源，共同完成相关研发和成果转化任务。</w:t>
      </w:r>
    </w:p>
    <w:p>
      <w:pPr>
        <w:keepNext w:val="0"/>
        <w:keepLines w:val="0"/>
        <w:pageBreakBefore w:val="0"/>
        <w:widowControl w:val="0"/>
        <w:kinsoku/>
        <w:wordWrap/>
        <w:overflowPunct w:val="0"/>
        <w:topLinePunct/>
        <w:autoSpaceDE/>
        <w:autoSpaceDN/>
        <w:bidi w:val="0"/>
        <w:adjustRightInd w:val="0"/>
        <w:snapToGrid w:val="0"/>
        <w:ind w:left="0" w:leftChars="0" w:firstLine="0" w:firstLineChars="0"/>
        <w:jc w:val="center"/>
        <w:textAlignment w:val="auto"/>
        <w:rPr>
          <w:rFonts w:hint="eastAsia" w:ascii="方正黑体_GBK" w:hAnsi="方正黑体_GBK" w:eastAsia="方正黑体_GBK" w:cs="方正黑体_GBK"/>
        </w:rPr>
      </w:pPr>
    </w:p>
    <w:p>
      <w:pPr>
        <w:keepNext w:val="0"/>
        <w:keepLines w:val="0"/>
        <w:pageBreakBefore w:val="0"/>
        <w:widowControl w:val="0"/>
        <w:kinsoku/>
        <w:wordWrap/>
        <w:overflowPunct w:val="0"/>
        <w:topLinePunct/>
        <w:autoSpaceDE/>
        <w:autoSpaceDN/>
        <w:bidi w:val="0"/>
        <w:adjustRightInd w:val="0"/>
        <w:snapToGrid w:val="0"/>
        <w:ind w:left="0" w:leftChars="0" w:firstLine="0" w:firstLineChars="0"/>
        <w:jc w:val="center"/>
        <w:textAlignment w:val="auto"/>
        <w:rPr>
          <w:rFonts w:hint="eastAsia" w:ascii="方正黑体_GBK" w:hAnsi="方正黑体_GBK" w:eastAsia="方正黑体_GBK" w:cs="方正黑体_GBK"/>
        </w:rPr>
      </w:pPr>
      <w:r>
        <w:rPr>
          <w:rFonts w:hint="eastAsia" w:ascii="方正黑体_GBK" w:hAnsi="方正黑体_GBK" w:eastAsia="方正黑体_GBK" w:cs="方正黑体_GBK"/>
        </w:rPr>
        <w:t>第三章 备案条件与程序</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ascii="方正楷体_GBK" w:hAnsi="方正楷体_GBK" w:eastAsia="方正楷体_GBK" w:cs="方正楷体_GBK"/>
          <w:b/>
          <w:bCs/>
        </w:rPr>
        <w:t>第八条</w:t>
      </w:r>
      <w:r>
        <w:rPr>
          <w:rFonts w:hint="eastAsia"/>
        </w:rPr>
        <w:t xml:space="preserve"> 申请备案的地区</w:t>
      </w:r>
      <w:r>
        <w:rPr>
          <w:rFonts w:hint="eastAsia"/>
          <w:lang w:eastAsia="zh-CN"/>
        </w:rPr>
        <w:t>重点科技</w:t>
      </w:r>
      <w:r>
        <w:rPr>
          <w:rFonts w:hint="eastAsia"/>
        </w:rPr>
        <w:t>创新平台应具备以下基本条件：</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（一）</w:t>
      </w:r>
      <w:r>
        <w:rPr>
          <w:rFonts w:hint="eastAsia"/>
          <w:b w:val="0"/>
          <w:bCs w:val="0"/>
          <w:lang w:eastAsia="zh-CN"/>
        </w:rPr>
        <w:t>依托单位。</w:t>
      </w:r>
      <w:r>
        <w:rPr>
          <w:rFonts w:hint="eastAsia"/>
          <w:b w:val="0"/>
          <w:bCs w:val="0"/>
        </w:rPr>
        <w:t>应为在喀什地区内注册、具有独立法人资格的企事业单位、社会团体等，</w:t>
      </w:r>
      <w:r>
        <w:rPr>
          <w:rFonts w:hint="eastAsia"/>
          <w:b w:val="0"/>
          <w:bCs w:val="0"/>
          <w:lang w:eastAsia="zh-CN"/>
        </w:rPr>
        <w:t>中央、自治区驻喀的非独立法人分支机构、派出机构或办事机构，以及地区外单位依法依规在喀什地区设立的独立法人实体机构、研发机构等，</w:t>
      </w:r>
      <w:r>
        <w:rPr>
          <w:rFonts w:hint="eastAsia"/>
          <w:b w:val="0"/>
          <w:bCs w:val="0"/>
        </w:rPr>
        <w:t>运营状况良好，近三年无重大安全、质量、环保事故，无科研失信行为，无违规违法或不良信用记录。</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（二）</w:t>
      </w:r>
      <w:r>
        <w:rPr>
          <w:rFonts w:hint="eastAsia"/>
          <w:b w:val="0"/>
          <w:bCs w:val="0"/>
          <w:lang w:eastAsia="zh-CN"/>
        </w:rPr>
        <w:t>研究方向。</w:t>
      </w:r>
      <w:r>
        <w:rPr>
          <w:rFonts w:hint="eastAsia"/>
          <w:b w:val="0"/>
          <w:bCs w:val="0"/>
        </w:rPr>
        <w:t>符合国家、自治区及喀什地区科技发展战略和产业政策，目标明确，具有鲜明的技术优势和区域特色。</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（三）人才队伍</w:t>
      </w:r>
      <w:r>
        <w:rPr>
          <w:rFonts w:hint="eastAsia"/>
          <w:b w:val="0"/>
          <w:bCs w:val="0"/>
          <w:lang w:eastAsia="zh-CN"/>
        </w:rPr>
        <w:t>。</w:t>
      </w:r>
      <w:r>
        <w:rPr>
          <w:rFonts w:hint="eastAsia"/>
          <w:b w:val="0"/>
          <w:bCs w:val="0"/>
        </w:rPr>
        <w:t>拥有结构合理、相对稳定的研发团队。平台负责人应具有高级职称或相当的专业技术能力，科研诚信良好，每年在平台工作时间不少于3个月。固定研发人员总数原则上不少于10人。</w:t>
      </w:r>
    </w:p>
    <w:p>
      <w:pPr>
        <w:keepNext w:val="0"/>
        <w:keepLines w:val="0"/>
        <w:pageBreakBefore w:val="0"/>
        <w:widowControl w:val="0"/>
        <w:kinsoku/>
        <w:wordWrap/>
        <w:overflowPunct w:val="0"/>
        <w:topLinePunct/>
        <w:autoSpaceDE/>
        <w:autoSpaceDN/>
        <w:bidi w:val="0"/>
        <w:adjustRightInd w:val="0"/>
        <w:snapToGrid w:val="0"/>
        <w:ind w:left="0" w:leftChars="0" w:firstLine="640" w:firstLineChars="200"/>
        <w:textAlignment w:val="auto"/>
        <w:rPr>
          <w:rFonts w:hint="eastAsia"/>
          <w:b w:val="0"/>
          <w:bCs w:val="0"/>
          <w:u w:val="none"/>
        </w:rPr>
      </w:pPr>
      <w:r>
        <w:rPr>
          <w:rFonts w:hint="eastAsia"/>
          <w:b w:val="0"/>
          <w:bCs w:val="0"/>
        </w:rPr>
        <w:t>（四）硬件条件</w:t>
      </w:r>
      <w:r>
        <w:rPr>
          <w:rFonts w:hint="eastAsia"/>
          <w:b w:val="0"/>
          <w:bCs w:val="0"/>
          <w:lang w:eastAsia="zh-CN"/>
        </w:rPr>
        <w:t>。</w:t>
      </w:r>
      <w:r>
        <w:rPr>
          <w:rFonts w:hint="eastAsia"/>
          <w:b w:val="0"/>
          <w:bCs w:val="0"/>
        </w:rPr>
        <w:t>拥有独立的科研办公和实验场地，以及开展研发活动所需的仪器设备、软件系统等，设施设备原值原则上不低于200万元</w:t>
      </w:r>
      <w:r>
        <w:rPr>
          <w:rFonts w:hint="eastAsia"/>
          <w:b w:val="0"/>
          <w:bCs w:val="0"/>
          <w:u w:val="none"/>
        </w:rPr>
        <w:t>（软件、设计、服务类平台可放宽</w:t>
      </w:r>
      <w:r>
        <w:rPr>
          <w:rFonts w:hint="eastAsia"/>
          <w:b w:val="0"/>
          <w:bCs w:val="0"/>
          <w:u w:val="none"/>
          <w:lang w:eastAsia="zh-CN"/>
        </w:rPr>
        <w:t>至不低于</w:t>
      </w:r>
      <w:r>
        <w:rPr>
          <w:rFonts w:hint="eastAsia"/>
          <w:b w:val="0"/>
          <w:bCs w:val="0"/>
          <w:u w:val="none"/>
          <w:lang w:val="en-US" w:eastAsia="zh-CN"/>
        </w:rPr>
        <w:t>100万元</w:t>
      </w:r>
      <w:r>
        <w:rPr>
          <w:rFonts w:hint="eastAsia"/>
          <w:b w:val="0"/>
          <w:bCs w:val="0"/>
          <w:u w:val="none"/>
        </w:rPr>
        <w:t>）。</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（五）运行机制</w:t>
      </w:r>
      <w:r>
        <w:rPr>
          <w:rFonts w:hint="eastAsia"/>
          <w:b w:val="0"/>
          <w:bCs w:val="0"/>
          <w:lang w:eastAsia="zh-CN"/>
        </w:rPr>
        <w:t>。</w:t>
      </w:r>
      <w:r>
        <w:rPr>
          <w:rFonts w:hint="eastAsia"/>
          <w:b w:val="0"/>
          <w:bCs w:val="0"/>
        </w:rPr>
        <w:t>拥有健全的组织架构、管理制度和运行机制，有良好的产学研合作基础。</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（六）经费投入</w:t>
      </w:r>
      <w:r>
        <w:rPr>
          <w:rFonts w:hint="eastAsia"/>
          <w:b w:val="0"/>
          <w:bCs w:val="0"/>
          <w:lang w:eastAsia="zh-CN"/>
        </w:rPr>
        <w:t>。</w:t>
      </w:r>
      <w:r>
        <w:rPr>
          <w:rFonts w:hint="eastAsia"/>
          <w:b w:val="0"/>
          <w:bCs w:val="0"/>
        </w:rPr>
        <w:t>依托单位能够持续稳定投入建设与运行经费。近三个会计年度研发费用总额或研发经费支出占营业收入的比例应符合相关类型平台的要求。</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（七）联合申报</w:t>
      </w:r>
      <w:r>
        <w:rPr>
          <w:rFonts w:hint="eastAsia"/>
          <w:b w:val="0"/>
          <w:bCs w:val="0"/>
          <w:lang w:eastAsia="zh-CN"/>
        </w:rPr>
        <w:t>。</w:t>
      </w:r>
      <w:r>
        <w:rPr>
          <w:rFonts w:hint="eastAsia"/>
          <w:b w:val="0"/>
          <w:bCs w:val="0"/>
        </w:rPr>
        <w:t>由多个单位联合建设的</w:t>
      </w:r>
      <w:r>
        <w:rPr>
          <w:rFonts w:hint="eastAsia"/>
          <w:b w:val="0"/>
          <w:bCs w:val="0"/>
          <w:lang w:eastAsia="zh-CN"/>
        </w:rPr>
        <w:t>科技创新</w:t>
      </w:r>
      <w:r>
        <w:rPr>
          <w:rFonts w:hint="eastAsia"/>
          <w:b w:val="0"/>
          <w:bCs w:val="0"/>
        </w:rPr>
        <w:t>平台，须签署具有法律效力的合作协议，明确牵头单位及各方职责。</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ascii="方正楷体_GBK" w:hAnsi="方正楷体_GBK" w:eastAsia="方正楷体_GBK" w:cs="方正楷体_GBK"/>
          <w:b/>
          <w:bCs/>
        </w:rPr>
        <w:t>第九条</w:t>
      </w:r>
      <w:r>
        <w:rPr>
          <w:rFonts w:hint="eastAsia"/>
        </w:rPr>
        <w:t xml:space="preserve"> 备案程序：</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（一）发布通知。地区科技局原则上每年发布一次备案申报通知。</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（二）单位申报。符合条件的申报单位填写《喀什地区重点科技创新平台备案申报书》，并附相关佐证材料，报送至属地县（市）科技管理部门。</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（三）初审推荐。县（市）科技管理部门对申报材料进行形式审查和真实性核查，对符合条件的出具书面推荐意见，报送地区科技局。</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（四）评审考察。地区科技局组织专家或委托第三方机构，对申报平台进行材料评审和必要的现场考察，形成综合评审意见。</w:t>
      </w:r>
      <w:r>
        <w:rPr>
          <w:rFonts w:hint="eastAsia"/>
          <w:b w:val="0"/>
          <w:bCs w:val="0"/>
          <w:u w:val="none"/>
        </w:rPr>
        <w:t>参与评审的专家须</w:t>
      </w:r>
      <w:r>
        <w:rPr>
          <w:rFonts w:hint="eastAsia"/>
          <w:b w:val="0"/>
          <w:bCs w:val="0"/>
          <w:u w:val="none"/>
          <w:lang w:eastAsia="zh-CN"/>
        </w:rPr>
        <w:t>从地区</w:t>
      </w:r>
      <w:r>
        <w:rPr>
          <w:rFonts w:hint="eastAsia" w:ascii="Times New Roman" w:hAnsi="Times New Roman" w:eastAsia="方正仿宋_GBK" w:cs="Times New Roman"/>
          <w:b w:val="0"/>
          <w:bCs w:val="0"/>
          <w:sz w:val="32"/>
          <w:szCs w:val="32"/>
          <w:u w:val="none"/>
        </w:rPr>
        <w:t>科技评审专家库</w:t>
      </w:r>
      <w:r>
        <w:rPr>
          <w:rFonts w:hint="eastAsia"/>
          <w:b w:val="0"/>
          <w:bCs w:val="0"/>
          <w:u w:val="none"/>
          <w:lang w:eastAsia="zh-CN"/>
        </w:rPr>
        <w:t>中</w:t>
      </w:r>
      <w:r>
        <w:rPr>
          <w:rFonts w:hint="eastAsia"/>
          <w:b w:val="0"/>
          <w:bCs w:val="0"/>
          <w:u w:val="none"/>
        </w:rPr>
        <w:t>随机抽取，并实行回避制度。</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（五）公示备案。地区科技局根据评审意见，研究确定拟备案名单，并向社会公示（公示期不少于5个工作日）。公示无异议的，由地区科技局批准正式备案，并统一命名</w:t>
      </w:r>
      <w:r>
        <w:rPr>
          <w:rFonts w:hint="eastAsia"/>
          <w:b w:val="0"/>
          <w:bCs w:val="0"/>
          <w:lang w:eastAsia="zh-CN"/>
        </w:rPr>
        <w:t>为“喀什地区</w:t>
      </w:r>
      <w:r>
        <w:rPr>
          <w:rFonts w:hint="eastAsia"/>
          <w:b w:val="0"/>
          <w:bCs w:val="0"/>
          <w:lang w:val="en-US" w:eastAsia="zh-CN"/>
        </w:rPr>
        <w:t>XXX重点科技创新平台</w:t>
      </w:r>
      <w:r>
        <w:rPr>
          <w:rFonts w:hint="eastAsia"/>
          <w:b w:val="0"/>
          <w:bCs w:val="0"/>
          <w:lang w:eastAsia="zh-CN"/>
        </w:rPr>
        <w:t>”</w:t>
      </w:r>
      <w:r>
        <w:rPr>
          <w:rFonts w:hint="eastAsia"/>
          <w:b w:val="0"/>
          <w:bCs w:val="0"/>
        </w:rPr>
        <w:t>。</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p>
    <w:p>
      <w:pPr>
        <w:keepNext w:val="0"/>
        <w:keepLines w:val="0"/>
        <w:pageBreakBefore w:val="0"/>
        <w:widowControl w:val="0"/>
        <w:kinsoku/>
        <w:wordWrap/>
        <w:overflowPunct w:val="0"/>
        <w:topLinePunct/>
        <w:autoSpaceDE/>
        <w:autoSpaceDN/>
        <w:bidi w:val="0"/>
        <w:adjustRightInd w:val="0"/>
        <w:snapToGrid w:val="0"/>
        <w:ind w:left="0" w:leftChars="0" w:firstLine="0" w:firstLineChars="0"/>
        <w:jc w:val="center"/>
        <w:textAlignment w:val="auto"/>
        <w:rPr>
          <w:rFonts w:hint="eastAsia" w:ascii="方正黑体_GBK" w:hAnsi="方正黑体_GBK" w:eastAsia="方正黑体_GBK" w:cs="方正黑体_GBK"/>
        </w:rPr>
      </w:pPr>
      <w:r>
        <w:rPr>
          <w:rFonts w:hint="eastAsia" w:ascii="方正黑体_GBK" w:hAnsi="方正黑体_GBK" w:eastAsia="方正黑体_GBK" w:cs="方正黑体_GBK"/>
        </w:rPr>
        <w:t>第四章 运行与管理</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ascii="方正楷体_GBK" w:hAnsi="方正楷体_GBK" w:eastAsia="方正楷体_GBK" w:cs="方正楷体_GBK"/>
          <w:b/>
          <w:bCs/>
        </w:rPr>
        <w:t>第十条</w:t>
      </w:r>
      <w:r>
        <w:rPr>
          <w:rFonts w:hint="eastAsia"/>
        </w:rPr>
        <w:t xml:space="preserve"> 通过备案的地区级创新平台应认真履行本办法第六条规定的职责，坚持开放共享，积极承担各级科技计划项目，主动服务行业和区域发展。</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ascii="方正楷体_GBK" w:hAnsi="方正楷体_GBK" w:eastAsia="方正楷体_GBK" w:cs="方正楷体_GBK"/>
          <w:b/>
          <w:bCs/>
        </w:rPr>
        <w:t>第十一条</w:t>
      </w:r>
      <w:r>
        <w:rPr>
          <w:rFonts w:hint="eastAsia"/>
        </w:rPr>
        <w:t xml:space="preserve"> 实行年度报告制度。每年1月31日前，平台应向属地县（市）科技管理部门及地区科技局提交上一年度工作报告，报告内容包括研发活动、成果产出、成果转化、人才引进培养、经济与社会效益、开放共享及下一年度工作计划等。</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ascii="方正楷体_GBK" w:hAnsi="方正楷体_GBK" w:eastAsia="方正楷体_GBK" w:cs="方正楷体_GBK"/>
          <w:b/>
          <w:bCs/>
        </w:rPr>
        <w:t>第十二条</w:t>
      </w:r>
      <w:r>
        <w:rPr>
          <w:rFonts w:hint="eastAsia"/>
        </w:rPr>
        <w:t xml:space="preserve"> 实行重大事项报告制度。平台发生负责人变更、依托单位（或共建单位）变更、主要研究方向调整、场所地址变更、以及依托单位发生兼并、重组、分立、注销、重大法律诉讼或行政处罚等重大事项的，应在30个工作日内，经属地科技管理部门向地区科技局正式书面报告。</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ascii="方正楷体_GBK" w:hAnsi="方正楷体_GBK" w:eastAsia="方正楷体_GBK" w:cs="方正楷体_GBK"/>
          <w:b/>
          <w:bCs/>
        </w:rPr>
        <w:t>第十三条</w:t>
      </w:r>
      <w:r>
        <w:rPr>
          <w:rFonts w:hint="eastAsia"/>
        </w:rPr>
        <w:t xml:space="preserve"> 鼓励平台建立健全市场化运行机制和激励分配机制，可采用股权、期权、岗位分红、项目收益分成等方式，对做出突出贡献的科技人员和经营管理人员予以激励。</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ascii="方正楷体_GBK" w:hAnsi="方正楷体_GBK" w:eastAsia="方正楷体_GBK" w:cs="方正楷体_GBK"/>
          <w:b/>
          <w:bCs/>
        </w:rPr>
        <w:t>第十四条</w:t>
      </w:r>
      <w:r>
        <w:rPr>
          <w:rFonts w:hint="eastAsia"/>
        </w:rPr>
        <w:t xml:space="preserve"> 平台应加强知识产权管理与保护，及时申请国内外专利、软件著作权等，获得的科研成果应标注平台名称。</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p>
    <w:p>
      <w:pPr>
        <w:keepNext w:val="0"/>
        <w:keepLines w:val="0"/>
        <w:pageBreakBefore w:val="0"/>
        <w:widowControl w:val="0"/>
        <w:kinsoku/>
        <w:wordWrap/>
        <w:overflowPunct w:val="0"/>
        <w:topLinePunct/>
        <w:autoSpaceDE/>
        <w:autoSpaceDN/>
        <w:bidi w:val="0"/>
        <w:adjustRightInd w:val="0"/>
        <w:snapToGrid w:val="0"/>
        <w:ind w:left="0" w:leftChars="0" w:firstLine="0" w:firstLineChars="0"/>
        <w:jc w:val="center"/>
        <w:textAlignment w:val="auto"/>
        <w:rPr>
          <w:rFonts w:hint="eastAsia" w:ascii="方正黑体_GBK" w:hAnsi="方正黑体_GBK" w:eastAsia="方正黑体_GBK" w:cs="方正黑体_GBK"/>
        </w:rPr>
      </w:pPr>
      <w:r>
        <w:rPr>
          <w:rFonts w:hint="eastAsia" w:ascii="方正黑体_GBK" w:hAnsi="方正黑体_GBK" w:eastAsia="方正黑体_GBK" w:cs="方正黑体_GBK"/>
        </w:rPr>
        <w:t>第五章 绩效评价与动态调整</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ascii="方正楷体_GBK" w:hAnsi="方正楷体_GBK" w:eastAsia="方正楷体_GBK" w:cs="方正楷体_GBK"/>
          <w:b/>
          <w:bCs/>
        </w:rPr>
        <w:t>第十五条</w:t>
      </w:r>
      <w:r>
        <w:rPr>
          <w:rFonts w:hint="eastAsia"/>
        </w:rPr>
        <w:t xml:space="preserve"> 地区科技局对备案的地区级创新平台实行定期绩效评价制度。以每两个年度为一个评价周期，实现所有在册平台的全覆盖。</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ascii="方正楷体_GBK" w:hAnsi="方正楷体_GBK" w:eastAsia="方正楷体_GBK" w:cs="方正楷体_GBK"/>
          <w:b/>
          <w:bCs/>
        </w:rPr>
        <w:t xml:space="preserve">第十六条 </w:t>
      </w:r>
      <w:r>
        <w:rPr>
          <w:rFonts w:hint="eastAsia"/>
        </w:rPr>
        <w:t>绩效评价主要考察平台的运行效率、创新能力、贡献水平与可持续发展能力。评价内容主要包括：</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（一）研发投入</w:t>
      </w:r>
      <w:r>
        <w:rPr>
          <w:rFonts w:hint="eastAsia"/>
          <w:b w:val="0"/>
          <w:bCs w:val="0"/>
          <w:lang w:eastAsia="zh-CN"/>
        </w:rPr>
        <w:t>。</w:t>
      </w:r>
      <w:r>
        <w:rPr>
          <w:rFonts w:hint="eastAsia"/>
          <w:b w:val="0"/>
          <w:bCs w:val="0"/>
        </w:rPr>
        <w:t>依托单位的经费投入、承担各级科研项目情况。</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（二）人才队伍</w:t>
      </w:r>
      <w:r>
        <w:rPr>
          <w:rFonts w:hint="eastAsia"/>
          <w:b w:val="0"/>
          <w:bCs w:val="0"/>
          <w:lang w:eastAsia="zh-CN"/>
        </w:rPr>
        <w:t>。</w:t>
      </w:r>
      <w:r>
        <w:rPr>
          <w:rFonts w:hint="eastAsia"/>
          <w:b w:val="0"/>
          <w:bCs w:val="0"/>
        </w:rPr>
        <w:t>人才引进、培养及团队建设成效。</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（三）创新产出</w:t>
      </w:r>
      <w:r>
        <w:rPr>
          <w:rFonts w:hint="eastAsia"/>
          <w:b w:val="0"/>
          <w:bCs w:val="0"/>
          <w:lang w:eastAsia="zh-CN"/>
        </w:rPr>
        <w:t>。</w:t>
      </w:r>
      <w:r>
        <w:rPr>
          <w:rFonts w:hint="eastAsia"/>
          <w:b w:val="0"/>
          <w:bCs w:val="0"/>
        </w:rPr>
        <w:t>新技术、新工艺、新产品、专利、标准、论文等成果数量与质量。</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（四）成果转化与产业化</w:t>
      </w:r>
      <w:r>
        <w:rPr>
          <w:rFonts w:hint="eastAsia"/>
          <w:b w:val="0"/>
          <w:bCs w:val="0"/>
          <w:lang w:eastAsia="zh-CN"/>
        </w:rPr>
        <w:t>。</w:t>
      </w:r>
      <w:r>
        <w:rPr>
          <w:rFonts w:hint="eastAsia"/>
          <w:b w:val="0"/>
          <w:bCs w:val="0"/>
        </w:rPr>
        <w:t>技术合同成交额、成果转化效益、带动产业新增产值、服务企业数量等。</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（五）开放共享与合作</w:t>
      </w:r>
      <w:r>
        <w:rPr>
          <w:rFonts w:hint="eastAsia"/>
          <w:b w:val="0"/>
          <w:bCs w:val="0"/>
          <w:lang w:eastAsia="zh-CN"/>
        </w:rPr>
        <w:t>。</w:t>
      </w:r>
      <w:r>
        <w:rPr>
          <w:rFonts w:hint="eastAsia"/>
          <w:b w:val="0"/>
          <w:bCs w:val="0"/>
        </w:rPr>
        <w:t>产学研合作深度、仪器设备开放共享率、学术交流与技术服务活动开展情况。</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（六）运行管理</w:t>
      </w:r>
      <w:r>
        <w:rPr>
          <w:rFonts w:hint="eastAsia"/>
          <w:b w:val="0"/>
          <w:bCs w:val="0"/>
          <w:lang w:eastAsia="zh-CN"/>
        </w:rPr>
        <w:t>。</w:t>
      </w:r>
      <w:r>
        <w:rPr>
          <w:rFonts w:hint="eastAsia"/>
          <w:b w:val="0"/>
          <w:bCs w:val="0"/>
        </w:rPr>
        <w:t>内部制度健全性、年度报告及重大事项报备的及时性与完整性。</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ascii="方正楷体_GBK" w:hAnsi="方正楷体_GBK" w:eastAsia="方正楷体_GBK" w:cs="方正楷体_GBK"/>
          <w:b/>
          <w:bCs/>
        </w:rPr>
        <w:t>第十七条</w:t>
      </w:r>
      <w:r>
        <w:rPr>
          <w:rFonts w:hint="eastAsia"/>
        </w:rPr>
        <w:t xml:space="preserve"> 绩效评价结果分为“优秀”、“合格”、“不合格”三个等次。评价结果向社会公示，并作为动态调整和政策支持的重要依据。</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rPr>
        <w:t>（一）对评价结果为“优秀”的平台，优先推荐申报自治区级、国家级创新平台，并在项目申报、资源配置等方面给予重点支持。</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u w:val="none"/>
        </w:rPr>
      </w:pPr>
      <w:r>
        <w:rPr>
          <w:rFonts w:hint="eastAsia"/>
        </w:rPr>
        <w:t>（二）对评价结果为“不合格”的平台，责令限期整改（整改期不超过6个月）。整改期满仍不合格的，或连续两个评价周期为“不合格”的，取消其备案资格。</w:t>
      </w:r>
      <w:r>
        <w:rPr>
          <w:rFonts w:hint="eastAsia" w:cs="Times New Roman"/>
          <w:b w:val="0"/>
          <w:bCs w:val="0"/>
          <w:sz w:val="32"/>
          <w:szCs w:val="32"/>
          <w:u w:val="none"/>
          <w:lang w:eastAsia="zh-CN"/>
        </w:rPr>
        <w:t>地区科技局作出取消备案资格决定前，应书面告知实事、依据及陈诉申辩权；责任主体不服的，可自收到决定之日起</w:t>
      </w:r>
      <w:r>
        <w:rPr>
          <w:rFonts w:hint="eastAsia" w:cs="Times New Roman"/>
          <w:b w:val="0"/>
          <w:bCs w:val="0"/>
          <w:sz w:val="32"/>
          <w:szCs w:val="32"/>
          <w:u w:val="none"/>
          <w:lang w:val="en-US" w:eastAsia="zh-CN"/>
        </w:rPr>
        <w:t>15个工作日内向地区科技局申请复查。</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rPr>
        <w:t>（三）无故不参加绩效评价的平台，</w:t>
      </w:r>
      <w:r>
        <w:rPr>
          <w:rFonts w:hint="eastAsia"/>
          <w:b w:val="0"/>
          <w:bCs w:val="0"/>
          <w:u w:val="none"/>
        </w:rPr>
        <w:t>经地区科技局书面催告仍不配合的</w:t>
      </w:r>
      <w:r>
        <w:rPr>
          <w:rFonts w:hint="eastAsia"/>
          <w:b w:val="0"/>
          <w:bCs w:val="0"/>
          <w:u w:val="none"/>
          <w:lang w:eastAsia="zh-CN"/>
        </w:rPr>
        <w:t>，</w:t>
      </w:r>
      <w:r>
        <w:rPr>
          <w:rFonts w:hint="eastAsia"/>
        </w:rPr>
        <w:t>直接取消备案资格。</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lang w:eastAsia="zh-CN"/>
        </w:rPr>
      </w:pPr>
      <w:r>
        <w:rPr>
          <w:rFonts w:hint="eastAsia"/>
          <w:b w:val="0"/>
          <w:bCs w:val="0"/>
          <w:lang w:eastAsia="zh-CN"/>
        </w:rPr>
        <w:t>（四）平台因行业产业周期、宏观市场重大波动等客观不可控因素未完成绩效指标，但依托单位持续足额落实研发投入、正常开展研发服务工作的，经专家评议可不予直接评定为“不合格”，不强制限期整改、不撤销备案资格。</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ascii="方正楷体_GBK" w:hAnsi="方正楷体_GBK" w:eastAsia="方正楷体_GBK" w:cs="方正楷体_GBK"/>
          <w:b/>
          <w:bCs/>
        </w:rPr>
        <w:t xml:space="preserve">第十八条 </w:t>
      </w:r>
      <w:r>
        <w:rPr>
          <w:rFonts w:hint="eastAsia"/>
          <w:b w:val="0"/>
          <w:bCs w:val="0"/>
        </w:rPr>
        <w:t>有下列情形之一的，由地区科技局撤销其地区</w:t>
      </w:r>
      <w:r>
        <w:rPr>
          <w:rFonts w:hint="eastAsia"/>
          <w:b w:val="0"/>
          <w:bCs w:val="0"/>
          <w:lang w:eastAsia="zh-CN"/>
        </w:rPr>
        <w:t>重点科技</w:t>
      </w:r>
      <w:r>
        <w:rPr>
          <w:rFonts w:hint="eastAsia"/>
          <w:b w:val="0"/>
          <w:bCs w:val="0"/>
        </w:rPr>
        <w:t>创新平台备案资格，并自撤销之日起</w:t>
      </w:r>
      <w:r>
        <w:rPr>
          <w:rFonts w:hint="eastAsia"/>
          <w:b w:val="0"/>
          <w:bCs w:val="0"/>
          <w:lang w:eastAsia="zh-CN"/>
        </w:rPr>
        <w:t>三</w:t>
      </w:r>
      <w:r>
        <w:rPr>
          <w:rFonts w:hint="eastAsia"/>
          <w:b w:val="0"/>
          <w:bCs w:val="0"/>
        </w:rPr>
        <w:t>年内不再受理其申报：</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（一）在申报备案、年度报告、绩效评价过程中提供虚假材料，骗取备案资格的。</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（二）主要科研人员或平台发生严重违背科研诚信要求，造成恶劣影响的。</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（三）依托单位停止经营活动、被吊销营业执照、进入破产清算程序，或发生重大变更后不再符合备案条件的。</w:t>
      </w:r>
    </w:p>
    <w:p>
      <w:pPr>
        <w:keepNext w:val="0"/>
        <w:keepLines w:val="0"/>
        <w:pageBreakBefore w:val="0"/>
        <w:widowControl w:val="0"/>
        <w:kinsoku/>
        <w:wordWrap/>
        <w:overflowPunct w:val="0"/>
        <w:topLinePunct/>
        <w:autoSpaceDE/>
        <w:autoSpaceDN/>
        <w:bidi w:val="0"/>
        <w:adjustRightInd w:val="0"/>
        <w:snapToGrid w:val="0"/>
        <w:textAlignment w:val="auto"/>
        <w:rPr>
          <w:rFonts w:hint="eastAsia"/>
          <w:b w:val="0"/>
          <w:bCs w:val="0"/>
        </w:rPr>
      </w:pPr>
      <w:r>
        <w:rPr>
          <w:rFonts w:hint="eastAsia"/>
          <w:b w:val="0"/>
          <w:bCs w:val="0"/>
        </w:rPr>
        <w:t>（四）依托单位发生重大安全、质量、环保事故，或受到刑事处罚、严重行政处罚的。</w:t>
      </w:r>
    </w:p>
    <w:p>
      <w:pPr>
        <w:keepNext w:val="0"/>
        <w:keepLines w:val="0"/>
        <w:pageBreakBefore w:val="0"/>
        <w:widowControl w:val="0"/>
        <w:kinsoku/>
        <w:wordWrap/>
        <w:overflowPunct w:val="0"/>
        <w:topLinePunct/>
        <w:autoSpaceDE/>
        <w:autoSpaceDN/>
        <w:bidi w:val="0"/>
        <w:adjustRightInd w:val="0"/>
        <w:snapToGrid w:val="0"/>
        <w:textAlignment w:val="auto"/>
        <w:rPr>
          <w:rFonts w:hint="eastAsia"/>
        </w:rPr>
      </w:pPr>
      <w:r>
        <w:rPr>
          <w:rFonts w:hint="eastAsia" w:cs="Times New Roman"/>
          <w:b w:val="0"/>
          <w:bCs w:val="0"/>
          <w:sz w:val="32"/>
          <w:szCs w:val="32"/>
          <w:u w:val="none"/>
          <w:lang w:eastAsia="zh-CN"/>
        </w:rPr>
        <w:t>地区科技局作出取消备案资格决定前，应书面告知实事、依据及陈诉申辩权；责任主体不服的，可自收到决定之日起</w:t>
      </w:r>
      <w:r>
        <w:rPr>
          <w:rFonts w:hint="eastAsia" w:cs="Times New Roman"/>
          <w:b w:val="0"/>
          <w:bCs w:val="0"/>
          <w:sz w:val="32"/>
          <w:szCs w:val="32"/>
          <w:u w:val="none"/>
          <w:lang w:val="en-US" w:eastAsia="zh-CN"/>
        </w:rPr>
        <w:t>15个工作日内向地区科技局申请复查。</w:t>
      </w:r>
      <w:r>
        <w:rPr>
          <w:rFonts w:hint="eastAsia"/>
        </w:rPr>
        <w:t>被撤销资格的平台，其依托单位及负责人不得以原平台名义继续从事任何活动，并在一定范围内予以通报。</w:t>
      </w:r>
    </w:p>
    <w:p>
      <w:pPr>
        <w:keepNext w:val="0"/>
        <w:keepLines w:val="0"/>
        <w:pageBreakBefore w:val="0"/>
        <w:widowControl w:val="0"/>
        <w:kinsoku/>
        <w:wordWrap/>
        <w:overflowPunct w:val="0"/>
        <w:topLinePunct/>
        <w:autoSpaceDE/>
        <w:autoSpaceDN/>
        <w:bidi w:val="0"/>
        <w:adjustRightInd w:val="0"/>
        <w:snapToGrid w:val="0"/>
        <w:textAlignment w:val="auto"/>
        <w:rPr>
          <w:rFonts w:hint="eastAsia"/>
          <w:lang w:eastAsia="zh-CN"/>
        </w:rPr>
      </w:pPr>
      <w:r>
        <w:rPr>
          <w:rFonts w:hint="eastAsia" w:ascii="方正楷体_GBK" w:hAnsi="方正楷体_GBK" w:eastAsia="方正楷体_GBK" w:cs="方正楷体_GBK"/>
          <w:b/>
          <w:bCs/>
        </w:rPr>
        <w:t>第</w:t>
      </w:r>
      <w:r>
        <w:rPr>
          <w:rFonts w:hint="eastAsia" w:ascii="方正楷体_GBK" w:hAnsi="方正楷体_GBK" w:eastAsia="方正楷体_GBK" w:cs="方正楷体_GBK"/>
          <w:b/>
          <w:bCs/>
          <w:lang w:eastAsia="zh-CN"/>
        </w:rPr>
        <w:t>十九</w:t>
      </w:r>
      <w:r>
        <w:rPr>
          <w:rFonts w:hint="eastAsia" w:ascii="方正楷体_GBK" w:hAnsi="方正楷体_GBK" w:eastAsia="方正楷体_GBK" w:cs="方正楷体_GBK"/>
          <w:b/>
          <w:bCs/>
        </w:rPr>
        <w:t>条</w:t>
      </w:r>
      <w:r>
        <w:rPr>
          <w:rFonts w:hint="eastAsia"/>
        </w:rPr>
        <w:t xml:space="preserve"> </w:t>
      </w:r>
      <w:r>
        <w:rPr>
          <w:rFonts w:hint="eastAsia"/>
          <w:lang w:eastAsia="zh-CN"/>
        </w:rPr>
        <w:t>对本办法正式施行前</w:t>
      </w:r>
      <w:r>
        <w:rPr>
          <w:rFonts w:hint="eastAsia"/>
        </w:rPr>
        <w:t>已获得国家、自治区级科技创新平台认定的，</w:t>
      </w:r>
      <w:r>
        <w:rPr>
          <w:rFonts w:hint="eastAsia"/>
          <w:lang w:eastAsia="zh-CN"/>
        </w:rPr>
        <w:t>以及本办法正式施行后新获得</w:t>
      </w:r>
      <w:r>
        <w:rPr>
          <w:rFonts w:hint="eastAsia"/>
        </w:rPr>
        <w:t>国家、自治区级科技创新平台认定的，经依托单位申请，地区科技局审核后，可直接备案为地区级创新平台</w:t>
      </w:r>
      <w:r>
        <w:rPr>
          <w:rFonts w:hint="eastAsia"/>
          <w:lang w:eastAsia="zh-CN"/>
        </w:rPr>
        <w:t>。</w:t>
      </w:r>
    </w:p>
    <w:p>
      <w:pPr>
        <w:pStyle w:val="2"/>
        <w:keepNext w:val="0"/>
        <w:keepLines w:val="0"/>
        <w:pageBreakBefore w:val="0"/>
        <w:widowControl w:val="0"/>
        <w:kinsoku/>
        <w:wordWrap/>
        <w:overflowPunct w:val="0"/>
        <w:topLinePunct/>
        <w:autoSpaceDE/>
        <w:autoSpaceDN/>
        <w:bidi w:val="0"/>
        <w:adjustRightInd w:val="0"/>
        <w:snapToGrid w:val="0"/>
        <w:textAlignment w:val="auto"/>
        <w:rPr>
          <w:rFonts w:hint="eastAsia" w:ascii="方正仿宋_GBK" w:hAnsi="方正仿宋_GBK" w:eastAsia="方正仿宋_GBK" w:cs="方正仿宋_GBK"/>
          <w:b w:val="0"/>
          <w:bCs w:val="0"/>
          <w:lang w:eastAsia="zh-CN"/>
        </w:rPr>
      </w:pPr>
      <w:r>
        <w:rPr>
          <w:rFonts w:hint="eastAsia" w:ascii="方正楷体_GBK" w:hAnsi="方正楷体_GBK" w:eastAsia="方正楷体_GBK" w:cs="方正楷体_GBK"/>
          <w:b/>
          <w:bCs/>
        </w:rPr>
        <w:t>第二十条</w:t>
      </w:r>
      <w:r>
        <w:rPr>
          <w:rFonts w:hint="eastAsia"/>
        </w:rPr>
        <w:t xml:space="preserve"> </w:t>
      </w:r>
      <w:r>
        <w:rPr>
          <w:rFonts w:hint="eastAsia" w:ascii="方正仿宋_GBK" w:hAnsi="方正仿宋_GBK" w:eastAsia="方正仿宋_GBK" w:cs="方正仿宋_GBK"/>
          <w:b w:val="0"/>
          <w:bCs w:val="0"/>
          <w:lang w:val="en-US" w:eastAsia="zh-CN"/>
        </w:rPr>
        <w:t>积极探索</w:t>
      </w:r>
      <w:r>
        <w:rPr>
          <w:rFonts w:hint="eastAsia" w:ascii="方正仿宋_GBK" w:hAnsi="方正仿宋_GBK" w:eastAsia="方正仿宋_GBK" w:cs="方正仿宋_GBK"/>
          <w:b w:val="0"/>
          <w:bCs w:val="0"/>
          <w:lang w:eastAsia="zh-CN"/>
        </w:rPr>
        <w:t>引入第三方机构协助开展平台备案评审、年度核查与周期绩效评价工作。</w:t>
      </w:r>
    </w:p>
    <w:p>
      <w:pPr>
        <w:keepNext w:val="0"/>
        <w:keepLines w:val="0"/>
        <w:pageBreakBefore w:val="0"/>
        <w:widowControl w:val="0"/>
        <w:kinsoku/>
        <w:wordWrap/>
        <w:overflowPunct w:val="0"/>
        <w:topLinePunct/>
        <w:autoSpaceDE/>
        <w:autoSpaceDN/>
        <w:bidi w:val="0"/>
        <w:adjustRightInd w:val="0"/>
        <w:snapToGrid w:val="0"/>
        <w:ind w:left="0" w:leftChars="0" w:firstLine="0" w:firstLineChars="0"/>
        <w:jc w:val="center"/>
        <w:textAlignment w:val="auto"/>
        <w:rPr>
          <w:rFonts w:hint="eastAsia" w:ascii="方正黑体_GBK" w:hAnsi="方正黑体_GBK" w:eastAsia="方正黑体_GBK" w:cs="方正黑体_GBK"/>
        </w:rPr>
      </w:pPr>
    </w:p>
    <w:p>
      <w:pPr>
        <w:keepNext w:val="0"/>
        <w:keepLines w:val="0"/>
        <w:pageBreakBefore w:val="0"/>
        <w:widowControl w:val="0"/>
        <w:kinsoku/>
        <w:wordWrap/>
        <w:overflowPunct w:val="0"/>
        <w:topLinePunct/>
        <w:autoSpaceDE/>
        <w:autoSpaceDN/>
        <w:bidi w:val="0"/>
        <w:adjustRightInd w:val="0"/>
        <w:snapToGrid w:val="0"/>
        <w:ind w:left="0" w:leftChars="0" w:firstLine="0" w:firstLineChars="0"/>
        <w:jc w:val="center"/>
        <w:textAlignment w:val="auto"/>
        <w:rPr>
          <w:rFonts w:hint="eastAsia" w:ascii="方正黑体_GBK" w:hAnsi="方正黑体_GBK" w:eastAsia="方正黑体_GBK" w:cs="方正黑体_GBK"/>
        </w:rPr>
      </w:pPr>
      <w:r>
        <w:rPr>
          <w:rFonts w:hint="eastAsia" w:ascii="方正黑体_GBK" w:hAnsi="方正黑体_GBK" w:eastAsia="方正黑体_GBK" w:cs="方正黑体_GBK"/>
        </w:rPr>
        <w:t>第</w:t>
      </w:r>
      <w:r>
        <w:rPr>
          <w:rFonts w:hint="eastAsia" w:ascii="方正黑体_GBK" w:hAnsi="方正黑体_GBK" w:eastAsia="方正黑体_GBK" w:cs="方正黑体_GBK"/>
          <w:lang w:eastAsia="zh-CN"/>
        </w:rPr>
        <w:t>六</w:t>
      </w:r>
      <w:r>
        <w:rPr>
          <w:rFonts w:hint="eastAsia" w:ascii="方正黑体_GBK" w:hAnsi="方正黑体_GBK" w:eastAsia="方正黑体_GBK" w:cs="方正黑体_GBK"/>
        </w:rPr>
        <w:t>章 附则</w:t>
      </w:r>
    </w:p>
    <w:p>
      <w:pPr>
        <w:keepNext w:val="0"/>
        <w:keepLines w:val="0"/>
        <w:pageBreakBefore w:val="0"/>
        <w:widowControl w:val="0"/>
        <w:kinsoku/>
        <w:wordWrap/>
        <w:overflowPunct w:val="0"/>
        <w:topLinePunct/>
        <w:autoSpaceDE/>
        <w:autoSpaceDN/>
        <w:bidi w:val="0"/>
        <w:adjustRightInd w:val="0"/>
        <w:snapToGrid w:val="0"/>
        <w:textAlignment w:val="auto"/>
        <w:rPr>
          <w:rFonts w:hint="eastAsia" w:eastAsia="方正仿宋_GBK"/>
          <w:lang w:eastAsia="zh-CN"/>
        </w:rPr>
      </w:pPr>
      <w:r>
        <w:rPr>
          <w:rFonts w:hint="eastAsia" w:ascii="方正楷体_GBK" w:hAnsi="方正楷体_GBK" w:eastAsia="方正楷体_GBK" w:cs="方正楷体_GBK"/>
          <w:b/>
          <w:bCs/>
        </w:rPr>
        <w:t>第二十</w:t>
      </w:r>
      <w:r>
        <w:rPr>
          <w:rFonts w:hint="eastAsia" w:ascii="方正楷体_GBK" w:hAnsi="方正楷体_GBK" w:eastAsia="方正楷体_GBK" w:cs="方正楷体_GBK"/>
          <w:b/>
          <w:bCs/>
          <w:lang w:eastAsia="zh-CN"/>
        </w:rPr>
        <w:t>一</w:t>
      </w:r>
      <w:r>
        <w:rPr>
          <w:rFonts w:hint="eastAsia" w:ascii="方正楷体_GBK" w:hAnsi="方正楷体_GBK" w:eastAsia="方正楷体_GBK" w:cs="方正楷体_GBK"/>
          <w:b/>
          <w:bCs/>
        </w:rPr>
        <w:t>条</w:t>
      </w:r>
      <w:r>
        <w:rPr>
          <w:rFonts w:hint="eastAsia"/>
        </w:rPr>
        <w:t xml:space="preserve"> 本办法由喀什地区科学技术局负责解释</w:t>
      </w:r>
      <w:r>
        <w:rPr>
          <w:rFonts w:hint="eastAsia"/>
          <w:lang w:eastAsia="zh-CN"/>
        </w:rPr>
        <w:t>；解释不得增设义务、减损权益、抵触上位法规。</w:t>
      </w:r>
    </w:p>
    <w:p>
      <w:pPr>
        <w:keepNext w:val="0"/>
        <w:keepLines w:val="0"/>
        <w:pageBreakBefore w:val="0"/>
        <w:widowControl w:val="0"/>
        <w:kinsoku/>
        <w:wordWrap/>
        <w:overflowPunct w:val="0"/>
        <w:topLinePunct/>
        <w:autoSpaceDE/>
        <w:autoSpaceDN/>
        <w:bidi w:val="0"/>
        <w:adjustRightInd w:val="0"/>
        <w:snapToGrid w:val="0"/>
        <w:textAlignment w:val="auto"/>
      </w:pPr>
      <w:r>
        <w:rPr>
          <w:rFonts w:hint="eastAsia" w:ascii="方正楷体_GBK" w:hAnsi="方正楷体_GBK" w:eastAsia="方正楷体_GBK" w:cs="方正楷体_GBK"/>
          <w:b/>
          <w:bCs/>
        </w:rPr>
        <w:t>第二十</w:t>
      </w:r>
      <w:r>
        <w:rPr>
          <w:rFonts w:hint="eastAsia" w:ascii="方正楷体_GBK" w:hAnsi="方正楷体_GBK" w:eastAsia="方正楷体_GBK" w:cs="方正楷体_GBK"/>
          <w:b/>
          <w:bCs/>
          <w:lang w:eastAsia="zh-CN"/>
        </w:rPr>
        <w:t>二</w:t>
      </w:r>
      <w:r>
        <w:rPr>
          <w:rFonts w:hint="eastAsia" w:ascii="方正楷体_GBK" w:hAnsi="方正楷体_GBK" w:eastAsia="方正楷体_GBK" w:cs="方正楷体_GBK"/>
          <w:b/>
          <w:bCs/>
        </w:rPr>
        <w:t>条</w:t>
      </w:r>
      <w:r>
        <w:rPr>
          <w:rFonts w:hint="eastAsia"/>
        </w:rPr>
        <w:t xml:space="preserve"> 本办法自发布之日起施行，有效期</w:t>
      </w:r>
      <w:r>
        <w:rPr>
          <w:rFonts w:hint="eastAsia"/>
          <w:lang w:val="en-US" w:eastAsia="zh-CN"/>
        </w:rPr>
        <w:t>2年</w:t>
      </w:r>
      <w:r>
        <w:rPr>
          <w:rFonts w:hint="eastAsia"/>
        </w:rPr>
        <w:t>。此前有关规定与本办法不一致的，以本办法为准。</w:t>
      </w:r>
    </w:p>
    <w:sectPr>
      <w:footerReference r:id="rId5" w:type="default"/>
      <w:pgSz w:w="11906" w:h="16838"/>
      <w:pgMar w:top="1984" w:right="1531" w:bottom="1701" w:left="1531" w:header="851" w:footer="1077" w:gutter="0"/>
      <w:pgNumType w:fmt="decimal"/>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2"/>
    <w:family w:val="modern"/>
    <w:pitch w:val="default"/>
    <w:sig w:usb0="E0002AFF" w:usb1="C0007841"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7"/>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1"/>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632AD9"/>
    <w:rsid w:val="10C30DA9"/>
    <w:rsid w:val="11515449"/>
    <w:rsid w:val="127A0FD1"/>
    <w:rsid w:val="15B64A89"/>
    <w:rsid w:val="278C5A75"/>
    <w:rsid w:val="2A707701"/>
    <w:rsid w:val="2ED31EB3"/>
    <w:rsid w:val="2FA55E5F"/>
    <w:rsid w:val="30EBB7CA"/>
    <w:rsid w:val="34FF0487"/>
    <w:rsid w:val="35632AD9"/>
    <w:rsid w:val="3BB91588"/>
    <w:rsid w:val="3DDE63AF"/>
    <w:rsid w:val="43F54BDF"/>
    <w:rsid w:val="44396280"/>
    <w:rsid w:val="57FB88BF"/>
    <w:rsid w:val="5FFDA37C"/>
    <w:rsid w:val="62BE68DB"/>
    <w:rsid w:val="62FB61DE"/>
    <w:rsid w:val="6B4140F2"/>
    <w:rsid w:val="6B72FC2B"/>
    <w:rsid w:val="6E5ED1CA"/>
    <w:rsid w:val="73FB88B7"/>
    <w:rsid w:val="76FB1FB4"/>
    <w:rsid w:val="78F771B1"/>
    <w:rsid w:val="7FDF3ADA"/>
    <w:rsid w:val="7FFF5271"/>
    <w:rsid w:val="96FBF047"/>
    <w:rsid w:val="ABFFAF23"/>
    <w:rsid w:val="AF1831CC"/>
    <w:rsid w:val="BBBA6FA8"/>
    <w:rsid w:val="BFDD560B"/>
    <w:rsid w:val="E579C781"/>
    <w:rsid w:val="EBCB79B3"/>
    <w:rsid w:val="F71BB771"/>
    <w:rsid w:val="F75F6C61"/>
    <w:rsid w:val="FDBB8EE4"/>
    <w:rsid w:val="FEBD583C"/>
    <w:rsid w:val="FEEDA5B4"/>
    <w:rsid w:val="FFD1651C"/>
    <w:rsid w:val="FFE720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overflowPunct w:val="0"/>
      <w:topLinePunct/>
      <w:adjustRightInd w:val="0"/>
      <w:snapToGrid w:val="0"/>
      <w:spacing w:line="570" w:lineRule="exact"/>
      <w:ind w:firstLine="880" w:firstLineChars="200"/>
      <w:jc w:val="both"/>
    </w:pPr>
    <w:rPr>
      <w:rFonts w:ascii="Times New Roman" w:hAnsi="Times New Roman" w:eastAsia="方正仿宋_GBK" w:cstheme="minorBidi"/>
      <w:snapToGrid w:val="0"/>
      <w:color w:val="000000" w:themeColor="text1"/>
      <w:kern w:val="32"/>
      <w:sz w:val="32"/>
      <w:szCs w:val="32"/>
      <w:lang w:val="en-US" w:eastAsia="zh-CN" w:bidi="ar-SA"/>
      <w14:textFill>
        <w14:solidFill>
          <w14:schemeClr w14:val="tx1"/>
        </w14:solidFill>
      </w14:textFill>
    </w:rPr>
  </w:style>
  <w:style w:type="paragraph" w:styleId="3">
    <w:name w:val="heading 1"/>
    <w:basedOn w:val="1"/>
    <w:next w:val="1"/>
    <w:qFormat/>
    <w:uiPriority w:val="0"/>
    <w:pPr>
      <w:keepNext w:val="0"/>
      <w:keepLines w:val="0"/>
      <w:spacing w:beforeLines="0" w:beforeAutospacing="0" w:afterLines="0" w:afterAutospacing="0" w:line="576" w:lineRule="exact"/>
      <w:ind w:firstLine="0" w:firstLineChars="0"/>
      <w:jc w:val="center"/>
      <w:outlineLvl w:val="0"/>
    </w:pPr>
    <w:rPr>
      <w:rFonts w:ascii="Times New Roman" w:hAnsi="Times New Roman" w:eastAsia="方正小标宋_GBK"/>
      <w:kern w:val="44"/>
      <w:sz w:val="44"/>
      <w:szCs w:val="44"/>
    </w:rPr>
  </w:style>
  <w:style w:type="paragraph" w:styleId="4">
    <w:name w:val="heading 2"/>
    <w:basedOn w:val="1"/>
    <w:next w:val="1"/>
    <w:semiHidden/>
    <w:unhideWhenUsed/>
    <w:qFormat/>
    <w:uiPriority w:val="0"/>
    <w:pPr>
      <w:keepNext/>
      <w:keepLines w:val="0"/>
      <w:spacing w:beforeLines="0" w:beforeAutospacing="0" w:afterLines="0" w:afterAutospacing="0" w:line="576" w:lineRule="exact"/>
      <w:outlineLvl w:val="1"/>
    </w:pPr>
    <w:rPr>
      <w:rFonts w:ascii="Times New Roman" w:hAnsi="Times New Roman" w:eastAsia="方正黑体_GBK"/>
    </w:rPr>
  </w:style>
  <w:style w:type="paragraph" w:styleId="5">
    <w:name w:val="heading 3"/>
    <w:basedOn w:val="1"/>
    <w:next w:val="1"/>
    <w:semiHidden/>
    <w:unhideWhenUsed/>
    <w:qFormat/>
    <w:uiPriority w:val="0"/>
    <w:pPr>
      <w:keepNext/>
      <w:keepLines w:val="0"/>
      <w:spacing w:beforeLines="0" w:beforeAutospacing="0" w:afterLines="0" w:afterAutospacing="0" w:line="576" w:lineRule="exact"/>
      <w:outlineLvl w:val="2"/>
    </w:pPr>
    <w:rPr>
      <w:rFonts w:eastAsia="方正楷体_GBK"/>
      <w:b/>
    </w:rPr>
  </w:style>
  <w:style w:type="paragraph" w:styleId="6">
    <w:name w:val="heading 4"/>
    <w:basedOn w:val="1"/>
    <w:next w:val="1"/>
    <w:semiHidden/>
    <w:unhideWhenUsed/>
    <w:qFormat/>
    <w:uiPriority w:val="0"/>
    <w:pPr>
      <w:keepNext/>
      <w:keepLines w:val="0"/>
      <w:spacing w:beforeLines="0" w:beforeAutospacing="0" w:afterLines="0" w:afterAutospacing="0" w:line="576" w:lineRule="exact"/>
      <w:outlineLvl w:val="3"/>
    </w:pPr>
    <w:rPr>
      <w:rFonts w:ascii="Times New Roman" w:hAnsi="Times New Roman" w:eastAsia="方正仿宋_GBK"/>
      <w:b/>
      <w:sz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Office_11.8.2.10386_F1E327BC-269C-435d-A152-05C5408002CA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2026-06-14T21:17:00Z</dcterms:created>
  <dc:creator>Weizhen</dc:creator>
  <cp:lastModifiedBy>user</cp:lastModifiedBy>
  <cp:lastPrinted>2026-08-06T11:16:00Z</cp:lastPrinted>
  <dcterms:modified xsi:type="dcterms:W3CDTF">2026-09-28T17:52:46Z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y fmtid="{D5CDD505-2E9C-101B-9397-08002B2CF9AE}" pid="3" name="ICV">
    <vt:lpwstr>CF3E6B02C19D48EFA547C21B6FDA6DB7_12</vt:lpwstr>
  </property>
</Properties>
</file>