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before="156" w:beforeLines="50"/>
        <w:jc w:val="right"/>
        <w:rPr>
          <w:rFonts w:hint="default" w:ascii="Times New Roman" w:hAnsi="Times New Roman" w:eastAsia="仿宋_GB2312" w:cs="Times New Roman"/>
          <w:sz w:val="32"/>
        </w:rPr>
      </w:pPr>
    </w:p>
    <w:p>
      <w:pPr>
        <w:spacing w:before="156" w:beforeLines="50"/>
        <w:jc w:val="right"/>
        <w:rPr>
          <w:rFonts w:hint="eastAsia" w:ascii="Times New Roman" w:hAnsi="Times New Roman" w:cs="Times New Roman"/>
          <w:color w:val="auto"/>
          <w:szCs w:val="21"/>
          <w:highlight w:val="none"/>
          <w:u w:val="none"/>
          <w:lang w:val="en-US" w:eastAsia="zh-CN"/>
        </w:rPr>
      </w:pPr>
      <w:r>
        <w:rPr>
          <w:rFonts w:hint="default" w:ascii="Times New Roman" w:hAnsi="Times New Roman" w:eastAsia="仿宋_GB2312" w:cs="Times New Roman"/>
          <w:sz w:val="32"/>
        </w:rPr>
        <w:t>肇发改</w:t>
      </w:r>
      <w:r>
        <w:rPr>
          <w:rFonts w:hint="eastAsia" w:ascii="Times New Roman" w:hAnsi="Times New Roman" w:eastAsia="仿宋_GB2312" w:cs="Times New Roman"/>
          <w:sz w:val="32"/>
          <w:lang w:eastAsia="zh-CN"/>
        </w:rPr>
        <w:t>能源</w:t>
      </w:r>
      <w:r>
        <w:rPr>
          <w:rFonts w:hint="default" w:ascii="Times New Roman" w:hAnsi="Times New Roman" w:eastAsia="仿宋_GB2312" w:cs="Times New Roman"/>
          <w:sz w:val="32"/>
        </w:rPr>
        <w:t>〔20</w:t>
      </w:r>
      <w:r>
        <w:rPr>
          <w:rFonts w:hint="eastAsia" w:ascii="Times New Roman" w:hAnsi="Times New Roman" w:eastAsia="仿宋_GB2312" w:cs="Times New Roman"/>
          <w:sz w:val="32"/>
          <w:lang w:val="en-US" w:eastAsia="zh-CN"/>
        </w:rPr>
        <w:t>24</w:t>
      </w:r>
      <w:r>
        <w:rPr>
          <w:rFonts w:hint="default" w:ascii="Times New Roman" w:hAnsi="Times New Roman" w:eastAsia="仿宋_GB2312" w:cs="Times New Roman"/>
          <w:sz w:val="32"/>
        </w:rPr>
        <w:t>〕</w:t>
      </w:r>
      <w:r>
        <w:rPr>
          <w:rFonts w:hint="eastAsia" w:ascii="Times New Roman" w:hAnsi="Times New Roman" w:eastAsia="仿宋_GB2312" w:cs="Times New Roman"/>
          <w:sz w:val="32"/>
          <w:lang w:val="en-US" w:eastAsia="zh-CN"/>
        </w:rPr>
        <w:t>19</w:t>
      </w:r>
      <w:r>
        <w:rPr>
          <w:rFonts w:hint="default" w:ascii="Times New Roman" w:hAnsi="Times New Roman" w:eastAsia="仿宋_GB2312" w:cs="Times New Roman"/>
          <w:sz w:val="32"/>
        </w:rPr>
        <w:t>号</w:t>
      </w:r>
    </w:p>
    <w:p>
      <w:pPr>
        <w:keepNext w:val="0"/>
        <w:keepLines w:val="0"/>
        <w:pageBreakBefore w:val="0"/>
        <w:widowControl w:val="0"/>
        <w:kinsoku/>
        <w:wordWrap/>
        <w:overflowPunct/>
        <w:topLinePunct w:val="0"/>
        <w:autoSpaceDE/>
        <w:autoSpaceDN/>
        <w:bidi w:val="0"/>
        <w:adjustRightInd/>
        <w:snapToGrid/>
        <w:spacing w:line="600" w:lineRule="exact"/>
        <w:textAlignment w:val="auto"/>
        <w:rPr>
          <w:rFonts w:hint="eastAsia" w:ascii="Times New Roman" w:hAnsi="Times New Roman" w:cs="Times New Roman"/>
          <w:color w:val="auto"/>
          <w:szCs w:val="21"/>
          <w:highlight w:val="none"/>
          <w:u w:val="none"/>
          <w:lang w:val="en-US" w:eastAsia="zh-CN"/>
        </w:rPr>
      </w:pPr>
    </w:p>
    <w:p>
      <w:pPr>
        <w:keepNext w:val="0"/>
        <w:keepLines w:val="0"/>
        <w:pageBreakBefore w:val="0"/>
        <w:widowControl w:val="0"/>
        <w:kinsoku/>
        <w:wordWrap/>
        <w:overflowPunct/>
        <w:topLinePunct w:val="0"/>
        <w:autoSpaceDE/>
        <w:autoSpaceDN/>
        <w:bidi w:val="0"/>
        <w:adjustRightInd/>
        <w:snapToGrid/>
        <w:spacing w:line="600" w:lineRule="exact"/>
        <w:textAlignment w:val="auto"/>
        <w:rPr>
          <w:rFonts w:hint="default" w:ascii="Times New Roman" w:hAnsi="Times New Roman" w:cs="Times New Roman"/>
          <w:color w:val="auto"/>
          <w:szCs w:val="21"/>
          <w:highlight w:val="none"/>
          <w:u w:val="none"/>
          <w:lang w:val="en-US" w:eastAsia="zh-CN"/>
        </w:rPr>
      </w:pPr>
    </w:p>
    <w:p>
      <w:pPr>
        <w:keepNext w:val="0"/>
        <w:keepLines w:val="0"/>
        <w:pageBreakBefore w:val="0"/>
        <w:widowControl w:val="0"/>
        <w:kinsoku/>
        <w:wordWrap/>
        <w:overflowPunct/>
        <w:topLinePunct w:val="0"/>
        <w:autoSpaceDE/>
        <w:autoSpaceDN/>
        <w:bidi w:val="0"/>
        <w:adjustRightInd/>
        <w:snapToGrid/>
        <w:spacing w:line="600" w:lineRule="exact"/>
        <w:jc w:val="center"/>
        <w:textAlignment w:val="auto"/>
        <w:rPr>
          <w:rFonts w:hint="eastAsia" w:ascii="Times New Roman" w:hAnsi="Times New Roman" w:eastAsia="方正小标宋简体" w:cs="Times New Roman"/>
          <w:color w:val="auto"/>
          <w:sz w:val="44"/>
          <w:szCs w:val="44"/>
          <w:highlight w:val="none"/>
          <w:u w:val="none"/>
          <w:lang w:val="en-US" w:eastAsia="zh-CN"/>
        </w:rPr>
      </w:pPr>
      <w:r>
        <w:rPr>
          <w:rFonts w:hint="eastAsia" w:ascii="Times New Roman" w:hAnsi="Times New Roman" w:eastAsia="方正小标宋简体" w:cs="Times New Roman"/>
          <w:color w:val="auto"/>
          <w:sz w:val="44"/>
          <w:szCs w:val="44"/>
          <w:highlight w:val="none"/>
          <w:u w:val="none"/>
          <w:lang w:val="en-US" w:eastAsia="zh-CN"/>
        </w:rPr>
        <w:t>肇庆市发展和改革局关于明确在电力设施周围或者电力设施保护区内进行可能危及电力</w:t>
      </w:r>
    </w:p>
    <w:p>
      <w:pPr>
        <w:keepNext w:val="0"/>
        <w:keepLines w:val="0"/>
        <w:pageBreakBefore w:val="0"/>
        <w:widowControl w:val="0"/>
        <w:kinsoku/>
        <w:wordWrap/>
        <w:overflowPunct/>
        <w:topLinePunct w:val="0"/>
        <w:autoSpaceDE/>
        <w:autoSpaceDN/>
        <w:bidi w:val="0"/>
        <w:adjustRightInd/>
        <w:snapToGrid/>
        <w:spacing w:line="600" w:lineRule="exact"/>
        <w:jc w:val="center"/>
        <w:textAlignment w:val="auto"/>
        <w:rPr>
          <w:rFonts w:hint="eastAsia" w:ascii="Times New Roman" w:hAnsi="Times New Roman" w:eastAsia="方正小标宋简体" w:cs="Times New Roman"/>
          <w:color w:val="auto"/>
          <w:sz w:val="44"/>
          <w:szCs w:val="44"/>
          <w:highlight w:val="none"/>
          <w:u w:val="none"/>
          <w:lang w:val="en-US" w:eastAsia="zh-CN"/>
        </w:rPr>
      </w:pPr>
      <w:r>
        <w:rPr>
          <w:rFonts w:hint="eastAsia" w:ascii="Times New Roman" w:hAnsi="Times New Roman" w:eastAsia="方正小标宋简体" w:cs="Times New Roman"/>
          <w:color w:val="auto"/>
          <w:sz w:val="44"/>
          <w:szCs w:val="44"/>
          <w:highlight w:val="none"/>
          <w:u w:val="none"/>
          <w:lang w:val="en-US" w:eastAsia="zh-CN"/>
        </w:rPr>
        <w:t>设施安全作业许可职权划分的通知</w:t>
      </w:r>
    </w:p>
    <w:p>
      <w:pPr>
        <w:keepNext w:val="0"/>
        <w:keepLines w:val="0"/>
        <w:pageBreakBefore w:val="0"/>
        <w:widowControl w:val="0"/>
        <w:kinsoku/>
        <w:wordWrap/>
        <w:overflowPunct/>
        <w:topLinePunct w:val="0"/>
        <w:autoSpaceDE/>
        <w:autoSpaceDN/>
        <w:bidi w:val="0"/>
        <w:adjustRightInd/>
        <w:snapToGrid/>
        <w:spacing w:line="600" w:lineRule="exact"/>
        <w:jc w:val="both"/>
        <w:textAlignment w:val="auto"/>
        <w:rPr>
          <w:rFonts w:hint="default" w:ascii="Times New Roman" w:hAnsi="Times New Roman" w:eastAsia="方正小标宋简体" w:cs="Times New Roman"/>
          <w:color w:val="auto"/>
          <w:sz w:val="44"/>
          <w:szCs w:val="44"/>
          <w:highlight w:val="none"/>
          <w:u w:val="none"/>
          <w:lang w:eastAsia="zh-CN"/>
        </w:rPr>
      </w:pPr>
    </w:p>
    <w:p>
      <w:pPr>
        <w:keepNext w:val="0"/>
        <w:keepLines w:val="0"/>
        <w:pageBreakBefore w:val="0"/>
        <w:widowControl w:val="0"/>
        <w:kinsoku/>
        <w:wordWrap/>
        <w:overflowPunct/>
        <w:topLinePunct w:val="0"/>
        <w:autoSpaceDE/>
        <w:autoSpaceDN/>
        <w:bidi w:val="0"/>
        <w:adjustRightInd/>
        <w:snapToGrid/>
        <w:spacing w:line="600" w:lineRule="exact"/>
        <w:ind w:right="221"/>
        <w:jc w:val="both"/>
        <w:textAlignment w:val="auto"/>
        <w:outlineLvl w:val="9"/>
        <w:rPr>
          <w:rFonts w:hint="default" w:ascii="Times New Roman" w:hAnsi="Times New Roman" w:eastAsia="仿宋_GB2312" w:cs="Times New Roman"/>
          <w:color w:val="auto"/>
          <w:sz w:val="32"/>
          <w:szCs w:val="32"/>
          <w:highlight w:val="none"/>
          <w:u w:val="none"/>
          <w:lang w:val="en-US" w:eastAsia="zh-CN"/>
        </w:rPr>
      </w:pPr>
      <w:r>
        <w:rPr>
          <w:rFonts w:hint="eastAsia" w:ascii="Times New Roman" w:hAnsi="Times New Roman" w:eastAsia="仿宋_GB2312" w:cs="Times New Roman"/>
          <w:color w:val="auto"/>
          <w:sz w:val="32"/>
          <w:szCs w:val="32"/>
          <w:highlight w:val="none"/>
          <w:u w:val="none"/>
          <w:lang w:val="en-US" w:eastAsia="zh-CN"/>
        </w:rPr>
        <w:t>各县（市、区）发展和改革局，肇庆高新区发展规划和国土资源局、肇庆新区行政服务局、粤桂合作特别试验区（肇庆）管理委员会行政服务局、肇庆供电局</w:t>
      </w:r>
      <w:r>
        <w:rPr>
          <w:rFonts w:hint="default" w:ascii="Times New Roman" w:hAnsi="Times New Roman" w:eastAsia="仿宋_GB2312" w:cs="Times New Roman"/>
          <w:color w:val="auto"/>
          <w:sz w:val="32"/>
          <w:szCs w:val="32"/>
          <w:highlight w:val="none"/>
          <w:u w:val="none"/>
          <w:lang w:val="en-US" w:eastAsia="zh-CN"/>
        </w:rPr>
        <w:t>：</w:t>
      </w:r>
    </w:p>
    <w:p>
      <w:pPr>
        <w:keepNext w:val="0"/>
        <w:keepLines w:val="0"/>
        <w:pageBreakBefore w:val="0"/>
        <w:widowControl w:val="0"/>
        <w:kinsoku/>
        <w:wordWrap/>
        <w:overflowPunct/>
        <w:topLinePunct w:val="0"/>
        <w:autoSpaceDE/>
        <w:autoSpaceDN/>
        <w:bidi w:val="0"/>
        <w:adjustRightInd/>
        <w:snapToGrid/>
        <w:spacing w:line="600" w:lineRule="exact"/>
        <w:ind w:firstLine="645"/>
        <w:jc w:val="both"/>
        <w:textAlignment w:val="auto"/>
        <w:rPr>
          <w:rFonts w:hint="default" w:ascii="Times New Roman" w:hAnsi="Times New Roman" w:eastAsia="仿宋_GB2312" w:cs="Times New Roman"/>
          <w:snapToGrid/>
          <w:color w:val="auto"/>
          <w:kern w:val="2"/>
          <w:sz w:val="32"/>
          <w:szCs w:val="32"/>
          <w:lang w:val="en-US" w:eastAsia="zh-CN"/>
        </w:rPr>
      </w:pPr>
      <w:r>
        <w:rPr>
          <w:rFonts w:hint="eastAsia" w:ascii="Times New Roman" w:hAnsi="Times New Roman" w:eastAsia="仿宋_GB2312" w:cs="Times New Roman"/>
          <w:snapToGrid/>
          <w:color w:val="auto"/>
          <w:kern w:val="2"/>
          <w:sz w:val="32"/>
          <w:szCs w:val="32"/>
          <w:lang w:val="en-US" w:eastAsia="zh-CN"/>
        </w:rPr>
        <w:t>为规范在电力设施周围或者电力设施保护区内进行可能危及电力设施安全作业的审批工作，按照《广东省能源局关于印发〈在电力设施周围或者电力设施保护区内进行可能危及电力设施安全作业审批工作指引〉的通知》的要求，在汇总各地、各有关部门意见建议的基础上，结合工作实际，确定了市、县两级电力管理部门对该事项行政许可职权范围。具体如下：</w:t>
      </w:r>
    </w:p>
    <w:p>
      <w:pPr>
        <w:keepNext w:val="0"/>
        <w:keepLines w:val="0"/>
        <w:pageBreakBefore w:val="0"/>
        <w:widowControl w:val="0"/>
        <w:numPr>
          <w:ilvl w:val="0"/>
          <w:numId w:val="1"/>
        </w:numPr>
        <w:kinsoku/>
        <w:wordWrap/>
        <w:overflowPunct/>
        <w:topLinePunct w:val="0"/>
        <w:autoSpaceDE/>
        <w:autoSpaceDN/>
        <w:bidi w:val="0"/>
        <w:adjustRightInd/>
        <w:snapToGrid/>
        <w:spacing w:line="600" w:lineRule="exact"/>
        <w:ind w:firstLine="645"/>
        <w:jc w:val="both"/>
        <w:textAlignment w:val="auto"/>
        <w:rPr>
          <w:rFonts w:hint="eastAsia" w:ascii="黑体" w:hAnsi="黑体" w:eastAsia="黑体" w:cs="黑体"/>
          <w:snapToGrid/>
          <w:color w:val="auto"/>
          <w:kern w:val="2"/>
          <w:sz w:val="32"/>
          <w:szCs w:val="32"/>
          <w:lang w:val="en-US" w:eastAsia="zh-CN"/>
        </w:rPr>
      </w:pPr>
      <w:r>
        <w:rPr>
          <w:rFonts w:hint="eastAsia" w:ascii="黑体" w:hAnsi="黑体" w:eastAsia="黑体" w:cs="黑体"/>
          <w:snapToGrid/>
          <w:color w:val="auto"/>
          <w:kern w:val="2"/>
          <w:sz w:val="32"/>
          <w:szCs w:val="32"/>
          <w:lang w:val="en-US" w:eastAsia="zh-CN"/>
        </w:rPr>
        <w:t>市级电力主管部门行政许可范围</w:t>
      </w:r>
    </w:p>
    <w:p>
      <w:pPr>
        <w:keepNext w:val="0"/>
        <w:keepLines w:val="0"/>
        <w:pageBreakBefore w:val="0"/>
        <w:widowControl w:val="0"/>
        <w:numPr>
          <w:ilvl w:val="0"/>
          <w:numId w:val="2"/>
        </w:numPr>
        <w:kinsoku/>
        <w:wordWrap/>
        <w:overflowPunct/>
        <w:topLinePunct w:val="0"/>
        <w:autoSpaceDE/>
        <w:autoSpaceDN/>
        <w:bidi w:val="0"/>
        <w:adjustRightInd/>
        <w:snapToGrid/>
        <w:spacing w:line="600" w:lineRule="exact"/>
        <w:ind w:firstLine="640" w:firstLineChars="200"/>
        <w:jc w:val="both"/>
        <w:textAlignment w:val="auto"/>
        <w:rPr>
          <w:rFonts w:hint="eastAsia" w:ascii="Times New Roman" w:hAnsi="Times New Roman" w:eastAsia="仿宋_GB2312" w:cs="Times New Roman"/>
          <w:snapToGrid/>
          <w:color w:val="auto"/>
          <w:kern w:val="2"/>
          <w:sz w:val="32"/>
          <w:szCs w:val="32"/>
          <w:lang w:val="en-US" w:eastAsia="zh-CN"/>
        </w:rPr>
      </w:pPr>
      <w:r>
        <w:rPr>
          <w:rFonts w:hint="eastAsia" w:ascii="Times New Roman" w:hAnsi="Times New Roman" w:eastAsia="仿宋_GB2312" w:cs="Times New Roman"/>
          <w:snapToGrid/>
          <w:color w:val="auto"/>
          <w:kern w:val="2"/>
          <w:sz w:val="32"/>
          <w:szCs w:val="32"/>
          <w:lang w:val="en-US" w:eastAsia="zh-CN"/>
        </w:rPr>
        <w:t>在电力设施周围或者电力设施保护区内进行横跨两个及以上县级行政区域的可能危及电力设施安全的作业；</w:t>
      </w:r>
    </w:p>
    <w:p>
      <w:pPr>
        <w:keepNext w:val="0"/>
        <w:keepLines w:val="0"/>
        <w:pageBreakBefore w:val="0"/>
        <w:widowControl w:val="0"/>
        <w:numPr>
          <w:ilvl w:val="0"/>
          <w:numId w:val="2"/>
        </w:numPr>
        <w:kinsoku/>
        <w:wordWrap/>
        <w:overflowPunct/>
        <w:topLinePunct w:val="0"/>
        <w:autoSpaceDE/>
        <w:autoSpaceDN/>
        <w:bidi w:val="0"/>
        <w:adjustRightInd/>
        <w:snapToGrid/>
        <w:spacing w:line="600" w:lineRule="exact"/>
        <w:ind w:firstLine="640" w:firstLineChars="200"/>
        <w:jc w:val="both"/>
        <w:textAlignment w:val="auto"/>
        <w:rPr>
          <w:rFonts w:hint="eastAsia" w:ascii="Times New Roman" w:hAnsi="Times New Roman" w:eastAsia="仿宋_GB2312" w:cs="Times New Roman"/>
          <w:snapToGrid/>
          <w:color w:val="auto"/>
          <w:kern w:val="2"/>
          <w:sz w:val="32"/>
          <w:szCs w:val="32"/>
          <w:lang w:val="en-US" w:eastAsia="zh-CN"/>
        </w:rPr>
      </w:pPr>
      <w:r>
        <w:rPr>
          <w:rFonts w:hint="eastAsia" w:ascii="Times New Roman" w:hAnsi="Times New Roman" w:eastAsia="仿宋_GB2312" w:cs="Times New Roman"/>
          <w:snapToGrid/>
          <w:color w:val="auto"/>
          <w:kern w:val="2"/>
          <w:sz w:val="32"/>
          <w:szCs w:val="32"/>
          <w:lang w:val="en-US" w:eastAsia="zh-CN"/>
        </w:rPr>
        <w:t>在本市行政区域内电压等级为220kV及以上的电力设施周围或者电力设施保护区内进行可能危及电力设施安全的作业；</w:t>
      </w:r>
    </w:p>
    <w:p>
      <w:pPr>
        <w:keepNext w:val="0"/>
        <w:keepLines w:val="0"/>
        <w:pageBreakBefore w:val="0"/>
        <w:widowControl w:val="0"/>
        <w:numPr>
          <w:ilvl w:val="0"/>
          <w:numId w:val="2"/>
        </w:numPr>
        <w:kinsoku/>
        <w:wordWrap/>
        <w:overflowPunct/>
        <w:topLinePunct w:val="0"/>
        <w:autoSpaceDE/>
        <w:autoSpaceDN/>
        <w:bidi w:val="0"/>
        <w:adjustRightInd/>
        <w:snapToGrid/>
        <w:spacing w:line="600" w:lineRule="exact"/>
        <w:ind w:firstLine="640" w:firstLineChars="200"/>
        <w:jc w:val="both"/>
        <w:textAlignment w:val="auto"/>
        <w:rPr>
          <w:rFonts w:hint="eastAsia" w:ascii="Times New Roman" w:hAnsi="Times New Roman" w:eastAsia="仿宋_GB2312" w:cs="Times New Roman"/>
          <w:snapToGrid/>
          <w:color w:val="auto"/>
          <w:kern w:val="2"/>
          <w:sz w:val="32"/>
          <w:szCs w:val="32"/>
          <w:lang w:val="en-US" w:eastAsia="zh-CN"/>
        </w:rPr>
      </w:pPr>
      <w:r>
        <w:rPr>
          <w:rFonts w:hint="eastAsia" w:ascii="Times New Roman" w:hAnsi="Times New Roman" w:eastAsia="仿宋_GB2312" w:cs="Times New Roman"/>
          <w:snapToGrid/>
          <w:color w:val="auto"/>
          <w:kern w:val="2"/>
          <w:sz w:val="32"/>
          <w:szCs w:val="32"/>
          <w:lang w:val="en-US" w:eastAsia="zh-CN"/>
        </w:rPr>
        <w:t>同一作业同时涉及220kV及以上和220kV以下的电力设施周围或者电力设施保护区内进行可能危及电力设施安全的作业。</w:t>
      </w:r>
    </w:p>
    <w:p>
      <w:pPr>
        <w:keepNext w:val="0"/>
        <w:keepLines w:val="0"/>
        <w:pageBreakBefore w:val="0"/>
        <w:widowControl w:val="0"/>
        <w:numPr>
          <w:ilvl w:val="0"/>
          <w:numId w:val="1"/>
        </w:numPr>
        <w:kinsoku/>
        <w:wordWrap/>
        <w:overflowPunct/>
        <w:topLinePunct w:val="0"/>
        <w:autoSpaceDE/>
        <w:autoSpaceDN/>
        <w:bidi w:val="0"/>
        <w:adjustRightInd/>
        <w:snapToGrid/>
        <w:spacing w:line="600" w:lineRule="exact"/>
        <w:ind w:left="0" w:leftChars="0" w:firstLine="645" w:firstLineChars="0"/>
        <w:jc w:val="both"/>
        <w:textAlignment w:val="auto"/>
        <w:rPr>
          <w:rFonts w:hint="eastAsia" w:ascii="黑体" w:hAnsi="黑体" w:eastAsia="黑体" w:cs="黑体"/>
          <w:snapToGrid/>
          <w:color w:val="auto"/>
          <w:kern w:val="2"/>
          <w:sz w:val="32"/>
          <w:szCs w:val="32"/>
          <w:lang w:val="en-US" w:eastAsia="zh-CN"/>
        </w:rPr>
      </w:pPr>
      <w:r>
        <w:rPr>
          <w:rFonts w:hint="eastAsia" w:ascii="黑体" w:hAnsi="黑体" w:eastAsia="黑体" w:cs="黑体"/>
          <w:snapToGrid/>
          <w:color w:val="auto"/>
          <w:kern w:val="2"/>
          <w:sz w:val="32"/>
          <w:szCs w:val="32"/>
          <w:lang w:val="en-US" w:eastAsia="zh-CN"/>
        </w:rPr>
        <w:t>县级电力行政主管部门负责实施的行政许可范围</w:t>
      </w:r>
    </w:p>
    <w:p>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640" w:firstLineChars="200"/>
        <w:jc w:val="both"/>
        <w:textAlignment w:val="auto"/>
        <w:rPr>
          <w:rFonts w:hint="eastAsia" w:ascii="Times New Roman" w:hAnsi="Times New Roman" w:eastAsia="仿宋_GB2312" w:cs="Times New Roman"/>
          <w:snapToGrid/>
          <w:color w:val="auto"/>
          <w:kern w:val="2"/>
          <w:sz w:val="32"/>
          <w:szCs w:val="32"/>
          <w:lang w:val="en-US" w:eastAsia="zh-CN"/>
        </w:rPr>
      </w:pPr>
      <w:r>
        <w:rPr>
          <w:rFonts w:hint="eastAsia" w:ascii="Times New Roman" w:hAnsi="Times New Roman" w:eastAsia="仿宋_GB2312" w:cs="Times New Roman"/>
          <w:snapToGrid/>
          <w:color w:val="auto"/>
          <w:kern w:val="2"/>
          <w:sz w:val="32"/>
          <w:szCs w:val="32"/>
          <w:lang w:val="en-US" w:eastAsia="zh-CN"/>
        </w:rPr>
        <w:t>在本行政区域内电压等级为220kV以下的电力设施周围或者电力设施保护区内进行可能危及电力设施安全的作业。</w:t>
      </w:r>
    </w:p>
    <w:p>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640" w:firstLineChars="200"/>
        <w:jc w:val="both"/>
        <w:textAlignment w:val="auto"/>
        <w:rPr>
          <w:rFonts w:hint="default" w:ascii="Times New Roman" w:hAnsi="Times New Roman" w:eastAsia="仿宋_GB2312" w:cs="Times New Roman"/>
          <w:snapToGrid/>
          <w:color w:val="auto"/>
          <w:kern w:val="2"/>
          <w:sz w:val="32"/>
          <w:szCs w:val="32"/>
          <w:lang w:val="en-US" w:eastAsia="zh-CN"/>
        </w:rPr>
      </w:pPr>
      <w:r>
        <w:rPr>
          <w:rFonts w:hint="eastAsia" w:ascii="Times New Roman" w:hAnsi="Times New Roman" w:eastAsia="仿宋_GB2312" w:cs="Times New Roman"/>
          <w:snapToGrid/>
          <w:color w:val="auto"/>
          <w:kern w:val="2"/>
          <w:sz w:val="32"/>
          <w:szCs w:val="32"/>
          <w:lang w:val="en-US" w:eastAsia="zh-CN"/>
        </w:rPr>
        <w:t>请各县（市、区）电力管理部门依照《广东省能源局关于印发〈在电力设施周围或者电力设施保护区内进行可能危及电力设施安全作业审批工作指引〉的通知》，切实履职尽责，按照“谁审批谁监管、谁主管谁监管”的原则，依法加强对所批准作业的事中事后监管，电力设施管理单位要落实电力安全生产主体责任，加强作业期间设施的巡视检查和监督管理，切实保障全市电力设施安全。</w:t>
      </w:r>
    </w:p>
    <w:p>
      <w:pPr>
        <w:rPr>
          <w:rFonts w:hint="default"/>
          <w:lang w:eastAsia="zh-CN"/>
        </w:rPr>
      </w:pPr>
    </w:p>
    <w:p>
      <w:pPr>
        <w:keepNext w:val="0"/>
        <w:keepLines w:val="0"/>
        <w:pageBreakBefore w:val="0"/>
        <w:widowControl w:val="0"/>
        <w:kinsoku/>
        <w:wordWrap/>
        <w:overflowPunct/>
        <w:topLinePunct w:val="0"/>
        <w:autoSpaceDE/>
        <w:autoSpaceDN/>
        <w:bidi w:val="0"/>
        <w:adjustRightInd/>
        <w:snapToGrid/>
        <w:spacing w:line="600" w:lineRule="exact"/>
        <w:ind w:firstLine="4160" w:firstLineChars="1300"/>
        <w:textAlignment w:val="auto"/>
        <w:outlineLvl w:val="9"/>
        <w:rPr>
          <w:rFonts w:hint="default" w:ascii="Times New Roman" w:hAnsi="Times New Roman" w:eastAsia="仿宋_GB2312" w:cs="Times New Roman"/>
          <w:color w:val="auto"/>
          <w:sz w:val="32"/>
          <w:szCs w:val="32"/>
          <w:highlight w:val="none"/>
          <w:u w:val="none"/>
          <w:lang w:eastAsia="zh-CN"/>
        </w:rPr>
      </w:pPr>
    </w:p>
    <w:p>
      <w:pPr>
        <w:keepNext w:val="0"/>
        <w:keepLines w:val="0"/>
        <w:pageBreakBefore w:val="0"/>
        <w:widowControl w:val="0"/>
        <w:kinsoku/>
        <w:wordWrap/>
        <w:overflowPunct/>
        <w:topLinePunct w:val="0"/>
        <w:autoSpaceDE/>
        <w:autoSpaceDN/>
        <w:bidi w:val="0"/>
        <w:adjustRightInd/>
        <w:snapToGrid/>
        <w:spacing w:line="600" w:lineRule="exact"/>
        <w:ind w:firstLine="5120" w:firstLineChars="1600"/>
        <w:textAlignment w:val="auto"/>
        <w:outlineLvl w:val="9"/>
        <w:rPr>
          <w:rFonts w:hint="default" w:ascii="Times New Roman" w:hAnsi="Times New Roman" w:eastAsia="仿宋_GB2312" w:cs="Times New Roman"/>
          <w:color w:val="auto"/>
          <w:sz w:val="32"/>
          <w:szCs w:val="32"/>
          <w:highlight w:val="none"/>
          <w:u w:val="none"/>
          <w:lang w:eastAsia="zh-CN"/>
        </w:rPr>
      </w:pPr>
      <w:r>
        <w:rPr>
          <w:rFonts w:hint="default" w:ascii="Times New Roman" w:hAnsi="Times New Roman" w:eastAsia="仿宋_GB2312" w:cs="Times New Roman"/>
          <w:color w:val="auto"/>
          <w:sz w:val="32"/>
          <w:szCs w:val="32"/>
          <w:highlight w:val="none"/>
          <w:u w:val="none"/>
          <w:lang w:eastAsia="zh-CN"/>
        </w:rPr>
        <w:t>肇庆市</w:t>
      </w:r>
      <w:r>
        <w:rPr>
          <w:rFonts w:hint="eastAsia" w:ascii="Times New Roman" w:hAnsi="Times New Roman" w:eastAsia="仿宋_GB2312" w:cs="Times New Roman"/>
          <w:color w:val="auto"/>
          <w:sz w:val="32"/>
          <w:szCs w:val="32"/>
          <w:highlight w:val="none"/>
          <w:u w:val="none"/>
          <w:lang w:eastAsia="zh-CN"/>
        </w:rPr>
        <w:t>发展和改革局</w:t>
      </w:r>
    </w:p>
    <w:p>
      <w:pPr>
        <w:keepNext w:val="0"/>
        <w:keepLines w:val="0"/>
        <w:pageBreakBefore w:val="0"/>
        <w:widowControl w:val="0"/>
        <w:kinsoku/>
        <w:wordWrap/>
        <w:overflowPunct/>
        <w:topLinePunct w:val="0"/>
        <w:autoSpaceDE/>
        <w:autoSpaceDN/>
        <w:bidi w:val="0"/>
        <w:adjustRightInd/>
        <w:snapToGrid/>
        <w:spacing w:line="600" w:lineRule="exact"/>
        <w:ind w:firstLine="5440" w:firstLineChars="1700"/>
        <w:textAlignment w:val="auto"/>
        <w:outlineLvl w:val="9"/>
        <w:rPr>
          <w:rFonts w:hint="default" w:ascii="Times New Roman" w:hAnsi="Times New Roman" w:eastAsia="仿宋_GB2312" w:cs="Times New Roman"/>
          <w:color w:val="auto"/>
          <w:sz w:val="32"/>
          <w:szCs w:val="32"/>
          <w:highlight w:val="none"/>
          <w:u w:val="none"/>
          <w:lang w:val="en-US" w:eastAsia="zh-CN"/>
        </w:rPr>
      </w:pPr>
      <w:r>
        <w:rPr>
          <w:rFonts w:hint="default" w:ascii="Times New Roman" w:hAnsi="Times New Roman" w:eastAsia="仿宋_GB2312" w:cs="Times New Roman"/>
          <w:color w:val="auto"/>
          <w:sz w:val="32"/>
          <w:szCs w:val="32"/>
          <w:highlight w:val="none"/>
          <w:u w:val="none"/>
          <w:lang w:val="en-US" w:eastAsia="zh-CN"/>
        </w:rPr>
        <w:t>202</w:t>
      </w:r>
      <w:r>
        <w:rPr>
          <w:rFonts w:hint="eastAsia" w:ascii="Times New Roman" w:hAnsi="Times New Roman" w:eastAsia="仿宋_GB2312" w:cs="Times New Roman"/>
          <w:color w:val="auto"/>
          <w:sz w:val="32"/>
          <w:szCs w:val="32"/>
          <w:highlight w:val="none"/>
          <w:u w:val="none"/>
          <w:lang w:val="en-US" w:eastAsia="zh-CN"/>
        </w:rPr>
        <w:t>4</w:t>
      </w:r>
      <w:r>
        <w:rPr>
          <w:rFonts w:hint="default" w:ascii="Times New Roman" w:hAnsi="Times New Roman" w:eastAsia="仿宋_GB2312" w:cs="Times New Roman"/>
          <w:color w:val="auto"/>
          <w:sz w:val="32"/>
          <w:szCs w:val="32"/>
          <w:highlight w:val="none"/>
          <w:u w:val="none"/>
          <w:lang w:val="en-US" w:eastAsia="zh-CN"/>
        </w:rPr>
        <w:t>年</w:t>
      </w:r>
      <w:r>
        <w:rPr>
          <w:rFonts w:hint="eastAsia" w:ascii="Times New Roman" w:hAnsi="Times New Roman" w:eastAsia="仿宋_GB2312" w:cs="Times New Roman"/>
          <w:color w:val="auto"/>
          <w:sz w:val="32"/>
          <w:szCs w:val="32"/>
          <w:highlight w:val="none"/>
          <w:u w:val="none"/>
          <w:lang w:val="en-US" w:eastAsia="zh-CN"/>
        </w:rPr>
        <w:t>6</w:t>
      </w:r>
      <w:r>
        <w:rPr>
          <w:rFonts w:hint="default" w:ascii="Times New Roman" w:hAnsi="Times New Roman" w:eastAsia="仿宋_GB2312" w:cs="Times New Roman"/>
          <w:color w:val="auto"/>
          <w:sz w:val="32"/>
          <w:szCs w:val="32"/>
          <w:highlight w:val="none"/>
          <w:u w:val="none"/>
          <w:lang w:val="en-US" w:eastAsia="zh-CN"/>
        </w:rPr>
        <w:t>月</w:t>
      </w:r>
      <w:r>
        <w:rPr>
          <w:rFonts w:hint="eastAsia" w:ascii="Times New Roman" w:hAnsi="Times New Roman" w:eastAsia="仿宋_GB2312" w:cs="Times New Roman"/>
          <w:color w:val="auto"/>
          <w:sz w:val="32"/>
          <w:szCs w:val="32"/>
          <w:highlight w:val="none"/>
          <w:u w:val="none"/>
          <w:lang w:val="en-US" w:eastAsia="zh-CN"/>
        </w:rPr>
        <w:t>28</w:t>
      </w:r>
      <w:r>
        <w:rPr>
          <w:rFonts w:hint="default" w:ascii="Times New Roman" w:hAnsi="Times New Roman" w:eastAsia="仿宋_GB2312" w:cs="Times New Roman"/>
          <w:color w:val="auto"/>
          <w:sz w:val="32"/>
          <w:szCs w:val="32"/>
          <w:highlight w:val="none"/>
          <w:u w:val="none"/>
          <w:lang w:val="en-US" w:eastAsia="zh-CN"/>
        </w:rPr>
        <w:t>日</w:t>
      </w:r>
    </w:p>
    <w:p>
      <w:pPr>
        <w:keepNext w:val="0"/>
        <w:keepLines w:val="0"/>
        <w:pageBreakBefore w:val="0"/>
        <w:widowControl w:val="0"/>
        <w:kinsoku/>
        <w:wordWrap/>
        <w:overflowPunct/>
        <w:topLinePunct w:val="0"/>
        <w:autoSpaceDE/>
        <w:autoSpaceDN/>
        <w:bidi w:val="0"/>
        <w:adjustRightInd/>
        <w:snapToGrid/>
        <w:spacing w:line="600" w:lineRule="exact"/>
        <w:textAlignment w:val="auto"/>
        <w:rPr>
          <w:rFonts w:hint="default" w:ascii="Times New Roman" w:hAnsi="Times New Roman" w:eastAsia="黑体" w:cs="Times New Roman"/>
          <w:color w:val="auto"/>
          <w:sz w:val="30"/>
          <w:szCs w:val="30"/>
          <w:highlight w:val="none"/>
          <w:u w:val="none"/>
          <w:lang w:eastAsia="zh-CN"/>
        </w:rPr>
      </w:pPr>
    </w:p>
    <w:p>
      <w:pPr>
        <w:keepNext w:val="0"/>
        <w:keepLines w:val="0"/>
        <w:pageBreakBefore w:val="0"/>
        <w:widowControl w:val="0"/>
        <w:kinsoku/>
        <w:wordWrap/>
        <w:overflowPunct/>
        <w:topLinePunct w:val="0"/>
        <w:autoSpaceDE/>
        <w:autoSpaceDN/>
        <w:bidi w:val="0"/>
        <w:adjustRightInd/>
        <w:snapToGrid/>
        <w:spacing w:line="580" w:lineRule="exact"/>
        <w:ind w:left="0" w:leftChars="0" w:right="0" w:rightChars="0" w:firstLine="0" w:firstLineChars="0"/>
        <w:jc w:val="both"/>
        <w:textAlignment w:val="auto"/>
        <w:outlineLvl w:val="9"/>
        <w:rPr>
          <w:rFonts w:hint="eastAsia" w:ascii="黑体" w:hAnsi="黑体" w:eastAsia="黑体" w:cs="黑体"/>
          <w:sz w:val="32"/>
          <w:szCs w:val="32"/>
        </w:rPr>
      </w:pPr>
    </w:p>
    <w:p>
      <w:pPr>
        <w:pStyle w:val="2"/>
        <w:rPr>
          <w:rFonts w:hint="eastAsia" w:ascii="黑体" w:hAnsi="黑体" w:eastAsia="黑体" w:cs="黑体"/>
          <w:sz w:val="32"/>
          <w:szCs w:val="32"/>
        </w:rPr>
      </w:pPr>
    </w:p>
    <w:p>
      <w:pPr>
        <w:pStyle w:val="2"/>
        <w:rPr>
          <w:rFonts w:hint="eastAsia" w:ascii="黑体" w:hAnsi="黑体" w:eastAsia="黑体" w:cs="黑体"/>
          <w:sz w:val="32"/>
          <w:szCs w:val="32"/>
        </w:rPr>
      </w:pPr>
    </w:p>
    <w:p>
      <w:pPr>
        <w:pStyle w:val="2"/>
        <w:rPr>
          <w:rFonts w:hint="eastAsia" w:ascii="黑体" w:hAnsi="黑体" w:eastAsia="黑体" w:cs="黑体"/>
          <w:sz w:val="32"/>
          <w:szCs w:val="32"/>
        </w:rPr>
      </w:pPr>
    </w:p>
    <w:p>
      <w:pPr>
        <w:pStyle w:val="2"/>
        <w:rPr>
          <w:rFonts w:hint="eastAsia" w:ascii="黑体" w:hAnsi="黑体" w:eastAsia="黑体" w:cs="黑体"/>
          <w:sz w:val="32"/>
          <w:szCs w:val="32"/>
        </w:rPr>
      </w:pPr>
    </w:p>
    <w:p>
      <w:pPr>
        <w:pStyle w:val="2"/>
        <w:rPr>
          <w:rFonts w:hint="eastAsia" w:ascii="黑体" w:hAnsi="黑体" w:eastAsia="黑体" w:cs="黑体"/>
          <w:sz w:val="32"/>
          <w:szCs w:val="32"/>
        </w:rPr>
      </w:pPr>
    </w:p>
    <w:p>
      <w:pPr>
        <w:pStyle w:val="2"/>
        <w:rPr>
          <w:rFonts w:hint="eastAsia" w:ascii="黑体" w:hAnsi="黑体" w:eastAsia="黑体" w:cs="黑体"/>
          <w:sz w:val="32"/>
          <w:szCs w:val="32"/>
        </w:rPr>
      </w:pPr>
    </w:p>
    <w:p>
      <w:pPr>
        <w:pStyle w:val="2"/>
        <w:rPr>
          <w:rFonts w:hint="eastAsia" w:ascii="黑体" w:hAnsi="黑体" w:eastAsia="黑体" w:cs="黑体"/>
          <w:sz w:val="32"/>
          <w:szCs w:val="32"/>
        </w:rPr>
      </w:pPr>
    </w:p>
    <w:p>
      <w:pPr>
        <w:pStyle w:val="2"/>
        <w:rPr>
          <w:rFonts w:hint="eastAsia" w:ascii="黑体" w:hAnsi="黑体" w:eastAsia="黑体" w:cs="黑体"/>
          <w:sz w:val="32"/>
          <w:szCs w:val="32"/>
        </w:rPr>
      </w:pPr>
      <w:bookmarkStart w:id="0" w:name="_GoBack"/>
      <w:bookmarkEnd w:id="0"/>
    </w:p>
    <w:p>
      <w:pPr>
        <w:keepNext w:val="0"/>
        <w:keepLines w:val="0"/>
        <w:pageBreakBefore w:val="0"/>
        <w:widowControl w:val="0"/>
        <w:kinsoku/>
        <w:wordWrap/>
        <w:overflowPunct/>
        <w:topLinePunct w:val="0"/>
        <w:autoSpaceDE/>
        <w:autoSpaceDN/>
        <w:bidi w:val="0"/>
        <w:adjustRightInd/>
        <w:snapToGrid/>
        <w:spacing w:line="580" w:lineRule="exact"/>
        <w:ind w:left="0" w:leftChars="0" w:right="0" w:rightChars="0" w:firstLine="0" w:firstLineChars="0"/>
        <w:jc w:val="both"/>
        <w:textAlignment w:val="auto"/>
        <w:outlineLvl w:val="9"/>
        <w:rPr>
          <w:rFonts w:hint="eastAsia" w:ascii="黑体" w:hAnsi="黑体" w:eastAsia="黑体" w:cs="黑体"/>
          <w:sz w:val="32"/>
          <w:szCs w:val="32"/>
        </w:rPr>
      </w:pPr>
    </w:p>
    <w:p>
      <w:pPr>
        <w:keepNext w:val="0"/>
        <w:keepLines w:val="0"/>
        <w:pageBreakBefore w:val="0"/>
        <w:widowControl w:val="0"/>
        <w:kinsoku/>
        <w:wordWrap/>
        <w:overflowPunct/>
        <w:topLinePunct w:val="0"/>
        <w:autoSpaceDE/>
        <w:autoSpaceDN/>
        <w:bidi w:val="0"/>
        <w:adjustRightInd/>
        <w:snapToGrid/>
        <w:spacing w:line="580" w:lineRule="exact"/>
        <w:ind w:left="0" w:leftChars="0" w:right="0" w:rightChars="0" w:firstLine="0" w:firstLineChars="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公开方式</w:t>
      </w:r>
      <w:r>
        <w:rPr>
          <w:rFonts w:hint="eastAsia" w:ascii="黑体" w:hAnsi="黑体" w:eastAsia="黑体" w:cs="黑体"/>
          <w:sz w:val="32"/>
          <w:szCs w:val="32"/>
          <w:lang w:eastAsia="zh-CN"/>
        </w:rPr>
        <w:t>：</w:t>
      </w:r>
      <w:r>
        <w:rPr>
          <w:rFonts w:hint="eastAsia" w:ascii="仿宋_GB2312" w:hAnsi="仿宋_GB2312" w:eastAsia="仿宋_GB2312" w:cs="仿宋_GB2312"/>
          <w:sz w:val="32"/>
          <w:szCs w:val="32"/>
          <w:lang w:val="en-US" w:eastAsia="zh-CN"/>
        </w:rPr>
        <w:t>主动</w:t>
      </w:r>
      <w:r>
        <w:rPr>
          <w:rFonts w:hint="eastAsia" w:ascii="仿宋_GB2312" w:hAnsi="仿宋_GB2312" w:eastAsia="仿宋_GB2312" w:cs="仿宋_GB2312"/>
          <w:sz w:val="32"/>
          <w:szCs w:val="32"/>
        </w:rPr>
        <w:t>公开</w:t>
      </w:r>
    </w:p>
    <w:p>
      <w:pPr>
        <w:pStyle w:val="5"/>
        <w:keepNext w:val="0"/>
        <w:keepLines w:val="0"/>
        <w:pageBreakBefore w:val="0"/>
        <w:widowControl w:val="0"/>
        <w:kinsoku/>
        <w:wordWrap/>
        <w:overflowPunct/>
        <w:topLinePunct w:val="0"/>
        <w:autoSpaceDE/>
        <w:autoSpaceDN/>
        <w:bidi w:val="0"/>
        <w:adjustRightInd/>
        <w:snapToGrid/>
        <w:spacing w:line="300" w:lineRule="exact"/>
        <w:ind w:left="420" w:leftChars="200" w:right="0" w:rightChars="0" w:firstLine="0" w:firstLineChars="0"/>
        <w:jc w:val="both"/>
        <w:textAlignment w:val="auto"/>
        <w:outlineLvl w:val="9"/>
        <w:rPr>
          <w:rFonts w:hint="default"/>
          <w:lang w:val="en-US" w:eastAsia="zh-CN"/>
        </w:rPr>
      </w:pPr>
    </w:p>
    <w:tbl>
      <w:tblPr>
        <w:tblStyle w:val="7"/>
        <w:tblW w:w="8522" w:type="dxa"/>
        <w:tblInd w:w="0" w:type="dxa"/>
        <w:tblBorders>
          <w:top w:val="single" w:color="auto" w:sz="4" w:space="0"/>
          <w:left w:val="none" w:color="auto" w:sz="0" w:space="0"/>
          <w:bottom w:val="single" w:color="auto" w:sz="4"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
      <w:tblGrid>
        <w:gridCol w:w="8522"/>
      </w:tblGrid>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770" w:hRule="atLeast"/>
        </w:trPr>
        <w:tc>
          <w:tcPr>
            <w:tcW w:w="8522" w:type="dxa"/>
            <w:vAlign w:val="center"/>
          </w:tcPr>
          <w:p>
            <w:pPr>
              <w:keepNext w:val="0"/>
              <w:keepLines w:val="0"/>
              <w:pageBreakBefore w:val="0"/>
              <w:widowControl w:val="0"/>
              <w:kinsoku/>
              <w:wordWrap/>
              <w:overflowPunct/>
              <w:topLinePunct w:val="0"/>
              <w:autoSpaceDE/>
              <w:autoSpaceDN/>
              <w:bidi w:val="0"/>
              <w:adjustRightInd/>
              <w:snapToGrid/>
              <w:spacing w:line="440" w:lineRule="exact"/>
              <w:ind w:right="105" w:rightChars="50" w:firstLine="280" w:firstLineChars="100"/>
              <w:jc w:val="both"/>
              <w:textAlignment w:val="auto"/>
              <w:outlineLvl w:val="9"/>
              <w:rPr>
                <w:rFonts w:hint="default" w:ascii="Times New Roman" w:hAnsi="Times New Roman" w:eastAsia="仿宋_GB2312" w:cs="Times New Roman"/>
                <w:w w:val="100"/>
                <w:kern w:val="2"/>
                <w:sz w:val="32"/>
                <w:szCs w:val="32"/>
                <w:lang w:val="en-US" w:eastAsia="zh-CN" w:bidi="ar-SA"/>
              </w:rPr>
            </w:pPr>
            <w:r>
              <w:rPr>
                <w:rFonts w:hint="eastAsia" w:ascii="仿宋_GB2312" w:hAnsi="仿宋_GB2312" w:eastAsia="仿宋_GB2312" w:cs="仿宋_GB2312"/>
                <w:w w:val="100"/>
                <w:kern w:val="2"/>
                <w:sz w:val="28"/>
                <w:szCs w:val="28"/>
                <w:lang w:val="en-US" w:eastAsia="zh-CN" w:bidi="ar-SA"/>
              </w:rPr>
              <w:t>肇庆市发展和改革局办公室              2024年6月28日印发</w:t>
            </w:r>
          </w:p>
        </w:tc>
      </w:tr>
    </w:tbl>
    <w:p>
      <w:pPr>
        <w:keepNext w:val="0"/>
        <w:keepLines w:val="0"/>
        <w:pageBreakBefore w:val="0"/>
        <w:widowControl w:val="0"/>
        <w:kinsoku/>
        <w:wordWrap/>
        <w:overflowPunct/>
        <w:topLinePunct w:val="0"/>
        <w:autoSpaceDE/>
        <w:autoSpaceDN/>
        <w:bidi w:val="0"/>
        <w:adjustRightInd/>
        <w:snapToGrid/>
        <w:spacing w:line="600" w:lineRule="exact"/>
        <w:jc w:val="left"/>
        <w:textAlignment w:val="auto"/>
        <w:outlineLvl w:val="9"/>
        <w:rPr>
          <w:rFonts w:hint="default" w:ascii="Times New Roman" w:hAnsi="Times New Roman" w:eastAsia="仿宋_GB2312" w:cs="Times New Roman"/>
          <w:color w:val="auto"/>
          <w:sz w:val="30"/>
          <w:szCs w:val="30"/>
          <w:lang w:val="en-US" w:eastAsia="zh-CN"/>
        </w:rPr>
      </w:pPr>
    </w:p>
    <w:sectPr>
      <w:pgSz w:w="11906" w:h="16838"/>
      <w:pgMar w:top="2098" w:right="1474" w:bottom="1984" w:left="1587"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1" w:fontKey="{6BBBDA10-2734-4C89-978E-96AE0530E942}"/>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embedRegular r:id="rId2" w:fontKey="{AEA340DA-92B5-48E3-AE6C-1D607C203E40}"/>
  </w:font>
  <w:font w:name="方正小标宋_GBK">
    <w:panose1 w:val="02000000000000000000"/>
    <w:charset w:val="86"/>
    <w:family w:val="auto"/>
    <w:pitch w:val="default"/>
    <w:sig w:usb0="A00002BF" w:usb1="38CF7CFA" w:usb2="00082016" w:usb3="00000000" w:csb0="00040001" w:csb1="00000000"/>
  </w:font>
  <w:font w:name="仿宋_GB2312">
    <w:panose1 w:val="02010609030101010101"/>
    <w:charset w:val="86"/>
    <w:family w:val="modern"/>
    <w:pitch w:val="default"/>
    <w:sig w:usb0="00000001" w:usb1="080E0000" w:usb2="00000000" w:usb3="00000000" w:csb0="00040000" w:csb1="00000000"/>
    <w:embedRegular r:id="rId3" w:fontKey="{B9762D23-0F04-4AF1-8DB5-2174E82D9C20}"/>
  </w:font>
  <w:font w:name="方正小标宋简体">
    <w:panose1 w:val="02000000000000000000"/>
    <w:charset w:val="86"/>
    <w:family w:val="auto"/>
    <w:pitch w:val="default"/>
    <w:sig w:usb0="00000001" w:usb1="080E0000" w:usb2="00000000" w:usb3="00000000" w:csb0="00040000" w:csb1="00000000"/>
    <w:embedRegular r:id="rId4" w:fontKey="{E66EBB5F-65ED-4A7F-B40A-5A058E0A5033}"/>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66F6258"/>
    <w:multiLevelType w:val="singleLevel"/>
    <w:tmpl w:val="C66F6258"/>
    <w:lvl w:ilvl="0" w:tentative="0">
      <w:start w:val="1"/>
      <w:numFmt w:val="chineseCounting"/>
      <w:suff w:val="nothing"/>
      <w:lvlText w:val="（%1）"/>
      <w:lvlJc w:val="left"/>
      <w:rPr>
        <w:rFonts w:hint="eastAsia" w:ascii="仿宋_GB2312" w:hAnsi="仿宋_GB2312" w:eastAsia="仿宋_GB2312" w:cs="仿宋_GB2312"/>
      </w:rPr>
    </w:lvl>
  </w:abstractNum>
  <w:abstractNum w:abstractNumId="1">
    <w:nsid w:val="0B787F90"/>
    <w:multiLevelType w:val="singleLevel"/>
    <w:tmpl w:val="0B787F90"/>
    <w:lvl w:ilvl="0" w:tentative="0">
      <w:start w:val="1"/>
      <w:numFmt w:val="chineseCounting"/>
      <w:suff w:val="nothing"/>
      <w:lvlText w:val="%1、"/>
      <w:lvlJc w:val="left"/>
      <w:rPr>
        <w:rFonts w:hint="eastAsia"/>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TrueTypeFonts/>
  <w:saveSubset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2YzNjBkOTgyNWQ1YTMxYzM3MzMwNWFiODNmOWIzYWMifQ=="/>
  </w:docVars>
  <w:rsids>
    <w:rsidRoot w:val="65434CF0"/>
    <w:rsid w:val="03DF2C21"/>
    <w:rsid w:val="06346CF4"/>
    <w:rsid w:val="0ED818B2"/>
    <w:rsid w:val="150B6C41"/>
    <w:rsid w:val="15383FDD"/>
    <w:rsid w:val="363A5EDB"/>
    <w:rsid w:val="36B62551"/>
    <w:rsid w:val="37244137"/>
    <w:rsid w:val="42437340"/>
    <w:rsid w:val="4363146C"/>
    <w:rsid w:val="46E9083A"/>
    <w:rsid w:val="4753158B"/>
    <w:rsid w:val="48830A91"/>
    <w:rsid w:val="4C5F1A64"/>
    <w:rsid w:val="5E412DAE"/>
    <w:rsid w:val="65434CF0"/>
    <w:rsid w:val="67492483"/>
    <w:rsid w:val="6A317121"/>
    <w:rsid w:val="79B83619"/>
    <w:rsid w:val="EDF63E47"/>
    <w:rsid w:val="EFFE142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qFormat="1"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8">
    <w:name w:val="Default Paragraph Font"/>
    <w:semiHidden/>
    <w:qFormat/>
    <w:uiPriority w:val="0"/>
  </w:style>
  <w:style w:type="table" w:default="1" w:styleId="6">
    <w:name w:val="Normal Table"/>
    <w:semiHidden/>
    <w:qFormat/>
    <w:uiPriority w:val="0"/>
    <w:tblPr>
      <w:tblCellMar>
        <w:top w:w="0" w:type="dxa"/>
        <w:left w:w="108" w:type="dxa"/>
        <w:bottom w:w="0" w:type="dxa"/>
        <w:right w:w="108" w:type="dxa"/>
      </w:tblCellMar>
    </w:tblPr>
  </w:style>
  <w:style w:type="paragraph" w:customStyle="1" w:styleId="2">
    <w:name w:val="UserStyle_0"/>
    <w:basedOn w:val="3"/>
    <w:qFormat/>
    <w:uiPriority w:val="0"/>
    <w:pPr>
      <w:keepNext/>
      <w:keepLines/>
      <w:spacing w:before="340" w:after="330" w:line="576" w:lineRule="auto"/>
      <w:jc w:val="both"/>
      <w:textAlignment w:val="baseline"/>
    </w:pPr>
    <w:rPr>
      <w:rFonts w:ascii="Calibri" w:hAnsi="Calibri" w:eastAsia="方正小标宋_GBK"/>
      <w:kern w:val="44"/>
      <w:sz w:val="44"/>
      <w:szCs w:val="24"/>
      <w:lang w:val="en-US" w:eastAsia="zh-CN" w:bidi="ar-SA"/>
    </w:rPr>
  </w:style>
  <w:style w:type="paragraph" w:customStyle="1" w:styleId="3">
    <w:name w:val="Heading1"/>
    <w:basedOn w:val="1"/>
    <w:next w:val="1"/>
    <w:qFormat/>
    <w:uiPriority w:val="0"/>
    <w:pPr>
      <w:keepNext/>
      <w:keepLines/>
      <w:spacing w:before="340" w:after="330" w:line="576" w:lineRule="auto"/>
      <w:jc w:val="both"/>
      <w:textAlignment w:val="baseline"/>
    </w:pPr>
    <w:rPr>
      <w:rFonts w:ascii="Calibri" w:hAnsi="Calibri" w:eastAsia="宋体"/>
      <w:b/>
      <w:kern w:val="44"/>
      <w:sz w:val="44"/>
      <w:szCs w:val="24"/>
      <w:lang w:val="en-US" w:eastAsia="zh-CN" w:bidi="ar-SA"/>
    </w:rPr>
  </w:style>
  <w:style w:type="paragraph" w:styleId="4">
    <w:name w:val="footer"/>
    <w:basedOn w:val="1"/>
    <w:qFormat/>
    <w:uiPriority w:val="0"/>
    <w:pPr>
      <w:tabs>
        <w:tab w:val="center" w:pos="4153"/>
        <w:tab w:val="right" w:pos="8306"/>
      </w:tabs>
      <w:snapToGrid w:val="0"/>
      <w:jc w:val="left"/>
    </w:pPr>
    <w:rPr>
      <w:rFonts w:ascii="Times New Roman" w:hAnsi="Times New Roman" w:eastAsia="宋体" w:cs="Times New Roman"/>
      <w:sz w:val="18"/>
      <w:szCs w:val="18"/>
    </w:rPr>
  </w:style>
  <w:style w:type="paragraph" w:styleId="5">
    <w:name w:val="toc 2"/>
    <w:basedOn w:val="1"/>
    <w:next w:val="1"/>
    <w:qFormat/>
    <w:uiPriority w:val="0"/>
    <w:pPr>
      <w:ind w:left="420" w:leftChars="200"/>
    </w:pPr>
  </w:style>
  <w:style w:type="table" w:styleId="7">
    <w:name w:val="Table Grid"/>
    <w:basedOn w:val="6"/>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3</Pages>
  <Words>734</Words>
  <Characters>760</Characters>
  <Lines>0</Lines>
  <Paragraphs>0</Paragraphs>
  <TotalTime>0</TotalTime>
  <ScaleCrop>false</ScaleCrop>
  <LinksUpToDate>false</LinksUpToDate>
  <CharactersWithSpaces>778</CharactersWithSpaces>
  <Application>WPS Office_12.1.0.16910_F1E327BC-269C-435d-A152-05C5408002CA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2024-05-17T14:46:00Z</dcterms:created>
  <dc:creator>我和我的祖国，一刻也不能分割！</dc:creator>
  <cp:lastModifiedBy>我和我的祖国，一刻也不能分割！</cp:lastModifiedBy>
  <cp:lastPrinted>2024-05-20T11:49:00Z</cp:lastPrinted>
  <dcterms:modified xsi:type="dcterms:W3CDTF">2024-06-28T02:15:11Z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2052-12.1.0.16910</vt:lpwstr>
  </property>
  <property fmtid="{D5CDD505-2E9C-101B-9397-08002B2CF9AE}" pid="3" name="ICV">
    <vt:lpwstr>7465C8D75D1A45BF982EC9AB441E6A8B_11</vt:lpwstr>
  </property>
</Properties>
</file>