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val="0"/>
        <w:topLinePunct/>
        <w:autoSpaceDE/>
        <w:autoSpaceDN/>
        <w:bidi w:val="0"/>
        <w:adjustRightInd w:val="0"/>
        <w:snapToGrid w:val="0"/>
        <w:spacing w:line="568" w:lineRule="exact"/>
        <w:jc w:val="both"/>
        <w:textAlignment w:val="auto"/>
        <w:rPr>
          <w:rFonts w:hint="default" w:ascii="Times New Roman" w:hAnsi="Times New Roman" w:eastAsia="方正仿宋_GBK" w:cs="Times New Roman"/>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cs="Times New Roman"/>
          <w:snapToGrid w:val="0"/>
          <w:color w:val="000000" w:themeColor="text1"/>
          <w:kern w:val="32"/>
          <w:sz w:val="32"/>
          <w:szCs w:val="32"/>
          <w:lang w:val="en-US" w:eastAsia="zh-CN"/>
          <w14:textFill>
            <w14:solidFill>
              <w14:schemeClr w14:val="tx1"/>
            </w14:solidFill>
          </w14:textFill>
        </w:rPr>
        <w:t>附件2：</w:t>
      </w:r>
    </w:p>
    <w:p>
      <w:pPr>
        <w:keepNext w:val="0"/>
        <w:keepLines w:val="0"/>
        <w:pageBreakBefore w:val="0"/>
        <w:widowControl w:val="0"/>
        <w:kinsoku/>
        <w:wordWrap/>
        <w:overflowPunct w:val="0"/>
        <w:topLinePunct/>
        <w:autoSpaceDE/>
        <w:autoSpaceDN/>
        <w:bidi w:val="0"/>
        <w:adjustRightInd w:val="0"/>
        <w:snapToGrid w:val="0"/>
        <w:spacing w:line="568" w:lineRule="exact"/>
        <w:jc w:val="center"/>
        <w:textAlignment w:val="auto"/>
        <w:rPr>
          <w:rFonts w:hint="eastAsia" w:ascii="方正小标宋_GBK" w:hAnsi="方正小标宋_GBK" w:eastAsia="方正小标宋_GBK" w:cs="方正小标宋_GBK"/>
          <w:snapToGrid w:val="0"/>
          <w:color w:val="000000" w:themeColor="text1"/>
          <w:kern w:val="32"/>
          <w:sz w:val="44"/>
          <w:szCs w:val="44"/>
          <w:highlight w:val="none"/>
          <w:lang w:val="en-US" w:eastAsia="zh-CN"/>
          <w14:textFill>
            <w14:solidFill>
              <w14:schemeClr w14:val="tx1"/>
            </w14:solidFill>
          </w14:textFill>
        </w:rPr>
      </w:pPr>
    </w:p>
    <w:p>
      <w:pPr>
        <w:keepNext w:val="0"/>
        <w:keepLines w:val="0"/>
        <w:pageBreakBefore w:val="0"/>
        <w:widowControl w:val="0"/>
        <w:kinsoku/>
        <w:wordWrap/>
        <w:overflowPunct w:val="0"/>
        <w:topLinePunct/>
        <w:autoSpaceDE/>
        <w:autoSpaceDN/>
        <w:bidi w:val="0"/>
        <w:adjustRightInd w:val="0"/>
        <w:snapToGrid w:val="0"/>
        <w:spacing w:line="568" w:lineRule="exact"/>
        <w:jc w:val="center"/>
        <w:textAlignment w:val="auto"/>
        <w:rPr>
          <w:rFonts w:hint="eastAsia" w:ascii="方正小标宋_GBK" w:hAnsi="方正小标宋_GBK" w:eastAsia="方正小标宋_GBK" w:cs="方正小标宋_GBK"/>
          <w:snapToGrid w:val="0"/>
          <w:color w:val="000000" w:themeColor="text1"/>
          <w:kern w:val="32"/>
          <w:sz w:val="44"/>
          <w:szCs w:val="44"/>
          <w:highlight w:val="none"/>
          <w:lang w:val="en-US" w:eastAsia="zh-CN"/>
          <w14:textFill>
            <w14:solidFill>
              <w14:schemeClr w14:val="tx1"/>
            </w14:solidFill>
          </w14:textFill>
        </w:rPr>
      </w:pPr>
      <w:r>
        <w:rPr>
          <w:rFonts w:hint="eastAsia" w:ascii="方正小标宋_GBK" w:hAnsi="方正小标宋_GBK" w:eastAsia="方正小标宋_GBK" w:cs="方正小标宋_GBK"/>
          <w:snapToGrid w:val="0"/>
          <w:color w:val="000000" w:themeColor="text1"/>
          <w:kern w:val="32"/>
          <w:sz w:val="44"/>
          <w:szCs w:val="44"/>
          <w:highlight w:val="none"/>
          <w:lang w:val="en-US" w:eastAsia="zh-CN"/>
          <w14:textFill>
            <w14:solidFill>
              <w14:schemeClr w14:val="tx1"/>
            </w14:solidFill>
          </w14:textFill>
        </w:rPr>
        <w:t>喀什地区科研诚信管理办法</w:t>
      </w:r>
    </w:p>
    <w:p>
      <w:pPr>
        <w:keepNext w:val="0"/>
        <w:keepLines w:val="0"/>
        <w:pageBreakBefore w:val="0"/>
        <w:widowControl w:val="0"/>
        <w:kinsoku/>
        <w:wordWrap/>
        <w:overflowPunct w:val="0"/>
        <w:topLinePunct/>
        <w:autoSpaceDE/>
        <w:autoSpaceDN/>
        <w:bidi w:val="0"/>
        <w:adjustRightInd w:val="0"/>
        <w:snapToGrid w:val="0"/>
        <w:ind w:left="0" w:leftChars="0" w:right="0" w:rightChars="0" w:firstLine="0" w:firstLineChars="0"/>
        <w:jc w:val="center"/>
        <w:textAlignment w:val="auto"/>
        <w:rPr>
          <w:rFonts w:hint="eastAsia" w:ascii="Times New Roman" w:hAnsi="Times New Roman" w:eastAsia="方正楷体_GBK" w:cs="Times New Roman"/>
          <w:b w:val="0"/>
          <w:bCs w:val="0"/>
          <w:sz w:val="32"/>
          <w:szCs w:val="32"/>
        </w:rPr>
      </w:pPr>
      <w:r>
        <w:rPr>
          <w:rFonts w:hint="eastAsia" w:ascii="Times New Roman" w:hAnsi="Times New Roman" w:eastAsia="方正楷体_GBK" w:cs="Times New Roman"/>
          <w:b w:val="0"/>
          <w:bCs w:val="0"/>
          <w:sz w:val="32"/>
          <w:szCs w:val="32"/>
        </w:rPr>
        <w:t>（</w:t>
      </w:r>
      <w:r>
        <w:rPr>
          <w:rFonts w:hint="eastAsia" w:eastAsia="方正楷体_GBK" w:cs="Times New Roman"/>
          <w:b w:val="0"/>
          <w:bCs w:val="0"/>
          <w:sz w:val="32"/>
          <w:szCs w:val="32"/>
          <w:lang w:eastAsia="zh-CN"/>
        </w:rPr>
        <w:t>征求意见稿</w:t>
      </w:r>
      <w:r>
        <w:rPr>
          <w:rFonts w:hint="eastAsia" w:ascii="Times New Roman" w:hAnsi="Times New Roman" w:eastAsia="方正楷体_GBK" w:cs="Times New Roman"/>
          <w:b w:val="0"/>
          <w:bCs w:val="0"/>
          <w:sz w:val="32"/>
          <w:szCs w:val="32"/>
        </w:rPr>
        <w:t>）</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p>
    <w:p>
      <w:pPr>
        <w:keepNext w:val="0"/>
        <w:keepLines w:val="0"/>
        <w:pageBreakBefore w:val="0"/>
        <w:widowControl w:val="0"/>
        <w:kinsoku/>
        <w:wordWrap/>
        <w:overflowPunct w:val="0"/>
        <w:topLinePunct/>
        <w:autoSpaceDE/>
        <w:autoSpaceDN/>
        <w:bidi w:val="0"/>
        <w:adjustRightInd w:val="0"/>
        <w:snapToGrid w:val="0"/>
        <w:spacing w:line="568" w:lineRule="exact"/>
        <w:jc w:val="center"/>
        <w:textAlignment w:val="auto"/>
        <w:rPr>
          <w:rFonts w:hint="eastAsia" w:ascii="方正黑体_GBK" w:hAnsi="方正黑体_GBK" w:eastAsia="方正黑体_GBK" w:cs="方正黑体_GBK"/>
          <w:snapToGrid w:val="0"/>
          <w:color w:val="000000" w:themeColor="text1"/>
          <w:kern w:val="32"/>
          <w:sz w:val="32"/>
          <w:szCs w:val="32"/>
          <w:lang w:val="en-US" w:eastAsia="zh-CN"/>
          <w14:textFill>
            <w14:solidFill>
              <w14:schemeClr w14:val="tx1"/>
            </w14:solidFill>
          </w14:textFill>
        </w:rPr>
      </w:pPr>
      <w:r>
        <w:rPr>
          <w:rFonts w:hint="eastAsia" w:ascii="方正黑体_GBK" w:hAnsi="方正黑体_GBK" w:eastAsia="方正黑体_GBK" w:cs="方正黑体_GBK"/>
          <w:snapToGrid w:val="0"/>
          <w:color w:val="000000" w:themeColor="text1"/>
          <w:kern w:val="32"/>
          <w:sz w:val="32"/>
          <w:szCs w:val="32"/>
          <w:lang w:val="en-US" w:eastAsia="zh-CN"/>
          <w14:textFill>
            <w14:solidFill>
              <w14:schemeClr w14:val="tx1"/>
            </w14:solidFill>
          </w14:textFill>
        </w:rPr>
        <w:t>第一章 总 则</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eastAsia"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第一条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为规范喀什地区科学技术局（以下简称</w:t>
      </w:r>
      <w:r>
        <w:rPr>
          <w:rFonts w:hint="eastAsia" w:ascii="方正仿宋_GBK" w:hAnsi="方正仿宋_GBK" w:eastAsia="方正仿宋_GBK" w:cs="方正仿宋_GBK"/>
          <w:snapToGrid w:val="0"/>
          <w:color w:val="000000" w:themeColor="text1"/>
          <w:kern w:val="32"/>
          <w:sz w:val="32"/>
          <w:szCs w:val="32"/>
          <w:lang w:val="en-US" w:eastAsia="zh-CN"/>
          <w14:textFill>
            <w14:solidFill>
              <w14:schemeClr w14:val="tx1"/>
            </w14:solidFill>
          </w14:textFill>
        </w:rPr>
        <w:t>“地区科技局”</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归口管理的科研诚信工作，完善对科研失信行为的预防、调查、处理机制，营造良好科技创新环境，根据《中华人民共和国科学技术进步法》，中共中央办公厅、国务院办公厅《关于进一步加强科研诚信建设的若干意见》，科技部《科学技术活动违规行为调查处理规定》</w:t>
      </w:r>
      <w:r>
        <w:rPr>
          <w:rFonts w:hint="eastAsia" w:ascii="Times New Roman" w:hAnsi="Times New Roman" w:eastAsia="方正仿宋_GBK"/>
          <w:snapToGrid w:val="0"/>
          <w:color w:val="000000" w:themeColor="text1"/>
          <w:kern w:val="32"/>
          <w:sz w:val="32"/>
          <w:szCs w:val="32"/>
          <w:lang w:val="en-US" w:eastAsia="zh-CN"/>
          <w14:textFill>
            <w14:solidFill>
              <w14:schemeClr w14:val="tx1"/>
            </w14:solidFill>
          </w14:textFill>
        </w:rPr>
        <w:t>、</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《科研失信行为调查处理规则》，自治区科技厅《新疆维吾尔自治区科研诚信管理办法》等规定，结合喀什地区实际，制定本办法。</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第二条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本办法适用于</w:t>
      </w:r>
      <w:r>
        <w:rPr>
          <w:rFonts w:hint="default" w:ascii="Times New Roman" w:hAnsi="Times New Roman" w:eastAsia="方正仿宋_GBK"/>
          <w:b w:val="0"/>
          <w:bCs w:val="0"/>
          <w:snapToGrid w:val="0"/>
          <w:color w:val="000000" w:themeColor="text1"/>
          <w:kern w:val="32"/>
          <w:sz w:val="32"/>
          <w:szCs w:val="32"/>
          <w:u w:val="none"/>
          <w:lang w:val="en-US" w:eastAsia="zh-CN"/>
          <w14:textFill>
            <w14:solidFill>
              <w14:schemeClr w14:val="tx1"/>
            </w14:solidFill>
          </w14:textFill>
        </w:rPr>
        <w:t>地区科技局负责组织、推荐</w:t>
      </w:r>
      <w:r>
        <w:rPr>
          <w:rFonts w:hint="eastAsia" w:ascii="Times New Roman" w:hAnsi="Times New Roman" w:eastAsia="方正仿宋_GBK"/>
          <w:b w:val="0"/>
          <w:bCs w:val="0"/>
          <w:snapToGrid w:val="0"/>
          <w:color w:val="000000" w:themeColor="text1"/>
          <w:kern w:val="32"/>
          <w:sz w:val="32"/>
          <w:szCs w:val="32"/>
          <w:u w:val="none"/>
          <w:lang w:val="en-US" w:eastAsia="zh-CN"/>
          <w14:textFill>
            <w14:solidFill>
              <w14:schemeClr w14:val="tx1"/>
            </w14:solidFill>
          </w14:textFill>
        </w:rPr>
        <w:t>、直接</w:t>
      </w:r>
      <w:r>
        <w:rPr>
          <w:rFonts w:hint="default" w:ascii="Times New Roman" w:hAnsi="Times New Roman" w:eastAsia="方正仿宋_GBK"/>
          <w:b w:val="0"/>
          <w:bCs w:val="0"/>
          <w:snapToGrid w:val="0"/>
          <w:color w:val="000000" w:themeColor="text1"/>
          <w:kern w:val="32"/>
          <w:sz w:val="32"/>
          <w:szCs w:val="32"/>
          <w:u w:val="none"/>
          <w:lang w:val="en-US" w:eastAsia="zh-CN"/>
          <w14:textFill>
            <w14:solidFill>
              <w14:schemeClr w14:val="tx1"/>
            </w14:solidFill>
          </w14:textFill>
        </w:rPr>
        <w:t>管理的</w:t>
      </w:r>
      <w:r>
        <w:rPr>
          <w:rFonts w:hint="eastAsia" w:ascii="Times New Roman" w:hAnsi="Times New Roman" w:eastAsia="方正仿宋_GBK"/>
          <w:b w:val="0"/>
          <w:bCs w:val="0"/>
          <w:snapToGrid w:val="0"/>
          <w:color w:val="000000" w:themeColor="text1"/>
          <w:kern w:val="32"/>
          <w:sz w:val="32"/>
          <w:szCs w:val="32"/>
          <w:u w:val="none"/>
          <w:lang w:val="en-US" w:eastAsia="zh-CN"/>
          <w14:textFill>
            <w14:solidFill>
              <w14:schemeClr w14:val="tx1"/>
            </w14:solidFill>
          </w14:textFill>
        </w:rPr>
        <w:t>由地区</w:t>
      </w:r>
      <w:r>
        <w:rPr>
          <w:rFonts w:hint="default" w:ascii="Times New Roman" w:hAnsi="Times New Roman" w:eastAsia="方正仿宋_GBK"/>
          <w:b w:val="0"/>
          <w:bCs w:val="0"/>
          <w:snapToGrid w:val="0"/>
          <w:color w:val="000000" w:themeColor="text1"/>
          <w:kern w:val="32"/>
          <w:sz w:val="32"/>
          <w:szCs w:val="32"/>
          <w:u w:val="none"/>
          <w:lang w:val="en-US" w:eastAsia="zh-CN"/>
          <w14:textFill>
            <w14:solidFill>
              <w14:schemeClr w14:val="tx1"/>
            </w14:solidFill>
          </w14:textFill>
        </w:rPr>
        <w:t>财政科技投入支持的科技活动全流程，</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包括但不限于：指南编制、申报受理、评审立项、实施管理、考核验收、绩效评估、监督评价、科技奖励、人才评定及创新平台认定等环节。</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第三条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本办法所称科研诚信管理，是指对参与或申请参与前条所列科技活动的责任主体，在信守承诺、履行义务、遵守科技活动规范等方面的情况，进行客观记录、分类评价，并据此实施守信激励和失信惩戒的活动。</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上级财政资金资助或上级部门委托本地区执行的科技活动，从其上级管理规定；上级未作规定的，参照本办法执行。</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第四条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本办法所称责任主体，包括：</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（一）科研单位：科技计划项目的承担单位、科技奖励的提名单位及获奖单位、创新平台的建设运行单位、科研诚信建设的主体责任单位。</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（二）科研人员：科研项目的负责人、参与人，以及科技论文、专利、专有技术等科研成果的署名人。</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（三）科技专家：接受地区科技局或受其委托的第三方机构邀请，为科技活动提供咨询、评审、评估、评价等意见的专业人员。</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（四）第三方机构：接受地区科技局委托，为其提供管理、审计、咨询、绩效评价、经纪、知识产权代理、检验检测、出版等服务的独立法人组织。</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第五条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科研诚信管理遵循以下原则：</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（一）科学规范、客观公正；</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（二）奖惩并举、协同共治；</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（三）分级负责、逐级压实；</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（四）鼓励创新、宽容失败；</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（五）教育优先、预防为主。</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p>
    <w:p>
      <w:pPr>
        <w:keepNext w:val="0"/>
        <w:keepLines w:val="0"/>
        <w:pageBreakBefore w:val="0"/>
        <w:widowControl w:val="0"/>
        <w:kinsoku/>
        <w:wordWrap/>
        <w:overflowPunct w:val="0"/>
        <w:topLinePunct/>
        <w:autoSpaceDE/>
        <w:autoSpaceDN/>
        <w:bidi w:val="0"/>
        <w:adjustRightInd w:val="0"/>
        <w:snapToGrid w:val="0"/>
        <w:spacing w:line="568" w:lineRule="exact"/>
        <w:jc w:val="center"/>
        <w:textAlignment w:val="auto"/>
        <w:rPr>
          <w:rFonts w:hint="default" w:ascii="方正黑体_GBK" w:hAnsi="方正黑体_GBK" w:eastAsia="方正黑体_GBK" w:cs="方正黑体_GBK"/>
          <w:snapToGrid w:val="0"/>
          <w:color w:val="000000" w:themeColor="text1"/>
          <w:kern w:val="32"/>
          <w:sz w:val="32"/>
          <w:szCs w:val="32"/>
          <w:lang w:val="en-US" w:eastAsia="zh-CN"/>
          <w14:textFill>
            <w14:solidFill>
              <w14:schemeClr w14:val="tx1"/>
            </w14:solidFill>
          </w14:textFill>
        </w:rPr>
      </w:pPr>
      <w:r>
        <w:rPr>
          <w:rFonts w:hint="default" w:ascii="方正黑体_GBK" w:hAnsi="方正黑体_GBK" w:eastAsia="方正黑体_GBK" w:cs="方正黑体_GBK"/>
          <w:snapToGrid w:val="0"/>
          <w:color w:val="000000" w:themeColor="text1"/>
          <w:kern w:val="32"/>
          <w:sz w:val="32"/>
          <w:szCs w:val="32"/>
          <w:lang w:val="en-US" w:eastAsia="zh-CN"/>
          <w14:textFill>
            <w14:solidFill>
              <w14:schemeClr w14:val="tx1"/>
            </w14:solidFill>
          </w14:textFill>
        </w:rPr>
        <w:t>第二章 各方职责</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第六条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地区科技局负责全地区科研诚信工作的统筹协调和宏观指导，主要职责包括：</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（一）建立完善科研诚信管理制度体系；</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（二）指导责任主体开展科研诚信建设和教育；</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（三）组织收集、记录、评价责任主体的科研信用情况，并推动结果应用；</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（四）对涉及本局归口管理科技活动的重大科研失信行为组织调查处理；</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（五）配合上级部门开展联合惩戒，做好异议处理和信息共享；</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（六）建立健全重大科研失信事件信息报送机制。</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第七条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喀什地区各行业行政管理部门按照各自职责，推进本领域科研诚信建设，配合地区科技局开展联合惩戒，协助组织本行业所属责任主体的科研失信行为调查。</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第八条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喀什经济开发区管委会、各县（市）科技管理部门负责推进本区域科研诚信建设，履行本级科研诚信管理职责，加强审核和警示教育，组织或配合上级部门开展案件查处和惩戒措施落实。</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第九条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科研单位是科研作风学风和科研诚信建设的第一责任主体，应当履行以下职责：</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（一）建立健全内部科研诚信管理制度；</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（二）加强科研人员诚信教育和培训，将科研诚信教育纳入新入职科研人员岗前培训和研究生导师培训的重要内容；</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（三）对科研失信行为主动开展自查自纠；</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（四）积极配合上级部门的调查处理；</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（五）落实科研信用承诺和审核要求；</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（六）发现重大科研失信事件的，应当及时向地区科技局报告。</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b w:val="0"/>
          <w:bCs w:val="0"/>
          <w:snapToGrid w:val="0"/>
          <w:color w:val="000000" w:themeColor="text1"/>
          <w:kern w:val="32"/>
          <w:sz w:val="32"/>
          <w:szCs w:val="32"/>
          <w:u w:val="none"/>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第十条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科研人员、</w:t>
      </w:r>
      <w:r>
        <w:rPr>
          <w:rFonts w:hint="eastAsia" w:ascii="Times New Roman" w:hAnsi="Times New Roman" w:eastAsia="方正仿宋_GBK"/>
          <w:snapToGrid w:val="0"/>
          <w:color w:val="000000" w:themeColor="text1"/>
          <w:kern w:val="32"/>
          <w:sz w:val="32"/>
          <w:szCs w:val="32"/>
          <w:lang w:val="en-US" w:eastAsia="zh-CN"/>
          <w14:textFill>
            <w14:solidFill>
              <w14:schemeClr w14:val="tx1"/>
            </w14:solidFill>
          </w14:textFill>
        </w:rPr>
        <w:t>科技</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专家、第三方机构及其工作人员，应当恪守科学道德准则，遵守科研活动规范，独立、客观、公正地履行职责</w:t>
      </w:r>
      <w:r>
        <w:rPr>
          <w:rFonts w:hint="eastAsia" w:ascii="Times New Roman" w:hAnsi="Times New Roman" w:eastAsia="方正仿宋_GBK"/>
          <w:snapToGrid w:val="0"/>
          <w:color w:val="000000" w:themeColor="text1"/>
          <w:kern w:val="32"/>
          <w:sz w:val="32"/>
          <w:szCs w:val="32"/>
          <w:lang w:val="en-US" w:eastAsia="zh-CN"/>
          <w14:textFill>
            <w14:solidFill>
              <w14:schemeClr w14:val="tx1"/>
            </w14:solidFill>
          </w14:textFill>
        </w:rPr>
        <w:t>以</w:t>
      </w:r>
      <w:r>
        <w:rPr>
          <w:rFonts w:hint="eastAsia" w:ascii="Times New Roman" w:hAnsi="Times New Roman" w:eastAsia="方正仿宋_GBK"/>
          <w:b w:val="0"/>
          <w:bCs w:val="0"/>
          <w:snapToGrid w:val="0"/>
          <w:color w:val="000000" w:themeColor="text1"/>
          <w:kern w:val="32"/>
          <w:sz w:val="32"/>
          <w:szCs w:val="32"/>
          <w:u w:val="none"/>
          <w:lang w:val="en-US" w:eastAsia="zh-CN"/>
          <w14:textFill>
            <w14:solidFill>
              <w14:schemeClr w14:val="tx1"/>
            </w14:solidFill>
          </w14:textFill>
        </w:rPr>
        <w:t>及回避和保密</w:t>
      </w:r>
      <w:r>
        <w:rPr>
          <w:rFonts w:hint="default" w:ascii="Times New Roman" w:hAnsi="Times New Roman" w:eastAsia="方正仿宋_GBK"/>
          <w:b w:val="0"/>
          <w:bCs w:val="0"/>
          <w:snapToGrid w:val="0"/>
          <w:color w:val="000000" w:themeColor="text1"/>
          <w:kern w:val="32"/>
          <w:sz w:val="32"/>
          <w:szCs w:val="32"/>
          <w:u w:val="none"/>
          <w:lang w:val="en-US" w:eastAsia="zh-CN"/>
          <w14:textFill>
            <w14:solidFill>
              <w14:schemeClr w14:val="tx1"/>
            </w14:solidFill>
          </w14:textFill>
        </w:rPr>
        <w:t>义务。</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p>
    <w:p>
      <w:pPr>
        <w:keepNext w:val="0"/>
        <w:keepLines w:val="0"/>
        <w:pageBreakBefore w:val="0"/>
        <w:widowControl w:val="0"/>
        <w:kinsoku/>
        <w:wordWrap/>
        <w:overflowPunct w:val="0"/>
        <w:topLinePunct/>
        <w:autoSpaceDE/>
        <w:autoSpaceDN/>
        <w:bidi w:val="0"/>
        <w:adjustRightInd w:val="0"/>
        <w:snapToGrid w:val="0"/>
        <w:spacing w:line="568" w:lineRule="exact"/>
        <w:jc w:val="center"/>
        <w:textAlignment w:val="auto"/>
        <w:rPr>
          <w:rFonts w:hint="default" w:ascii="方正黑体_GBK" w:hAnsi="方正黑体_GBK" w:eastAsia="方正黑体_GBK" w:cs="方正黑体_GBK"/>
          <w:snapToGrid w:val="0"/>
          <w:color w:val="000000" w:themeColor="text1"/>
          <w:kern w:val="32"/>
          <w:sz w:val="32"/>
          <w:szCs w:val="32"/>
          <w:lang w:val="en-US" w:eastAsia="zh-CN"/>
          <w14:textFill>
            <w14:solidFill>
              <w14:schemeClr w14:val="tx1"/>
            </w14:solidFill>
          </w14:textFill>
        </w:rPr>
      </w:pPr>
      <w:r>
        <w:rPr>
          <w:rFonts w:hint="default" w:ascii="方正黑体_GBK" w:hAnsi="方正黑体_GBK" w:eastAsia="方正黑体_GBK" w:cs="方正黑体_GBK"/>
          <w:snapToGrid w:val="0"/>
          <w:color w:val="000000" w:themeColor="text1"/>
          <w:kern w:val="32"/>
          <w:sz w:val="32"/>
          <w:szCs w:val="32"/>
          <w:lang w:val="en-US" w:eastAsia="zh-CN"/>
          <w14:textFill>
            <w14:solidFill>
              <w14:schemeClr w14:val="tx1"/>
            </w14:solidFill>
          </w14:textFill>
        </w:rPr>
        <w:t>第三章 管理机制</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第十一条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加强科研诚信全流程管理，将科研诚信要求贯穿科技活动的申请、评审、实施、验收等全过程。</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第十二条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实行科研诚信承诺制。相关责任主体在实施或参与科技活动时，应当签订诚信承诺书，对遵守科研诚信、科技伦理、安全保密、财政资金管理使用等作出承诺。承诺书作为事中事后监管的重要依据。</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第十三条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实行科研诚信审核制度。按照</w:t>
      </w:r>
      <w:r>
        <w:rPr>
          <w:rFonts w:hint="eastAsia" w:ascii="方正仿宋_GBK" w:hAnsi="方正仿宋_GBK" w:eastAsia="方正仿宋_GBK" w:cs="方正仿宋_GBK"/>
          <w:snapToGrid w:val="0"/>
          <w:color w:val="000000" w:themeColor="text1"/>
          <w:kern w:val="32"/>
          <w:sz w:val="32"/>
          <w:szCs w:val="32"/>
          <w:lang w:val="en-US" w:eastAsia="zh-CN"/>
          <w14:textFill>
            <w14:solidFill>
              <w14:schemeClr w14:val="tx1"/>
            </w14:solidFill>
          </w14:textFill>
        </w:rPr>
        <w:t>“谁组织、谁审核”</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的原则，对科技活动责任主体进行诚信审核，将良好的科研诚信状况作为必备条件。对存在科研失信行为且在惩戒期内的责任主体，实行</w:t>
      </w:r>
      <w:r>
        <w:rPr>
          <w:rFonts w:hint="eastAsia" w:ascii="方正仿宋_GBK" w:hAnsi="方正仿宋_GBK" w:eastAsia="方正仿宋_GBK" w:cs="方正仿宋_GBK"/>
          <w:snapToGrid w:val="0"/>
          <w:color w:val="000000" w:themeColor="text1"/>
          <w:kern w:val="32"/>
          <w:sz w:val="32"/>
          <w:szCs w:val="32"/>
          <w:lang w:val="en-US" w:eastAsia="zh-CN"/>
          <w14:textFill>
            <w14:solidFill>
              <w14:schemeClr w14:val="tx1"/>
            </w14:solidFill>
          </w14:textFill>
        </w:rPr>
        <w:t>“一票否决”</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第十四条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科技活动实施单位应当根据自身特点，加强科研成果诚信管理：</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（一）从事学术研究的单位，应建立学术论文发表诚信承诺制度、科研过程可追溯制度；</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（二）从事技术开发、成果转化的单位，应加强实验记录、实验数据、知识产权档案的统一管理，确保留存备查。</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第十五条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建立科研诚信教育与宣传机制。地区科技局会同有关部门定期开展科研诚信宣传和警示教育活动。科研单位应当每年至少组织一次科研诚信和科技伦理专题培训。鼓励将科研诚信教育作为各类科技人才培训的重要内容。</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第十六条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建立科技伦理与科研诚信联动管理机制。涉及科技伦理敏感领域的科技活动，责任主体应当通过科技伦理审查。未经伦理审查或伦理审查未通过的，不得申报或实施相关科技活动。在科研诚信审核中，应当一并对科技伦理审查的合规性进行核查。</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第十七条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建立人工智能辅助科研管理制度。责任主体在科研活动中使用人工智能技术辅助研究、写作或数据分析的，应当如实披露使用情况，并对生成内容的真实性、准确性和知识产权归属负责。利用人工智能伪造、篡改实验数据、图表、结论的，按照科研失信行为从严处理。</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第十八条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建立鼓励创新、宽容失败的容错纠错机制。符合以下全部条件的，</w:t>
      </w:r>
      <w:r>
        <w:rPr>
          <w:rFonts w:hint="eastAsia" w:ascii="Times New Roman" w:hAnsi="Times New Roman" w:eastAsia="方正仿宋_GBK"/>
          <w:b w:val="0"/>
          <w:bCs w:val="0"/>
          <w:snapToGrid w:val="0"/>
          <w:color w:val="000000" w:themeColor="text1"/>
          <w:kern w:val="32"/>
          <w:sz w:val="32"/>
          <w:szCs w:val="32"/>
          <w:u w:val="none"/>
          <w:lang w:val="en-US" w:eastAsia="zh-CN"/>
          <w14:textFill>
            <w14:solidFill>
              <w14:schemeClr w14:val="tx1"/>
            </w14:solidFill>
          </w14:textFill>
        </w:rPr>
        <w:t>由</w:t>
      </w:r>
      <w:r>
        <w:rPr>
          <w:rFonts w:hint="default" w:ascii="Times New Roman" w:hAnsi="Times New Roman" w:eastAsia="方正仿宋_GBK"/>
          <w:b w:val="0"/>
          <w:bCs w:val="0"/>
          <w:snapToGrid w:val="0"/>
          <w:color w:val="000000" w:themeColor="text1"/>
          <w:kern w:val="32"/>
          <w:sz w:val="32"/>
          <w:szCs w:val="32"/>
          <w:u w:val="none"/>
          <w:lang w:val="en-US" w:eastAsia="zh-CN"/>
          <w14:textFill>
            <w14:solidFill>
              <w14:schemeClr w14:val="tx1"/>
            </w14:solidFill>
          </w14:textFill>
        </w:rPr>
        <w:t>相关单位和人员</w:t>
      </w:r>
      <w:r>
        <w:rPr>
          <w:rFonts w:hint="eastAsia" w:ascii="Times New Roman" w:hAnsi="Times New Roman" w:eastAsia="方正仿宋_GBK"/>
          <w:b w:val="0"/>
          <w:bCs w:val="0"/>
          <w:snapToGrid w:val="0"/>
          <w:color w:val="000000" w:themeColor="text1"/>
          <w:kern w:val="32"/>
          <w:sz w:val="32"/>
          <w:szCs w:val="32"/>
          <w:u w:val="none"/>
          <w:lang w:val="en-US" w:eastAsia="zh-CN"/>
          <w14:textFill>
            <w14:solidFill>
              <w14:schemeClr w14:val="tx1"/>
            </w14:solidFill>
          </w14:textFill>
        </w:rPr>
        <w:t>向地区科技局提出书面申请之日起的30个工作日内，</w:t>
      </w:r>
      <w:r>
        <w:rPr>
          <w:rFonts w:hint="default" w:ascii="Times New Roman" w:hAnsi="Times New Roman" w:eastAsia="方正仿宋_GBK"/>
          <w:b w:val="0"/>
          <w:bCs w:val="0"/>
          <w:snapToGrid w:val="0"/>
          <w:color w:val="000000" w:themeColor="text1"/>
          <w:kern w:val="32"/>
          <w:sz w:val="32"/>
          <w:szCs w:val="32"/>
          <w:u w:val="none"/>
          <w:lang w:val="en-US" w:eastAsia="zh-CN"/>
          <w14:textFill>
            <w14:solidFill>
              <w14:schemeClr w14:val="tx1"/>
            </w14:solidFill>
          </w14:textFill>
        </w:rPr>
        <w:t>经</w:t>
      </w:r>
      <w:r>
        <w:rPr>
          <w:rFonts w:hint="eastAsia" w:ascii="Times New Roman" w:hAnsi="Times New Roman" w:eastAsia="方正仿宋_GBK"/>
          <w:b w:val="0"/>
          <w:bCs w:val="0"/>
          <w:snapToGrid w:val="0"/>
          <w:color w:val="000000" w:themeColor="text1"/>
          <w:kern w:val="32"/>
          <w:sz w:val="32"/>
          <w:szCs w:val="32"/>
          <w:u w:val="none"/>
          <w:lang w:val="en-US" w:eastAsia="zh-CN"/>
          <w14:textFill>
            <w14:solidFill>
              <w14:schemeClr w14:val="tx1"/>
            </w14:solidFill>
          </w14:textFill>
        </w:rPr>
        <w:t>组织</w:t>
      </w:r>
      <w:r>
        <w:rPr>
          <w:rFonts w:hint="default" w:ascii="Times New Roman" w:hAnsi="Times New Roman" w:eastAsia="方正仿宋_GBK"/>
          <w:b w:val="0"/>
          <w:bCs w:val="0"/>
          <w:snapToGrid w:val="0"/>
          <w:color w:val="000000" w:themeColor="text1"/>
          <w:kern w:val="32"/>
          <w:sz w:val="32"/>
          <w:szCs w:val="32"/>
          <w:u w:val="none"/>
          <w:lang w:val="en-US" w:eastAsia="zh-CN"/>
          <w14:textFill>
            <w14:solidFill>
              <w14:schemeClr w14:val="tx1"/>
            </w14:solidFill>
          </w14:textFill>
        </w:rPr>
        <w:t>专家评估和地区科技局</w:t>
      </w:r>
      <w:r>
        <w:rPr>
          <w:rFonts w:hint="eastAsia" w:ascii="Times New Roman" w:hAnsi="Times New Roman" w:eastAsia="方正仿宋_GBK"/>
          <w:b w:val="0"/>
          <w:bCs w:val="0"/>
          <w:snapToGrid w:val="0"/>
          <w:color w:val="000000" w:themeColor="text1"/>
          <w:kern w:val="32"/>
          <w:sz w:val="32"/>
          <w:szCs w:val="32"/>
          <w:u w:val="none"/>
          <w:lang w:val="en-US" w:eastAsia="zh-CN"/>
          <w14:textFill>
            <w14:solidFill>
              <w14:schemeClr w14:val="tx1"/>
            </w14:solidFill>
          </w14:textFill>
        </w:rPr>
        <w:t>党组会议研究审定</w:t>
      </w:r>
      <w:r>
        <w:rPr>
          <w:rFonts w:hint="default" w:ascii="Times New Roman" w:hAnsi="Times New Roman" w:eastAsia="方正仿宋_GBK"/>
          <w:b w:val="0"/>
          <w:bCs w:val="0"/>
          <w:snapToGrid w:val="0"/>
          <w:color w:val="000000" w:themeColor="text1"/>
          <w:kern w:val="32"/>
          <w:sz w:val="32"/>
          <w:szCs w:val="32"/>
          <w:u w:val="none"/>
          <w:lang w:val="en-US" w:eastAsia="zh-CN"/>
          <w14:textFill>
            <w14:solidFill>
              <w14:schemeClr w14:val="tx1"/>
            </w14:solidFill>
          </w14:textFill>
        </w:rPr>
        <w:t>，</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可免除相关责任：</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（一）相关单位和人员已履行勤勉尽责义务（包括但不限于：项目申报材料真实、经费使用合规、研究过程记录完整、已尽力尝试既定技术路线并如实报告）；</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（二）未谋取非法利益；</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（三）未违反科研伦理和科研诚信要求。</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第十九条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建立科研失信联合惩戒机制。地区科技局会同有关部门推动科研诚信信息跨部门共享，并依据</w:t>
      </w:r>
      <w:r>
        <w:rPr>
          <w:rFonts w:hint="eastAsia" w:ascii="Times New Roman" w:hAnsi="Times New Roman" w:eastAsia="方正仿宋_GBK"/>
          <w:snapToGrid w:val="0"/>
          <w:color w:val="000000" w:themeColor="text1"/>
          <w:kern w:val="32"/>
          <w:sz w:val="32"/>
          <w:szCs w:val="32"/>
          <w:lang w:val="en-US" w:eastAsia="zh-CN"/>
          <w14:textFill>
            <w14:solidFill>
              <w14:schemeClr w14:val="tx1"/>
            </w14:solidFill>
          </w14:textFill>
        </w:rPr>
        <w:t>国家、自治区失信惩戒措施实施清单</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开展联合惩戒。</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第二十条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地区科技局可委托具备条件的专业机构承担科研诚信管理相关的技术性与事务性工作。</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p>
    <w:p>
      <w:pPr>
        <w:keepNext w:val="0"/>
        <w:keepLines w:val="0"/>
        <w:pageBreakBefore w:val="0"/>
        <w:widowControl w:val="0"/>
        <w:kinsoku/>
        <w:wordWrap/>
        <w:overflowPunct w:val="0"/>
        <w:topLinePunct/>
        <w:autoSpaceDE/>
        <w:autoSpaceDN/>
        <w:bidi w:val="0"/>
        <w:adjustRightInd w:val="0"/>
        <w:snapToGrid w:val="0"/>
        <w:spacing w:line="568" w:lineRule="exact"/>
        <w:jc w:val="center"/>
        <w:textAlignment w:val="auto"/>
        <w:rPr>
          <w:rFonts w:hint="default" w:ascii="方正黑体_GBK" w:hAnsi="方正黑体_GBK" w:eastAsia="方正黑体_GBK" w:cs="方正黑体_GBK"/>
          <w:snapToGrid w:val="0"/>
          <w:color w:val="000000" w:themeColor="text1"/>
          <w:kern w:val="32"/>
          <w:sz w:val="32"/>
          <w:szCs w:val="32"/>
          <w:lang w:val="en-US" w:eastAsia="zh-CN"/>
          <w14:textFill>
            <w14:solidFill>
              <w14:schemeClr w14:val="tx1"/>
            </w14:solidFill>
          </w14:textFill>
        </w:rPr>
      </w:pPr>
      <w:r>
        <w:rPr>
          <w:rFonts w:hint="default" w:ascii="方正黑体_GBK" w:hAnsi="方正黑体_GBK" w:eastAsia="方正黑体_GBK" w:cs="方正黑体_GBK"/>
          <w:snapToGrid w:val="0"/>
          <w:color w:val="000000" w:themeColor="text1"/>
          <w:kern w:val="32"/>
          <w:sz w:val="32"/>
          <w:szCs w:val="32"/>
          <w:lang w:val="en-US" w:eastAsia="zh-CN"/>
          <w14:textFill>
            <w14:solidFill>
              <w14:schemeClr w14:val="tx1"/>
            </w14:solidFill>
          </w14:textFill>
        </w:rPr>
        <w:t>第四章 科研信用记录与评价</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第二十一条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实行科研信用分类评价制度。对责任主体按照以下四个等级进行记录和管理：</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（一）A级（良好信用）：无任何不良记录，且科研管理规范、成果产出突出，或获得国家、自治区级科技奖励。对此类信用主体以激励和支持为主，实施简化监督。</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（二）B级（一般信用）：无任何不良记录。对此类信用主体以引导和帮助为主，实施常规监督。</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（三）C级（一般失信）：存在失信行为，但未造成严重后果或恶劣影响。对此类责任主体纳入重点关注名单，实施强化监督，提高检查频次。</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（四）D级（严重失信）：存在失信行为，造成严重后果或恶劣影响，或被有关部门正式处罚。对此类责任主体纳入失信惩戒名单，实施重点监管。</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第二十二条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科研守信行为是指责任主体在科技活动中，履行职责和承诺、遵守规章制度、恪守科学道德的行为。对信用等级为A级的责任主体，纳入科研守信激励名单。</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第二十三条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科研失信行为的具体认定，以国家《科研失信行为调查处理规则》和《科学技术活动违规行为调查处理规定》为准。</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第二十四条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责任主体发生以下情形之一的，直接记录为严重失信（D级）：</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（一）受到刑事处罚或行政处罚并正式公告的；</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（二）被审计、纪检监察等部门查处并正式通报的；</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（三）被国家、自治区、地区相关部门查处并以正式文件通报的；</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（四）因伪造、篡改、抄袭、重复发表等严重科研不端行为，被国内外正式出版期刊或会议撤稿，且经调查属实的；</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（五）</w:t>
      </w:r>
      <w:r>
        <w:rPr>
          <w:rFonts w:hint="eastAsia" w:ascii="Times New Roman" w:hAnsi="Times New Roman" w:eastAsia="方正仿宋_GBK"/>
          <w:b w:val="0"/>
          <w:bCs w:val="0"/>
          <w:snapToGrid w:val="0"/>
          <w:color w:val="000000" w:themeColor="text1"/>
          <w:kern w:val="32"/>
          <w:sz w:val="32"/>
          <w:szCs w:val="32"/>
          <w:u w:val="none"/>
          <w:lang w:val="en-US" w:eastAsia="zh-CN"/>
          <w14:textFill>
            <w14:solidFill>
              <w14:schemeClr w14:val="tx1"/>
            </w14:solidFill>
          </w14:textFill>
        </w:rPr>
        <w:t>法律、法规、规章及国家、自治区科研诚信管理规定明确列举的</w:t>
      </w:r>
      <w:r>
        <w:rPr>
          <w:rFonts w:hint="default" w:ascii="Times New Roman" w:hAnsi="Times New Roman" w:eastAsia="方正仿宋_GBK"/>
          <w:b w:val="0"/>
          <w:bCs w:val="0"/>
          <w:snapToGrid w:val="0"/>
          <w:color w:val="000000" w:themeColor="text1"/>
          <w:kern w:val="32"/>
          <w:sz w:val="32"/>
          <w:szCs w:val="32"/>
          <w:lang w:val="en-US" w:eastAsia="zh-CN"/>
          <w14:textFill>
            <w14:solidFill>
              <w14:schemeClr w14:val="tx1"/>
            </w14:solidFill>
          </w14:textFill>
        </w:rPr>
        <w:t>其他严重</w:t>
      </w:r>
      <w:r>
        <w:rPr>
          <w:rFonts w:hint="eastAsia" w:ascii="Times New Roman" w:hAnsi="Times New Roman" w:eastAsia="方正仿宋_GBK"/>
          <w:b w:val="0"/>
          <w:bCs w:val="0"/>
          <w:snapToGrid w:val="0"/>
          <w:color w:val="000000" w:themeColor="text1"/>
          <w:kern w:val="32"/>
          <w:sz w:val="32"/>
          <w:szCs w:val="32"/>
          <w:lang w:val="en-US" w:eastAsia="zh-CN"/>
          <w14:textFill>
            <w14:solidFill>
              <w14:schemeClr w14:val="tx1"/>
            </w14:solidFill>
          </w14:textFill>
        </w:rPr>
        <w:t>失信行为</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w:t>
      </w:r>
      <w:r>
        <w:rPr>
          <w:rFonts w:hint="eastAsia" w:ascii="Times New Roman" w:hAnsi="Times New Roman" w:eastAsia="方正仿宋_GBK"/>
          <w:snapToGrid w:val="0"/>
          <w:color w:val="000000" w:themeColor="text1"/>
          <w:kern w:val="32"/>
          <w:sz w:val="32"/>
          <w:szCs w:val="32"/>
          <w:lang w:val="en-US" w:eastAsia="zh-CN"/>
          <w14:textFill>
            <w14:solidFill>
              <w14:schemeClr w14:val="tx1"/>
            </w14:solidFill>
          </w14:textFill>
        </w:rPr>
        <w:t>六</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w:t>
      </w:r>
      <w:r>
        <w:rPr>
          <w:rFonts w:hint="eastAsia" w:ascii="Times New Roman" w:hAnsi="Times New Roman" w:eastAsia="方正仿宋_GBK"/>
          <w:snapToGrid w:val="0"/>
          <w:color w:val="000000" w:themeColor="text1"/>
          <w:kern w:val="32"/>
          <w:sz w:val="32"/>
          <w:szCs w:val="32"/>
          <w:lang w:val="en-US" w:eastAsia="zh-CN"/>
          <w14:textFill>
            <w14:solidFill>
              <w14:schemeClr w14:val="tx1"/>
            </w14:solidFill>
          </w14:textFill>
        </w:rPr>
        <w:t>直接</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记录为严重失信（D级）</w:t>
      </w:r>
      <w:r>
        <w:rPr>
          <w:rFonts w:hint="eastAsia" w:ascii="Times New Roman" w:hAnsi="Times New Roman" w:eastAsia="方正仿宋_GBK"/>
          <w:snapToGrid w:val="0"/>
          <w:color w:val="000000" w:themeColor="text1"/>
          <w:kern w:val="32"/>
          <w:sz w:val="32"/>
          <w:szCs w:val="32"/>
          <w:lang w:val="en-US" w:eastAsia="zh-CN"/>
          <w14:textFill>
            <w14:solidFill>
              <w14:schemeClr w14:val="tx1"/>
            </w14:solidFill>
          </w14:textFill>
        </w:rPr>
        <w:t>的，应书面告知实事与依据，并保障责任主体异议复查权，避免“未审先定”。</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第二十五条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鉴于喀什地区目前尚未建成统一的科研诚信信息化平台，科研信用信息的收集、建立、保存、查询、公开和应用，暂按以下方式管理，待平台建成后逐步过渡</w:t>
      </w:r>
      <w:r>
        <w:rPr>
          <w:rFonts w:hint="eastAsia" w:ascii="Times New Roman" w:hAnsi="Times New Roman" w:eastAsia="方正仿宋_GBK"/>
          <w:snapToGrid w:val="0"/>
          <w:color w:val="000000" w:themeColor="text1"/>
          <w:kern w:val="32"/>
          <w:sz w:val="32"/>
          <w:szCs w:val="32"/>
          <w:lang w:val="en-US" w:eastAsia="zh-CN"/>
          <w14:textFill>
            <w14:solidFill>
              <w14:schemeClr w14:val="tx1"/>
            </w14:solidFill>
          </w14:textFill>
        </w:rPr>
        <w:t>：</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一）信息收集：由地区科技局各业务科室、各县（市）科技管理部门在日常管理、项目评审、验收评估、监督检查等工作中，通过纸质表格或电子文档（如Excel台账）主动收集责任主体的科研信用信息。责任主体也可通过电子邮件、书面来函等方式主动申报信用信息。</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二）信息建档：地区科技局指定综合科室负责建立统一的《喀什地区科研诚信管理台账》，采用电子文档（Excel或Word）和纸质档案并行保存的方式，一人一档、一单位一档，记录责任主体名称、统一社会信用代码</w:t>
      </w:r>
      <w:r>
        <w:rPr>
          <w:rFonts w:hint="eastAsia" w:ascii="Times New Roman" w:hAnsi="Times New Roman" w:eastAsia="方正仿宋_GBK"/>
          <w:snapToGrid w:val="0"/>
          <w:color w:val="000000" w:themeColor="text1"/>
          <w:kern w:val="32"/>
          <w:sz w:val="32"/>
          <w:szCs w:val="32"/>
          <w:lang w:val="en-US" w:eastAsia="zh-CN"/>
          <w14:textFill>
            <w14:solidFill>
              <w14:schemeClr w14:val="tx1"/>
            </w14:solidFill>
          </w14:textFill>
        </w:rPr>
        <w:t>或</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身份证号、信用等级、失信行为事实、处理决定、惩戒期限等核心要素。</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三）信息保存：电子台账应存储于地区科技局指定的专用计算机中，设置访问密码，并定期备份（每月至少一次）。纸质档案应存放于专用文件柜，由专人保管，保存期限不少于惩戒期限届满后5年。涉密信息按照国家保密规定管理。</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四）信息查询：在项目申报、评审、验收、奖励评定等环节，由经办科室向档案保管科室提出书面查询申请，档案保管科室在2个工作日内反馈查询结果。责任主体可凭有效证明向地区科技局申请查询本单位的信用记录。</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（五）信息公开：守信激励名单（A级）和失信惩戒名单（D级）中除涉及个人隐私、商业秘密及国家秘密以外的信息，通过</w:t>
      </w:r>
      <w:r>
        <w:rPr>
          <w:rFonts w:hint="eastAsia" w:ascii="Times New Roman" w:hAnsi="Times New Roman" w:eastAsia="方正仿宋_GBK"/>
          <w:snapToGrid w:val="0"/>
          <w:color w:val="000000" w:themeColor="text1"/>
          <w:kern w:val="32"/>
          <w:sz w:val="32"/>
          <w:szCs w:val="32"/>
          <w:lang w:val="en-US" w:eastAsia="zh-CN"/>
          <w14:textFill>
            <w14:solidFill>
              <w14:schemeClr w14:val="tx1"/>
            </w14:solidFill>
          </w14:textFill>
        </w:rPr>
        <w:t>适当方式</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向社会公开，公开内容包括责任主体名称、失信行为摘要、处理决定、惩戒期限等。一般失信（C级）信息不向社会公开，仅在内部管理中使用。</w:t>
      </w:r>
      <w:r>
        <w:rPr>
          <w:rFonts w:hint="eastAsia" w:ascii="Times New Roman" w:hAnsi="Times New Roman" w:eastAsia="方正仿宋_GBK"/>
          <w:snapToGrid w:val="0"/>
          <w:color w:val="000000" w:themeColor="text1"/>
          <w:kern w:val="32"/>
          <w:sz w:val="32"/>
          <w:szCs w:val="32"/>
          <w:lang w:val="en-US" w:eastAsia="zh-CN"/>
          <w14:textFill>
            <w14:solidFill>
              <w14:schemeClr w14:val="tx1"/>
            </w14:solidFill>
          </w14:textFill>
        </w:rPr>
        <w:t>敏感个人信息（含身份证号、银行账号等）一律不得公开。</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六）信息应用：在科技活动审核、推荐、立项、验收、评奖等环节，必须将人工查询科研诚信记录作为前置程序，查询结果经经办人和负责人签字后存入项目档案。对存在失信行为的，严格按照本办法规定予以限制或惩戒。</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（七）异议与修正：责任主体认为记录信息有误的，可向地区科技局提出书面异议申请。地区科技局应在收到</w:t>
      </w:r>
      <w:r>
        <w:rPr>
          <w:rFonts w:hint="eastAsia" w:ascii="Times New Roman" w:hAnsi="Times New Roman" w:eastAsia="方正仿宋_GBK"/>
          <w:snapToGrid w:val="0"/>
          <w:color w:val="000000" w:themeColor="text1"/>
          <w:kern w:val="32"/>
          <w:sz w:val="32"/>
          <w:szCs w:val="32"/>
          <w:lang w:val="en-US" w:eastAsia="zh-CN"/>
          <w14:textFill>
            <w14:solidFill>
              <w14:schemeClr w14:val="tx1"/>
            </w14:solidFill>
          </w14:textFill>
        </w:rPr>
        <w:t>书面</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申请</w:t>
      </w:r>
      <w:r>
        <w:rPr>
          <w:rFonts w:hint="eastAsia" w:ascii="Times New Roman" w:hAnsi="Times New Roman" w:eastAsia="方正仿宋_GBK"/>
          <w:snapToGrid w:val="0"/>
          <w:color w:val="000000" w:themeColor="text1"/>
          <w:kern w:val="32"/>
          <w:sz w:val="32"/>
          <w:szCs w:val="32"/>
          <w:lang w:val="en-US" w:eastAsia="zh-CN"/>
          <w14:textFill>
            <w14:solidFill>
              <w14:schemeClr w14:val="tx1"/>
            </w14:solidFill>
          </w14:textFill>
        </w:rPr>
        <w:t>之日起</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15个工作日内核实并作出修正或维持的决定，书面告知申请人。</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b w:val="0"/>
          <w:bCs w:val="0"/>
          <w:snapToGrid w:val="0"/>
          <w:color w:val="000000" w:themeColor="text1"/>
          <w:kern w:val="32"/>
          <w:sz w:val="32"/>
          <w:szCs w:val="32"/>
          <w:u w:val="none"/>
          <w:lang w:val="en-US" w:eastAsia="zh-CN"/>
          <w14:textFill>
            <w14:solidFill>
              <w14:schemeClr w14:val="tx1"/>
            </w14:solidFill>
          </w14:textFill>
        </w:rPr>
      </w:pPr>
      <w:r>
        <w:rPr>
          <w:rFonts w:hint="default" w:ascii="Times New Roman" w:hAnsi="Times New Roman" w:eastAsia="方正仿宋_GBK"/>
          <w:b w:val="0"/>
          <w:bCs w:val="0"/>
          <w:snapToGrid w:val="0"/>
          <w:color w:val="000000" w:themeColor="text1"/>
          <w:kern w:val="32"/>
          <w:sz w:val="32"/>
          <w:szCs w:val="32"/>
          <w:u w:val="none"/>
          <w:lang w:val="en-US" w:eastAsia="zh-CN"/>
          <w14:textFill>
            <w14:solidFill>
              <w14:schemeClr w14:val="tx1"/>
            </w14:solidFill>
          </w14:textFill>
        </w:rPr>
        <w:t>科研信用信息的收集、建立、保存、查询、公开和应用</w:t>
      </w:r>
      <w:r>
        <w:rPr>
          <w:rFonts w:hint="eastAsia" w:ascii="Times New Roman" w:hAnsi="Times New Roman" w:eastAsia="方正仿宋_GBK"/>
          <w:b w:val="0"/>
          <w:bCs w:val="0"/>
          <w:snapToGrid w:val="0"/>
          <w:color w:val="000000" w:themeColor="text1"/>
          <w:kern w:val="32"/>
          <w:sz w:val="32"/>
          <w:szCs w:val="32"/>
          <w:u w:val="none"/>
          <w:lang w:val="en-US" w:eastAsia="zh-CN"/>
          <w14:textFill>
            <w14:solidFill>
              <w14:schemeClr w14:val="tx1"/>
            </w14:solidFill>
          </w14:textFill>
        </w:rPr>
        <w:t>活动，应当严格遵守《中华人民共和国个人信息保护法》的规定，保护个人信息权益，规范个人信息处理。</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p>
    <w:p>
      <w:pPr>
        <w:keepNext w:val="0"/>
        <w:keepLines w:val="0"/>
        <w:pageBreakBefore w:val="0"/>
        <w:widowControl w:val="0"/>
        <w:kinsoku/>
        <w:wordWrap/>
        <w:overflowPunct w:val="0"/>
        <w:topLinePunct/>
        <w:autoSpaceDE/>
        <w:autoSpaceDN/>
        <w:bidi w:val="0"/>
        <w:adjustRightInd w:val="0"/>
        <w:snapToGrid w:val="0"/>
        <w:spacing w:line="568" w:lineRule="exact"/>
        <w:jc w:val="center"/>
        <w:textAlignment w:val="auto"/>
        <w:rPr>
          <w:rFonts w:hint="default" w:ascii="方正黑体_GBK" w:hAnsi="方正黑体_GBK" w:eastAsia="方正黑体_GBK" w:cs="方正黑体_GBK"/>
          <w:snapToGrid w:val="0"/>
          <w:color w:val="000000" w:themeColor="text1"/>
          <w:kern w:val="32"/>
          <w:sz w:val="32"/>
          <w:szCs w:val="32"/>
          <w:lang w:val="en-US" w:eastAsia="zh-CN"/>
          <w14:textFill>
            <w14:solidFill>
              <w14:schemeClr w14:val="tx1"/>
            </w14:solidFill>
          </w14:textFill>
        </w:rPr>
      </w:pPr>
      <w:r>
        <w:rPr>
          <w:rFonts w:hint="default" w:ascii="方正黑体_GBK" w:hAnsi="方正黑体_GBK" w:eastAsia="方正黑体_GBK" w:cs="方正黑体_GBK"/>
          <w:snapToGrid w:val="0"/>
          <w:color w:val="000000" w:themeColor="text1"/>
          <w:kern w:val="32"/>
          <w:sz w:val="32"/>
          <w:szCs w:val="32"/>
          <w:lang w:val="en-US" w:eastAsia="zh-CN"/>
          <w14:textFill>
            <w14:solidFill>
              <w14:schemeClr w14:val="tx1"/>
            </w14:solidFill>
          </w14:textFill>
        </w:rPr>
        <w:t>第五章 科研失信行为调查处理</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第二十六条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地区科技局负责统筹本局归口管理科技活动中的科研失信行为调查处理工作。</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涉及多部门或社会普遍关注的，可组织联合调查。地区科技局内部应明确承担科研失信行为调查处理职责的机构，负责线索登记、受理、调查、处理、复查及信息汇交。对超越本局职权的，应提请上级部门或移送有权机关处理。</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eastAsia" w:ascii="Times New Roman" w:hAnsi="Times New Roman" w:eastAsia="方正仿宋_GBK"/>
          <w:snapToGrid w:val="0"/>
          <w:color w:val="000000" w:themeColor="text1"/>
          <w:kern w:val="32"/>
          <w:sz w:val="32"/>
          <w:szCs w:val="32"/>
          <w:lang w:val="en-US" w:eastAsia="zh-CN"/>
          <w14:textFill>
            <w14:solidFill>
              <w14:schemeClr w14:val="tx1"/>
            </w14:solidFill>
          </w14:textFill>
        </w:rPr>
        <w:t>积极探索</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引入第三方机构协助开展科研</w:t>
      </w:r>
      <w:r>
        <w:rPr>
          <w:rFonts w:hint="eastAsia" w:ascii="Times New Roman" w:hAnsi="Times New Roman" w:eastAsia="方正仿宋_GBK"/>
          <w:snapToGrid w:val="0"/>
          <w:color w:val="000000" w:themeColor="text1"/>
          <w:kern w:val="32"/>
          <w:sz w:val="32"/>
          <w:szCs w:val="32"/>
          <w:lang w:val="en-US" w:eastAsia="zh-CN"/>
          <w14:textFill>
            <w14:solidFill>
              <w14:schemeClr w14:val="tx1"/>
            </w14:solidFill>
          </w14:textFill>
        </w:rPr>
        <w:t>诚信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评价及失信调查等工作。</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第二十七条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建立重大科研失信事件信息报送机制。科研单位在自查中发现重大科研失信事件，或受到社会舆论、上级部门关注的，应当及时向地区科技局报送相关信息。地区科技局应当按程序向自治区科技厅报告。任何单位和个人不得瞒报、漏报、迟报。</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第二十八条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鼓励实名举报。举报人应当对举报材料的真实性负责，不得捏造、歪曲事实，不得诬告、陷害他人。对匿名举报，如果事实清楚、证据确凿或线索具体，可予以受理并核实。</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科研诚信案件的举报应当同时满足以下条件：</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（一）举报内容属于本办法规定的科研失信行为范围；</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（二）有明确的举报对象和清晰的违规事实；</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（三）有客观证据材料或可查证的线索；</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（四）提供了有效的联系方式。</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第二十九条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有下列情形之一的举报，不予受理：</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（一）不属于本办法规定范围的；</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（二）没有明确证据或可查线索的；</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（三）对同一对象重复举报且无新证据、新线索的；</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（四）已经作出生效处理决定且无新证据、新线索的。</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第三十条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下列线索，地区科技局应当主动受理：</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（一）上级机关或有关部门移送的；</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（二）在日常科技活动管理工作中主动发现的；各级科技管理部门在日常管理中发现前项线索的，应当在发现后10个工作日内登记并启动初步调查；</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（三）媒体、期刊或出版单位等公开披露并有明确事实依据的。</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第三十一条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科研失信行为的调查程序与处理规则，按照《科研失信行为调查处理规则》和《科学技术活动违规行为调查处理规定》执行。</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地区科技局内部调查程序如下：</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（一）收到举报或发现线索后，应在15个工作日内完成初步调查，决定是否正式立案；</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（二）正式立案后，应成立不少于3人的调查组，一般在60个工作日内完成调查并形成调查报告；</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（三）情况复杂的，经地区科技局负责人批准，可延长30个工作日，并告知举报人；</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（四）调查报告应听取被调查人的陈述和申辩；</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五）处理决定作出前，应书面告知被调查人拟作出处理决定的事实、依据，并告知其依法享有陈述与申辩的权利。被调查人逾期没有进行陈述或申辩的，视为放弃权利。被调查人作出陈述或申辩的，应充分听取其意见；</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（六）对重大处理决定，可根据需要组织听证。</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第三十二条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被处理单位或人员对处理决定不服的，可在收到处理决定书之日起15个工作日内，向作出处理决定的部门提出书面</w:t>
      </w:r>
      <w:r>
        <w:rPr>
          <w:rFonts w:hint="eastAsia" w:ascii="Times New Roman" w:hAnsi="Times New Roman" w:eastAsia="方正仿宋_GBK"/>
          <w:snapToGrid w:val="0"/>
          <w:color w:val="000000" w:themeColor="text1"/>
          <w:kern w:val="32"/>
          <w:sz w:val="32"/>
          <w:szCs w:val="32"/>
          <w:lang w:val="en-US" w:eastAsia="zh-CN"/>
          <w14:textFill>
            <w14:solidFill>
              <w14:schemeClr w14:val="tx1"/>
            </w14:solidFill>
          </w14:textFill>
        </w:rPr>
        <w:t>异议复查</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申请。</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受理部门应在收到申请后15个工作日内决定是否受理，并书面告知申请人。决定受理的，应在30个工作日内组织复查，并出具复查决定书。</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申请复查期间，不停止原处理决定的执行，但受理部门认为需要停止执行的除外。</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处理决定书应当载明以下内容：</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（一）被处理人的基本情况（包括姓名或名称，身份证件号码或统一社会信用代码）；</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（二）认定的事实及证据；</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（三）处理决定和依据；</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（四）救济途径和期限；</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（五）其他应当载明的内容。</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p>
    <w:p>
      <w:pPr>
        <w:keepNext w:val="0"/>
        <w:keepLines w:val="0"/>
        <w:pageBreakBefore w:val="0"/>
        <w:widowControl w:val="0"/>
        <w:kinsoku/>
        <w:wordWrap/>
        <w:overflowPunct w:val="0"/>
        <w:topLinePunct/>
        <w:autoSpaceDE/>
        <w:autoSpaceDN/>
        <w:bidi w:val="0"/>
        <w:adjustRightInd w:val="0"/>
        <w:snapToGrid w:val="0"/>
        <w:spacing w:line="568" w:lineRule="exact"/>
        <w:jc w:val="center"/>
        <w:textAlignment w:val="auto"/>
        <w:rPr>
          <w:rFonts w:hint="default" w:ascii="方正黑体_GBK" w:hAnsi="方正黑体_GBK" w:eastAsia="方正黑体_GBK" w:cs="方正黑体_GBK"/>
          <w:snapToGrid w:val="0"/>
          <w:color w:val="000000" w:themeColor="text1"/>
          <w:kern w:val="32"/>
          <w:sz w:val="32"/>
          <w:szCs w:val="32"/>
          <w:lang w:val="en-US" w:eastAsia="zh-CN"/>
          <w14:textFill>
            <w14:solidFill>
              <w14:schemeClr w14:val="tx1"/>
            </w14:solidFill>
          </w14:textFill>
        </w:rPr>
      </w:pPr>
      <w:r>
        <w:rPr>
          <w:rFonts w:hint="default" w:ascii="方正黑体_GBK" w:hAnsi="方正黑体_GBK" w:eastAsia="方正黑体_GBK" w:cs="方正黑体_GBK"/>
          <w:snapToGrid w:val="0"/>
          <w:color w:val="000000" w:themeColor="text1"/>
          <w:kern w:val="32"/>
          <w:sz w:val="32"/>
          <w:szCs w:val="32"/>
          <w:lang w:val="en-US" w:eastAsia="zh-CN"/>
          <w14:textFill>
            <w14:solidFill>
              <w14:schemeClr w14:val="tx1"/>
            </w14:solidFill>
          </w14:textFill>
        </w:rPr>
        <w:t>第六章 结果应用及数据管理</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eastAsia"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第三十三条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对纳入科研守信激励名单（A级）的责任主体，在同等条件下优先给予支持，</w:t>
      </w:r>
      <w:r>
        <w:rPr>
          <w:rFonts w:hint="eastAsia" w:ascii="Times New Roman" w:hAnsi="Times New Roman" w:eastAsia="方正仿宋_GBK"/>
          <w:snapToGrid w:val="0"/>
          <w:color w:val="000000" w:themeColor="text1"/>
          <w:kern w:val="32"/>
          <w:sz w:val="32"/>
          <w:szCs w:val="32"/>
          <w:lang w:val="en-US" w:eastAsia="zh-CN"/>
          <w14:textFill>
            <w14:solidFill>
              <w14:schemeClr w14:val="tx1"/>
            </w14:solidFill>
          </w14:textFill>
        </w:rPr>
        <w:t>包括但不限于：优先推荐申报各级各类科技计划项目、人才计划，</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减少或优化监督检查频次</w:t>
      </w:r>
      <w:r>
        <w:rPr>
          <w:rFonts w:hint="eastAsia" w:ascii="Times New Roman" w:hAnsi="Times New Roman" w:eastAsia="方正仿宋_GBK"/>
          <w:snapToGrid w:val="0"/>
          <w:color w:val="000000" w:themeColor="text1"/>
          <w:kern w:val="32"/>
          <w:sz w:val="32"/>
          <w:szCs w:val="32"/>
          <w:lang w:val="en-US" w:eastAsia="zh-CN"/>
          <w14:textFill>
            <w14:solidFill>
              <w14:schemeClr w14:val="tx1"/>
            </w14:solidFill>
          </w14:textFill>
        </w:rPr>
        <w:t>等</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第三十四条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科研失信行为经认定后，对相关责任主体可单独或合并采取以下处理措施：</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（一）科研诚信诫勉谈话；</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（二）暂停项目执行和财政资金拨付，责令限期整改（一般不超过3个月）；整改到位的，恢复执行和拨付；</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（三）一定范围内公开通报；</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（四）终止或撤销利用失信行为获得的项目，追回部分或全部财政资金；</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（五）撤销利用失信行为获得的奖励、荣誉，追回奖金；</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（六）取消已获得的学术团体或学术工作机构的委员、成员资格；</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（七）一定期限内禁止承担或参与财政科技项目；</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（八）一定期限内取消申请科技奖励、人才称号等资格；</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（九）一定期限内取消作为提名或推荐人、评审专家等资格；</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（十）一定期限内取消第三方机构为科技活动提供服务的资格；</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（十一）移交具有处罚或处理权限的主管部门或行业协会处理；</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（十二）记入喀什地区科研诚信失信行为档案（即第二十五条所述的管理台账）；</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（十三）按程序汇交至自治区科技厅科研诚信严重失信行为数据库；</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（十四）其他依法依规的处理。</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给予前款第七至第十项处理的，应当同时给予前款第十二、第十三项处理。</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第三十五条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根据科研失信行为的情节轻重，给予相应处理：</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（一）情节较轻：适用第三十四条第一、二</w:t>
      </w:r>
      <w:r>
        <w:rPr>
          <w:rFonts w:hint="eastAsia" w:ascii="Times New Roman" w:hAnsi="Times New Roman" w:eastAsia="方正仿宋_GBK"/>
          <w:snapToGrid w:val="0"/>
          <w:color w:val="000000" w:themeColor="text1"/>
          <w:kern w:val="32"/>
          <w:sz w:val="32"/>
          <w:szCs w:val="32"/>
          <w:lang w:val="en-US" w:eastAsia="zh-CN"/>
          <w14:textFill>
            <w14:solidFill>
              <w14:schemeClr w14:val="tx1"/>
            </w14:solidFill>
          </w14:textFill>
        </w:rPr>
        <w:t>款</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（二）情节较重：适用第三十四条第三至</w:t>
      </w:r>
      <w:r>
        <w:rPr>
          <w:rFonts w:hint="eastAsia" w:ascii="Times New Roman" w:hAnsi="Times New Roman" w:eastAsia="方正仿宋_GBK"/>
          <w:snapToGrid w:val="0"/>
          <w:color w:val="000000" w:themeColor="text1"/>
          <w:kern w:val="32"/>
          <w:sz w:val="32"/>
          <w:szCs w:val="32"/>
          <w:lang w:val="en-US" w:eastAsia="zh-CN"/>
          <w14:textFill>
            <w14:solidFill>
              <w14:schemeClr w14:val="tx1"/>
            </w14:solidFill>
          </w14:textFill>
        </w:rPr>
        <w:t>第</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十一</w:t>
      </w:r>
      <w:r>
        <w:rPr>
          <w:rFonts w:hint="eastAsia" w:ascii="Times New Roman" w:hAnsi="Times New Roman" w:eastAsia="方正仿宋_GBK"/>
          <w:snapToGrid w:val="0"/>
          <w:color w:val="000000" w:themeColor="text1"/>
          <w:kern w:val="32"/>
          <w:sz w:val="32"/>
          <w:szCs w:val="32"/>
          <w:lang w:val="en-US" w:eastAsia="zh-CN"/>
          <w14:textFill>
            <w14:solidFill>
              <w14:schemeClr w14:val="tx1"/>
            </w14:solidFill>
          </w14:textFill>
        </w:rPr>
        <w:t>款</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，取消或禁止期限为3年以内；</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（三）情节严重：适用第三十四条第三至</w:t>
      </w:r>
      <w:r>
        <w:rPr>
          <w:rFonts w:hint="eastAsia" w:ascii="Times New Roman" w:hAnsi="Times New Roman" w:eastAsia="方正仿宋_GBK"/>
          <w:snapToGrid w:val="0"/>
          <w:color w:val="000000" w:themeColor="text1"/>
          <w:kern w:val="32"/>
          <w:sz w:val="32"/>
          <w:szCs w:val="32"/>
          <w:lang w:val="en-US" w:eastAsia="zh-CN"/>
          <w14:textFill>
            <w14:solidFill>
              <w14:schemeClr w14:val="tx1"/>
            </w14:solidFill>
          </w14:textFill>
        </w:rPr>
        <w:t>第</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十一</w:t>
      </w:r>
      <w:r>
        <w:rPr>
          <w:rFonts w:hint="eastAsia" w:ascii="Times New Roman" w:hAnsi="Times New Roman" w:eastAsia="方正仿宋_GBK"/>
          <w:snapToGrid w:val="0"/>
          <w:color w:val="000000" w:themeColor="text1"/>
          <w:kern w:val="32"/>
          <w:sz w:val="32"/>
          <w:szCs w:val="32"/>
          <w:lang w:val="en-US" w:eastAsia="zh-CN"/>
          <w14:textFill>
            <w14:solidFill>
              <w14:schemeClr w14:val="tx1"/>
            </w14:solidFill>
          </w14:textFill>
        </w:rPr>
        <w:t>款</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，取消或禁止期限为3至5年；</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（四）情节特别严重：适用第三十四条第三至</w:t>
      </w:r>
      <w:r>
        <w:rPr>
          <w:rFonts w:hint="eastAsia" w:ascii="Times New Roman" w:hAnsi="Times New Roman" w:eastAsia="方正仿宋_GBK"/>
          <w:snapToGrid w:val="0"/>
          <w:color w:val="000000" w:themeColor="text1"/>
          <w:kern w:val="32"/>
          <w:sz w:val="32"/>
          <w:szCs w:val="32"/>
          <w:lang w:val="en-US" w:eastAsia="zh-CN"/>
          <w14:textFill>
            <w14:solidFill>
              <w14:schemeClr w14:val="tx1"/>
            </w14:solidFill>
          </w14:textFill>
        </w:rPr>
        <w:t>第</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十一</w:t>
      </w:r>
      <w:r>
        <w:rPr>
          <w:rFonts w:hint="eastAsia" w:ascii="Times New Roman" w:hAnsi="Times New Roman" w:eastAsia="方正仿宋_GBK"/>
          <w:snapToGrid w:val="0"/>
          <w:color w:val="000000" w:themeColor="text1"/>
          <w:kern w:val="32"/>
          <w:sz w:val="32"/>
          <w:szCs w:val="32"/>
          <w:lang w:val="en-US" w:eastAsia="zh-CN"/>
          <w14:textFill>
            <w14:solidFill>
              <w14:schemeClr w14:val="tx1"/>
            </w14:solidFill>
          </w14:textFill>
        </w:rPr>
        <w:t>款</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，取消或禁止期限为5年以上。其中禁止期限超过5年的，地区科技局应报自治区科技厅备案。</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第三十六条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有下列情形之一的，可从轻处理：</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（一）有证据证明属于过失行为且未造成重大影响的；</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（二）过错程度较轻且能积极配合调查的；</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（三）在调查处理程序正式启动前，主动纠正错误、挽回损失或有效阻止危害结果发生的；</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（四）主动承认错误，并公开承诺严格遵守科研诚信要求、不再发生科研失信行为的；</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（五）主动退回违规使用的财政资金的；</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（六）其他可从轻处理的情形。</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第三十七条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有下列情形之一的，应当从重处理：</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（一）伪造、篡改、隐匿、销毁证据的；</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（二）阻挠他人提供证据，或干扰、妨碍调查核实的；</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（三）打击、报复举报人、证人、调查人员的；</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（四）存在利益输送或利益交换的；</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（五）有组织地实施科研失信行为的；</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（六）多次发生或同时存在多种科研失信行为的；</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（七）事实清楚、证据确凿而拒不承认错误的；</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（八）其他应当从重处理的情形。</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第三十八条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科研诚信失信行为档案记录实行动态管理。惩戒期限届满的，自动从管理台账中移出，并书面通知相关责任主体。</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所依据的处理决定被撤销或宣告无效的，由作出处理决定的单位及时从台账中移出。</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采取本办法第三十四条第七至</w:t>
      </w:r>
      <w:r>
        <w:rPr>
          <w:rFonts w:hint="eastAsia" w:ascii="Times New Roman" w:hAnsi="Times New Roman" w:eastAsia="方正仿宋_GBK"/>
          <w:snapToGrid w:val="0"/>
          <w:color w:val="000000" w:themeColor="text1"/>
          <w:kern w:val="32"/>
          <w:sz w:val="32"/>
          <w:szCs w:val="32"/>
          <w:lang w:val="en-US" w:eastAsia="zh-CN"/>
          <w14:textFill>
            <w14:solidFill>
              <w14:schemeClr w14:val="tx1"/>
            </w14:solidFill>
          </w14:textFill>
        </w:rPr>
        <w:t>第</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十</w:t>
      </w:r>
      <w:r>
        <w:rPr>
          <w:rFonts w:hint="eastAsia" w:ascii="Times New Roman" w:hAnsi="Times New Roman" w:eastAsia="方正仿宋_GBK"/>
          <w:snapToGrid w:val="0"/>
          <w:color w:val="000000" w:themeColor="text1"/>
          <w:kern w:val="32"/>
          <w:sz w:val="32"/>
          <w:szCs w:val="32"/>
          <w:lang w:val="en-US" w:eastAsia="zh-CN"/>
          <w14:textFill>
            <w14:solidFill>
              <w14:schemeClr w14:val="tx1"/>
            </w14:solidFill>
          </w14:textFill>
        </w:rPr>
        <w:t>款</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处理措施的，惩戒期限自处理决定书送达之日起计算。处理决定作出前已依法暂停活动的，暂停期限可以折抵惩戒期限。</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第三十九条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建立数据汇交时限与程序。地区科技局作出的处理决定生效后，应在10个工作日内将处理决定书、调查报告及相关材料，通过纸质或电子方式汇交至自治区科技厅科研诚信严重失信行为数据库。涉及重大科研失信行为的，应当同步将处理决定书报送自治区科技厅备案。</w:t>
      </w:r>
    </w:p>
    <w:p>
      <w:pPr>
        <w:keepNext w:val="0"/>
        <w:keepLines w:val="0"/>
        <w:pageBreakBefore w:val="0"/>
        <w:widowControl w:val="0"/>
        <w:kinsoku/>
        <w:wordWrap/>
        <w:overflowPunct w:val="0"/>
        <w:topLinePunct/>
        <w:autoSpaceDE/>
        <w:autoSpaceDN/>
        <w:bidi w:val="0"/>
        <w:adjustRightInd w:val="0"/>
        <w:snapToGrid w:val="0"/>
        <w:spacing w:line="568" w:lineRule="exact"/>
        <w:ind w:firstLine="640"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p>
    <w:p>
      <w:pPr>
        <w:keepNext w:val="0"/>
        <w:keepLines w:val="0"/>
        <w:pageBreakBefore w:val="0"/>
        <w:widowControl w:val="0"/>
        <w:kinsoku/>
        <w:wordWrap/>
        <w:overflowPunct w:val="0"/>
        <w:topLinePunct/>
        <w:autoSpaceDE/>
        <w:autoSpaceDN/>
        <w:bidi w:val="0"/>
        <w:adjustRightInd w:val="0"/>
        <w:snapToGrid w:val="0"/>
        <w:spacing w:line="568" w:lineRule="exact"/>
        <w:jc w:val="center"/>
        <w:textAlignment w:val="auto"/>
        <w:rPr>
          <w:rFonts w:hint="default" w:ascii="方正黑体_GBK" w:hAnsi="方正黑体_GBK" w:eastAsia="方正黑体_GBK" w:cs="方正黑体_GBK"/>
          <w:snapToGrid w:val="0"/>
          <w:color w:val="000000" w:themeColor="text1"/>
          <w:kern w:val="32"/>
          <w:sz w:val="32"/>
          <w:szCs w:val="32"/>
          <w:lang w:val="en-US" w:eastAsia="zh-CN"/>
          <w14:textFill>
            <w14:solidFill>
              <w14:schemeClr w14:val="tx1"/>
            </w14:solidFill>
          </w14:textFill>
        </w:rPr>
      </w:pPr>
      <w:r>
        <w:rPr>
          <w:rFonts w:hint="default" w:ascii="方正黑体_GBK" w:hAnsi="方正黑体_GBK" w:eastAsia="方正黑体_GBK" w:cs="方正黑体_GBK"/>
          <w:snapToGrid w:val="0"/>
          <w:color w:val="000000" w:themeColor="text1"/>
          <w:kern w:val="32"/>
          <w:sz w:val="32"/>
          <w:szCs w:val="32"/>
          <w:lang w:val="en-US" w:eastAsia="zh-CN"/>
          <w14:textFill>
            <w14:solidFill>
              <w14:schemeClr w14:val="tx1"/>
            </w14:solidFill>
          </w14:textFill>
        </w:rPr>
        <w:t>第七章 附 则</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第四十条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本办法由喀什地区科学技术局负责解释</w:t>
      </w:r>
      <w:r>
        <w:rPr>
          <w:rFonts w:hint="eastAsia" w:ascii="Times New Roman" w:hAnsi="Times New Roman" w:eastAsia="方正仿宋_GBK"/>
          <w:snapToGrid w:val="0"/>
          <w:color w:val="000000" w:themeColor="text1"/>
          <w:kern w:val="32"/>
          <w:sz w:val="32"/>
          <w:szCs w:val="32"/>
          <w:lang w:val="en-US" w:eastAsia="zh-CN"/>
          <w14:textFill>
            <w14:solidFill>
              <w14:schemeClr w14:val="tx1"/>
            </w14:solidFill>
          </w14:textFill>
        </w:rPr>
        <w:t>；解释不得增设义务、减损权益、抵触上位法规。</w:t>
      </w:r>
    </w:p>
    <w:p>
      <w:pPr>
        <w:keepNext w:val="0"/>
        <w:keepLines w:val="0"/>
        <w:pageBreakBefore w:val="0"/>
        <w:widowControl w:val="0"/>
        <w:kinsoku/>
        <w:wordWrap/>
        <w:overflowPunct w:val="0"/>
        <w:topLinePunct/>
        <w:autoSpaceDE/>
        <w:autoSpaceDN/>
        <w:bidi w:val="0"/>
        <w:adjustRightInd w:val="0"/>
        <w:snapToGrid w:val="0"/>
        <w:spacing w:line="568" w:lineRule="exact"/>
        <w:ind w:firstLine="642" w:firstLineChars="200"/>
        <w:textAlignment w:val="auto"/>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pPr>
      <w:r>
        <w:rPr>
          <w:rFonts w:hint="default" w:ascii="方正楷体_GBK" w:hAnsi="方正楷体_GBK" w:eastAsia="方正楷体_GBK" w:cs="方正楷体_GBK"/>
          <w:b/>
          <w:bCs/>
          <w:snapToGrid w:val="0"/>
          <w:color w:val="000000" w:themeColor="text1"/>
          <w:kern w:val="32"/>
          <w:sz w:val="32"/>
          <w:szCs w:val="32"/>
          <w:lang w:val="en-US" w:eastAsia="zh-CN"/>
          <w14:textFill>
            <w14:solidFill>
              <w14:schemeClr w14:val="tx1"/>
            </w14:solidFill>
          </w14:textFill>
        </w:rPr>
        <w:t>第四十一条</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 xml:space="preserve"> 本办法自2026年</w:t>
      </w:r>
      <w:r>
        <w:rPr>
          <w:rFonts w:hint="eastAsia" w:ascii="Times New Roman" w:hAnsi="Times New Roman" w:eastAsia="方正仿宋_GBK"/>
          <w:snapToGrid w:val="0"/>
          <w:color w:val="000000" w:themeColor="text1"/>
          <w:kern w:val="32"/>
          <w:sz w:val="32"/>
          <w:szCs w:val="32"/>
          <w:lang w:val="en-US" w:eastAsia="zh-CN"/>
          <w14:textFill>
            <w14:solidFill>
              <w14:schemeClr w14:val="tx1"/>
            </w14:solidFill>
          </w14:textFill>
        </w:rPr>
        <w:t>12</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月</w:t>
      </w:r>
      <w:r>
        <w:rPr>
          <w:rFonts w:hint="eastAsia" w:ascii="Times New Roman" w:hAnsi="Times New Roman" w:eastAsia="方正仿宋_GBK"/>
          <w:snapToGrid w:val="0"/>
          <w:color w:val="000000" w:themeColor="text1"/>
          <w:kern w:val="32"/>
          <w:sz w:val="32"/>
          <w:szCs w:val="32"/>
          <w:lang w:val="en-US" w:eastAsia="zh-CN"/>
          <w14:textFill>
            <w14:solidFill>
              <w14:schemeClr w14:val="tx1"/>
            </w14:solidFill>
          </w14:textFill>
        </w:rPr>
        <w:t>1</w:t>
      </w:r>
      <w:r>
        <w:rPr>
          <w:rFonts w:hint="default" w:ascii="Times New Roman" w:hAnsi="Times New Roman" w:eastAsia="方正仿宋_GBK"/>
          <w:snapToGrid w:val="0"/>
          <w:color w:val="000000" w:themeColor="text1"/>
          <w:kern w:val="32"/>
          <w:sz w:val="32"/>
          <w:szCs w:val="32"/>
          <w:lang w:val="en-US" w:eastAsia="zh-CN"/>
          <w14:textFill>
            <w14:solidFill>
              <w14:schemeClr w14:val="tx1"/>
            </w14:solidFill>
          </w14:textFill>
        </w:rPr>
        <w:t>日起施行，有效期至2030年12月31日。本办法施行前发生的科研失信行为，尚未作出处理的，按照当时有关规定处理；当时没有规定的，依照本办法处理，但原则上适用较轻处理。</w:t>
      </w:r>
      <w:bookmarkStart w:id="0" w:name="_GoBack"/>
      <w:bookmarkEnd w:id="0"/>
    </w:p>
    <w:sectPr>
      <w:footerReference r:id="rId3" w:type="default"/>
      <w:pgSz w:w="11850" w:h="16783"/>
      <w:pgMar w:top="1984" w:right="1531" w:bottom="1701" w:left="1531"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2"/>
    <w:family w:val="modern"/>
    <w:pitch w:val="default"/>
    <w:sig w:usb0="E0002AFF" w:usb1="C0007841"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vert="horz" wrap="none" lIns="0" tIns="0" rIns="0" bIns="0" anchor="t" anchorCtr="false" upright="fals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FgAAAGRycy9QSwECFAAUAAAACACHTuJAzql5uc8AAAAFAQAADwAAAAAAAAABACAA&#10;AAA4AAAAZHJzL2Rvd25yZXYueG1sUEsBAhQAFAAAAAgAh07iQBCr8CPHAQAAewMAAA4AAAAAAAAA&#10;AQAgAAAANAEAAGRycy9lMm9Eb2MueG1sUEsFBgAAAAAGAAYAWQEAAG0FAAAAAA==&#10;">
              <v:fill on="f" focussize="0,0"/>
              <v:stroke on="f"/>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BF5BBEE"/>
    <w:rsid w:val="137D9AD1"/>
    <w:rsid w:val="17F65311"/>
    <w:rsid w:val="1FDF7FFB"/>
    <w:rsid w:val="292E6362"/>
    <w:rsid w:val="2F7F8055"/>
    <w:rsid w:val="354E3533"/>
    <w:rsid w:val="363F70F7"/>
    <w:rsid w:val="3FDE6218"/>
    <w:rsid w:val="46A3047C"/>
    <w:rsid w:val="4FB57CA4"/>
    <w:rsid w:val="5343281D"/>
    <w:rsid w:val="597C784B"/>
    <w:rsid w:val="5BDF9D21"/>
    <w:rsid w:val="6EFF9028"/>
    <w:rsid w:val="6FDB55F7"/>
    <w:rsid w:val="7DB679C8"/>
    <w:rsid w:val="7E12037C"/>
    <w:rsid w:val="7EDF52F2"/>
    <w:rsid w:val="7EFF68BF"/>
    <w:rsid w:val="7F7344CF"/>
    <w:rsid w:val="7FBF35A4"/>
    <w:rsid w:val="95FC1F59"/>
    <w:rsid w:val="B67714F2"/>
    <w:rsid w:val="B7BF68FE"/>
    <w:rsid w:val="D53B3C58"/>
    <w:rsid w:val="D6F50BD3"/>
    <w:rsid w:val="F6FB26E5"/>
    <w:rsid w:val="F7FEF737"/>
    <w:rsid w:val="FBF5BBEE"/>
    <w:rsid w:val="FBFEC959"/>
    <w:rsid w:val="FFB9954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rPr>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Office_11.8.2.10386_F1E327BC-269C-435d-A152-05C5408002CA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2026-04-11T16:16:00Z</dcterms:created>
  <dc:creator>user</dc:creator>
  <cp:lastModifiedBy>user</cp:lastModifiedBy>
  <cp:lastPrinted>2026-08-06T11:39:00Z</cp:lastPrinted>
  <dcterms:modified xsi:type="dcterms:W3CDTF">2026-09-28T17:52:02Z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2052-11.8.2.10386</vt:lpwstr>
  </property>
</Properties>
</file>