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default" w:ascii="Times New Roman" w:hAnsi="Times New Roman" w:eastAsia="方正小标宋_GBK" w:cs="Times New Roman"/>
          <w:b/>
          <w:sz w:val="40"/>
          <w:szCs w:val="40"/>
        </w:rPr>
      </w:pPr>
    </w:p>
    <w:p>
      <w:pPr>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eastAsia" w:asciiTheme="majorEastAsia" w:hAnsiTheme="majorEastAsia" w:eastAsiaTheme="majorEastAsia" w:cstheme="majorEastAsia"/>
          <w:b/>
          <w:sz w:val="40"/>
          <w:szCs w:val="40"/>
        </w:rPr>
      </w:pPr>
      <w:r>
        <w:rPr>
          <w:rFonts w:hint="eastAsia" w:asciiTheme="majorEastAsia" w:hAnsiTheme="majorEastAsia" w:eastAsiaTheme="majorEastAsia" w:cstheme="majorEastAsia"/>
          <w:b/>
          <w:sz w:val="40"/>
          <w:szCs w:val="40"/>
        </w:rPr>
        <w:t>《广州市粮食安全保障“十五五”规划》</w:t>
      </w:r>
    </w:p>
    <w:p>
      <w:pPr>
        <w:pageBreakBefore w:val="0"/>
        <w:widowControl w:val="0"/>
        <w:kinsoku/>
        <w:wordWrap/>
        <w:overflowPunct/>
        <w:topLinePunct w:val="0"/>
        <w:autoSpaceDE/>
        <w:autoSpaceDN/>
        <w:bidi w:val="0"/>
        <w:adjustRightInd w:val="0"/>
        <w:snapToGrid w:val="0"/>
        <w:spacing w:line="560" w:lineRule="exact"/>
        <w:ind w:left="0" w:leftChars="0" w:firstLine="0" w:firstLineChars="0"/>
        <w:jc w:val="center"/>
        <w:textAlignment w:val="auto"/>
        <w:rPr>
          <w:rFonts w:hint="eastAsia" w:asciiTheme="majorEastAsia" w:hAnsiTheme="majorEastAsia" w:eastAsiaTheme="majorEastAsia" w:cstheme="majorEastAsia"/>
          <w:sz w:val="40"/>
          <w:szCs w:val="40"/>
        </w:rPr>
      </w:pPr>
      <w:r>
        <w:rPr>
          <w:rFonts w:hint="eastAsia" w:asciiTheme="majorEastAsia" w:hAnsiTheme="majorEastAsia" w:eastAsiaTheme="majorEastAsia" w:cstheme="majorEastAsia"/>
          <w:b/>
          <w:sz w:val="40"/>
          <w:szCs w:val="40"/>
          <w:lang w:val="en-US" w:eastAsia="zh-CN"/>
        </w:rPr>
        <w:t>编制</w:t>
      </w:r>
      <w:r>
        <w:rPr>
          <w:rFonts w:hint="eastAsia" w:asciiTheme="majorEastAsia" w:hAnsiTheme="majorEastAsia" w:eastAsiaTheme="majorEastAsia" w:cstheme="majorEastAsia"/>
          <w:b/>
          <w:sz w:val="40"/>
          <w:szCs w:val="40"/>
        </w:rPr>
        <w:t>说明</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w:t>
      </w:r>
      <w:r>
        <w:rPr>
          <w:rFonts w:hint="eastAsia" w:cs="Times New Roman"/>
          <w:sz w:val="32"/>
          <w:szCs w:val="32"/>
          <w:lang w:eastAsia="zh-CN"/>
        </w:rPr>
        <w:t>进一步做好</w:t>
      </w:r>
      <w:r>
        <w:rPr>
          <w:rFonts w:hint="default" w:ascii="Times New Roman" w:hAnsi="Times New Roman" w:eastAsia="仿宋_GB2312" w:cs="Times New Roman"/>
          <w:sz w:val="32"/>
          <w:szCs w:val="32"/>
        </w:rPr>
        <w:t>广州市粮食安全保障工作，筑牢超大城市粮食安全</w:t>
      </w:r>
      <w:r>
        <w:rPr>
          <w:rFonts w:hint="eastAsia" w:cs="Times New Roman"/>
          <w:sz w:val="32"/>
          <w:szCs w:val="32"/>
          <w:lang w:eastAsia="zh-CN"/>
        </w:rPr>
        <w:t>保障</w:t>
      </w:r>
      <w:r>
        <w:rPr>
          <w:rFonts w:hint="default" w:ascii="Times New Roman" w:hAnsi="Times New Roman" w:eastAsia="仿宋_GB2312" w:cs="Times New Roman"/>
          <w:sz w:val="32"/>
          <w:szCs w:val="32"/>
        </w:rPr>
        <w:t>防线</w:t>
      </w:r>
      <w:r>
        <w:rPr>
          <w:rFonts w:hint="eastAsia" w:cs="Times New Roman"/>
          <w:sz w:val="32"/>
          <w:szCs w:val="32"/>
          <w:lang w:eastAsia="zh-CN"/>
        </w:rPr>
        <w:t>，</w:t>
      </w:r>
      <w:r>
        <w:rPr>
          <w:rFonts w:hint="default" w:ascii="Times New Roman" w:hAnsi="Times New Roman" w:eastAsia="仿宋_GB2312" w:cs="Times New Roman"/>
          <w:sz w:val="32"/>
          <w:szCs w:val="32"/>
        </w:rPr>
        <w:t>我</w:t>
      </w:r>
      <w:r>
        <w:rPr>
          <w:rFonts w:hint="default" w:ascii="Times New Roman" w:hAnsi="Times New Roman" w:eastAsia="仿宋_GB2312" w:cs="Times New Roman"/>
          <w:sz w:val="32"/>
          <w:szCs w:val="32"/>
          <w:lang w:val="en-US" w:eastAsia="zh-CN"/>
        </w:rPr>
        <w:t>委</w:t>
      </w:r>
      <w:r>
        <w:rPr>
          <w:rFonts w:hint="eastAsia" w:cs="Times New Roman"/>
          <w:sz w:val="32"/>
          <w:szCs w:val="32"/>
          <w:lang w:eastAsia="zh-CN"/>
        </w:rPr>
        <w:t>牵头</w:t>
      </w:r>
      <w:r>
        <w:rPr>
          <w:rFonts w:hint="default" w:ascii="Times New Roman" w:hAnsi="Times New Roman" w:eastAsia="仿宋_GB2312" w:cs="Times New Roman"/>
          <w:sz w:val="32"/>
          <w:szCs w:val="32"/>
        </w:rPr>
        <w:t>编制了《广州市粮食安全保障“十五五”规划》（以下简称《规划》）。现</w:t>
      </w:r>
      <w:r>
        <w:rPr>
          <w:rFonts w:hint="eastAsia" w:cs="Times New Roman"/>
          <w:sz w:val="32"/>
          <w:szCs w:val="32"/>
          <w:lang w:eastAsia="zh-CN"/>
        </w:rPr>
        <w:t>就</w:t>
      </w:r>
      <w:r>
        <w:rPr>
          <w:rFonts w:hint="default" w:ascii="Times New Roman" w:hAnsi="Times New Roman" w:eastAsia="仿宋_GB2312" w:cs="Times New Roman"/>
          <w:sz w:val="32"/>
          <w:szCs w:val="32"/>
        </w:rPr>
        <w:t>《规划》</w:t>
      </w:r>
      <w:r>
        <w:rPr>
          <w:rFonts w:hint="default" w:ascii="Times New Roman" w:hAnsi="Times New Roman" w:eastAsia="仿宋_GB2312" w:cs="Times New Roman"/>
          <w:sz w:val="32"/>
          <w:szCs w:val="32"/>
          <w:lang w:val="en-US" w:eastAsia="zh-CN"/>
        </w:rPr>
        <w:t>编制有关</w:t>
      </w:r>
      <w:r>
        <w:rPr>
          <w:rFonts w:hint="default" w:ascii="Times New Roman" w:hAnsi="Times New Roman" w:eastAsia="仿宋_GB2312" w:cs="Times New Roman"/>
          <w:sz w:val="32"/>
          <w:szCs w:val="32"/>
        </w:rPr>
        <w:t>情况说明如下：</w:t>
      </w:r>
    </w:p>
    <w:p>
      <w:pPr>
        <w:pStyle w:val="3"/>
        <w:pageBreakBefore w:val="0"/>
        <w:widowControl w:val="0"/>
        <w:kinsoku/>
        <w:wordWrap/>
        <w:overflowPunct/>
        <w:topLinePunct w:val="0"/>
        <w:autoSpaceDE/>
        <w:autoSpaceDN/>
        <w:bidi w:val="0"/>
        <w:adjustRightInd w:val="0"/>
        <w:snapToGrid w:val="0"/>
        <w:spacing w:beforeLines="0" w:afterLines="0" w:line="560" w:lineRule="exact"/>
        <w:textAlignment w:val="auto"/>
        <w:rPr>
          <w:rFonts w:hint="default" w:ascii="Times New Roman" w:hAnsi="Times New Roman" w:cs="Times New Roman"/>
          <w:lang w:val="en-US" w:eastAsia="zh-CN"/>
        </w:rPr>
      </w:pPr>
      <w:bookmarkStart w:id="0" w:name="heading_0"/>
      <w:r>
        <w:rPr>
          <w:rFonts w:hint="default" w:ascii="Times New Roman" w:hAnsi="Times New Roman" w:cs="Times New Roman"/>
        </w:rPr>
        <w:t>一、</w:t>
      </w:r>
      <w:r>
        <w:rPr>
          <w:rFonts w:hint="default" w:ascii="Times New Roman" w:hAnsi="Times New Roman" w:cs="Times New Roman"/>
          <w:lang w:val="en-US" w:eastAsia="zh-CN"/>
        </w:rPr>
        <w:t>编制</w:t>
      </w:r>
      <w:r>
        <w:rPr>
          <w:rFonts w:hint="eastAsia" w:ascii="Times New Roman" w:hAnsi="Times New Roman" w:cs="Times New Roman"/>
          <w:lang w:val="en-US" w:eastAsia="zh-CN"/>
        </w:rPr>
        <w:t>背景及过程</w:t>
      </w:r>
    </w:p>
    <w:bookmarkEnd w:id="0"/>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cs="Times New Roman"/>
          <w:lang w:eastAsia="zh-CN"/>
        </w:rPr>
      </w:pPr>
      <w:r>
        <w:rPr>
          <w:rFonts w:hint="default" w:ascii="Times New Roman" w:hAnsi="Times New Roman" w:eastAsia="仿宋_GB2312" w:cs="Times New Roman"/>
          <w:sz w:val="32"/>
          <w:szCs w:val="32"/>
        </w:rPr>
        <w:t>粮食安全是“国之大者”，是国家安全的重要基石。</w:t>
      </w:r>
      <w:r>
        <w:rPr>
          <w:rFonts w:ascii="Times New Roman" w:hAnsi="Times New Roman" w:eastAsia="仿宋_GB2312" w:cs="Times New Roman"/>
          <w:sz w:val="32"/>
          <w:szCs w:val="32"/>
        </w:rPr>
        <w:t>广州市作为国家中心城市</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人口大市</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粮食主销区</w:t>
      </w:r>
      <w:r>
        <w:rPr>
          <w:rFonts w:hint="default" w:ascii="Times New Roman" w:hAnsi="Times New Roman" w:eastAsia="仿宋_GB2312" w:cs="Times New Roman"/>
          <w:sz w:val="32"/>
          <w:szCs w:val="32"/>
        </w:rPr>
        <w:t>、华南粮食集散</w:t>
      </w:r>
      <w:r>
        <w:rPr>
          <w:rFonts w:hint="eastAsia" w:cs="Times New Roman"/>
          <w:sz w:val="32"/>
          <w:szCs w:val="32"/>
          <w:lang w:eastAsia="zh-CN"/>
        </w:rPr>
        <w:t>地</w:t>
      </w:r>
      <w:r>
        <w:rPr>
          <w:rFonts w:hint="default" w:ascii="Times New Roman" w:hAnsi="Times New Roman" w:eastAsia="仿宋_GB2312" w:cs="Times New Roman"/>
          <w:sz w:val="32"/>
          <w:szCs w:val="32"/>
        </w:rPr>
        <w:t>，粮食对外依存度高，</w:t>
      </w:r>
      <w:r>
        <w:rPr>
          <w:rFonts w:ascii="Times New Roman" w:hAnsi="Times New Roman" w:eastAsia="仿宋_GB2312" w:cs="Times New Roman"/>
          <w:sz w:val="32"/>
          <w:szCs w:val="32"/>
        </w:rPr>
        <w:t>粮食安全保障任务艰巨</w:t>
      </w:r>
      <w:r>
        <w:rPr>
          <w:rFonts w:hint="eastAsia" w:cs="Times New Roman"/>
          <w:sz w:val="32"/>
          <w:szCs w:val="32"/>
          <w:lang w:eastAsia="zh-CN"/>
        </w:rPr>
        <w:t>。</w:t>
      </w:r>
      <w:r>
        <w:rPr>
          <w:rFonts w:ascii="Times New Roman" w:hAnsi="Times New Roman" w:eastAsia="仿宋_GB2312" w:cs="Times New Roman"/>
          <w:sz w:val="32"/>
          <w:szCs w:val="32"/>
        </w:rPr>
        <w:t>科学规划未来五年全</w:t>
      </w:r>
      <w:r>
        <w:rPr>
          <w:rFonts w:hint="default" w:ascii="Times New Roman" w:hAnsi="Times New Roman" w:eastAsia="仿宋_GB2312" w:cs="Times New Roman"/>
          <w:sz w:val="32"/>
          <w:szCs w:val="32"/>
        </w:rPr>
        <w:t>市</w:t>
      </w:r>
      <w:r>
        <w:rPr>
          <w:rFonts w:ascii="Times New Roman" w:hAnsi="Times New Roman" w:eastAsia="仿宋_GB2312" w:cs="Times New Roman"/>
          <w:sz w:val="32"/>
          <w:szCs w:val="32"/>
        </w:rPr>
        <w:t>粮食</w:t>
      </w:r>
      <w:r>
        <w:rPr>
          <w:rFonts w:hint="eastAsia" w:cs="Times New Roman"/>
          <w:sz w:val="32"/>
          <w:szCs w:val="32"/>
          <w:lang w:eastAsia="zh-CN"/>
        </w:rPr>
        <w:t>安全</w:t>
      </w:r>
      <w:r>
        <w:rPr>
          <w:rFonts w:ascii="Times New Roman" w:hAnsi="Times New Roman" w:eastAsia="仿宋_GB2312" w:cs="Times New Roman"/>
          <w:sz w:val="32"/>
          <w:szCs w:val="32"/>
        </w:rPr>
        <w:t>保障工作，对于推动我市粮食</w:t>
      </w:r>
      <w:r>
        <w:rPr>
          <w:rFonts w:hint="eastAsia" w:cs="Times New Roman"/>
          <w:sz w:val="32"/>
          <w:szCs w:val="32"/>
          <w:lang w:eastAsia="zh-CN"/>
        </w:rPr>
        <w:t>行业</w:t>
      </w:r>
      <w:r>
        <w:rPr>
          <w:rFonts w:ascii="Times New Roman" w:hAnsi="Times New Roman" w:eastAsia="仿宋_GB2312" w:cs="Times New Roman"/>
          <w:sz w:val="32"/>
          <w:szCs w:val="32"/>
        </w:rPr>
        <w:t>实现高质量发展具有重要意义</w:t>
      </w:r>
      <w:r>
        <w:rPr>
          <w:rFonts w:hint="eastAsia" w:cs="Times New Roman"/>
          <w:sz w:val="32"/>
          <w:szCs w:val="32"/>
          <w:lang w:eastAsia="zh-CN"/>
        </w:rPr>
        <w:t>。</w:t>
      </w:r>
      <w:r>
        <w:rPr>
          <w:rFonts w:eastAsia="仿宋_GB2312"/>
          <w:sz w:val="32"/>
          <w:szCs w:val="32"/>
          <w:highlight w:val="none"/>
        </w:rPr>
        <w:t>按照市委、市政府</w:t>
      </w:r>
      <w:r>
        <w:rPr>
          <w:rFonts w:hint="eastAsia" w:eastAsia="仿宋_GB2312"/>
          <w:sz w:val="32"/>
          <w:szCs w:val="32"/>
          <w:highlight w:val="none"/>
        </w:rPr>
        <w:t>关于</w:t>
      </w:r>
      <w:r>
        <w:rPr>
          <w:rFonts w:eastAsia="仿宋_GB2312"/>
          <w:sz w:val="32"/>
          <w:szCs w:val="32"/>
          <w:highlight w:val="none"/>
        </w:rPr>
        <w:t>“十五五”规划编制工作部署，我委组织编制了《规划》。</w:t>
      </w:r>
      <w:r>
        <w:rPr>
          <w:rFonts w:hint="eastAsia"/>
          <w:sz w:val="32"/>
          <w:szCs w:val="32"/>
          <w:highlight w:val="none"/>
          <w:lang w:eastAsia="zh-CN"/>
        </w:rPr>
        <w:t>编制前期，我委</w:t>
      </w:r>
      <w:r>
        <w:rPr>
          <w:rFonts w:hint="eastAsia" w:cs="Times New Roman"/>
          <w:kern w:val="0"/>
          <w:sz w:val="32"/>
          <w:szCs w:val="32"/>
          <w:lang w:eastAsia="zh-CN"/>
        </w:rPr>
        <w:t>到</w:t>
      </w:r>
      <w:r>
        <w:rPr>
          <w:rFonts w:hint="default" w:ascii="Times New Roman" w:hAnsi="Times New Roman" w:eastAsia="仿宋_GB2312" w:cs="Times New Roman"/>
          <w:kern w:val="0"/>
          <w:sz w:val="32"/>
          <w:szCs w:val="32"/>
        </w:rPr>
        <w:t>各区、各有关单位</w:t>
      </w:r>
      <w:r>
        <w:rPr>
          <w:rFonts w:hint="eastAsia" w:cs="Times New Roman"/>
          <w:kern w:val="0"/>
          <w:sz w:val="32"/>
          <w:szCs w:val="32"/>
          <w:lang w:eastAsia="zh-CN"/>
        </w:rPr>
        <w:t>及一线企业</w:t>
      </w:r>
      <w:r>
        <w:rPr>
          <w:rFonts w:hint="default" w:ascii="Times New Roman" w:hAnsi="Times New Roman" w:eastAsia="仿宋_GB2312" w:cs="Times New Roman"/>
          <w:kern w:val="0"/>
          <w:sz w:val="32"/>
          <w:szCs w:val="32"/>
        </w:rPr>
        <w:t>调研，全面掌握情况，梳理</w:t>
      </w:r>
      <w:r>
        <w:rPr>
          <w:rFonts w:hint="eastAsia" w:cs="Times New Roman"/>
          <w:kern w:val="0"/>
          <w:sz w:val="32"/>
          <w:szCs w:val="32"/>
          <w:lang w:eastAsia="zh-CN"/>
        </w:rPr>
        <w:t>存在</w:t>
      </w:r>
      <w:r>
        <w:rPr>
          <w:rFonts w:hint="default" w:ascii="Times New Roman" w:hAnsi="Times New Roman" w:eastAsia="仿宋_GB2312" w:cs="Times New Roman"/>
          <w:kern w:val="0"/>
          <w:sz w:val="32"/>
          <w:szCs w:val="32"/>
        </w:rPr>
        <w:t>问题，系统谋划发展思路和举措</w:t>
      </w:r>
      <w:r>
        <w:rPr>
          <w:rFonts w:hint="eastAsia" w:ascii="Times New Roman" w:hAnsi="Times New Roman" w:eastAsia="仿宋_GB2312" w:cs="Times New Roman"/>
          <w:kern w:val="0"/>
          <w:sz w:val="32"/>
          <w:szCs w:val="32"/>
          <w:lang w:eastAsia="zh-CN"/>
        </w:rPr>
        <w:t>，</w:t>
      </w:r>
      <w:r>
        <w:rPr>
          <w:rFonts w:hint="eastAsia" w:cs="Times New Roman"/>
          <w:kern w:val="0"/>
          <w:sz w:val="32"/>
          <w:szCs w:val="32"/>
          <w:lang w:eastAsia="zh-CN"/>
        </w:rPr>
        <w:t>形成研究</w:t>
      </w:r>
      <w:r>
        <w:rPr>
          <w:rFonts w:hint="eastAsia" w:ascii="Times New Roman" w:hAnsi="Times New Roman" w:eastAsia="仿宋_GB2312" w:cs="Times New Roman"/>
          <w:kern w:val="0"/>
          <w:sz w:val="32"/>
          <w:szCs w:val="32"/>
          <w:lang w:eastAsia="zh-CN"/>
        </w:rPr>
        <w:t>报告</w:t>
      </w:r>
      <w:r>
        <w:rPr>
          <w:rFonts w:hint="eastAsia" w:cs="Times New Roman"/>
          <w:kern w:val="0"/>
          <w:sz w:val="32"/>
          <w:szCs w:val="32"/>
          <w:lang w:eastAsia="zh-CN"/>
        </w:rPr>
        <w:t>。</w:t>
      </w:r>
      <w:r>
        <w:rPr>
          <w:rFonts w:eastAsia="仿宋_GB2312"/>
          <w:sz w:val="32"/>
          <w:szCs w:val="32"/>
          <w:highlight w:val="none"/>
        </w:rPr>
        <w:t>编制期间，</w:t>
      </w:r>
      <w:r>
        <w:rPr>
          <w:rFonts w:hint="eastAsia" w:eastAsia="仿宋_GB2312"/>
          <w:sz w:val="32"/>
          <w:szCs w:val="32"/>
          <w:highlight w:val="none"/>
        </w:rPr>
        <w:t>基于</w:t>
      </w:r>
      <w:r>
        <w:rPr>
          <w:rFonts w:hint="eastAsia"/>
          <w:sz w:val="32"/>
          <w:szCs w:val="32"/>
          <w:highlight w:val="none"/>
          <w:lang w:eastAsia="zh-CN"/>
        </w:rPr>
        <w:t>前期研究成果</w:t>
      </w:r>
      <w:r>
        <w:rPr>
          <w:rFonts w:eastAsia="仿宋_GB2312"/>
          <w:sz w:val="32"/>
          <w:szCs w:val="32"/>
          <w:highlight w:val="none"/>
        </w:rPr>
        <w:t>，</w:t>
      </w:r>
      <w:r>
        <w:rPr>
          <w:rFonts w:hint="eastAsia" w:eastAsia="仿宋_GB2312"/>
          <w:sz w:val="32"/>
          <w:szCs w:val="32"/>
          <w:highlight w:val="none"/>
        </w:rPr>
        <w:t>我委</w:t>
      </w:r>
      <w:r>
        <w:rPr>
          <w:rFonts w:eastAsia="仿宋_GB2312"/>
          <w:sz w:val="32"/>
          <w:szCs w:val="32"/>
          <w:highlight w:val="none"/>
        </w:rPr>
        <w:t>充分衔接</w:t>
      </w:r>
      <w:r>
        <w:rPr>
          <w:rFonts w:hint="eastAsia" w:eastAsia="仿宋_GB2312"/>
          <w:sz w:val="32"/>
          <w:szCs w:val="32"/>
          <w:highlight w:val="none"/>
        </w:rPr>
        <w:t>国家、</w:t>
      </w:r>
      <w:r>
        <w:rPr>
          <w:rFonts w:eastAsia="仿宋_GB2312"/>
          <w:sz w:val="32"/>
          <w:szCs w:val="32"/>
          <w:highlight w:val="none"/>
        </w:rPr>
        <w:t>省、市“十五五”规划纲要</w:t>
      </w:r>
      <w:r>
        <w:rPr>
          <w:rFonts w:hint="eastAsia"/>
          <w:sz w:val="32"/>
          <w:szCs w:val="32"/>
          <w:highlight w:val="none"/>
          <w:lang w:eastAsia="zh-CN"/>
        </w:rPr>
        <w:t>及省粮食安全保障“十五五”规划</w:t>
      </w:r>
      <w:r>
        <w:rPr>
          <w:rFonts w:hint="eastAsia" w:eastAsia="仿宋_GB2312"/>
          <w:sz w:val="32"/>
          <w:szCs w:val="32"/>
          <w:highlight w:val="none"/>
        </w:rPr>
        <w:t>等</w:t>
      </w:r>
      <w:r>
        <w:rPr>
          <w:rFonts w:eastAsia="仿宋_GB2312"/>
          <w:sz w:val="32"/>
          <w:szCs w:val="32"/>
          <w:highlight w:val="none"/>
        </w:rPr>
        <w:t>，征求</w:t>
      </w:r>
      <w:r>
        <w:rPr>
          <w:rFonts w:hint="eastAsia" w:eastAsia="仿宋_GB2312"/>
          <w:sz w:val="32"/>
          <w:szCs w:val="32"/>
          <w:highlight w:val="none"/>
        </w:rPr>
        <w:t>市、区相关</w:t>
      </w:r>
      <w:r>
        <w:rPr>
          <w:rFonts w:eastAsia="仿宋_GB2312"/>
          <w:sz w:val="32"/>
          <w:szCs w:val="32"/>
          <w:highlight w:val="none"/>
        </w:rPr>
        <w:t>部门意见，形成</w:t>
      </w:r>
      <w:r>
        <w:rPr>
          <w:rFonts w:hint="eastAsia" w:eastAsia="仿宋_GB2312"/>
          <w:sz w:val="32"/>
          <w:szCs w:val="32"/>
          <w:highlight w:val="none"/>
        </w:rPr>
        <w:t>了</w:t>
      </w:r>
      <w:r>
        <w:rPr>
          <w:rFonts w:eastAsia="仿宋_GB2312"/>
          <w:sz w:val="32"/>
          <w:szCs w:val="32"/>
          <w:highlight w:val="none"/>
        </w:rPr>
        <w:t>《规划》（</w:t>
      </w:r>
      <w:r>
        <w:rPr>
          <w:rFonts w:hint="eastAsia" w:eastAsia="仿宋_GB2312"/>
          <w:sz w:val="32"/>
          <w:szCs w:val="32"/>
          <w:highlight w:val="none"/>
        </w:rPr>
        <w:t>征求意见</w:t>
      </w:r>
      <w:r>
        <w:rPr>
          <w:rFonts w:eastAsia="仿宋_GB2312"/>
          <w:sz w:val="32"/>
          <w:szCs w:val="32"/>
          <w:highlight w:val="none"/>
        </w:rPr>
        <w:t>稿）。</w:t>
      </w:r>
    </w:p>
    <w:p>
      <w:pPr>
        <w:pStyle w:val="3"/>
        <w:pageBreakBefore w:val="0"/>
        <w:widowControl w:val="0"/>
        <w:kinsoku/>
        <w:wordWrap/>
        <w:overflowPunct/>
        <w:topLinePunct w:val="0"/>
        <w:autoSpaceDE/>
        <w:autoSpaceDN/>
        <w:bidi w:val="0"/>
        <w:adjustRightInd w:val="0"/>
        <w:snapToGrid w:val="0"/>
        <w:spacing w:beforeLines="0" w:afterLines="0" w:line="560" w:lineRule="exact"/>
        <w:textAlignment w:val="auto"/>
        <w:rPr>
          <w:rFonts w:hint="default" w:ascii="Times New Roman" w:hAnsi="Times New Roman" w:cs="Times New Roman"/>
        </w:rPr>
      </w:pPr>
      <w:bookmarkStart w:id="1" w:name="heading_3"/>
      <w:r>
        <w:rPr>
          <w:rFonts w:hint="default" w:ascii="Times New Roman" w:hAnsi="Times New Roman" w:cs="Times New Roman"/>
          <w:lang w:val="en-US" w:eastAsia="zh-CN"/>
        </w:rPr>
        <w:t>二</w:t>
      </w:r>
      <w:r>
        <w:rPr>
          <w:rFonts w:hint="default" w:ascii="Times New Roman" w:hAnsi="Times New Roman" w:cs="Times New Roman"/>
        </w:rPr>
        <w:t>、</w:t>
      </w:r>
      <w:r>
        <w:rPr>
          <w:rFonts w:hint="default" w:ascii="Times New Roman" w:hAnsi="Times New Roman" w:cs="Times New Roman"/>
          <w:lang w:val="en-US" w:eastAsia="zh-CN"/>
        </w:rPr>
        <w:t>主要</w:t>
      </w:r>
      <w:r>
        <w:rPr>
          <w:rFonts w:hint="default" w:ascii="Times New Roman" w:hAnsi="Times New Roman" w:cs="Times New Roman"/>
        </w:rPr>
        <w:t>内容</w:t>
      </w:r>
      <w:bookmarkEnd w:id="1"/>
    </w:p>
    <w:p>
      <w:pPr>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rPr>
      </w:pPr>
      <w:r>
        <w:rPr>
          <w:rFonts w:hint="default" w:ascii="Times New Roman" w:hAnsi="Times New Roman" w:eastAsia="仿宋_GB2312" w:cs="Times New Roman"/>
          <w:lang w:eastAsia="zh-CN"/>
        </w:rPr>
        <w:t>《</w:t>
      </w:r>
      <w:r>
        <w:rPr>
          <w:rFonts w:hint="default" w:ascii="Times New Roman" w:hAnsi="Times New Roman" w:eastAsia="仿宋_GB2312" w:cs="Times New Roman"/>
          <w:lang w:val="en-US" w:eastAsia="zh-CN"/>
        </w:rPr>
        <w:t>规划</w:t>
      </w:r>
      <w:r>
        <w:rPr>
          <w:rFonts w:hint="default" w:ascii="Times New Roman" w:hAnsi="Times New Roman" w:eastAsia="仿宋_GB2312" w:cs="Times New Roman"/>
          <w:lang w:eastAsia="zh-CN"/>
        </w:rPr>
        <w:t>》</w:t>
      </w:r>
      <w:r>
        <w:rPr>
          <w:rFonts w:hint="default" w:ascii="Times New Roman" w:hAnsi="Times New Roman" w:eastAsia="仿宋_GB2312" w:cs="Times New Roman"/>
        </w:rPr>
        <w:t>遵循“基础研判—目标引领—五大任务体系—支撑保障”逻辑主线，全文共设置四大主体章节：</w:t>
      </w:r>
    </w:p>
    <w:p>
      <w:pPr>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lang w:eastAsia="zh-CN"/>
        </w:rPr>
      </w:pPr>
      <w:r>
        <w:rPr>
          <w:rFonts w:hint="default" w:ascii="Times New Roman" w:hAnsi="Times New Roman" w:eastAsia="仿宋_GB2312" w:cs="Times New Roman"/>
          <w:b/>
          <w:bCs/>
        </w:rPr>
        <w:t>第一章发展</w:t>
      </w:r>
      <w:r>
        <w:rPr>
          <w:rFonts w:hint="eastAsia" w:cs="Times New Roman"/>
          <w:b/>
          <w:bCs/>
          <w:lang w:eastAsia="zh-CN"/>
        </w:rPr>
        <w:t>成效</w:t>
      </w:r>
      <w:r>
        <w:rPr>
          <w:rFonts w:hint="default" w:ascii="Times New Roman" w:hAnsi="Times New Roman" w:eastAsia="仿宋_GB2312" w:cs="Times New Roman"/>
          <w:b/>
          <w:bCs/>
        </w:rPr>
        <w:t>与发展环境</w:t>
      </w:r>
      <w:r>
        <w:rPr>
          <w:rFonts w:hint="eastAsia" w:cs="Times New Roman"/>
          <w:b/>
          <w:bCs/>
          <w:lang w:eastAsia="zh-CN"/>
        </w:rPr>
        <w:t>。</w:t>
      </w:r>
      <w:r>
        <w:rPr>
          <w:rFonts w:hint="default" w:ascii="Times New Roman" w:hAnsi="Times New Roman" w:eastAsia="仿宋_GB2312" w:cs="Times New Roman"/>
        </w:rPr>
        <w:t>系统总结“十四五”时期粮食生产、流通、储备、仓储、监管等领域发展成效，深入研判“十五五”时期全球供应链波动、</w:t>
      </w:r>
      <w:r>
        <w:rPr>
          <w:rFonts w:hint="eastAsia" w:cs="Times New Roman"/>
          <w:lang w:eastAsia="zh-CN"/>
        </w:rPr>
        <w:t>粮食产业高质量发展、粮食集约化规范化管理</w:t>
      </w:r>
      <w:r>
        <w:rPr>
          <w:rFonts w:hint="default" w:ascii="Times New Roman" w:hAnsi="Times New Roman" w:eastAsia="仿宋_GB2312" w:cs="Times New Roman"/>
        </w:rPr>
        <w:t>等外部挑战与政策区位、技术产业等发展机遇</w:t>
      </w:r>
      <w:r>
        <w:rPr>
          <w:rFonts w:hint="eastAsia" w:cs="Times New Roman"/>
          <w:lang w:eastAsia="zh-CN"/>
        </w:rPr>
        <w:t>。</w:t>
      </w:r>
    </w:p>
    <w:p>
      <w:pPr>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lang w:eastAsia="zh-CN"/>
        </w:rPr>
      </w:pPr>
      <w:r>
        <w:rPr>
          <w:rFonts w:hint="default" w:ascii="Times New Roman" w:hAnsi="Times New Roman" w:eastAsia="仿宋_GB2312" w:cs="Times New Roman"/>
          <w:b/>
          <w:bCs/>
        </w:rPr>
        <w:t>第二章总体要求</w:t>
      </w:r>
      <w:r>
        <w:rPr>
          <w:rFonts w:hint="eastAsia" w:cs="Times New Roman"/>
          <w:b/>
          <w:bCs/>
          <w:lang w:eastAsia="zh-CN"/>
        </w:rPr>
        <w:t>。</w:t>
      </w:r>
      <w:r>
        <w:rPr>
          <w:rFonts w:hint="default" w:ascii="Times New Roman" w:hAnsi="Times New Roman" w:eastAsia="仿宋_GB2312" w:cs="Times New Roman"/>
        </w:rPr>
        <w:t>明确指导思想、基本原则与2030年发展目标，设置粮食生产、收储调控、流通设施、质量安全四类量化发展指标</w:t>
      </w:r>
      <w:r>
        <w:rPr>
          <w:rFonts w:hint="eastAsia" w:cs="Times New Roman"/>
          <w:lang w:eastAsia="zh-CN"/>
        </w:rPr>
        <w:t>。</w:t>
      </w:r>
    </w:p>
    <w:p>
      <w:pPr>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lang w:eastAsia="zh-CN"/>
        </w:rPr>
      </w:pPr>
      <w:r>
        <w:rPr>
          <w:rFonts w:hint="default" w:ascii="Times New Roman" w:hAnsi="Times New Roman" w:eastAsia="仿宋_GB2312" w:cs="Times New Roman"/>
          <w:b/>
          <w:bCs/>
        </w:rPr>
        <w:t>第三章主要任务</w:t>
      </w:r>
      <w:r>
        <w:rPr>
          <w:rFonts w:hint="eastAsia" w:cs="Times New Roman"/>
          <w:b/>
          <w:bCs/>
          <w:lang w:eastAsia="zh-CN"/>
        </w:rPr>
        <w:t>。</w:t>
      </w:r>
      <w:r>
        <w:rPr>
          <w:rFonts w:hint="eastAsia" w:ascii="Times New Roman" w:hAnsi="Times New Roman"/>
        </w:rPr>
        <w:t>构建</w:t>
      </w:r>
      <w:r>
        <w:rPr>
          <w:rFonts w:ascii="Times New Roman" w:hAnsi="Times New Roman"/>
        </w:rPr>
        <w:t>粮食供给保障、仓储流通、现代产业、储备管理、流通监管“五大体系”，提升粮食仓储物流水平，增强粮食产业核心竞争力，提高</w:t>
      </w:r>
      <w:r>
        <w:rPr>
          <w:rFonts w:hint="eastAsia" w:ascii="Times New Roman" w:hAnsi="Times New Roman"/>
        </w:rPr>
        <w:t>政府</w:t>
      </w:r>
      <w:r>
        <w:rPr>
          <w:rFonts w:ascii="Times New Roman" w:hAnsi="Times New Roman"/>
        </w:rPr>
        <w:t>粮食储备管理效益</w:t>
      </w:r>
      <w:r>
        <w:rPr>
          <w:rFonts w:hint="eastAsia" w:ascii="Times New Roman" w:hAnsi="Times New Roman"/>
        </w:rPr>
        <w:t>，提升粮食</w:t>
      </w:r>
      <w:r>
        <w:rPr>
          <w:rFonts w:ascii="Times New Roman" w:hAnsi="Times New Roman"/>
        </w:rPr>
        <w:t>应急保障能力，</w:t>
      </w:r>
      <w:r>
        <w:rPr>
          <w:rFonts w:ascii="Times New Roman" w:hAnsi="Times New Roman"/>
          <w:lang w:val="en"/>
        </w:rPr>
        <w:t>强化粮食全流程监管，</w:t>
      </w:r>
      <w:r>
        <w:rPr>
          <w:rFonts w:hint="eastAsia" w:ascii="Times New Roman" w:hAnsi="Times New Roman"/>
          <w:lang w:val="en"/>
        </w:rPr>
        <w:t>促进</w:t>
      </w:r>
      <w:r>
        <w:rPr>
          <w:rFonts w:ascii="Times New Roman" w:hAnsi="Times New Roman"/>
          <w:lang w:val="en"/>
        </w:rPr>
        <w:t>粮食行业高质量发展。</w:t>
      </w:r>
    </w:p>
    <w:p>
      <w:pPr>
        <w:pageBreakBefore w:val="0"/>
        <w:widowControl w:val="0"/>
        <w:kinsoku/>
        <w:wordWrap/>
        <w:overflowPunct/>
        <w:topLinePunct w:val="0"/>
        <w:autoSpaceDE/>
        <w:autoSpaceDN/>
        <w:bidi w:val="0"/>
        <w:adjustRightInd w:val="0"/>
        <w:snapToGrid w:val="0"/>
        <w:ind w:firstLine="640"/>
        <w:textAlignment w:val="auto"/>
        <w:rPr>
          <w:rFonts w:ascii="Times New Roman" w:hAnsi="Times New Roman"/>
        </w:rPr>
      </w:pPr>
      <w:r>
        <w:rPr>
          <w:rFonts w:hint="default" w:ascii="Times New Roman" w:hAnsi="Times New Roman" w:eastAsia="仿宋_GB2312" w:cs="Times New Roman"/>
          <w:b/>
          <w:bCs/>
        </w:rPr>
        <w:t>第四章保障措施</w:t>
      </w:r>
      <w:r>
        <w:rPr>
          <w:rFonts w:hint="eastAsia" w:cs="Times New Roman"/>
          <w:b/>
          <w:bCs/>
          <w:lang w:eastAsia="zh-CN"/>
        </w:rPr>
        <w:t>。</w:t>
      </w:r>
      <w:r>
        <w:rPr>
          <w:rFonts w:ascii="Times New Roman" w:hAnsi="Times New Roman"/>
        </w:rPr>
        <w:t>聚焦粮食安全治理体系和治理能力现代化建设，以强化组织领导为核心、以要素精准保障为支撑、以科技人才创新为动力，健全协同高效、保障有力的支撑体系。</w:t>
      </w:r>
    </w:p>
    <w:p>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eastAsia="黑体"/>
          <w:color w:val="000000"/>
          <w:sz w:val="32"/>
          <w:szCs w:val="32"/>
          <w:highlight w:val="none"/>
          <w:lang w:eastAsia="zh-CN"/>
        </w:rPr>
      </w:pPr>
      <w:r>
        <w:rPr>
          <w:rFonts w:eastAsia="黑体"/>
          <w:color w:val="000000"/>
          <w:sz w:val="32"/>
          <w:szCs w:val="32"/>
          <w:highlight w:val="none"/>
        </w:rPr>
        <w:t>三、</w:t>
      </w:r>
      <w:r>
        <w:rPr>
          <w:rFonts w:hint="eastAsia" w:eastAsia="黑体"/>
          <w:color w:val="000000"/>
          <w:sz w:val="32"/>
          <w:szCs w:val="32"/>
          <w:highlight w:val="none"/>
        </w:rPr>
        <w:t>主要</w:t>
      </w:r>
      <w:r>
        <w:rPr>
          <w:rFonts w:hint="eastAsia" w:eastAsia="黑体"/>
          <w:color w:val="000000"/>
          <w:sz w:val="32"/>
          <w:szCs w:val="32"/>
          <w:highlight w:val="none"/>
          <w:lang w:eastAsia="zh-CN"/>
        </w:rPr>
        <w:t>特点</w:t>
      </w:r>
    </w:p>
    <w:p>
      <w:pPr>
        <w:pageBreakBefore w:val="0"/>
        <w:widowControl w:val="0"/>
        <w:kinsoku/>
        <w:wordWrap/>
        <w:overflowPunct/>
        <w:topLinePunct w:val="0"/>
        <w:autoSpaceDE/>
        <w:autoSpaceDN/>
        <w:bidi w:val="0"/>
        <w:adjustRightInd w:val="0"/>
        <w:snapToGrid w:val="0"/>
        <w:ind w:firstLine="640"/>
        <w:textAlignment w:val="auto"/>
        <w:rPr>
          <w:rFonts w:hint="eastAsia" w:ascii="Times New Roman" w:hAnsi="Times New Roman"/>
          <w:lang w:val="en-US" w:eastAsia="zh-CN"/>
        </w:rPr>
      </w:pPr>
      <w:r>
        <w:rPr>
          <w:rFonts w:hint="eastAsia" w:ascii="Times New Roman" w:hAnsi="Times New Roman"/>
          <w:lang w:val="en-US" w:eastAsia="zh-CN"/>
        </w:rPr>
        <w:t>立足广州超大城市主销区实际，衔接国家、省粮食安全部署，承接“十四五”发展基础，聚焦保供、仓储物流、产业升级、储备管理、流通监管，突出</w:t>
      </w:r>
      <w:r>
        <w:rPr>
          <w:rFonts w:hint="eastAsia"/>
          <w:lang w:val="en-US" w:eastAsia="zh-CN"/>
        </w:rPr>
        <w:t>四</w:t>
      </w:r>
      <w:r>
        <w:rPr>
          <w:rFonts w:hint="eastAsia" w:ascii="Times New Roman" w:hAnsi="Times New Roman"/>
          <w:lang w:val="en-US" w:eastAsia="zh-CN"/>
        </w:rPr>
        <w:t>个方面主要特点</w:t>
      </w:r>
      <w:r>
        <w:rPr>
          <w:rFonts w:hint="eastAsia"/>
          <w:lang w:val="en-US"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2" w:firstLineChars="200"/>
        <w:jc w:val="both"/>
        <w:textAlignment w:val="auto"/>
        <w:rPr>
          <w:rFonts w:hint="eastAsia" w:ascii="Times New Roman" w:hAnsi="Times New Roman" w:eastAsia="仿宋_GB2312" w:cs="Times New Roman"/>
          <w:sz w:val="32"/>
          <w:szCs w:val="32"/>
          <w:lang w:val="en-US" w:eastAsia="zh-CN"/>
        </w:rPr>
      </w:pPr>
      <w:r>
        <w:rPr>
          <w:rFonts w:hint="eastAsia" w:ascii="方正楷体_GBK" w:hAnsi="方正楷体_GBK" w:eastAsia="方正楷体_GBK" w:cs="方正楷体_GBK"/>
          <w:b/>
          <w:bCs/>
          <w:sz w:val="32"/>
          <w:szCs w:val="32"/>
          <w:lang w:val="en-US" w:eastAsia="zh-CN"/>
        </w:rPr>
        <w:t>（一）</w:t>
      </w:r>
      <w:r>
        <w:rPr>
          <w:rFonts w:hint="eastAsia" w:ascii="方正楷体_GBK" w:hAnsi="方正楷体_GBK" w:eastAsia="方正楷体_GBK" w:cs="方正楷体_GBK"/>
          <w:b/>
          <w:bCs/>
          <w:sz w:val="32"/>
          <w:szCs w:val="32"/>
        </w:rPr>
        <w:t>系统构建五大体系，框架逻辑清晰完整</w:t>
      </w:r>
      <w:r>
        <w:rPr>
          <w:rFonts w:hint="eastAsia" w:ascii="方正楷体_GBK" w:hAnsi="方正楷体_GBK" w:eastAsia="方正楷体_GBK" w:cs="方正楷体_GBK"/>
          <w:b/>
          <w:bCs/>
          <w:sz w:val="32"/>
          <w:szCs w:val="32"/>
          <w:lang w:eastAsia="zh-CN"/>
        </w:rPr>
        <w:t>。</w:t>
      </w:r>
      <w:r>
        <w:rPr>
          <w:rFonts w:hint="default" w:ascii="Times New Roman" w:hAnsi="Times New Roman" w:eastAsia="仿宋_GB2312" w:cs="Times New Roman"/>
          <w:sz w:val="32"/>
          <w:szCs w:val="32"/>
        </w:rPr>
        <w:t>以粮食供给保障、粮食仓储流通、粮食现代产业、粮食储备管理、粮食流通监管五大体系作为规划主体框架，覆盖生产、采购、储备、物流、加工、应急、监管全链条，把产、储、加、销、管一体化统筹，形成完整闭环，推动粮食安全治理体系现代化</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2" w:firstLineChars="200"/>
        <w:jc w:val="both"/>
        <w:textAlignment w:val="auto"/>
        <w:rPr>
          <w:rFonts w:hint="default" w:ascii="Times New Roman" w:hAnsi="Times New Roman" w:eastAsia="仿宋_GB2312" w:cs="Times New Roman"/>
          <w:sz w:val="32"/>
          <w:szCs w:val="32"/>
          <w:lang w:val="en-US" w:eastAsia="zh-CN"/>
        </w:rPr>
      </w:pPr>
      <w:r>
        <w:rPr>
          <w:rFonts w:hint="eastAsia" w:ascii="方正楷体_GBK" w:hAnsi="方正楷体_GBK" w:eastAsia="方正楷体_GBK" w:cs="方正楷体_GBK"/>
          <w:b/>
          <w:bCs/>
          <w:sz w:val="32"/>
          <w:szCs w:val="32"/>
          <w:lang w:val="en-US" w:eastAsia="zh-CN"/>
        </w:rPr>
        <w:t>（二）</w:t>
      </w:r>
      <w:r>
        <w:rPr>
          <w:rFonts w:hint="default" w:ascii="方正楷体_GBK" w:hAnsi="方正楷体_GBK" w:eastAsia="方正楷体_GBK" w:cs="方正楷体_GBK"/>
          <w:b/>
          <w:bCs/>
          <w:sz w:val="32"/>
          <w:szCs w:val="32"/>
          <w:lang w:val="en-US" w:eastAsia="zh-CN"/>
        </w:rPr>
        <w:t>立足超大城市主销区定位，内外协同构建多元供给格局</w:t>
      </w:r>
      <w:r>
        <w:rPr>
          <w:rFonts w:hint="eastAsia" w:ascii="方正楷体_GBK" w:hAnsi="方正楷体_GBK" w:eastAsia="方正楷体_GBK" w:cs="方正楷体_GBK"/>
          <w:b/>
          <w:bCs/>
          <w:sz w:val="32"/>
          <w:szCs w:val="32"/>
          <w:lang w:val="en-US" w:eastAsia="zh-CN"/>
        </w:rPr>
        <w:t>。</w:t>
      </w:r>
      <w:r>
        <w:rPr>
          <w:rFonts w:hint="default" w:ascii="Times New Roman" w:hAnsi="Times New Roman" w:eastAsia="仿宋_GB2312" w:cs="Times New Roman"/>
          <w:sz w:val="32"/>
          <w:szCs w:val="32"/>
          <w:lang w:val="en-US" w:eastAsia="zh-CN"/>
        </w:rPr>
        <w:t>聚焦超大城市保供需求，构建“国内调入、国际进口、本地稳产”多元互补的粮食供给体系，统筹国内粮源与国际进口两种资源，严格落实耕地保护红线，强化种业、机械化、绿色农技推广，</w:t>
      </w:r>
      <w:r>
        <w:rPr>
          <w:rFonts w:hint="eastAsia" w:ascii="Times New Roman" w:hAnsi="Times New Roman" w:eastAsia="仿宋_GB2312" w:cs="Times New Roman"/>
          <w:sz w:val="32"/>
          <w:szCs w:val="32"/>
          <w:lang w:val="en-US" w:eastAsia="zh-CN"/>
        </w:rPr>
        <w:t>夯实本地生产根基。</w:t>
      </w:r>
      <w:r>
        <w:rPr>
          <w:rFonts w:hint="default" w:ascii="Times New Roman" w:hAnsi="Times New Roman" w:eastAsia="仿宋_GB2312" w:cs="Times New Roman"/>
          <w:sz w:val="32"/>
          <w:szCs w:val="32"/>
          <w:lang w:val="en-US" w:eastAsia="zh-CN"/>
        </w:rPr>
        <w:t>深化产销协作，畅通调入、进口双渠道，构建内外互补、多源稳定的粮食供给体系，适配</w:t>
      </w:r>
      <w:r>
        <w:rPr>
          <w:rFonts w:hint="eastAsia" w:cs="Times New Roman"/>
          <w:sz w:val="32"/>
          <w:szCs w:val="32"/>
          <w:lang w:val="en-US" w:eastAsia="zh-CN"/>
        </w:rPr>
        <w:t>两</w:t>
      </w:r>
      <w:r>
        <w:rPr>
          <w:rFonts w:hint="default" w:ascii="Times New Roman" w:hAnsi="Times New Roman" w:eastAsia="仿宋_GB2312" w:cs="Times New Roman"/>
          <w:sz w:val="32"/>
          <w:szCs w:val="32"/>
          <w:lang w:val="en-US" w:eastAsia="zh-CN"/>
        </w:rPr>
        <w:t>千万人口超大城市保供实际 。</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2" w:firstLineChars="200"/>
        <w:jc w:val="both"/>
        <w:textAlignment w:val="auto"/>
        <w:rPr>
          <w:rFonts w:hint="eastAsia" w:ascii="Times New Roman" w:hAnsi="Times New Roman" w:eastAsia="仿宋_GB2312" w:cs="Times New Roman"/>
          <w:sz w:val="32"/>
          <w:szCs w:val="32"/>
          <w:lang w:val="en-US" w:eastAsia="zh-CN"/>
        </w:rPr>
      </w:pPr>
      <w:r>
        <w:rPr>
          <w:rFonts w:hint="eastAsia" w:ascii="方正楷体_GBK" w:hAnsi="方正楷体_GBK" w:eastAsia="方正楷体_GBK" w:cs="方正楷体_GBK"/>
          <w:b/>
          <w:bCs/>
          <w:sz w:val="32"/>
          <w:szCs w:val="32"/>
          <w:lang w:val="en-US" w:eastAsia="zh-CN"/>
        </w:rPr>
        <w:t>（三）</w:t>
      </w:r>
      <w:r>
        <w:rPr>
          <w:rFonts w:hint="default" w:ascii="方正楷体_GBK" w:hAnsi="方正楷体_GBK" w:eastAsia="方正楷体_GBK" w:cs="方正楷体_GBK"/>
          <w:b/>
          <w:bCs/>
          <w:sz w:val="32"/>
          <w:szCs w:val="32"/>
          <w:lang w:val="en-US" w:eastAsia="zh-CN"/>
        </w:rPr>
        <w:t>突出科技赋能，推进仓储</w:t>
      </w:r>
      <w:r>
        <w:rPr>
          <w:rFonts w:hint="eastAsia" w:ascii="方正楷体_GBK" w:hAnsi="方正楷体_GBK" w:eastAsia="方正楷体_GBK" w:cs="方正楷体_GBK"/>
          <w:b/>
          <w:bCs/>
          <w:sz w:val="32"/>
          <w:szCs w:val="32"/>
          <w:lang w:val="en-US" w:eastAsia="zh-CN"/>
        </w:rPr>
        <w:t>物流</w:t>
      </w:r>
      <w:r>
        <w:rPr>
          <w:rFonts w:hint="default" w:ascii="方正楷体_GBK" w:hAnsi="方正楷体_GBK" w:eastAsia="方正楷体_GBK" w:cs="方正楷体_GBK"/>
          <w:b/>
          <w:bCs/>
          <w:sz w:val="32"/>
          <w:szCs w:val="32"/>
          <w:lang w:val="en-US" w:eastAsia="zh-CN"/>
        </w:rPr>
        <w:t>数智化转型</w:t>
      </w:r>
      <w:r>
        <w:rPr>
          <w:rFonts w:hint="eastAsia" w:ascii="方正楷体_GBK" w:hAnsi="方正楷体_GBK" w:eastAsia="方正楷体_GBK" w:cs="方正楷体_GBK"/>
          <w:b/>
          <w:bCs/>
          <w:sz w:val="32"/>
          <w:szCs w:val="32"/>
          <w:lang w:val="en-US" w:eastAsia="zh-CN"/>
        </w:rPr>
        <w:t>。</w:t>
      </w:r>
      <w:r>
        <w:rPr>
          <w:rFonts w:hint="default" w:ascii="Times New Roman" w:hAnsi="Times New Roman" w:eastAsia="仿宋_GB2312" w:cs="Times New Roman"/>
          <w:sz w:val="32"/>
          <w:szCs w:val="32"/>
        </w:rPr>
        <w:t>把数字化、智能化、绿色低碳</w:t>
      </w:r>
      <w:r>
        <w:rPr>
          <w:rFonts w:hint="eastAsia" w:ascii="Times New Roman" w:hAnsi="Times New Roman" w:eastAsia="仿宋_GB2312" w:cs="Times New Roman"/>
          <w:sz w:val="32"/>
          <w:szCs w:val="32"/>
          <w:lang w:eastAsia="zh-CN"/>
        </w:rPr>
        <w:t>作为</w:t>
      </w:r>
      <w:r>
        <w:rPr>
          <w:rFonts w:hint="default" w:ascii="Times New Roman" w:hAnsi="Times New Roman" w:eastAsia="仿宋_GB2312" w:cs="Times New Roman"/>
          <w:sz w:val="32"/>
          <w:szCs w:val="32"/>
          <w:lang w:val="en-US" w:eastAsia="zh-CN"/>
        </w:rPr>
        <w:t xml:space="preserve">重要方向，推广智能储粮、低温绿色储粮技术，运用大数据、区块链实现粮食储备、流通、监管动态调度，推动粮食物流枢纽、储备设施升级，将数字化贯穿储备、应急、监管全流程，以技术提升保障治理效能 </w:t>
      </w:r>
      <w:r>
        <w:rPr>
          <w:rFonts w:hint="default" w:ascii="Times New Roman" w:hAnsi="Times New Roman" w:eastAsia="仿宋_GB2312" w:cs="Times New Roman"/>
          <w:sz w:val="32"/>
          <w:szCs w:val="32"/>
        </w:rPr>
        <w:t>，走科技兴粮、绿色储粮道路</w:t>
      </w:r>
      <w:r>
        <w:rPr>
          <w:rFonts w:hint="eastAsia" w:ascii="Times New Roman" w:hAnsi="Times New Roman" w:eastAsia="仿宋_GB2312" w:cs="Times New Roman"/>
          <w:sz w:val="32"/>
          <w:szCs w:val="32"/>
          <w:lang w:eastAsia="zh-CN"/>
        </w:rPr>
        <w:t>。</w:t>
      </w:r>
    </w:p>
    <w:p>
      <w:pPr>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sz w:val="32"/>
          <w:szCs w:val="32"/>
          <w:lang w:val="en-US" w:eastAsia="zh-CN"/>
        </w:rPr>
      </w:pPr>
      <w:r>
        <w:rPr>
          <w:rFonts w:hint="eastAsia" w:ascii="方正楷体_GBK" w:hAnsi="方正楷体_GBK" w:eastAsia="方正楷体_GBK" w:cs="方正楷体_GBK"/>
          <w:b/>
          <w:bCs/>
          <w:sz w:val="32"/>
          <w:szCs w:val="32"/>
          <w:lang w:val="en-US" w:eastAsia="zh-CN"/>
        </w:rPr>
        <w:t>（四）</w:t>
      </w:r>
      <w:r>
        <w:rPr>
          <w:rFonts w:hint="default" w:ascii="方正楷体_GBK" w:hAnsi="方正楷体_GBK" w:eastAsia="方正楷体_GBK" w:cs="方正楷体_GBK"/>
          <w:b/>
          <w:bCs/>
          <w:sz w:val="32"/>
          <w:szCs w:val="32"/>
          <w:lang w:val="en-US" w:eastAsia="zh-CN"/>
        </w:rPr>
        <w:t>统筹安全与产业，</w:t>
      </w:r>
      <w:r>
        <w:rPr>
          <w:rFonts w:hint="eastAsia" w:ascii="方正楷体_GBK" w:hAnsi="方正楷体_GBK" w:eastAsia="方正楷体_GBK" w:cs="方正楷体_GBK"/>
          <w:b/>
          <w:bCs/>
          <w:sz w:val="32"/>
          <w:szCs w:val="32"/>
          <w:lang w:val="en-US" w:eastAsia="zh-CN"/>
        </w:rPr>
        <w:t>促进粮食行业高质量发展。</w:t>
      </w:r>
      <w:r>
        <w:rPr>
          <w:rFonts w:hint="default" w:ascii="Times New Roman" w:hAnsi="Times New Roman" w:eastAsia="仿宋_GB2312" w:cs="Times New Roman"/>
          <w:sz w:val="32"/>
          <w:szCs w:val="32"/>
          <w:lang w:val="en-US" w:eastAsia="zh-CN"/>
        </w:rPr>
        <w:t>兼顾保安全与促产业，打破传统单一保供思维，将粮食产业高质量发展纳入规划布局，同步推进储备调控、应急保障与粮油产业提质升级</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依托南沙粮食枢纽等平台做强粮油加工全产业链，实现粮食数量、质量安全与产业提质增效协同发展。</w:t>
      </w:r>
      <w:bookmarkStart w:id="2" w:name="_GoBack"/>
      <w:bookmarkEnd w:id="2"/>
    </w:p>
    <w:sectPr>
      <w:footerReference r:id="rId5" w:type="default"/>
      <w:pgSz w:w="11905" w:h="16840"/>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32"/>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isplayHorizontalDrawingGridEvery w:val="1"/>
  <w:displayVerticalDrawingGridEvery w:val="1"/>
  <w:noPunctuationKerning w:val="true"/>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666C0"/>
    <w:rsid w:val="035D3297"/>
    <w:rsid w:val="045E7440"/>
    <w:rsid w:val="048E0F02"/>
    <w:rsid w:val="072E383A"/>
    <w:rsid w:val="08940DDD"/>
    <w:rsid w:val="0A7E76E3"/>
    <w:rsid w:val="0B400DBB"/>
    <w:rsid w:val="0CBF3458"/>
    <w:rsid w:val="12741746"/>
    <w:rsid w:val="13054DB2"/>
    <w:rsid w:val="16822E19"/>
    <w:rsid w:val="16DB2718"/>
    <w:rsid w:val="17607A0F"/>
    <w:rsid w:val="176C17F7"/>
    <w:rsid w:val="179528C4"/>
    <w:rsid w:val="17AE7407"/>
    <w:rsid w:val="18F70777"/>
    <w:rsid w:val="1AA255DC"/>
    <w:rsid w:val="1AB05365"/>
    <w:rsid w:val="1BA772F1"/>
    <w:rsid w:val="1D894ED0"/>
    <w:rsid w:val="1E0D715B"/>
    <w:rsid w:val="1FC23844"/>
    <w:rsid w:val="1FE50445"/>
    <w:rsid w:val="21D41791"/>
    <w:rsid w:val="26581FBE"/>
    <w:rsid w:val="26BE7476"/>
    <w:rsid w:val="26FD2518"/>
    <w:rsid w:val="27050247"/>
    <w:rsid w:val="2709405D"/>
    <w:rsid w:val="276F5FD1"/>
    <w:rsid w:val="27D843EB"/>
    <w:rsid w:val="28653758"/>
    <w:rsid w:val="2987256D"/>
    <w:rsid w:val="29DD03DE"/>
    <w:rsid w:val="2A157B78"/>
    <w:rsid w:val="2C853D8A"/>
    <w:rsid w:val="2D2C48D6"/>
    <w:rsid w:val="2E513753"/>
    <w:rsid w:val="2E9F66EE"/>
    <w:rsid w:val="2EC1207D"/>
    <w:rsid w:val="2FB30859"/>
    <w:rsid w:val="324234D5"/>
    <w:rsid w:val="32CB5278"/>
    <w:rsid w:val="32FA03BB"/>
    <w:rsid w:val="337A0A4C"/>
    <w:rsid w:val="34FB880F"/>
    <w:rsid w:val="35577BF0"/>
    <w:rsid w:val="37A07814"/>
    <w:rsid w:val="3B750477"/>
    <w:rsid w:val="3D032C3F"/>
    <w:rsid w:val="3D5F0F8D"/>
    <w:rsid w:val="3DB01C3A"/>
    <w:rsid w:val="3E7E466D"/>
    <w:rsid w:val="3F0714E5"/>
    <w:rsid w:val="3F39877C"/>
    <w:rsid w:val="3FBE78FF"/>
    <w:rsid w:val="4014142C"/>
    <w:rsid w:val="407F7D1D"/>
    <w:rsid w:val="40E57CF8"/>
    <w:rsid w:val="419D78F0"/>
    <w:rsid w:val="41E77BF5"/>
    <w:rsid w:val="41E9396D"/>
    <w:rsid w:val="425355EA"/>
    <w:rsid w:val="42D47DDC"/>
    <w:rsid w:val="42E10C6D"/>
    <w:rsid w:val="431356A0"/>
    <w:rsid w:val="443F7874"/>
    <w:rsid w:val="45FB6488"/>
    <w:rsid w:val="46A137ED"/>
    <w:rsid w:val="47010146"/>
    <w:rsid w:val="47840860"/>
    <w:rsid w:val="487410EA"/>
    <w:rsid w:val="48926705"/>
    <w:rsid w:val="498C66DF"/>
    <w:rsid w:val="49E63D13"/>
    <w:rsid w:val="4BF929FE"/>
    <w:rsid w:val="4C293FCF"/>
    <w:rsid w:val="4CF66F3E"/>
    <w:rsid w:val="4D1A2C2C"/>
    <w:rsid w:val="4F5222C9"/>
    <w:rsid w:val="4FF652DA"/>
    <w:rsid w:val="513B7615"/>
    <w:rsid w:val="514C2592"/>
    <w:rsid w:val="535B431A"/>
    <w:rsid w:val="54876745"/>
    <w:rsid w:val="54C33BA9"/>
    <w:rsid w:val="567C6706"/>
    <w:rsid w:val="56BFD42C"/>
    <w:rsid w:val="571A240B"/>
    <w:rsid w:val="57813A30"/>
    <w:rsid w:val="57FA6B0E"/>
    <w:rsid w:val="580C03E8"/>
    <w:rsid w:val="5CCA1DF3"/>
    <w:rsid w:val="5D4800DC"/>
    <w:rsid w:val="5E5D0BCB"/>
    <w:rsid w:val="5F24793A"/>
    <w:rsid w:val="5FDD2BE4"/>
    <w:rsid w:val="5FFBBB9D"/>
    <w:rsid w:val="61EF7A8D"/>
    <w:rsid w:val="62914838"/>
    <w:rsid w:val="62E27711"/>
    <w:rsid w:val="63F24844"/>
    <w:rsid w:val="65063156"/>
    <w:rsid w:val="65105710"/>
    <w:rsid w:val="65C6174B"/>
    <w:rsid w:val="677DF30A"/>
    <w:rsid w:val="68E1689C"/>
    <w:rsid w:val="6B204328"/>
    <w:rsid w:val="6B7BC8F0"/>
    <w:rsid w:val="6C184D23"/>
    <w:rsid w:val="6DB9C31A"/>
    <w:rsid w:val="6DD1C9E9"/>
    <w:rsid w:val="6FFF8966"/>
    <w:rsid w:val="71357785"/>
    <w:rsid w:val="71FB785F"/>
    <w:rsid w:val="7667ECFB"/>
    <w:rsid w:val="76AD4CAD"/>
    <w:rsid w:val="76CE0460"/>
    <w:rsid w:val="76FF416C"/>
    <w:rsid w:val="77154D03"/>
    <w:rsid w:val="78917653"/>
    <w:rsid w:val="79273E57"/>
    <w:rsid w:val="79845BEF"/>
    <w:rsid w:val="79F525F4"/>
    <w:rsid w:val="7A680BCB"/>
    <w:rsid w:val="7B542EFE"/>
    <w:rsid w:val="7B7B675D"/>
    <w:rsid w:val="7D5156C7"/>
    <w:rsid w:val="7DA721EE"/>
    <w:rsid w:val="7DCC4179"/>
    <w:rsid w:val="7DF8D5B8"/>
    <w:rsid w:val="7DFBE977"/>
    <w:rsid w:val="7E91651B"/>
    <w:rsid w:val="7F4FEE38"/>
    <w:rsid w:val="7FB37DD0"/>
    <w:rsid w:val="7FEF796B"/>
    <w:rsid w:val="7FF61AE2"/>
    <w:rsid w:val="7FFE8851"/>
    <w:rsid w:val="7FFFE6D8"/>
    <w:rsid w:val="BDFC8682"/>
    <w:rsid w:val="BEFECB78"/>
    <w:rsid w:val="C7FF5405"/>
    <w:rsid w:val="CFAF9B36"/>
    <w:rsid w:val="D3C584A4"/>
    <w:rsid w:val="DABF6672"/>
    <w:rsid w:val="DEBECDCA"/>
    <w:rsid w:val="DF597B99"/>
    <w:rsid w:val="DFFE170D"/>
    <w:rsid w:val="E1FFC3D5"/>
    <w:rsid w:val="E75E3DA7"/>
    <w:rsid w:val="E9FD4F52"/>
    <w:rsid w:val="EEEBF4CC"/>
    <w:rsid w:val="EFDEE3AF"/>
    <w:rsid w:val="FEF157CC"/>
    <w:rsid w:val="FF54DAD1"/>
    <w:rsid w:val="FFDF8449"/>
    <w:rsid w:val="FFFE9123"/>
    <w:rsid w:val="FFFEEB8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560" w:lineRule="exact"/>
      <w:ind w:firstLine="883" w:firstLineChars="200"/>
      <w:jc w:val="both"/>
    </w:pPr>
    <w:rPr>
      <w:rFonts w:ascii="Times New Roman" w:hAnsi="Times New Roman" w:eastAsia="仿宋_GB2312" w:cs="Times New Roman"/>
      <w:sz w:val="32"/>
      <w:szCs w:val="22"/>
    </w:rPr>
  </w:style>
  <w:style w:type="paragraph" w:styleId="3">
    <w:name w:val="heading 1"/>
    <w:basedOn w:val="1"/>
    <w:next w:val="1"/>
    <w:qFormat/>
    <w:uiPriority w:val="0"/>
    <w:pPr>
      <w:keepNext/>
      <w:keepLines/>
      <w:adjustRightInd w:val="0"/>
      <w:snapToGrid w:val="0"/>
      <w:spacing w:beforeLines="0" w:beforeAutospacing="0" w:afterLines="0" w:afterAutospacing="0" w:line="560" w:lineRule="exact"/>
      <w:ind w:firstLine="883" w:firstLineChars="200"/>
      <w:outlineLvl w:val="0"/>
    </w:pPr>
    <w:rPr>
      <w:rFonts w:ascii="Calibri" w:hAnsi="Calibri" w:eastAsia="黑体"/>
      <w:kern w:val="44"/>
      <w:sz w:val="32"/>
    </w:rPr>
  </w:style>
  <w:style w:type="paragraph" w:styleId="4">
    <w:name w:val="heading 2"/>
    <w:basedOn w:val="1"/>
    <w:next w:val="1"/>
    <w:unhideWhenUsed/>
    <w:qFormat/>
    <w:uiPriority w:val="0"/>
    <w:pPr>
      <w:keepNext/>
      <w:keepLines/>
      <w:adjustRightInd w:val="0"/>
      <w:snapToGrid w:val="0"/>
      <w:spacing w:beforeLines="0" w:beforeAutospacing="0" w:afterLines="0" w:afterAutospacing="0" w:line="560" w:lineRule="exact"/>
      <w:ind w:firstLine="883" w:firstLineChars="200"/>
      <w:outlineLvl w:val="1"/>
    </w:pPr>
    <w:rPr>
      <w:rFonts w:ascii="Arial" w:hAnsi="Arial" w:eastAsia="楷体_GB2312"/>
      <w:b/>
      <w:sz w:val="32"/>
    </w:rPr>
  </w:style>
  <w:style w:type="paragraph" w:styleId="5">
    <w:name w:val="heading 3"/>
    <w:basedOn w:val="1"/>
    <w:next w:val="1"/>
    <w:unhideWhenUsed/>
    <w:qFormat/>
    <w:uiPriority w:val="0"/>
    <w:pPr>
      <w:keepNext/>
      <w:keepLines/>
      <w:adjustRightInd w:val="0"/>
      <w:snapToGrid w:val="0"/>
      <w:spacing w:beforeLines="0" w:beforeAutospacing="0" w:afterLines="0" w:afterAutospacing="0" w:line="560" w:lineRule="exact"/>
      <w:ind w:firstLine="883" w:firstLineChars="200"/>
      <w:outlineLvl w:val="2"/>
    </w:pPr>
    <w:rPr>
      <w:rFonts w:eastAsia="仿宋_GB2312"/>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rPr>
      <w:rFonts w:ascii="Calibri" w:hAnsi="Calibri"/>
    </w:rPr>
  </w:style>
  <w:style w:type="paragraph" w:styleId="6">
    <w:name w:val="toc 5"/>
    <w:basedOn w:val="1"/>
    <w:next w:val="1"/>
    <w:qFormat/>
    <w:uiPriority w:val="0"/>
    <w:pPr>
      <w:ind w:left="1680" w:leftChars="800"/>
    </w:pPr>
    <w:rPr>
      <w:rFonts w:ascii="Times New Roman" w:hAnsi="Times New Roman" w:eastAsia="宋体" w:cs="Times New Roman"/>
    </w:rPr>
  </w:style>
  <w:style w:type="paragraph" w:styleId="7">
    <w:name w:val="footer"/>
    <w:basedOn w:val="1"/>
    <w:qFormat/>
    <w:uiPriority w:val="0"/>
    <w:pPr>
      <w:tabs>
        <w:tab w:val="center" w:pos="4153"/>
        <w:tab w:val="right" w:pos="8306"/>
      </w:tabs>
      <w:snapToGrid w:val="0"/>
      <w:jc w:val="left"/>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paragraph" w:customStyle="1" w:styleId="12">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4942</Words>
  <Characters>4992</Characters>
  <TotalTime>65</TotalTime>
  <ScaleCrop>false</ScaleCrop>
  <LinksUpToDate>false</LinksUpToDate>
  <CharactersWithSpaces>4994</CharactersWithSpaces>
  <Application>WPS Office_11.8.2.10505_F1E327BC-269C-435d-A152-05C5408002CA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2026-05-13T11:36:00Z</dcterms:created>
  <dc:creator>Apache POI</dc:creator>
  <cp:lastModifiedBy>zengll</cp:lastModifiedBy>
  <dcterms:modified xsi:type="dcterms:W3CDTF">2026-09-15T17:35:12Z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eyJoZGlkIjoiYjBiZTEzMmI2MmRkNzJhMTc3OGI4MzRiNGU1YjhmOWQifQ==</vt:lpwstr>
  </property>
  <property fmtid="{D5CDD505-2E9C-101B-9397-08002B2CF9AE}" pid="3" name="KSOProductBuildVer">
    <vt:lpwstr>2052-11.8.2.10505</vt:lpwstr>
  </property>
  <property fmtid="{D5CDD505-2E9C-101B-9397-08002B2CF9AE}" pid="4" name="ICV">
    <vt:lpwstr>F4AF7158AB8C4876B42F34E4D4117FFC_13</vt:lpwstr>
  </property>
</Properties>
</file>