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640" w:lineRule="exact"/>
        <w:ind w:left="161" w:leftChars="50" w:right="161" w:rightChars="50" w:firstLine="0" w:firstLineChars="0"/>
        <w:jc w:val="center"/>
        <w:textAlignment w:val="auto"/>
        <w:outlineLvl w:val="9"/>
        <w:rPr>
          <w:rFonts w:hint="eastAsia" w:ascii="Times New Roman" w:hAnsi="Times New Roman" w:eastAsia="方正小标宋简体"/>
          <w:color w:val="auto"/>
          <w:sz w:val="44"/>
          <w:szCs w:val="44"/>
          <w:highlight w:val="none"/>
        </w:rPr>
      </w:pPr>
      <w:bookmarkStart w:id="0" w:name="_Toc18060"/>
      <w:r>
        <w:rPr>
          <w:rFonts w:hint="eastAsia" w:eastAsia="方正小标宋简体"/>
          <w:color w:val="auto"/>
          <w:sz w:val="44"/>
          <w:szCs w:val="44"/>
          <w:highlight w:val="none"/>
          <w:lang w:eastAsia="zh-CN"/>
        </w:rPr>
        <w:t>《</w:t>
      </w:r>
      <w:r>
        <w:rPr>
          <w:rFonts w:hint="eastAsia" w:ascii="Times New Roman" w:hAnsi="Times New Roman" w:eastAsia="方正小标宋简体"/>
          <w:color w:val="auto"/>
          <w:sz w:val="44"/>
          <w:szCs w:val="44"/>
          <w:highlight w:val="none"/>
        </w:rPr>
        <w:t>惠州市粮食安全保障</w:t>
      </w:r>
      <w:r>
        <w:rPr>
          <w:rFonts w:hint="eastAsia" w:eastAsia="方正小标宋简体"/>
          <w:color w:val="auto"/>
          <w:sz w:val="44"/>
          <w:szCs w:val="44"/>
          <w:highlight w:val="none"/>
          <w:lang w:eastAsia="zh-CN"/>
        </w:rPr>
        <w:t>“</w:t>
      </w:r>
      <w:r>
        <w:rPr>
          <w:rFonts w:hint="eastAsia" w:ascii="Times New Roman" w:hAnsi="Times New Roman" w:eastAsia="方正小标宋简体"/>
          <w:color w:val="auto"/>
          <w:sz w:val="44"/>
          <w:szCs w:val="44"/>
          <w:highlight w:val="none"/>
        </w:rPr>
        <w:t>十五五</w:t>
      </w:r>
      <w:r>
        <w:rPr>
          <w:rFonts w:hint="eastAsia" w:eastAsia="方正小标宋简体"/>
          <w:color w:val="auto"/>
          <w:sz w:val="44"/>
          <w:szCs w:val="44"/>
          <w:highlight w:val="none"/>
          <w:lang w:eastAsia="zh-CN"/>
        </w:rPr>
        <w:t>”</w:t>
      </w:r>
      <w:r>
        <w:rPr>
          <w:rFonts w:hint="eastAsia" w:ascii="Times New Roman" w:hAnsi="Times New Roman" w:eastAsia="方正小标宋简体"/>
          <w:color w:val="auto"/>
          <w:sz w:val="44"/>
          <w:szCs w:val="44"/>
          <w:highlight w:val="none"/>
        </w:rPr>
        <w:t>规划</w:t>
      </w:r>
      <w:r>
        <w:rPr>
          <w:rFonts w:hint="eastAsia" w:eastAsia="方正小标宋简体"/>
          <w:color w:val="auto"/>
          <w:sz w:val="44"/>
          <w:szCs w:val="44"/>
          <w:highlight w:val="none"/>
          <w:lang w:eastAsia="zh-CN"/>
        </w:rPr>
        <w:t>》</w:t>
      </w:r>
    </w:p>
    <w:bookmarkEnd w:id="0"/>
    <w:p>
      <w:pPr>
        <w:keepNext w:val="0"/>
        <w:keepLines w:val="0"/>
        <w:pageBreakBefore w:val="0"/>
        <w:widowControl w:val="0"/>
        <w:kinsoku/>
        <w:wordWrap/>
        <w:overflowPunct/>
        <w:topLinePunct w:val="0"/>
        <w:autoSpaceDE/>
        <w:autoSpaceDN/>
        <w:bidi w:val="0"/>
        <w:adjustRightInd/>
        <w:snapToGrid/>
        <w:spacing w:line="640" w:lineRule="exact"/>
        <w:ind w:left="161" w:leftChars="50" w:right="161" w:rightChars="50" w:firstLine="0" w:firstLineChars="0"/>
        <w:jc w:val="center"/>
        <w:textAlignment w:val="auto"/>
        <w:outlineLvl w:val="9"/>
        <w:rPr>
          <w:rFonts w:hint="eastAsia" w:ascii="Times New Roman" w:hAnsi="Times New Roman" w:eastAsia="方正小标宋简体"/>
          <w:color w:val="auto"/>
          <w:sz w:val="44"/>
          <w:szCs w:val="44"/>
          <w:highlight w:val="none"/>
          <w:lang w:val="en-GB" w:eastAsia="zh-CN"/>
        </w:rPr>
      </w:pPr>
      <w:r>
        <w:rPr>
          <w:rFonts w:hint="eastAsia" w:ascii="Times New Roman" w:hAnsi="Times New Roman" w:eastAsia="方正小标宋简体"/>
          <w:color w:val="auto"/>
          <w:sz w:val="44"/>
          <w:szCs w:val="44"/>
          <w:highlight w:val="none"/>
          <w:lang w:val="en-GB" w:eastAsia="zh-CN"/>
        </w:rPr>
        <w:t>（征求意见稿）起草说明</w:t>
      </w:r>
    </w:p>
    <w:p>
      <w:pPr>
        <w:autoSpaceDE/>
        <w:autoSpaceDN/>
        <w:bidi w:val="0"/>
        <w:spacing w:line="560" w:lineRule="exact"/>
        <w:ind w:firstLine="640" w:firstLineChars="200"/>
        <w:rPr>
          <w:rFonts w:hint="default"/>
          <w:spacing w:val="0"/>
          <w:sz w:val="32"/>
          <w:szCs w:val="24"/>
          <w:lang w:val="en-US" w:eastAsia="zh-CN"/>
        </w:rPr>
      </w:pPr>
    </w:p>
    <w:p>
      <w:pPr>
        <w:pStyle w:val="5"/>
        <w:keepNext w:val="0"/>
        <w:keepLines w:val="0"/>
        <w:pageBreakBefore w:val="0"/>
        <w:widowControl w:val="0"/>
        <w:kinsoku/>
        <w:wordWrap/>
        <w:topLinePunct w:val="0"/>
        <w:autoSpaceDE w:val="0"/>
        <w:autoSpaceDN w:val="0"/>
        <w:bidi w:val="0"/>
        <w:adjustRightInd/>
        <w:snapToGrid/>
        <w:spacing w:line="600" w:lineRule="exact"/>
        <w:ind w:firstLine="662" w:firstLineChars="207"/>
        <w:textAlignment w:val="auto"/>
        <w:outlineLvl w:val="0"/>
        <w:rPr>
          <w:rFonts w:hint="default" w:ascii="Times New Roman" w:hAnsi="Times New Roman" w:eastAsia="黑体" w:cs="Times New Roman"/>
          <w:spacing w:val="0"/>
          <w:sz w:val="32"/>
          <w:szCs w:val="32"/>
          <w:lang w:val="en-US" w:eastAsia="zh-CN"/>
        </w:rPr>
      </w:pPr>
      <w:r>
        <w:rPr>
          <w:rFonts w:hint="default" w:ascii="Times New Roman" w:hAnsi="Times New Roman" w:eastAsia="黑体" w:cs="Times New Roman"/>
          <w:spacing w:val="0"/>
          <w:sz w:val="32"/>
          <w:szCs w:val="32"/>
          <w:lang w:val="en-US" w:eastAsia="zh-CN"/>
        </w:rPr>
        <w:t>一、</w:t>
      </w:r>
      <w:r>
        <w:rPr>
          <w:rFonts w:hint="eastAsia" w:eastAsia="黑体" w:cs="Times New Roman"/>
          <w:spacing w:val="0"/>
          <w:sz w:val="32"/>
          <w:szCs w:val="32"/>
          <w:lang w:val="en-US" w:eastAsia="zh-CN"/>
        </w:rPr>
        <w:t>规划背景</w:t>
      </w:r>
    </w:p>
    <w:p>
      <w:pPr>
        <w:autoSpaceDE/>
        <w:autoSpaceDN/>
        <w:bidi w:val="0"/>
        <w:spacing w:line="560" w:lineRule="exact"/>
        <w:ind w:firstLine="640" w:firstLineChars="200"/>
        <w:rPr>
          <w:rFonts w:hint="default"/>
          <w:spacing w:val="0"/>
          <w:sz w:val="32"/>
          <w:szCs w:val="24"/>
          <w:lang w:val="en-US" w:eastAsia="zh-CN"/>
        </w:rPr>
      </w:pPr>
      <w:r>
        <w:rPr>
          <w:rFonts w:hint="default"/>
          <w:spacing w:val="0"/>
          <w:sz w:val="32"/>
          <w:szCs w:val="24"/>
          <w:lang w:val="en-US" w:eastAsia="zh-CN"/>
        </w:rPr>
        <w:t>粮食安全是</w:t>
      </w:r>
      <w:r>
        <w:rPr>
          <w:rFonts w:hint="eastAsia"/>
          <w:spacing w:val="0"/>
          <w:sz w:val="32"/>
          <w:szCs w:val="24"/>
          <w:lang w:val="en-US" w:eastAsia="zh-CN"/>
        </w:rPr>
        <w:t>“</w:t>
      </w:r>
      <w:r>
        <w:rPr>
          <w:rFonts w:hint="default"/>
          <w:spacing w:val="0"/>
          <w:sz w:val="32"/>
          <w:szCs w:val="24"/>
          <w:lang w:val="en-US" w:eastAsia="zh-CN"/>
        </w:rPr>
        <w:t>国之大者</w:t>
      </w:r>
      <w:r>
        <w:rPr>
          <w:rFonts w:hint="eastAsia"/>
          <w:spacing w:val="0"/>
          <w:sz w:val="32"/>
          <w:szCs w:val="24"/>
          <w:lang w:val="en-US" w:eastAsia="zh-CN"/>
        </w:rPr>
        <w:t>”</w:t>
      </w:r>
      <w:r>
        <w:rPr>
          <w:rFonts w:hint="default"/>
          <w:spacing w:val="0"/>
          <w:sz w:val="32"/>
          <w:szCs w:val="24"/>
          <w:lang w:val="en-US" w:eastAsia="zh-CN"/>
        </w:rPr>
        <w:t>，事关国计民生、安全稳定。强化粮食安全保障是维护国家安全的重要基石、增进民生福祉的重要保障、应对风险挑战的重要支撑。党的十八大以来，以习近平同志为核心的党中央始终把粮食安全作为治国理政的头等大事，实行粮食安全党政同责，出台《中华人民共和国粮食安全保障法》</w:t>
      </w:r>
      <w:r>
        <w:rPr>
          <w:rFonts w:hint="eastAsia"/>
          <w:b w:val="0"/>
          <w:bCs w:val="0"/>
          <w:sz w:val="32"/>
          <w:szCs w:val="32"/>
          <w:lang w:val="en-US" w:eastAsia="zh-CN"/>
        </w:rPr>
        <w:t>（以下简称“粮食安全保障法”）</w:t>
      </w:r>
      <w:r>
        <w:rPr>
          <w:rFonts w:hint="default"/>
          <w:spacing w:val="0"/>
          <w:sz w:val="32"/>
          <w:szCs w:val="24"/>
          <w:lang w:val="en-US" w:eastAsia="zh-CN"/>
        </w:rPr>
        <w:t>，确保国家粮食安全。</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64" w:firstLineChars="200"/>
        <w:textAlignment w:val="auto"/>
        <w:rPr>
          <w:rFonts w:hint="eastAsia"/>
          <w:b w:val="0"/>
          <w:bCs w:val="0"/>
          <w:sz w:val="32"/>
          <w:szCs w:val="32"/>
          <w:lang w:val="en-US" w:eastAsia="zh-CN"/>
        </w:rPr>
      </w:pPr>
      <w:r>
        <w:rPr>
          <w:rFonts w:hint="eastAsia"/>
          <w:b w:val="0"/>
          <w:bCs w:val="0"/>
          <w:sz w:val="32"/>
          <w:szCs w:val="32"/>
          <w:lang w:val="en-US" w:eastAsia="zh-CN"/>
        </w:rPr>
        <w:t>“</w:t>
      </w:r>
      <w:r>
        <w:rPr>
          <w:rFonts w:hint="default" w:ascii="Times New Roman" w:hAnsi="Times New Roman"/>
          <w:b w:val="0"/>
          <w:bCs w:val="0"/>
          <w:sz w:val="32"/>
          <w:szCs w:val="32"/>
          <w:lang w:val="en-US" w:eastAsia="zh-CN"/>
        </w:rPr>
        <w:t>十五五</w:t>
      </w:r>
      <w:r>
        <w:rPr>
          <w:rFonts w:hint="eastAsia"/>
          <w:b w:val="0"/>
          <w:bCs w:val="0"/>
          <w:sz w:val="32"/>
          <w:szCs w:val="32"/>
          <w:lang w:val="en-US" w:eastAsia="zh-CN"/>
        </w:rPr>
        <w:t>”</w:t>
      </w:r>
      <w:r>
        <w:rPr>
          <w:rFonts w:hint="default" w:ascii="Times New Roman" w:hAnsi="Times New Roman"/>
          <w:b w:val="0"/>
          <w:bCs w:val="0"/>
          <w:sz w:val="32"/>
          <w:szCs w:val="32"/>
          <w:lang w:val="en-US" w:eastAsia="zh-CN"/>
        </w:rPr>
        <w:t>时期是我国全面建设社会主义现代化国家承上启下的关键阶段，</w:t>
      </w:r>
      <w:r>
        <w:rPr>
          <w:rFonts w:hint="eastAsia"/>
          <w:b w:val="0"/>
          <w:bCs w:val="0"/>
          <w:sz w:val="32"/>
          <w:szCs w:val="32"/>
          <w:lang w:val="en-US" w:eastAsia="zh-CN"/>
        </w:rPr>
        <w:t>“</w:t>
      </w:r>
      <w:r>
        <w:rPr>
          <w:rFonts w:hint="default" w:ascii="Times New Roman" w:hAnsi="Times New Roman"/>
          <w:b w:val="0"/>
          <w:bCs w:val="0"/>
          <w:sz w:val="32"/>
          <w:szCs w:val="32"/>
          <w:lang w:val="en-US" w:eastAsia="zh-CN"/>
        </w:rPr>
        <w:t>百年未有之大变局</w:t>
      </w:r>
      <w:r>
        <w:rPr>
          <w:rFonts w:hint="eastAsia"/>
          <w:b w:val="0"/>
          <w:bCs w:val="0"/>
          <w:sz w:val="32"/>
          <w:szCs w:val="32"/>
          <w:lang w:val="en-US" w:eastAsia="zh-CN"/>
        </w:rPr>
        <w:t>”</w:t>
      </w:r>
      <w:r>
        <w:rPr>
          <w:rFonts w:hint="default" w:ascii="Times New Roman" w:hAnsi="Times New Roman"/>
          <w:b w:val="0"/>
          <w:bCs w:val="0"/>
          <w:sz w:val="32"/>
          <w:szCs w:val="32"/>
          <w:lang w:val="en-US" w:eastAsia="zh-CN"/>
        </w:rPr>
        <w:t>加速演进</w:t>
      </w:r>
      <w:r>
        <w:rPr>
          <w:rFonts w:hint="eastAsia"/>
          <w:b w:val="0"/>
          <w:bCs w:val="0"/>
          <w:sz w:val="32"/>
          <w:szCs w:val="32"/>
          <w:lang w:val="en-US" w:eastAsia="zh-CN"/>
        </w:rPr>
        <w:t>，中华民族伟大复兴进入不可逆转的历史进程，</w:t>
      </w:r>
      <w:r>
        <w:rPr>
          <w:rFonts w:hint="default"/>
          <w:b w:val="0"/>
          <w:bCs w:val="0"/>
          <w:sz w:val="32"/>
          <w:szCs w:val="32"/>
          <w:lang w:val="en-US" w:eastAsia="zh-CN"/>
        </w:rPr>
        <w:t>需要</w:t>
      </w:r>
      <w:r>
        <w:rPr>
          <w:rFonts w:hint="eastAsia"/>
          <w:b w:val="0"/>
          <w:bCs w:val="0"/>
          <w:sz w:val="32"/>
          <w:szCs w:val="32"/>
          <w:lang w:val="en-US" w:eastAsia="zh-CN"/>
        </w:rPr>
        <w:t>全面</w:t>
      </w:r>
      <w:r>
        <w:rPr>
          <w:rFonts w:hint="default" w:ascii="Times New Roman" w:hAnsi="Times New Roman"/>
          <w:b w:val="0"/>
          <w:bCs w:val="0"/>
          <w:sz w:val="32"/>
          <w:szCs w:val="32"/>
          <w:lang w:val="en-US" w:eastAsia="zh-CN"/>
        </w:rPr>
        <w:t>统筹发展</w:t>
      </w:r>
      <w:r>
        <w:rPr>
          <w:rFonts w:hint="eastAsia"/>
          <w:b w:val="0"/>
          <w:bCs w:val="0"/>
          <w:sz w:val="32"/>
          <w:szCs w:val="32"/>
          <w:lang w:val="en-US" w:eastAsia="zh-CN"/>
        </w:rPr>
        <w:t>和</w:t>
      </w:r>
      <w:r>
        <w:rPr>
          <w:rFonts w:hint="default" w:ascii="Times New Roman" w:hAnsi="Times New Roman"/>
          <w:b w:val="0"/>
          <w:bCs w:val="0"/>
          <w:sz w:val="32"/>
          <w:szCs w:val="32"/>
          <w:lang w:val="en-US" w:eastAsia="zh-CN"/>
        </w:rPr>
        <w:t>安全，</w:t>
      </w:r>
      <w:r>
        <w:rPr>
          <w:rFonts w:hint="eastAsia" w:ascii="Times New Roman" w:hAnsi="Times New Roman"/>
          <w:b w:val="0"/>
          <w:bCs w:val="0"/>
          <w:sz w:val="32"/>
          <w:szCs w:val="32"/>
          <w:lang w:val="en-US" w:eastAsia="zh-CN"/>
        </w:rPr>
        <w:t>有力有效</w:t>
      </w:r>
      <w:r>
        <w:rPr>
          <w:rFonts w:hint="default" w:ascii="Times New Roman" w:hAnsi="Times New Roman"/>
          <w:b w:val="0"/>
          <w:bCs w:val="0"/>
          <w:sz w:val="32"/>
          <w:szCs w:val="32"/>
          <w:lang w:val="en-US" w:eastAsia="zh-CN"/>
        </w:rPr>
        <w:t>应对不确定性风险，</w:t>
      </w:r>
      <w:r>
        <w:rPr>
          <w:rFonts w:hint="eastAsia"/>
          <w:b w:val="0"/>
          <w:bCs w:val="0"/>
          <w:sz w:val="32"/>
          <w:szCs w:val="32"/>
          <w:lang w:val="en-US" w:eastAsia="zh-CN"/>
        </w:rPr>
        <w:t>全方位夯实粮食</w:t>
      </w:r>
      <w:r>
        <w:rPr>
          <w:rFonts w:hint="default" w:ascii="Times New Roman" w:hAnsi="Times New Roman"/>
          <w:b w:val="0"/>
          <w:bCs w:val="0"/>
          <w:sz w:val="32"/>
          <w:szCs w:val="32"/>
          <w:lang w:val="en-US" w:eastAsia="zh-CN"/>
        </w:rPr>
        <w:t>安全</w:t>
      </w:r>
      <w:r>
        <w:rPr>
          <w:rFonts w:hint="eastAsia"/>
          <w:b w:val="0"/>
          <w:bCs w:val="0"/>
          <w:sz w:val="32"/>
          <w:szCs w:val="32"/>
          <w:lang w:val="en-US" w:eastAsia="zh-CN"/>
        </w:rPr>
        <w:t>根基</w:t>
      </w:r>
      <w:r>
        <w:rPr>
          <w:rFonts w:hint="eastAsia" w:ascii="Times New Roman" w:hAnsi="Times New Roman"/>
          <w:b w:val="0"/>
          <w:bCs w:val="0"/>
          <w:sz w:val="32"/>
          <w:szCs w:val="32"/>
          <w:lang w:val="en-US" w:eastAsia="zh-CN"/>
        </w:rPr>
        <w:t>，</w:t>
      </w:r>
      <w:r>
        <w:rPr>
          <w:rFonts w:hint="default" w:ascii="Times New Roman" w:hAnsi="Times New Roman"/>
          <w:b w:val="0"/>
          <w:bCs w:val="0"/>
          <w:sz w:val="32"/>
          <w:szCs w:val="32"/>
          <w:lang w:val="en-US" w:eastAsia="zh-CN"/>
        </w:rPr>
        <w:t>为实现</w:t>
      </w:r>
      <w:r>
        <w:rPr>
          <w:rFonts w:hint="eastAsia"/>
          <w:b w:val="0"/>
          <w:bCs w:val="0"/>
          <w:sz w:val="32"/>
          <w:szCs w:val="32"/>
          <w:lang w:val="en-US" w:eastAsia="zh-CN"/>
        </w:rPr>
        <w:t>中国式</w:t>
      </w:r>
      <w:r>
        <w:rPr>
          <w:rFonts w:hint="default" w:ascii="Times New Roman" w:hAnsi="Times New Roman"/>
          <w:b w:val="0"/>
          <w:bCs w:val="0"/>
          <w:sz w:val="32"/>
          <w:szCs w:val="32"/>
          <w:lang w:val="en-US" w:eastAsia="zh-CN"/>
        </w:rPr>
        <w:t>现代化</w:t>
      </w:r>
      <w:r>
        <w:rPr>
          <w:rFonts w:hint="eastAsia" w:ascii="Times New Roman" w:hAnsi="Times New Roman"/>
          <w:b w:val="0"/>
          <w:bCs w:val="0"/>
          <w:sz w:val="32"/>
          <w:szCs w:val="32"/>
          <w:lang w:val="en-US" w:eastAsia="zh-CN"/>
        </w:rPr>
        <w:t>和</w:t>
      </w:r>
      <w:r>
        <w:rPr>
          <w:rFonts w:hint="default" w:ascii="Times New Roman" w:hAnsi="Times New Roman"/>
          <w:b w:val="0"/>
          <w:bCs w:val="0"/>
          <w:sz w:val="32"/>
          <w:szCs w:val="32"/>
          <w:lang w:val="en-US" w:eastAsia="zh-CN"/>
        </w:rPr>
        <w:t>中华民族</w:t>
      </w:r>
      <w:r>
        <w:rPr>
          <w:rFonts w:hint="eastAsia"/>
          <w:b w:val="0"/>
          <w:bCs w:val="0"/>
          <w:sz w:val="32"/>
          <w:szCs w:val="32"/>
          <w:lang w:val="en-US" w:eastAsia="zh-CN"/>
        </w:rPr>
        <w:t>伟大复兴</w:t>
      </w:r>
      <w:r>
        <w:rPr>
          <w:rFonts w:hint="default" w:ascii="Times New Roman" w:hAnsi="Times New Roman"/>
          <w:b w:val="0"/>
          <w:bCs w:val="0"/>
          <w:sz w:val="32"/>
          <w:szCs w:val="32"/>
          <w:lang w:val="en-US" w:eastAsia="zh-CN"/>
        </w:rPr>
        <w:t>奠定决定性基础。</w:t>
      </w:r>
      <w:r>
        <w:rPr>
          <w:rFonts w:hint="eastAsia"/>
          <w:b w:val="0"/>
          <w:bCs w:val="0"/>
          <w:sz w:val="32"/>
          <w:szCs w:val="32"/>
          <w:lang w:val="en-US" w:eastAsia="zh-CN"/>
        </w:rPr>
        <w:t>粮食安全保障法明确规定县级以上人民政府有关部门应当根据粮食安全保障目标、任务等，编制粮食安全保障相关专项规划。因此，编制好《惠州市粮食安全保障“十五五”规划》（以下简称“《规划》”），对于全面总结“十四五”时期我市粮食行业发展基础，研判未来发展形势和需求，在“十五五”时期落实好国家关于粮食安全保障的要求，保障我市粮食有效供给，确保国家粮食安全，提高防范和抵御粮食安全风险能力，维护经济社会稳定和国家安全，具有重要意义。</w:t>
      </w:r>
    </w:p>
    <w:p>
      <w:pPr>
        <w:pStyle w:val="5"/>
        <w:keepNext w:val="0"/>
        <w:keepLines w:val="0"/>
        <w:pageBreakBefore w:val="0"/>
        <w:widowControl w:val="0"/>
        <w:kinsoku/>
        <w:wordWrap/>
        <w:topLinePunct w:val="0"/>
        <w:autoSpaceDE w:val="0"/>
        <w:autoSpaceDN w:val="0"/>
        <w:bidi w:val="0"/>
        <w:adjustRightInd/>
        <w:snapToGrid/>
        <w:spacing w:line="600" w:lineRule="exact"/>
        <w:ind w:firstLine="662" w:firstLineChars="207"/>
        <w:textAlignment w:val="auto"/>
        <w:outlineLvl w:val="0"/>
        <w:rPr>
          <w:rFonts w:hint="eastAsia" w:ascii="Times New Roman" w:hAnsi="Times New Roman" w:eastAsia="黑体" w:cs="Times New Roman"/>
          <w:spacing w:val="0"/>
          <w:sz w:val="32"/>
          <w:szCs w:val="32"/>
          <w:lang w:val="en-US" w:eastAsia="zh-CN"/>
        </w:rPr>
      </w:pPr>
      <w:r>
        <w:rPr>
          <w:rFonts w:hint="eastAsia" w:ascii="Times New Roman" w:hAnsi="Times New Roman" w:eastAsia="黑体" w:cs="Times New Roman"/>
          <w:spacing w:val="0"/>
          <w:sz w:val="32"/>
          <w:szCs w:val="32"/>
          <w:lang w:val="en-US" w:eastAsia="zh-CN"/>
        </w:rPr>
        <w:t>二、起草过程</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64" w:firstLineChars="200"/>
        <w:textAlignment w:val="auto"/>
        <w:rPr>
          <w:rFonts w:hint="eastAsia"/>
          <w:b w:val="0"/>
          <w:bCs w:val="0"/>
          <w:sz w:val="32"/>
          <w:szCs w:val="32"/>
          <w:lang w:val="en-US" w:eastAsia="zh-CN"/>
        </w:rPr>
      </w:pPr>
      <w:r>
        <w:rPr>
          <w:rFonts w:hint="eastAsia" w:ascii="仿宋_GB2312" w:hAnsi="仿宋_GB2312" w:cs="仿宋_GB2312"/>
          <w:bCs/>
          <w:sz w:val="32"/>
          <w:szCs w:val="32"/>
          <w:lang w:val="en-US" w:eastAsia="zh-CN"/>
        </w:rPr>
        <w:t>惠州市高度重视粮食安全保障工作，把《规划》纳入惠州市“十五五”重点专项规划目录清单。</w:t>
      </w:r>
      <w:r>
        <w:rPr>
          <w:rFonts w:hint="eastAsia"/>
          <w:b w:val="0"/>
          <w:bCs w:val="0"/>
          <w:sz w:val="32"/>
          <w:szCs w:val="32"/>
          <w:lang w:val="en-US" w:eastAsia="zh-CN"/>
        </w:rPr>
        <w:t>惠州市发展改革局（粮食和储备局）会同有关研究机构建立《规划》编制专班，制定工作方案，迅速启动编制工作。通过对市直相关职能部门、各县（区）粮食行政管理部门及各类粮食生产经营主体广泛开展座谈交流和实地调研，梳理国家、省和市本级粮食安全相关政策和要求，深入进行了前期研究，客观评估了现状。调研后《规划》编制专班集中力量进行编制，形成《规划》初稿，并多次进行了集中讨论修改，与市自然资源局、农业农村局等相关职能部门进行了充分沟通交流，通过书面征求市直相关职能部门和各县（区）粮食行政管理部门意见、召开粮食企业家座谈会等形式广泛征求意见。经认真研究论证，充分采纳各方意见，形成了《惠州市粮食安全保障“十五五”规划（征求意见稿）》。向社会公开征求意见后，将根据公众意见进一步研究论证，全面衔接《广东省粮食安全保障“十五五”规划》及《惠州市国民经济和社会发展第十五个五年规划纲要》，对《规划》作进一步修改完善。</w:t>
      </w:r>
    </w:p>
    <w:p>
      <w:pPr>
        <w:pStyle w:val="5"/>
        <w:keepNext w:val="0"/>
        <w:keepLines w:val="0"/>
        <w:pageBreakBefore w:val="0"/>
        <w:widowControl w:val="0"/>
        <w:kinsoku/>
        <w:wordWrap/>
        <w:topLinePunct w:val="0"/>
        <w:autoSpaceDE w:val="0"/>
        <w:autoSpaceDN w:val="0"/>
        <w:bidi w:val="0"/>
        <w:adjustRightInd/>
        <w:snapToGrid/>
        <w:spacing w:line="600" w:lineRule="exact"/>
        <w:ind w:firstLine="662" w:firstLineChars="207"/>
        <w:textAlignment w:val="auto"/>
        <w:outlineLvl w:val="0"/>
        <w:rPr>
          <w:rFonts w:hint="eastAsia" w:ascii="Times New Roman" w:hAnsi="Times New Roman" w:eastAsia="黑体" w:cs="Times New Roman"/>
          <w:spacing w:val="0"/>
          <w:sz w:val="32"/>
          <w:szCs w:val="32"/>
          <w:lang w:val="en-US" w:eastAsia="zh-CN"/>
        </w:rPr>
      </w:pPr>
      <w:r>
        <w:rPr>
          <w:rFonts w:hint="eastAsia" w:ascii="Times New Roman" w:hAnsi="Times New Roman" w:eastAsia="黑体" w:cs="Times New Roman"/>
          <w:spacing w:val="0"/>
          <w:sz w:val="32"/>
          <w:szCs w:val="32"/>
          <w:lang w:val="en-US" w:eastAsia="zh-CN"/>
        </w:rPr>
        <w:t>三、主要内容</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64" w:firstLineChars="200"/>
        <w:textAlignment w:val="auto"/>
        <w:rPr>
          <w:rFonts w:hint="eastAsia" w:ascii="仿宋_GB2312" w:hAnsi="仿宋_GB2312" w:cs="仿宋_GB2312"/>
          <w:bCs/>
          <w:sz w:val="32"/>
          <w:szCs w:val="32"/>
          <w:lang w:val="en-US" w:eastAsia="zh-CN"/>
        </w:rPr>
      </w:pPr>
      <w:r>
        <w:rPr>
          <w:rFonts w:hint="eastAsia" w:ascii="仿宋_GB2312" w:hAnsi="仿宋_GB2312" w:cs="仿宋_GB2312"/>
          <w:bCs/>
          <w:sz w:val="32"/>
          <w:szCs w:val="32"/>
          <w:lang w:val="en-US" w:eastAsia="zh-CN"/>
        </w:rPr>
        <w:t>《惠州市粮食安全保障“十五五”规划（征求意见稿）》的主体内容主要为三个部分：发展基础和发展环境、总体要求和发展目标、重点任务和工作举措。其中：</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64" w:firstLineChars="200"/>
        <w:textAlignment w:val="auto"/>
        <w:rPr>
          <w:rFonts w:hint="eastAsia" w:ascii="仿宋_GB2312" w:hAnsi="仿宋_GB2312" w:cs="仿宋_GB2312"/>
          <w:bCs/>
          <w:sz w:val="32"/>
          <w:szCs w:val="32"/>
          <w:lang w:val="en-US" w:eastAsia="zh-CN"/>
        </w:rPr>
      </w:pPr>
      <w:r>
        <w:rPr>
          <w:rFonts w:hint="eastAsia" w:ascii="仿宋_GB2312" w:hAnsi="仿宋_GB2312" w:cs="仿宋_GB2312"/>
          <w:bCs/>
          <w:sz w:val="32"/>
          <w:szCs w:val="32"/>
          <w:lang w:val="en-US" w:eastAsia="zh-CN"/>
        </w:rPr>
        <w:t>发展基础和发展环境部分主要对惠州市粮食安全保障工作现状和取得的成就进行回顾，</w:t>
      </w:r>
      <w:r>
        <w:rPr>
          <w:rFonts w:hint="eastAsia" w:ascii="Times New Roman" w:hAnsi="Times New Roman" w:eastAsia="仿宋_GB2312" w:cs="Times New Roman"/>
          <w:b w:val="0"/>
          <w:bCs w:val="0"/>
          <w:color w:val="auto"/>
          <w:kern w:val="2"/>
          <w:sz w:val="32"/>
          <w:szCs w:val="32"/>
          <w:lang w:val="en-US" w:eastAsia="zh-CN" w:bidi="ar-SA"/>
        </w:rPr>
        <w:t>“十四五”时期，我市紧紧围绕国家和省的决策部署，全面落实粮食安全党政同责，守稳守牢粮食安全底线，扎实推进粮食安全保障各项工作，全市粮食生产保持稳定，仓储设施不断完善，粮食储备不断充实，产业发展不断集聚，粮食市场供应和价格水平总体平稳，为我市经济社会高质量发展、人民安居乐业提供了坚实支撑。</w:t>
      </w:r>
      <w:r>
        <w:rPr>
          <w:rFonts w:hint="eastAsia" w:ascii="仿宋_GB2312" w:hAnsi="仿宋_GB2312" w:cs="仿宋_GB2312"/>
          <w:bCs/>
          <w:sz w:val="32"/>
          <w:szCs w:val="32"/>
          <w:lang w:val="en-US" w:eastAsia="zh-CN"/>
        </w:rPr>
        <w:t>“十五五”时期，国内粮食安全法治环境更趋完善，科技创新赋能更加高效，居民粮食消费需求不断升级，粮食事业发展有良好机遇条件；但同时必须清晰看到，国际形势复杂多变，粮食市场的不确定性和不稳定性显著增强，我市粮食消费量大、对外依存程度高，保障粮食安全和市场稳定面临较大挑战。</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64" w:firstLineChars="200"/>
        <w:textAlignment w:val="auto"/>
        <w:rPr>
          <w:rFonts w:hint="eastAsia" w:ascii="仿宋_GB2312" w:hAnsi="仿宋_GB2312" w:cs="仿宋_GB2312"/>
          <w:bCs/>
          <w:sz w:val="32"/>
          <w:szCs w:val="32"/>
          <w:lang w:val="en-US" w:eastAsia="zh-CN"/>
        </w:rPr>
      </w:pPr>
      <w:r>
        <w:rPr>
          <w:rFonts w:hint="eastAsia" w:ascii="仿宋_GB2312" w:hAnsi="仿宋_GB2312" w:cs="仿宋_GB2312"/>
          <w:bCs/>
          <w:sz w:val="32"/>
          <w:szCs w:val="32"/>
          <w:lang w:val="en-US" w:eastAsia="zh-CN"/>
        </w:rPr>
        <w:t>总体要求和发展目标部分主要明确了规划文本的指导思想、基本原则和发展目标。规划目标的设置主要衔接上级专项规划目标指标，采用定性和定量相结合的形式，围绕进一步提升粮食综合生产能力、进一步增强收储调控能力、进一步优化粮食仓储设施、进一步做大做强粮食产业、进一步提升依法治粮能力等五个方面，设定了14项具体发展目标。</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64" w:firstLineChars="200"/>
        <w:textAlignment w:val="auto"/>
        <w:rPr>
          <w:rFonts w:hint="eastAsia" w:ascii="仿宋_GB2312" w:hAnsi="仿宋_GB2312" w:cs="仿宋_GB2312"/>
          <w:bCs/>
          <w:sz w:val="32"/>
          <w:szCs w:val="32"/>
          <w:lang w:val="en-US" w:eastAsia="zh-CN"/>
        </w:rPr>
      </w:pPr>
      <w:r>
        <w:rPr>
          <w:rFonts w:hint="eastAsia" w:ascii="仿宋_GB2312" w:hAnsi="仿宋_GB2312" w:cs="仿宋_GB2312"/>
          <w:bCs/>
          <w:sz w:val="32"/>
          <w:szCs w:val="32"/>
          <w:lang w:val="en-US" w:eastAsia="zh-CN"/>
        </w:rPr>
        <w:t>重点任务和工作举措部分作为本规划文本的核心内容，以“为惠州打造广东高质量发展新增长极提供更高层次、更高水平的粮食安全保障”为主线，围绕推动粮食储备治理范式的法治化、数字化、绿色化协同转型，树立大食物观，稳定粮食生产和有效供给，提高粮食储备、流通、加工能力，提升粮食调控和应急水平，推动粮食产业高质量发展，推动粮食节约减损，促进居民营养健康消费等方面展开。其中，在提升粮食综合生产能力方面，主要涉及严格落实耕地保护和质量提升、提高粮食生产能力和粮食品质、构建多元化食物供给体系等三方面内容；在提升粮食调控与应急水平方面，涵盖完善粮食储备保障、完善市场监测预警、健全粮食应急保障等三方面内容；在提升粮食仓储物流现代化水平方面，围绕深入实施粮食绿色仓储提升行动、完善粮食现代流通网络、提升智能化建设水平等三个方面进行部署；在加快粮食产业高质量发展方面，从推动粮食产业集约发展、提升粮食产品市场竞争力、推进粮食节约减损等三个方面展开；在提升粮食安全管理效能方面，重点聚焦健全粮食监管长效机制、维护粮食流通市场秩序、提升安全管理水平等三个维度进行；最后，规划从压实安全责任、强化要素保障、加强队伍建设三个层面，落实粮食安全责任，并强化规划实施保障规划制定的各</w:t>
      </w:r>
      <w:bookmarkStart w:id="1" w:name="_GoBack"/>
      <w:bookmarkEnd w:id="1"/>
      <w:r>
        <w:rPr>
          <w:rFonts w:hint="eastAsia" w:ascii="仿宋_GB2312" w:hAnsi="仿宋_GB2312" w:cs="仿宋_GB2312"/>
          <w:bCs/>
          <w:sz w:val="32"/>
          <w:szCs w:val="32"/>
          <w:lang w:val="en-US" w:eastAsia="zh-CN"/>
        </w:rPr>
        <w:t>项主要任务顺利实施并高质量完成。</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64" w:firstLineChars="200"/>
        <w:textAlignment w:val="auto"/>
        <w:rPr>
          <w:rFonts w:hint="eastAsia" w:ascii="仿宋_GB2312" w:hAnsi="仿宋_GB2312" w:cs="仿宋_GB2312"/>
          <w:bCs/>
          <w:sz w:val="32"/>
          <w:szCs w:val="32"/>
          <w:lang w:val="en-US" w:eastAsia="zh-CN"/>
        </w:rPr>
      </w:pPr>
    </w:p>
    <w:p>
      <w:r>
        <w:rPr>
          <w:rFonts w:hint="eastAsia"/>
        </w:rPr>
        <w:t xml:space="preserve"> </w:t>
      </w:r>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2"/>
    <w:family w:val="auto"/>
    <w:pitch w:val="default"/>
    <w:sig w:usb0="E0002AFF" w:usb1="C0007841" w:usb2="00000009" w:usb3="00000000" w:csb0="400001FF" w:csb1="FFFF0000"/>
  </w:font>
  <w:font w:name="宋体">
    <w:altName w:val="方正书宋_GBK"/>
    <w:panose1 w:val="02010600030101010101"/>
    <w:charset w:val="00"/>
    <w:family w:val="auto"/>
    <w:pitch w:val="default"/>
    <w:sig w:usb0="00000000" w:usb1="0000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仿宋_GB2312">
    <w:panose1 w:val="02010609030101010101"/>
    <w:charset w:val="86"/>
    <w:family w:val="modern"/>
    <w:pitch w:val="default"/>
    <w:sig w:usb0="00000001" w:usb1="080E0000" w:usb2="00000000" w:usb3="00000000" w:csb0="00040000" w:csb1="00000000"/>
  </w:font>
  <w:font w:name="方正小标宋简体">
    <w:panose1 w:val="02000000000000000000"/>
    <w:charset w:val="86"/>
    <w:family w:val="script"/>
    <w:pitch w:val="default"/>
    <w:sig w:usb0="A00002BF" w:usb1="184F6CFA" w:usb2="00000012" w:usb3="00000000" w:csb0="00040001"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方正仿宋_GBK">
    <w:panose1 w:val="02000000000000000000"/>
    <w:charset w:val="86"/>
    <w:family w:val="auto"/>
    <w:pitch w:val="default"/>
    <w:sig w:usb0="00000001" w:usb1="08000000" w:usb2="00000000" w:usb3="00000000" w:csb0="0004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false"/>
  <w:bordersDoNotSurroundFooter w:val="false"/>
  <w:documentProtection w:enforcement="0"/>
  <w:defaultTabStop w:val="420"/>
  <w:drawingGridVerticalSpacing w:val="156"/>
  <w:displayHorizontalDrawingGridEvery w:val="1"/>
  <w:displayVerticalDrawingGridEvery w:val="1"/>
  <w:noPunctuationKerning w:val="true"/>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NjMjE5NzE1YWU1MDFlNjc5YmIzMDQ2YTg5MmFlOWMifQ=="/>
  </w:docVars>
  <w:rsids>
    <w:rsidRoot w:val="19773528"/>
    <w:rsid w:val="0E841590"/>
    <w:rsid w:val="19773528"/>
    <w:rsid w:val="7EB94F8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autoSpaceDE w:val="0"/>
      <w:autoSpaceDN w:val="0"/>
      <w:spacing w:line="540" w:lineRule="exact"/>
      <w:jc w:val="both"/>
    </w:pPr>
    <w:rPr>
      <w:rFonts w:ascii="Times New Roman" w:hAnsi="Times New Roman" w:eastAsia="仿宋_GB2312" w:cs="Times New Roman"/>
      <w:spacing w:val="6"/>
      <w:kern w:val="2"/>
      <w:sz w:val="31"/>
      <w:lang w:val="en-US" w:eastAsia="zh-CN" w:bidi="ar-SA"/>
    </w:rPr>
  </w:style>
  <w:style w:type="paragraph" w:styleId="4">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Body Text"/>
    <w:basedOn w:val="1"/>
    <w:next w:val="3"/>
    <w:unhideWhenUsed/>
    <w:qFormat/>
    <w:uiPriority w:val="99"/>
    <w:pPr>
      <w:widowControl w:val="0"/>
      <w:spacing w:after="120" w:afterLines="0"/>
      <w:jc w:val="both"/>
    </w:pPr>
    <w:rPr>
      <w:rFonts w:ascii="Calibri" w:hAnsi="Calibri" w:eastAsia="宋体" w:cs="Times New Roman"/>
      <w:kern w:val="2"/>
      <w:sz w:val="21"/>
      <w:szCs w:val="24"/>
      <w:lang w:val="en-US" w:eastAsia="zh-CN" w:bidi="ar-SA"/>
    </w:rPr>
  </w:style>
  <w:style w:type="paragraph" w:styleId="3">
    <w:name w:val="footer"/>
    <w:basedOn w:val="1"/>
    <w:qFormat/>
    <w:uiPriority w:val="0"/>
    <w:pPr>
      <w:tabs>
        <w:tab w:val="center" w:pos="4153"/>
        <w:tab w:val="right" w:pos="8306"/>
      </w:tabs>
      <w:snapToGrid w:val="0"/>
      <w:jc w:val="left"/>
    </w:pPr>
    <w:rPr>
      <w:sz w:val="18"/>
    </w:rPr>
  </w:style>
  <w:style w:type="paragraph" w:styleId="5">
    <w:name w:val="Normal Indent"/>
    <w:basedOn w:val="1"/>
    <w:qFormat/>
    <w:uiPriority w:val="0"/>
    <w:pPr>
      <w:ind w:firstLine="420"/>
    </w:pPr>
  </w:style>
  <w:style w:type="paragraph" w:styleId="6">
    <w:name w:val="Normal (Web)"/>
    <w:basedOn w:val="1"/>
    <w:qFormat/>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false"/>
        </a:gradFill>
        <a:gradFill>
          <a:gsLst>
            <a:gs pos="0">
              <a:schemeClr val="phClr">
                <a:hueOff val="-2520000"/>
              </a:schemeClr>
            </a:gs>
            <a:gs pos="100000">
              <a:schemeClr val="phClr"/>
            </a:gs>
          </a:gsLst>
          <a:lin ang="2700000" scaled="false"/>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true"/>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0</Words>
  <Characters>0</Characters>
  <Lines>0</Lines>
  <Paragraphs>0</Paragraphs>
  <TotalTime>18</TotalTime>
  <ScaleCrop>false</ScaleCrop>
  <LinksUpToDate>false</LinksUpToDate>
  <CharactersWithSpaces>0</CharactersWithSpaces>
  <Application>WPS Office_11.8.2.9980_F1E327BC-269C-435d-A152-05C5408002CA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2025-09-05T16:51:00Z</dcterms:created>
  <dc:creator>hxy</dc:creator>
  <cp:lastModifiedBy>kylin</cp:lastModifiedBy>
  <dcterms:modified xsi:type="dcterms:W3CDTF">2025-10-16T11:37:17Z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2052-11.8.2.9980</vt:lpwstr>
  </property>
  <property fmtid="{D5CDD505-2E9C-101B-9397-08002B2CF9AE}" pid="3" name="ICV">
    <vt:lpwstr>01893A6839EA42E881CFA9AE58984285_11</vt:lpwstr>
  </property>
  <property fmtid="{D5CDD505-2E9C-101B-9397-08002B2CF9AE}" pid="4" name="KSOTemplateDocerSaveRecord">
    <vt:lpwstr>eyJoZGlkIjoiODcwZmY0NjY1ZDA1YmFmMWEzZGQ3NzUxOTMwYTY4ODUiLCJ1c2VySWQiOiIxNDYxNTQ3Mjk5In0=</vt:lpwstr>
  </property>
</Properties>
</file>