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CD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758CA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第四批兰炭及涉兰企业产能认定情况</w:t>
      </w:r>
    </w:p>
    <w:bookmarkEnd w:id="0"/>
    <w:tbl>
      <w:tblPr>
        <w:tblStyle w:val="3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965"/>
        <w:gridCol w:w="3600"/>
        <w:gridCol w:w="1372"/>
        <w:gridCol w:w="2040"/>
      </w:tblGrid>
      <w:tr w14:paraId="24C89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A3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A7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所属</w:t>
            </w:r>
          </w:p>
          <w:p w14:paraId="3517C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县市区</w:t>
            </w:r>
          </w:p>
        </w:tc>
        <w:tc>
          <w:tcPr>
            <w:tcW w:w="2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8C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企业/项目名称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92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认定</w:t>
            </w:r>
          </w:p>
          <w:p w14:paraId="5152E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产能</w:t>
            </w:r>
          </w:p>
          <w:p w14:paraId="14EE933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exact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（万吨/年）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8B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3D5B7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26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677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神木市</w:t>
            </w:r>
          </w:p>
        </w:tc>
        <w:tc>
          <w:tcPr>
            <w:tcW w:w="211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FA5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神木市成元化工有限公司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83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60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14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</w:p>
        </w:tc>
      </w:tr>
      <w:tr w14:paraId="462C2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31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D4F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56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686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神木市</w:t>
            </w:r>
          </w:p>
        </w:tc>
        <w:tc>
          <w:tcPr>
            <w:tcW w:w="211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38C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陕西恒源投资集团煤化工有限公司</w:t>
            </w:r>
          </w:p>
        </w:tc>
        <w:tc>
          <w:tcPr>
            <w:tcW w:w="80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023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default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115</w:t>
            </w:r>
          </w:p>
        </w:tc>
        <w:tc>
          <w:tcPr>
            <w:tcW w:w="11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 w:val="0"/>
            <w:vAlign w:val="center"/>
          </w:tcPr>
          <w:p w14:paraId="08D3C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Style w:val="5"/>
                <w:rFonts w:hint="default" w:ascii="仿宋_GB2312" w:hAnsi="仿宋_GB2312" w:eastAsia="仿宋_GB2312" w:cs="仿宋_GB2312"/>
                <w:b w:val="0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原项目认定产能：60万吨</w:t>
            </w:r>
          </w:p>
        </w:tc>
      </w:tr>
      <w:tr w14:paraId="708BE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31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EB7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66" w:type="pct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BE2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1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08D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0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691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7A3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Style w:val="5"/>
                <w:rFonts w:hint="eastAsia" w:ascii="仿宋_GB2312" w:hAnsi="仿宋_GB2312" w:eastAsia="仿宋_GB2312" w:cs="仿宋_GB2312"/>
                <w:b w:val="0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置换来源：陕西华盐绿能能源有限公司55万吨/年</w:t>
            </w:r>
          </w:p>
        </w:tc>
      </w:tr>
      <w:tr w14:paraId="5CD38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B6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93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佳  县</w:t>
            </w:r>
          </w:p>
        </w:tc>
        <w:tc>
          <w:tcPr>
            <w:tcW w:w="21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3E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陕西华盐绿能能源有限公司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89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55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E0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i w:val="0"/>
                <w:iCs w:val="0"/>
                <w:sz w:val="21"/>
                <w:szCs w:val="21"/>
                <w:lang w:val="en-US" w:eastAsia="zh-CN" w:bidi="ar"/>
              </w:rPr>
              <w:t>产能全部置换给陕西恒源投资集团煤化工有限公司</w:t>
            </w:r>
          </w:p>
        </w:tc>
      </w:tr>
    </w:tbl>
    <w:p w14:paraId="056BF4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18DB0F2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496336"/>
    <w:rsid w:val="3149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character" w:customStyle="1" w:styleId="5">
    <w:name w:val="font51"/>
    <w:basedOn w:val="4"/>
    <w:qFormat/>
    <w:uiPriority w:val="0"/>
    <w:rPr>
      <w:rFonts w:ascii="宋体" w:hAnsi="宋体" w:eastAsia="宋体" w:cs="宋体"/>
      <w:color w:val="000000"/>
      <w:sz w:val="12"/>
      <w:szCs w:val="1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2025-04-01T06:46:00Z</dcterms:created>
  <dc:creator>smery</dc:creator>
  <cp:lastModifiedBy>smery</cp:lastModifiedBy>
  <dcterms:modified xsi:type="dcterms:W3CDTF">2025-04-01T06:46:58Z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A73A3CFA2D75408D82815D29B10F275E_11</vt:lpwstr>
  </property>
  <property fmtid="{D5CDD505-2E9C-101B-9397-08002B2CF9AE}" pid="4" name="KSOTemplateDocerSaveRecord">
    <vt:lpwstr>eyJoZGlkIjoiYzk0MTMxYzg5ZGFmMWI2MzhjYjFhZTQzZmFiNWJjOTEiLCJ1c2VySWQiOiIyMzU1Nzk0OTMifQ==</vt:lpwstr>
  </property>
</Properties>
</file>