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6663"/>
        </w:tabs>
        <w:rPr>
          <w:rFonts w:hint="default" w:ascii="Times New Roman" w:hAnsi="Times New Roman" w:eastAsia="黑体" w:cs="Times New Roman"/>
          <w:sz w:val="32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sz w:val="32"/>
          <w:highlight w:val="none"/>
        </w:rPr>
        <w:t>附件</w:t>
      </w:r>
      <w:r>
        <w:rPr>
          <w:rFonts w:hint="default" w:ascii="Times New Roman" w:hAnsi="Times New Roman" w:eastAsia="黑体" w:cs="Times New Roman"/>
          <w:sz w:val="32"/>
          <w:highlight w:val="none"/>
          <w:lang w:val="en-US" w:eastAsia="zh-CN"/>
        </w:rPr>
        <w:t>2</w:t>
      </w:r>
    </w:p>
    <w:p>
      <w:pPr>
        <w:spacing w:line="60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sz w:val="32"/>
          <w:highlight w:val="none"/>
        </w:rPr>
      </w:pPr>
    </w:p>
    <w:p>
      <w:pPr>
        <w:spacing w:line="360" w:lineRule="auto"/>
        <w:jc w:val="left"/>
        <w:rPr>
          <w:rFonts w:hint="default" w:ascii="Times New Roman" w:hAnsi="Times New Roman" w:eastAsia="仿宋_GB2312" w:cs="Times New Roman"/>
          <w:sz w:val="32"/>
          <w:highlight w:val="none"/>
        </w:rPr>
      </w:pPr>
    </w:p>
    <w:p>
      <w:pPr>
        <w:spacing w:line="360" w:lineRule="auto"/>
        <w:jc w:val="left"/>
        <w:rPr>
          <w:rFonts w:hint="default" w:ascii="Times New Roman" w:hAnsi="Times New Roman" w:eastAsia="仿宋_GB2312" w:cs="Times New Roman"/>
          <w:sz w:val="32"/>
          <w:highlight w:val="none"/>
        </w:rPr>
      </w:pPr>
    </w:p>
    <w:p>
      <w:pPr>
        <w:pStyle w:val="9"/>
        <w:adjustRightInd w:val="0"/>
        <w:spacing w:before="0" w:after="0" w:line="594" w:lineRule="exact"/>
        <w:rPr>
          <w:rFonts w:hint="default" w:ascii="Times New Roman" w:hAnsi="Times New Roman" w:eastAsia="方正小标宋简体" w:cs="Times New Roman"/>
          <w:b w:val="0"/>
          <w:sz w:val="44"/>
          <w:highlight w:val="none"/>
          <w:lang w:val="en-US"/>
        </w:rPr>
      </w:pPr>
      <w:r>
        <w:rPr>
          <w:rFonts w:hint="eastAsia" w:ascii="Times New Roman" w:hAnsi="Times New Roman" w:eastAsia="方正小标宋简体" w:cs="Times New Roman"/>
          <w:b w:val="0"/>
          <w:sz w:val="44"/>
          <w:szCs w:val="22"/>
          <w:highlight w:val="none"/>
          <w:lang w:val="en-US" w:eastAsia="zh-CN"/>
        </w:rPr>
        <w:t>2026年度</w:t>
      </w:r>
      <w:r>
        <w:rPr>
          <w:rFonts w:hint="default" w:ascii="Times New Roman" w:hAnsi="Times New Roman" w:eastAsia="方正小标宋简体" w:cs="Times New Roman"/>
          <w:b w:val="0"/>
          <w:sz w:val="44"/>
          <w:szCs w:val="22"/>
          <w:highlight w:val="none"/>
          <w:lang w:eastAsia="zh-CN"/>
        </w:rPr>
        <w:t>国家绿色</w:t>
      </w:r>
      <w:r>
        <w:rPr>
          <w:rFonts w:hint="eastAsia" w:ascii="Times New Roman" w:hAnsi="Times New Roman" w:eastAsia="方正小标宋简体" w:cs="Times New Roman"/>
          <w:b w:val="0"/>
          <w:sz w:val="44"/>
          <w:szCs w:val="22"/>
          <w:highlight w:val="none"/>
          <w:lang w:eastAsia="zh-CN"/>
        </w:rPr>
        <w:t>算力设施</w:t>
      </w:r>
      <w:r>
        <w:rPr>
          <w:rFonts w:hint="eastAsia" w:ascii="Times New Roman" w:hAnsi="Times New Roman" w:eastAsia="方正小标宋简体" w:cs="Times New Roman"/>
          <w:b w:val="0"/>
          <w:sz w:val="44"/>
          <w:szCs w:val="22"/>
          <w:highlight w:val="none"/>
          <w:lang w:val="en-US" w:eastAsia="zh-CN"/>
        </w:rPr>
        <w:t>自评价报告</w:t>
      </w:r>
    </w:p>
    <w:p>
      <w:pPr>
        <w:spacing w:line="360" w:lineRule="auto"/>
        <w:rPr>
          <w:rFonts w:hint="default" w:ascii="Times New Roman" w:hAnsi="Times New Roman" w:cs="Times New Roman"/>
          <w:highlight w:val="none"/>
        </w:rPr>
      </w:pPr>
    </w:p>
    <w:p>
      <w:pPr>
        <w:spacing w:line="360" w:lineRule="auto"/>
        <w:rPr>
          <w:rFonts w:hint="default" w:ascii="Times New Roman" w:hAnsi="Times New Roman" w:cs="Times New Roman"/>
          <w:sz w:val="32"/>
          <w:highlight w:val="none"/>
        </w:rPr>
      </w:pPr>
    </w:p>
    <w:p>
      <w:pPr>
        <w:spacing w:line="360" w:lineRule="auto"/>
        <w:rPr>
          <w:rFonts w:hint="default" w:ascii="Times New Roman" w:hAnsi="Times New Roman" w:cs="Times New Roman"/>
          <w:sz w:val="32"/>
          <w:highlight w:val="none"/>
        </w:rPr>
      </w:pPr>
    </w:p>
    <w:p>
      <w:pPr>
        <w:spacing w:line="360" w:lineRule="auto"/>
        <w:rPr>
          <w:rFonts w:hint="default" w:ascii="Times New Roman" w:hAnsi="Times New Roman" w:cs="Times New Roman"/>
          <w:sz w:val="32"/>
          <w:highlight w:val="none"/>
        </w:rPr>
      </w:pPr>
    </w:p>
    <w:p>
      <w:pPr>
        <w:spacing w:line="360" w:lineRule="auto"/>
        <w:rPr>
          <w:rFonts w:hint="default" w:ascii="Times New Roman" w:hAnsi="Times New Roman" w:cs="Times New Roman"/>
          <w:sz w:val="32"/>
          <w:highlight w:val="none"/>
        </w:rPr>
      </w:pPr>
    </w:p>
    <w:p>
      <w:pPr>
        <w:spacing w:line="360" w:lineRule="auto"/>
        <w:rPr>
          <w:rFonts w:hint="default" w:ascii="Times New Roman" w:hAnsi="Times New Roman" w:cs="Times New Roman"/>
          <w:sz w:val="32"/>
          <w:highlight w:val="none"/>
        </w:rPr>
      </w:pPr>
    </w:p>
    <w:p>
      <w:pPr>
        <w:spacing w:line="360" w:lineRule="auto"/>
        <w:rPr>
          <w:rFonts w:hint="default" w:ascii="Times New Roman" w:hAnsi="Times New Roman" w:cs="Times New Roman"/>
          <w:sz w:val="32"/>
          <w:highlight w:val="none"/>
        </w:rPr>
      </w:pPr>
    </w:p>
    <w:p>
      <w:pPr>
        <w:spacing w:line="360" w:lineRule="auto"/>
        <w:jc w:val="distribute"/>
        <w:rPr>
          <w:rFonts w:hint="default" w:ascii="Times New Roman" w:hAnsi="Times New Roman" w:eastAsia="楷体_GB2312" w:cs="Times New Roman"/>
          <w:sz w:val="32"/>
          <w:highlight w:val="none"/>
        </w:rPr>
      </w:pPr>
    </w:p>
    <w:tbl>
      <w:tblPr>
        <w:tblStyle w:val="7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0"/>
        <w:gridCol w:w="405"/>
        <w:gridCol w:w="42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3580" w:type="dxa"/>
            <w:noWrap w:val="0"/>
            <w:vAlign w:val="top"/>
          </w:tcPr>
          <w:p>
            <w:pPr>
              <w:jc w:val="distribute"/>
              <w:rPr>
                <w:rFonts w:hint="default" w:ascii="Times New Roman" w:hAnsi="Times New Roman" w:eastAsia="黑体" w:cs="Times New Roman"/>
                <w:sz w:val="3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sz w:val="32"/>
              </w:rPr>
              <w:t>申</w:t>
            </w:r>
            <w:r>
              <w:rPr>
                <w:rFonts w:hint="default" w:ascii="Times New Roman" w:hAnsi="Times New Roman" w:eastAsia="黑体" w:cs="Times New Roman"/>
                <w:sz w:val="32"/>
                <w:lang w:eastAsia="zh-CN"/>
              </w:rPr>
              <w:t>报</w:t>
            </w:r>
            <w:r>
              <w:rPr>
                <w:rFonts w:hint="default" w:ascii="Times New Roman" w:hAnsi="Times New Roman" w:eastAsia="黑体" w:cs="Times New Roman"/>
                <w:sz w:val="32"/>
              </w:rPr>
              <w:t>单位（盖章）</w:t>
            </w:r>
          </w:p>
        </w:tc>
        <w:tc>
          <w:tcPr>
            <w:tcW w:w="405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default" w:ascii="Times New Roman" w:hAnsi="Times New Roman" w:eastAsia="黑体" w:cs="Times New Roman"/>
                <w:sz w:val="3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sz w:val="32"/>
                <w:highlight w:val="none"/>
              </w:rPr>
              <w:t>：</w:t>
            </w:r>
          </w:p>
        </w:tc>
        <w:tc>
          <w:tcPr>
            <w:tcW w:w="4240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default" w:ascii="Times New Roman" w:hAnsi="Times New Roman" w:eastAsia="楷体_GB2312" w:cs="Times New Roman"/>
                <w:sz w:val="3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3580" w:type="dxa"/>
            <w:noWrap w:val="0"/>
            <w:vAlign w:val="top"/>
          </w:tcPr>
          <w:p>
            <w:pPr>
              <w:jc w:val="distribute"/>
              <w:rPr>
                <w:rFonts w:hint="default" w:ascii="Times New Roman" w:hAnsi="Times New Roman" w:eastAsia="黑体" w:cs="Times New Roman"/>
                <w:sz w:val="32"/>
                <w:highlight w:val="none"/>
              </w:rPr>
            </w:pPr>
            <w:r>
              <w:rPr>
                <w:rFonts w:hint="eastAsia" w:ascii="Times New Roman" w:hAnsi="Times New Roman" w:eastAsia="黑体" w:cs="Times New Roman"/>
                <w:sz w:val="32"/>
                <w:lang w:eastAsia="zh-CN"/>
              </w:rPr>
              <w:t>算力设施</w:t>
            </w:r>
            <w:r>
              <w:rPr>
                <w:rFonts w:hint="default" w:ascii="Times New Roman" w:hAnsi="Times New Roman" w:eastAsia="黑体" w:cs="Times New Roman"/>
                <w:sz w:val="32"/>
              </w:rPr>
              <w:t>名称</w:t>
            </w:r>
          </w:p>
        </w:tc>
        <w:tc>
          <w:tcPr>
            <w:tcW w:w="405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default" w:ascii="Times New Roman" w:hAnsi="Times New Roman" w:eastAsia="黑体" w:cs="Times New Roman"/>
                <w:sz w:val="32"/>
                <w:szCs w:val="2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sz w:val="32"/>
                <w:szCs w:val="22"/>
                <w:highlight w:val="none"/>
              </w:rPr>
              <w:t>：</w:t>
            </w:r>
          </w:p>
        </w:tc>
        <w:tc>
          <w:tcPr>
            <w:tcW w:w="4240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default" w:ascii="Times New Roman" w:hAnsi="Times New Roman" w:eastAsia="楷体_GB2312" w:cs="Times New Roman"/>
                <w:sz w:val="3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3580" w:type="dxa"/>
            <w:noWrap w:val="0"/>
            <w:vAlign w:val="top"/>
          </w:tcPr>
          <w:p>
            <w:pPr>
              <w:jc w:val="distribute"/>
              <w:rPr>
                <w:rFonts w:hint="default" w:ascii="Times New Roman" w:hAnsi="Times New Roman" w:eastAsia="黑体" w:cs="Times New Roman"/>
                <w:sz w:val="32"/>
                <w:highlight w:val="none"/>
              </w:rPr>
            </w:pPr>
            <w:r>
              <w:rPr>
                <w:rFonts w:hint="eastAsia" w:ascii="Times New Roman" w:hAnsi="Times New Roman" w:eastAsia="黑体" w:cs="Times New Roman"/>
                <w:sz w:val="32"/>
                <w:lang w:eastAsia="zh-CN"/>
              </w:rPr>
              <w:t>算力设施</w:t>
            </w:r>
            <w:r>
              <w:rPr>
                <w:rFonts w:hint="default" w:ascii="Times New Roman" w:hAnsi="Times New Roman" w:eastAsia="黑体" w:cs="Times New Roman"/>
                <w:sz w:val="32"/>
              </w:rPr>
              <w:t>地址</w:t>
            </w:r>
          </w:p>
        </w:tc>
        <w:tc>
          <w:tcPr>
            <w:tcW w:w="405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default" w:ascii="Times New Roman" w:hAnsi="Times New Roman" w:eastAsia="黑体" w:cs="Times New Roman"/>
                <w:sz w:val="32"/>
                <w:szCs w:val="2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sz w:val="32"/>
                <w:szCs w:val="22"/>
                <w:highlight w:val="none"/>
              </w:rPr>
              <w:t>：</w:t>
            </w:r>
          </w:p>
        </w:tc>
        <w:tc>
          <w:tcPr>
            <w:tcW w:w="4240" w:type="dxa"/>
            <w:noWrap w:val="0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楷体_GB2312" w:cs="Times New Roman"/>
                <w:sz w:val="3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80" w:type="dxa"/>
            <w:noWrap w:val="0"/>
            <w:vAlign w:val="top"/>
          </w:tcPr>
          <w:p>
            <w:pPr>
              <w:jc w:val="distribute"/>
              <w:rPr>
                <w:rFonts w:hint="default" w:ascii="Times New Roman" w:hAnsi="Times New Roman" w:eastAsia="黑体" w:cs="Times New Roman"/>
                <w:sz w:val="32"/>
                <w:szCs w:val="2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sz w:val="32"/>
              </w:rPr>
              <w:t>联系人及手机</w:t>
            </w:r>
          </w:p>
        </w:tc>
        <w:tc>
          <w:tcPr>
            <w:tcW w:w="405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default" w:ascii="Times New Roman" w:hAnsi="Times New Roman" w:eastAsia="黑体" w:cs="Times New Roman"/>
                <w:sz w:val="32"/>
                <w:szCs w:val="2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sz w:val="32"/>
                <w:szCs w:val="22"/>
                <w:highlight w:val="none"/>
              </w:rPr>
              <w:t>：</w:t>
            </w:r>
          </w:p>
        </w:tc>
        <w:tc>
          <w:tcPr>
            <w:tcW w:w="4240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default" w:ascii="Times New Roman" w:hAnsi="Times New Roman" w:eastAsia="楷体_GB2312" w:cs="Times New Roman"/>
                <w:sz w:val="32"/>
                <w:szCs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80" w:type="dxa"/>
            <w:noWrap w:val="0"/>
            <w:vAlign w:val="top"/>
          </w:tcPr>
          <w:p>
            <w:pPr>
              <w:jc w:val="distribute"/>
              <w:rPr>
                <w:rFonts w:hint="default" w:ascii="Times New Roman" w:hAnsi="Times New Roman" w:eastAsia="黑体" w:cs="Times New Roman"/>
                <w:sz w:val="32"/>
                <w:szCs w:val="2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sz w:val="32"/>
              </w:rPr>
              <w:t>电子邮箱</w:t>
            </w:r>
          </w:p>
        </w:tc>
        <w:tc>
          <w:tcPr>
            <w:tcW w:w="405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default" w:ascii="Times New Roman" w:hAnsi="Times New Roman" w:eastAsia="黑体" w:cs="Times New Roman"/>
                <w:sz w:val="32"/>
                <w:szCs w:val="22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sz w:val="32"/>
                <w:szCs w:val="22"/>
                <w:highlight w:val="none"/>
              </w:rPr>
              <w:t>：</w:t>
            </w:r>
          </w:p>
        </w:tc>
        <w:tc>
          <w:tcPr>
            <w:tcW w:w="4240" w:type="dxa"/>
            <w:noWrap w:val="0"/>
            <w:vAlign w:val="top"/>
          </w:tcPr>
          <w:p>
            <w:pPr>
              <w:spacing w:line="360" w:lineRule="auto"/>
              <w:jc w:val="distribute"/>
              <w:rPr>
                <w:rFonts w:hint="default" w:ascii="Times New Roman" w:hAnsi="Times New Roman" w:eastAsia="楷体_GB2312" w:cs="Times New Roman"/>
                <w:sz w:val="32"/>
                <w:szCs w:val="22"/>
                <w:highlight w:val="no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  <w:sz w:val="32"/>
          <w:highlight w:val="none"/>
        </w:rPr>
      </w:pPr>
    </w:p>
    <w:p>
      <w:pPr>
        <w:spacing w:line="360" w:lineRule="auto"/>
        <w:rPr>
          <w:rFonts w:hint="default" w:ascii="Times New Roman" w:hAnsi="Times New Roman" w:cs="Times New Roman"/>
          <w:sz w:val="32"/>
          <w:highlight w:val="none"/>
        </w:rPr>
      </w:pPr>
    </w:p>
    <w:p>
      <w:pPr>
        <w:spacing w:line="360" w:lineRule="auto"/>
        <w:rPr>
          <w:rFonts w:hint="default" w:ascii="Times New Roman" w:hAnsi="Times New Roman" w:cs="Times New Roman"/>
          <w:sz w:val="32"/>
          <w:highlight w:val="none"/>
        </w:rPr>
      </w:pPr>
    </w:p>
    <w:p>
      <w:pPr>
        <w:spacing w:line="360" w:lineRule="auto"/>
        <w:jc w:val="center"/>
        <w:rPr>
          <w:rFonts w:hint="default" w:ascii="Times New Roman" w:hAnsi="Times New Roman" w:eastAsia="楷体_GB2312" w:cs="Times New Roman"/>
          <w:sz w:val="36"/>
          <w:highlight w:val="none"/>
        </w:rPr>
      </w:pPr>
    </w:p>
    <w:p>
      <w:pPr>
        <w:spacing w:line="360" w:lineRule="auto"/>
        <w:jc w:val="center"/>
        <w:rPr>
          <w:rFonts w:hint="default" w:ascii="Times New Roman" w:hAnsi="Times New Roman" w:eastAsia="黑体" w:cs="Times New Roman"/>
          <w:sz w:val="36"/>
          <w:szCs w:val="36"/>
          <w:highlight w:val="none"/>
        </w:rPr>
      </w:pPr>
      <w:r>
        <w:rPr>
          <w:rFonts w:hint="default" w:ascii="Times New Roman" w:hAnsi="Times New Roman" w:eastAsia="黑体" w:cs="Times New Roman"/>
          <w:sz w:val="36"/>
          <w:szCs w:val="36"/>
          <w:highlight w:val="none"/>
          <w:lang w:eastAsia="zh-CN"/>
        </w:rPr>
        <w:t xml:space="preserve"> </w:t>
      </w:r>
      <w:r>
        <w:rPr>
          <w:rFonts w:hint="default" w:ascii="Times New Roman" w:hAnsi="Times New Roman" w:eastAsia="黑体" w:cs="Times New Roman"/>
          <w:sz w:val="36"/>
          <w:szCs w:val="36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sz w:val="36"/>
          <w:szCs w:val="36"/>
          <w:highlight w:val="none"/>
        </w:rPr>
        <w:t xml:space="preserve">  年 </w:t>
      </w:r>
      <w:r>
        <w:rPr>
          <w:rFonts w:hint="default" w:ascii="Times New Roman" w:hAnsi="Times New Roman" w:eastAsia="黑体" w:cs="Times New Roman"/>
          <w:sz w:val="36"/>
          <w:szCs w:val="36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sz w:val="36"/>
          <w:szCs w:val="36"/>
          <w:highlight w:val="none"/>
        </w:rPr>
        <w:t xml:space="preserve"> 月 </w:t>
      </w:r>
      <w:r>
        <w:rPr>
          <w:rFonts w:hint="default" w:ascii="Times New Roman" w:hAnsi="Times New Roman" w:eastAsia="黑体" w:cs="Times New Roman"/>
          <w:sz w:val="36"/>
          <w:szCs w:val="36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黑体" w:cs="Times New Roman"/>
          <w:sz w:val="36"/>
          <w:szCs w:val="36"/>
          <w:highlight w:val="none"/>
        </w:rPr>
        <w:t xml:space="preserve"> 日</w:t>
      </w:r>
    </w:p>
    <w:p>
      <w:pPr>
        <w:pStyle w:val="4"/>
        <w:spacing w:before="240" w:beforeLines="100" w:after="240" w:afterLines="100" w:line="360" w:lineRule="auto"/>
        <w:ind w:left="3154" w:right="3154"/>
        <w:jc w:val="center"/>
        <w:rPr>
          <w:rFonts w:hint="default" w:ascii="Times New Roman" w:hAnsi="Times New Roman" w:eastAsia="黑体" w:cs="Times New Roman"/>
          <w:sz w:val="36"/>
          <w:szCs w:val="36"/>
          <w:highlight w:val="none"/>
        </w:rPr>
        <w:sectPr>
          <w:footerReference r:id="rId4" w:type="default"/>
          <w:headerReference r:id="rId3" w:type="even"/>
          <w:footerReference r:id="rId5" w:type="even"/>
          <w:pgSz w:w="11910" w:h="16840"/>
          <w:pgMar w:top="1440" w:right="1800" w:bottom="1440" w:left="1800" w:header="720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>
      <w:pPr>
        <w:pStyle w:val="3"/>
        <w:pageBreakBefore w:val="0"/>
        <w:widowControl w:val="0"/>
        <w:tabs>
          <w:tab w:val="left" w:pos="1418"/>
        </w:tabs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0" w:firstLineChars="0"/>
        <w:jc w:val="center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6"/>
          <w:szCs w:val="48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6"/>
          <w:szCs w:val="48"/>
          <w:highlight w:val="none"/>
          <w:lang w:eastAsia="zh-CN"/>
        </w:rPr>
        <w:t>一、申报材料要求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default" w:ascii="Times New Roman" w:hAnsi="Times New Roman" w:cs="Times New Roman"/>
          <w:sz w:val="32"/>
          <w:szCs w:val="32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sz w:val="32"/>
          <w:szCs w:val="32"/>
        </w:rPr>
        <w:t>申报单位须按格式要求编写</w:t>
      </w:r>
      <w:r>
        <w:rPr>
          <w:rFonts w:hint="default" w:ascii="Times New Roman" w:hAnsi="Times New Roman" w:eastAsia="仿宋" w:cs="Times New Roman"/>
          <w:b w:val="0"/>
          <w:sz w:val="32"/>
          <w:szCs w:val="32"/>
          <w:highlight w:val="none"/>
          <w:lang w:eastAsia="zh-CN"/>
        </w:rPr>
        <w:t>国家绿色算力设施</w:t>
      </w:r>
      <w:r>
        <w:rPr>
          <w:rFonts w:hint="default" w:ascii="Times New Roman" w:hAnsi="Times New Roman" w:eastAsia="仿宋" w:cs="Times New Roman"/>
          <w:b w:val="0"/>
          <w:sz w:val="32"/>
          <w:szCs w:val="32"/>
          <w:highlight w:val="none"/>
          <w:lang w:val="en-US" w:eastAsia="zh-CN"/>
        </w:rPr>
        <w:t>自评价报告</w:t>
      </w:r>
      <w:r>
        <w:rPr>
          <w:rFonts w:hint="default" w:ascii="Times New Roman" w:hAnsi="Times New Roman" w:eastAsia="仿宋" w:cs="Times New Roman"/>
          <w:sz w:val="32"/>
          <w:szCs w:val="32"/>
        </w:rPr>
        <w:t>并附相关证明材料。所有申报材料不予退回。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" w:cs="Times New Roman"/>
          <w:sz w:val="32"/>
          <w:szCs w:val="32"/>
        </w:rPr>
        <w:t>申报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单位</w:t>
      </w:r>
      <w:r>
        <w:rPr>
          <w:rFonts w:hint="default" w:ascii="Times New Roman" w:hAnsi="Times New Roman" w:eastAsia="仿宋" w:cs="Times New Roman"/>
          <w:sz w:val="32"/>
          <w:szCs w:val="32"/>
        </w:rPr>
        <w:t>应</w:t>
      </w:r>
      <w:r>
        <w:rPr>
          <w:rFonts w:hint="default" w:ascii="Times New Roman" w:hAnsi="Times New Roman" w:eastAsia="仿宋" w:cs="Times New Roman"/>
          <w:i w:val="0"/>
          <w:iCs w:val="0"/>
          <w:caps w:val="0"/>
          <w:spacing w:val="0"/>
          <w:sz w:val="32"/>
          <w:szCs w:val="32"/>
        </w:rPr>
        <w:t>确保申报材料不涉及国家秘密、商业秘密</w:t>
      </w:r>
      <w:r>
        <w:rPr>
          <w:rFonts w:hint="default" w:ascii="Times New Roman" w:hAnsi="Times New Roman" w:eastAsia="仿宋" w:cs="Times New Roman"/>
          <w:i w:val="0"/>
          <w:iCs w:val="0"/>
          <w:caps w:val="0"/>
          <w:spacing w:val="0"/>
          <w:sz w:val="32"/>
          <w:szCs w:val="32"/>
          <w:lang w:eastAsia="zh-CN"/>
        </w:rPr>
        <w:t>。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" w:cs="Times New Roman"/>
          <w:sz w:val="32"/>
          <w:szCs w:val="32"/>
        </w:rPr>
        <w:t>“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申报</w:t>
      </w:r>
      <w:r>
        <w:rPr>
          <w:rFonts w:hint="default" w:ascii="Times New Roman" w:hAnsi="Times New Roman" w:eastAsia="仿宋" w:cs="Times New Roman"/>
          <w:sz w:val="32"/>
          <w:szCs w:val="32"/>
        </w:rPr>
        <w:t>单位”应填写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单位</w:t>
      </w:r>
      <w:r>
        <w:rPr>
          <w:rFonts w:hint="default" w:ascii="Times New Roman" w:hAnsi="Times New Roman" w:eastAsia="仿宋" w:cs="Times New Roman"/>
          <w:sz w:val="32"/>
          <w:szCs w:val="32"/>
        </w:rPr>
        <w:t>全称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，并与公章内容一致。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如所申报算力设施为某算力设施园区内的一部分，申报算力设施名称中应包含对该部分的明确界定，如：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XX算力设施园区1号算力设施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。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5.所选用</w:t>
      </w:r>
      <w:r>
        <w:rPr>
          <w:rFonts w:hint="default" w:ascii="Times New Roman" w:hAnsi="Times New Roman" w:eastAsia="仿宋" w:cs="Times New Roman"/>
          <w:sz w:val="32"/>
          <w:szCs w:val="32"/>
        </w:rPr>
        <w:t>证明材料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应与需证明事项直接相关，且确有佐证效果。</w:t>
      </w:r>
      <w:r>
        <w:rPr>
          <w:rFonts w:hint="default" w:ascii="Times New Roman" w:hAnsi="Times New Roman" w:eastAsia="仿宋" w:cs="Times New Roman"/>
          <w:sz w:val="32"/>
          <w:szCs w:val="32"/>
        </w:rPr>
        <w:t>如证明材料篇幅较多，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仅需</w:t>
      </w:r>
      <w:r>
        <w:rPr>
          <w:rFonts w:hint="default" w:ascii="Times New Roman" w:hAnsi="Times New Roman" w:eastAsia="仿宋" w:cs="Times New Roman"/>
          <w:sz w:val="32"/>
          <w:szCs w:val="32"/>
        </w:rPr>
        <w:t>提供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包括关键信息的</w:t>
      </w:r>
      <w:r>
        <w:rPr>
          <w:rFonts w:hint="default" w:ascii="Times New Roman" w:hAnsi="Times New Roman" w:eastAsia="仿宋" w:cs="Times New Roman"/>
          <w:sz w:val="32"/>
          <w:szCs w:val="32"/>
        </w:rPr>
        <w:t>必要部分。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b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6.</w:t>
      </w:r>
      <w:r>
        <w:rPr>
          <w:rFonts w:hint="default" w:ascii="Times New Roman" w:hAnsi="Times New Roman" w:eastAsia="仿宋" w:cs="Times New Roman"/>
          <w:sz w:val="32"/>
          <w:szCs w:val="32"/>
        </w:rPr>
        <w:t>申报材料纸质版采用A4纸打印，并逐页标注页码，于左侧胶装成册并加盖公章和骑缝章。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同一算力设施申报材料不得分册装订，</w:t>
      </w:r>
      <w:r>
        <w:rPr>
          <w:rFonts w:hint="default" w:ascii="Times New Roman" w:hAnsi="Times New Roman" w:eastAsia="仿宋" w:cs="Times New Roman"/>
          <w:sz w:val="32"/>
          <w:szCs w:val="32"/>
        </w:rPr>
        <w:t>不同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算力设施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申报材料</w:t>
      </w:r>
      <w:r>
        <w:rPr>
          <w:rFonts w:hint="default" w:ascii="Times New Roman" w:hAnsi="Times New Roman" w:eastAsia="仿宋" w:cs="Times New Roman"/>
          <w:sz w:val="32"/>
          <w:szCs w:val="32"/>
        </w:rPr>
        <w:t>应分别装订。电子版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为</w:t>
      </w:r>
      <w:r>
        <w:rPr>
          <w:rFonts w:hint="default" w:ascii="Times New Roman" w:hAnsi="Times New Roman" w:eastAsia="仿宋" w:cs="Times New Roman"/>
          <w:b w:val="0"/>
          <w:sz w:val="32"/>
          <w:szCs w:val="32"/>
          <w:highlight w:val="none"/>
          <w:lang w:val="en-US" w:eastAsia="zh-CN"/>
        </w:rPr>
        <w:t>自评价报告</w:t>
      </w:r>
      <w:r>
        <w:rPr>
          <w:rFonts w:hint="default" w:ascii="Times New Roman" w:hAnsi="Times New Roman" w:eastAsia="仿宋" w:cs="Times New Roman"/>
          <w:sz w:val="32"/>
          <w:szCs w:val="32"/>
        </w:rPr>
        <w:t>的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原始文档文件</w:t>
      </w:r>
      <w:r>
        <w:rPr>
          <w:rFonts w:hint="default" w:ascii="Times New Roman" w:hAnsi="Times New Roman" w:eastAsia="仿宋" w:cs="Times New Roman"/>
          <w:sz w:val="32"/>
          <w:szCs w:val="32"/>
        </w:rPr>
        <w:t>以及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加盖公章和骑缝章后</w:t>
      </w:r>
      <w:r>
        <w:rPr>
          <w:rFonts w:hint="default" w:ascii="Times New Roman" w:hAnsi="Times New Roman" w:eastAsia="仿宋" w:cs="Times New Roman"/>
          <w:sz w:val="32"/>
          <w:szCs w:val="32"/>
        </w:rPr>
        <w:t>全套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纸质版</w:t>
      </w:r>
      <w:r>
        <w:rPr>
          <w:rFonts w:hint="default" w:ascii="Times New Roman" w:hAnsi="Times New Roman" w:eastAsia="仿宋" w:cs="Times New Roman"/>
          <w:b w:val="0"/>
          <w:sz w:val="32"/>
          <w:szCs w:val="32"/>
          <w:highlight w:val="none"/>
          <w:lang w:val="en-US" w:eastAsia="zh-CN"/>
        </w:rPr>
        <w:t>自评价报告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</w:rPr>
        <w:t>含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证明材料）</w:t>
      </w:r>
      <w:r>
        <w:rPr>
          <w:rFonts w:hint="default" w:ascii="Times New Roman" w:hAnsi="Times New Roman" w:eastAsia="仿宋" w:cs="Times New Roman"/>
          <w:sz w:val="32"/>
          <w:szCs w:val="32"/>
        </w:rPr>
        <w:t>逐页扫描内容的单一PDF格式文件。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jc w:val="both"/>
        <w:textAlignment w:val="auto"/>
        <w:rPr>
          <w:rFonts w:hint="default" w:ascii="Times New Roman" w:hAnsi="Times New Roman" w:eastAsia="仿宋" w:cs="Times New Roman"/>
          <w:b/>
          <w:sz w:val="32"/>
          <w:szCs w:val="32"/>
          <w:highlight w:val="none"/>
        </w:rPr>
        <w:sectPr>
          <w:headerReference r:id="rId6" w:type="default"/>
          <w:footerReference r:id="rId8" w:type="default"/>
          <w:headerReference r:id="rId7" w:type="even"/>
          <w:footerReference r:id="rId9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>
      <w:pPr>
        <w:pStyle w:val="3"/>
        <w:pageBreakBefore w:val="0"/>
        <w:widowControl w:val="0"/>
        <w:numPr>
          <w:ilvl w:val="0"/>
          <w:numId w:val="0"/>
        </w:numPr>
        <w:tabs>
          <w:tab w:val="left" w:pos="1418"/>
        </w:tabs>
        <w:kinsoku/>
        <w:overflowPunct/>
        <w:topLinePunct w:val="0"/>
        <w:autoSpaceDE/>
        <w:autoSpaceDN/>
        <w:bidi w:val="0"/>
        <w:snapToGrid/>
        <w:spacing w:beforeAutospacing="0" w:afterAutospacing="0" w:line="600" w:lineRule="exact"/>
        <w:jc w:val="center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z w:val="36"/>
          <w:szCs w:val="36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z w:val="36"/>
          <w:szCs w:val="36"/>
          <w:highlight w:val="none"/>
          <w:lang w:eastAsia="zh-CN"/>
        </w:rPr>
        <w:t>二、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6"/>
          <w:szCs w:val="36"/>
          <w:highlight w:val="none"/>
        </w:rPr>
        <w:t>申报单位</w:t>
      </w:r>
      <w:r>
        <w:rPr>
          <w:rFonts w:hint="default" w:ascii="Times New Roman" w:hAnsi="Times New Roman" w:eastAsia="黑体" w:cs="Times New Roman"/>
          <w:b w:val="0"/>
          <w:bCs/>
          <w:color w:val="auto"/>
          <w:sz w:val="36"/>
          <w:szCs w:val="36"/>
          <w:highlight w:val="none"/>
          <w:lang w:eastAsia="zh-CN"/>
        </w:rPr>
        <w:t>承诺书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78" w:firstLineChars="212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22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78" w:firstLineChars="212"/>
        <w:jc w:val="both"/>
        <w:textAlignment w:val="auto"/>
        <w:outlineLvl w:val="9"/>
        <w:rPr>
          <w:rFonts w:hint="default" w:ascii="Times New Roman" w:hAnsi="Times New Roman" w:eastAsia="仿宋" w:cs="Times New Roman"/>
          <w:i w:val="0"/>
          <w:iCs w:val="0"/>
          <w:caps w:val="0"/>
          <w:color w:val="070707"/>
          <w:spacing w:val="0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22"/>
        </w:rPr>
        <w:t>我单位近三年无安全（含网络安全、数据安全）、质量、环境污染等事故以及节能、环保、偷漏税等违法违规行为（以“信用中国”和“国家企业信用信息公示系统”为准），在国务院及有关部门相关督查工作中未发现存在严重问题，未被列入节能监察整改名单、失信被执行人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78" w:firstLineChars="212"/>
        <w:jc w:val="both"/>
        <w:textAlignment w:val="auto"/>
        <w:outlineLvl w:val="9"/>
        <w:rPr>
          <w:rFonts w:hint="default" w:ascii="Times New Roman" w:hAnsi="Times New Roman" w:eastAsia="仿宋" w:cs="Times New Roman"/>
          <w:i w:val="0"/>
          <w:iCs w:val="0"/>
          <w:caps w:val="0"/>
          <w:color w:val="070707"/>
          <w:spacing w:val="0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070707"/>
          <w:sz w:val="32"/>
          <w:szCs w:val="32"/>
        </w:rPr>
        <w:t>我单位郑重承诺</w:t>
      </w:r>
      <w:r>
        <w:rPr>
          <w:rFonts w:hint="default" w:ascii="Times New Roman" w:hAnsi="Times New Roman" w:eastAsia="仿宋" w:cs="Times New Roman"/>
          <w:color w:val="auto"/>
          <w:sz w:val="32"/>
          <w:szCs w:val="22"/>
        </w:rPr>
        <w:t>：</w:t>
      </w:r>
      <w:r>
        <w:rPr>
          <w:rFonts w:hint="default" w:ascii="Times New Roman" w:hAnsi="Times New Roman" w:eastAsia="仿宋" w:cs="Times New Roman"/>
          <w:color w:val="070707"/>
          <w:sz w:val="32"/>
          <w:szCs w:val="32"/>
        </w:rPr>
        <w:t>本次申报所提交的相关数据和信息均真实、准确、有效，愿接受并积极配合主管部门的监督抽查和核验。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78" w:firstLineChars="212"/>
        <w:jc w:val="both"/>
        <w:textAlignment w:val="auto"/>
        <w:outlineLvl w:val="9"/>
        <w:rPr>
          <w:rFonts w:hint="default" w:ascii="Times New Roman" w:hAnsi="Times New Roman" w:eastAsia="仿宋" w:cs="Times New Roman"/>
          <w:color w:val="070707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2937" w:firstLineChars="918"/>
        <w:jc w:val="both"/>
        <w:textAlignment w:val="auto"/>
        <w:outlineLvl w:val="9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070707"/>
          <w:sz w:val="32"/>
          <w:szCs w:val="32"/>
        </w:rPr>
        <w:t>负责人签字：</w:t>
      </w:r>
      <w:r>
        <w:rPr>
          <w:rFonts w:hint="default" w:ascii="Times New Roman" w:hAnsi="Times New Roman" w:eastAsia="仿宋" w:cs="Times New Roman"/>
          <w:color w:val="070707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" w:cs="Times New Roman"/>
          <w:color w:val="070707"/>
          <w:sz w:val="32"/>
          <w:szCs w:val="32"/>
        </w:rPr>
        <w:t xml:space="preserve">                     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78" w:firstLineChars="212"/>
        <w:jc w:val="both"/>
        <w:textAlignment w:val="auto"/>
        <w:outlineLvl w:val="9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78" w:firstLineChars="212"/>
        <w:jc w:val="both"/>
        <w:textAlignment w:val="auto"/>
        <w:outlineLvl w:val="9"/>
        <w:rPr>
          <w:rFonts w:hint="default" w:ascii="Times New Roman" w:hAnsi="Times New Roman" w:eastAsia="仿宋" w:cs="Times New Roman"/>
          <w:color w:val="auto"/>
          <w:sz w:val="32"/>
          <w:szCs w:val="32"/>
          <w:lang w:val="en-US"/>
        </w:rPr>
      </w:pPr>
      <w:r>
        <w:rPr>
          <w:rFonts w:hint="default" w:ascii="Times New Roman" w:hAnsi="Times New Roman" w:eastAsia="仿宋" w:cs="Times New Roman"/>
          <w:color w:val="070707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color w:val="070707"/>
          <w:sz w:val="32"/>
          <w:szCs w:val="32"/>
          <w:lang w:eastAsia="zh-CN"/>
        </w:rPr>
        <w:t>申报单位名称（盖章）：</w:t>
      </w:r>
      <w:r>
        <w:rPr>
          <w:rFonts w:hint="default" w:ascii="Times New Roman" w:hAnsi="Times New Roman" w:eastAsia="仿宋" w:cs="Times New Roman"/>
          <w:color w:val="070707"/>
          <w:sz w:val="32"/>
          <w:szCs w:val="32"/>
          <w:lang w:val="en-US" w:eastAsia="zh-CN"/>
        </w:rPr>
        <w:t xml:space="preserve">            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78" w:firstLineChars="212"/>
        <w:jc w:val="both"/>
        <w:textAlignment w:val="auto"/>
        <w:outlineLvl w:val="9"/>
        <w:rPr>
          <w:rFonts w:hint="default" w:ascii="Times New Roman" w:hAnsi="Times New Roman" w:eastAsia="仿宋" w:cs="Times New Roman"/>
          <w:b w:val="0"/>
          <w:bCs w:val="0"/>
          <w:color w:val="070707"/>
          <w:sz w:val="32"/>
          <w:szCs w:val="32"/>
        </w:rPr>
      </w:pPr>
    </w:p>
    <w:p>
      <w:pPr>
        <w:adjustRightInd w:val="0"/>
        <w:ind w:firstLine="678" w:firstLineChars="212"/>
        <w:outlineLvl w:val="9"/>
        <w:rPr>
          <w:rFonts w:hint="default" w:ascii="Times New Roman" w:hAnsi="Times New Roman" w:eastAsia="仿宋" w:cs="Times New Roman"/>
          <w:b w:val="0"/>
          <w:color w:val="070707"/>
          <w:sz w:val="32"/>
          <w:szCs w:val="32"/>
        </w:rPr>
        <w:sectPr>
          <w:headerReference r:id="rId10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rPr>
          <w:rFonts w:hint="default" w:ascii="Times New Roman" w:hAnsi="Times New Roman" w:eastAsia="仿宋" w:cs="Times New Roman"/>
          <w:b w:val="0"/>
          <w:bCs w:val="0"/>
          <w:color w:val="070707"/>
          <w:sz w:val="32"/>
          <w:szCs w:val="32"/>
        </w:rPr>
        <w:t xml:space="preserve">                             年     月     日</w:t>
      </w:r>
    </w:p>
    <w:p>
      <w:pPr>
        <w:pStyle w:val="3"/>
        <w:pageBreakBefore w:val="0"/>
        <w:widowControl/>
        <w:numPr>
          <w:ilvl w:val="0"/>
          <w:numId w:val="0"/>
        </w:numPr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申报单位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基本信息表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  <w:lang w:val="en-US" w:eastAsia="zh-CN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5" w:type="dxa"/>
          <w:left w:w="23" w:type="dxa"/>
          <w:bottom w:w="85" w:type="dxa"/>
          <w:right w:w="23" w:type="dxa"/>
        </w:tblCellMar>
      </w:tblPr>
      <w:tblGrid>
        <w:gridCol w:w="2807"/>
        <w:gridCol w:w="1271"/>
        <w:gridCol w:w="691"/>
        <w:gridCol w:w="1386"/>
        <w:gridCol w:w="749"/>
        <w:gridCol w:w="2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152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  <w:t>申报单位名称</w:t>
            </w:r>
          </w:p>
        </w:tc>
        <w:tc>
          <w:tcPr>
            <w:tcW w:w="61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152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统一社会信用代码</w:t>
            </w:r>
          </w:p>
        </w:tc>
        <w:tc>
          <w:tcPr>
            <w:tcW w:w="61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152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注册地址</w:t>
            </w:r>
          </w:p>
        </w:tc>
        <w:tc>
          <w:tcPr>
            <w:tcW w:w="61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152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联系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  <w:t>地址</w:t>
            </w:r>
          </w:p>
        </w:tc>
        <w:tc>
          <w:tcPr>
            <w:tcW w:w="61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152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负责人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手机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152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联系人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手机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152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  <w:t>电子邮件</w:t>
            </w:r>
          </w:p>
        </w:tc>
        <w:tc>
          <w:tcPr>
            <w:tcW w:w="33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  <w:t>传真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152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单位性质</w:t>
            </w:r>
          </w:p>
        </w:tc>
        <w:tc>
          <w:tcPr>
            <w:tcW w:w="61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□政府部门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国有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独资或控股企业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 xml:space="preserve"> □民营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企业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 xml:space="preserve"> □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外资或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合资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企业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□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高等院校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 xml:space="preserve"> □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 xml:space="preserve">科研院所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□金融机构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90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主营业务</w:t>
            </w:r>
          </w:p>
        </w:tc>
        <w:tc>
          <w:tcPr>
            <w:tcW w:w="61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90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近三年主营业务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  <w:t>总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收入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  <w:t>（万元）</w:t>
            </w:r>
          </w:p>
        </w:tc>
        <w:tc>
          <w:tcPr>
            <w:tcW w:w="61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90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近三年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  <w:t>总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净利润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  <w:t>（万元）</w:t>
            </w:r>
          </w:p>
        </w:tc>
        <w:tc>
          <w:tcPr>
            <w:tcW w:w="61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90" w:hRule="atLeast"/>
          <w:jc w:val="center"/>
        </w:trPr>
        <w:tc>
          <w:tcPr>
            <w:tcW w:w="280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已获颁增值电信业务经营许可情况</w:t>
            </w:r>
          </w:p>
        </w:tc>
        <w:tc>
          <w:tcPr>
            <w:tcW w:w="61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（许可证类别、颁发机关、许可证号、有效期等情况）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1447" w:hRule="atLeast"/>
          <w:jc w:val="center"/>
        </w:trPr>
        <w:tc>
          <w:tcPr>
            <w:tcW w:w="2807" w:type="dxa"/>
            <w:noWrap w:val="0"/>
            <w:vAlign w:val="center"/>
          </w:tcPr>
          <w:p>
            <w:pPr>
              <w:widowControl w:val="0"/>
              <w:adjustRightInd w:val="0"/>
              <w:snapToGrid w:val="0"/>
              <w:spacing w:line="240" w:lineRule="auto"/>
              <w:ind w:firstLine="0" w:firstLineChars="0"/>
              <w:jc w:val="center"/>
              <w:outlineLvl w:val="9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申报单位</w:t>
            </w: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none"/>
              </w:rPr>
              <w:t>简介</w:t>
            </w:r>
          </w:p>
        </w:tc>
        <w:tc>
          <w:tcPr>
            <w:tcW w:w="6192" w:type="dxa"/>
            <w:gridSpan w:val="5"/>
            <w:noWrap w:val="0"/>
            <w:vAlign w:val="center"/>
          </w:tcPr>
          <w:p>
            <w:pPr>
              <w:widowControl w:val="0"/>
              <w:adjustRightInd w:val="0"/>
              <w:snapToGrid w:val="0"/>
              <w:spacing w:line="240" w:lineRule="auto"/>
              <w:ind w:firstLine="0" w:firstLineChars="0"/>
              <w:jc w:val="both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  <w:t>基本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情况、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  <w:t>经营情况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  <w:t>技术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研发及服务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  <w:t>能力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在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  <w:t>算力设施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领域开展业务情况，人员规模，业务模式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</w:rPr>
              <w:t>等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，不超过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300字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5" w:type="dxa"/>
            <w:left w:w="23" w:type="dxa"/>
            <w:bottom w:w="85" w:type="dxa"/>
            <w:right w:w="23" w:type="dxa"/>
          </w:tblCellMar>
        </w:tblPrEx>
        <w:trPr>
          <w:cantSplit/>
          <w:trHeight w:val="1447" w:hRule="atLeast"/>
          <w:jc w:val="center"/>
        </w:trPr>
        <w:tc>
          <w:tcPr>
            <w:tcW w:w="280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  <w:t>算力设施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产权情况</w:t>
            </w:r>
          </w:p>
        </w:tc>
        <w:tc>
          <w:tcPr>
            <w:tcW w:w="6192" w:type="dxa"/>
            <w:gridSpan w:val="5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  <w:t>所申报算力设施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资产权属构成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  <w:t>，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申报单位与申报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  <w:t>算力设施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产权权属关系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lang w:eastAsia="zh-CN"/>
              </w:rPr>
              <w:t>等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</w:rPr>
              <w:t>）</w:t>
            </w:r>
          </w:p>
        </w:tc>
      </w:tr>
    </w:tbl>
    <w:p>
      <w:pPr>
        <w:rPr>
          <w:rFonts w:hint="default" w:ascii="Times New Roman" w:hAnsi="Times New Roman" w:eastAsia="仿宋" w:cs="Times New Roman"/>
          <w:lang w:val="en-US" w:eastAsia="zh-CN"/>
        </w:rPr>
      </w:pPr>
    </w:p>
    <w:p>
      <w:pPr>
        <w:rPr>
          <w:rFonts w:hint="default" w:ascii="Times New Roman" w:hAnsi="Times New Roman" w:cs="Times New Roman"/>
          <w:lang w:val="en-US" w:eastAsia="zh-CN"/>
        </w:rPr>
        <w:sectPr>
          <w:headerReference r:id="rId11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pStyle w:val="3"/>
        <w:pageBreakBefore w:val="0"/>
        <w:widowControl w:val="0"/>
        <w:tabs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申报算力设施基本信息表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  <w:lang w:eastAsia="zh-CN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995"/>
        <w:gridCol w:w="1447"/>
        <w:gridCol w:w="59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8397" w:type="dxa"/>
            <w:gridSpan w:val="3"/>
            <w:noWrap w:val="0"/>
            <w:vAlign w:val="center"/>
          </w:tcPr>
          <w:p>
            <w:pPr>
              <w:widowControl/>
              <w:spacing w:line="360" w:lineRule="auto"/>
              <w:rPr>
                <w:rFonts w:hint="default" w:ascii="Times New Roman" w:hAnsi="Times New Roman" w:eastAsia="黑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  <w:kern w:val="0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kern w:val="0"/>
                <w:sz w:val="24"/>
                <w:szCs w:val="24"/>
                <w:lang w:eastAsia="zh-CN"/>
              </w:rPr>
              <w:t>一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kern w:val="0"/>
                <w:sz w:val="24"/>
                <w:szCs w:val="24"/>
              </w:rPr>
              <w:t>）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kern w:val="0"/>
                <w:sz w:val="24"/>
                <w:szCs w:val="24"/>
                <w:lang w:eastAsia="zh-CN"/>
              </w:rPr>
              <w:t>算力设施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kern w:val="0"/>
                <w:sz w:val="24"/>
                <w:szCs w:val="24"/>
              </w:rPr>
              <w:t>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算力设施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名称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所在省份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所在市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所在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县（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区）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具体地址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078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位置属性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□京津冀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枢纽节点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□长三角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枢纽节点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□粤港澳大湾区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枢纽节点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□成渝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枢纽节点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□贵州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枢纽节点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□内蒙古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枢纽节点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□甘肃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枢纽节点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□宁夏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枢纽节点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□青海算电协同试点区域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□新疆算电协同试点区域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□黑龙江算电协同试点区域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highlight w:val="none"/>
                <w:lang w:eastAsia="zh-CN"/>
              </w:rPr>
              <w:t>完成审批、备案时间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开工建设时间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投入使用时间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算力设施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业务模式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□机柜租赁 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算力服务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 xml:space="preserve"> □自用 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其他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u w:val="single"/>
              </w:rPr>
              <w:t>（请注明）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22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所属领域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工业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□信息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通信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能源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互联网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金融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公共机构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所属类型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智算设施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□通</w:t>
            </w: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算设施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□超算</w:t>
            </w: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建筑形式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 xml:space="preserve">□多栋建筑 □独立建筑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建筑的一部分</w:t>
            </w:r>
            <w:bookmarkStart w:id="0" w:name="OLE_LINK26"/>
            <w:bookmarkStart w:id="1" w:name="OLE_LINK25"/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 xml:space="preserve"> </w:t>
            </w:r>
            <w:bookmarkEnd w:id="0"/>
            <w:bookmarkEnd w:id="1"/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其他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u w:val="single"/>
              </w:rPr>
              <w:t>（请注明）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设计单位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算力设施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总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建筑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面积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（平方米）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Style w:val="10"/>
              <w:snapToGrid w:val="0"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（包含机房和所有配套设施）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机房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总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面积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（平方米）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Style w:val="10"/>
              <w:snapToGrid w:val="0"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（安装机柜部分建筑面积）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设计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可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安装机柜总数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个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物理机柜数量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实际安装机柜数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（个）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（物理机柜数量）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有效应用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机柜总数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（个）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（物理机柜数量）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全部已安装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机柜折合标准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机架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总数（个）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（换算成标准机架数）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机柜资源利用率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（上架率）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（%）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4" w:hRule="atLeast"/>
          <w:jc w:val="center"/>
        </w:trPr>
        <w:tc>
          <w:tcPr>
            <w:tcW w:w="995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eastAsia="zh-CN"/>
              </w:rPr>
              <w:t>《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绿色算力设施评价》（GB/T 44989—2024）等级</w:t>
            </w:r>
          </w:p>
        </w:tc>
        <w:tc>
          <w:tcPr>
            <w:tcW w:w="1447" w:type="dxa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“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能源资源高效利用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”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指标得分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4" w:hRule="atLeast"/>
          <w:jc w:val="center"/>
        </w:trPr>
        <w:tc>
          <w:tcPr>
            <w:tcW w:w="995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447" w:type="dxa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“绿色设计”指标得分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4" w:hRule="atLeast"/>
          <w:jc w:val="center"/>
        </w:trPr>
        <w:tc>
          <w:tcPr>
            <w:tcW w:w="995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447" w:type="dxa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eastAsia="zh-CN"/>
              </w:rPr>
              <w:t>“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绿色采购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eastAsia="zh-CN"/>
              </w:rPr>
              <w:t>”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指标得分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4" w:hRule="atLeast"/>
          <w:jc w:val="center"/>
        </w:trPr>
        <w:tc>
          <w:tcPr>
            <w:tcW w:w="995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47" w:type="dxa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“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绿色运维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”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指标得分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4" w:hRule="atLeast"/>
          <w:jc w:val="center"/>
        </w:trPr>
        <w:tc>
          <w:tcPr>
            <w:tcW w:w="995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447" w:type="dxa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“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</w:rPr>
              <w:t>绿色服务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/>
              </w:rPr>
              <w:t>”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指标得分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4" w:hRule="atLeast"/>
          <w:jc w:val="center"/>
        </w:trPr>
        <w:tc>
          <w:tcPr>
            <w:tcW w:w="995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447" w:type="dxa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总得分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4" w:hRule="atLeast"/>
          <w:jc w:val="center"/>
        </w:trPr>
        <w:tc>
          <w:tcPr>
            <w:tcW w:w="995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47" w:type="dxa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aps w:val="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等级水平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总耗电量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（千瓦时）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信息设备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耗电量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（千瓦时）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设计电能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利用效率（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PUE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实际电能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利用效率（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PUE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服务器总台数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2级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及节能水平服务器台数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2442" w:type="dxa"/>
            <w:gridSpan w:val="2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1级及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先进水平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服务器台数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2442" w:type="dxa"/>
            <w:gridSpan w:val="2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服务器能效水平评价依据标准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362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可再生能源</w:t>
            </w: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电力使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用量（千瓦时）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可再生能源电量占比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（%）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所在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省（自治区、直辖市）可再生能源电力消纳责任权重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通用算力设备计算能力理论峰值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总和（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FLOPS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智能算力设备计算能力理论峰值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总和（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FLOPS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超级计算设备计算能力理论峰值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总和（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FLOPS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算力设施计算能力理论峰值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FLOPS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4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算力单位电能消耗产出效益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（元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/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千瓦时）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362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余热余能回收利用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系统形式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热泵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 xml:space="preserve"> 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无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□其他（请注明）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算力设施温室气体全年排放总量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kgCO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e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碳利用效率（CUE）</w:t>
            </w: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kgCO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e/kW·h</w:t>
            </w: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全年水资源消耗量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（升）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35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水资源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利用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效率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WUE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升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/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千瓦时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1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非常规水利用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形式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bottom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□再生水 □矿井水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□海水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无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□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其他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（请注明）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1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非常规水利用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量（升）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1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信息设备负荷使用率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（%）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81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  <w:t>安装网络总带宽（Mbs）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从外部接收数据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总和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Mb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向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外部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发送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数据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总和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Mb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55" w:type="dxa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03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</w:rPr>
              <w:t>网络资源年平均利用率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（%）</w:t>
            </w:r>
          </w:p>
        </w:tc>
        <w:tc>
          <w:tcPr>
            <w:tcW w:w="5955" w:type="dxa"/>
            <w:noWrap w:val="0"/>
            <w:tcMar>
              <w:left w:w="28" w:type="dxa"/>
              <w:right w:w="1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03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节能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降碳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技术、节水技术应用数量</w:t>
            </w:r>
          </w:p>
        </w:tc>
        <w:tc>
          <w:tcPr>
            <w:tcW w:w="5955" w:type="dxa"/>
            <w:noWrap w:val="0"/>
            <w:tcMar>
              <w:left w:w="28" w:type="dxa"/>
              <w:right w:w="1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03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应用节能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/>
              </w:rPr>
              <w:t>降碳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技术名称</w:t>
            </w:r>
          </w:p>
        </w:tc>
        <w:tc>
          <w:tcPr>
            <w:tcW w:w="5955" w:type="dxa"/>
            <w:noWrap w:val="0"/>
            <w:tcMar>
              <w:left w:w="28" w:type="dxa"/>
              <w:right w:w="1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103" w:hRule="atLeast"/>
          <w:jc w:val="center"/>
        </w:trPr>
        <w:tc>
          <w:tcPr>
            <w:tcW w:w="244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/>
              </w:rPr>
              <w:t>应用节水技术名称</w:t>
            </w:r>
          </w:p>
        </w:tc>
        <w:tc>
          <w:tcPr>
            <w:tcW w:w="5955" w:type="dxa"/>
            <w:noWrap w:val="0"/>
            <w:tcMar>
              <w:left w:w="28" w:type="dxa"/>
              <w:right w:w="1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97" w:type="dxa"/>
            <w:gridSpan w:val="3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b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/>
                <w:sz w:val="24"/>
                <w:szCs w:val="24"/>
                <w:lang w:eastAsia="zh-CN"/>
              </w:rPr>
              <w:t>算力设施</w:t>
            </w:r>
            <w:r>
              <w:rPr>
                <w:rFonts w:hint="default" w:ascii="Times New Roman" w:hAnsi="Times New Roman" w:eastAsia="仿宋" w:cs="Times New Roman"/>
                <w:b w:val="0"/>
                <w:bCs/>
                <w:sz w:val="24"/>
                <w:szCs w:val="24"/>
              </w:rPr>
              <w:t>平面简图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8397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</w:p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97" w:type="dxa"/>
            <w:gridSpan w:val="3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b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/>
                <w:sz w:val="24"/>
                <w:szCs w:val="24"/>
                <w:lang w:eastAsia="zh-CN"/>
              </w:rPr>
              <w:t>算力设施供配电系统</w:t>
            </w:r>
            <w:r>
              <w:rPr>
                <w:rFonts w:hint="default" w:ascii="Times New Roman" w:hAnsi="Times New Roman" w:eastAsia="仿宋" w:cs="Times New Roman"/>
                <w:b w:val="0"/>
                <w:bCs/>
                <w:sz w:val="24"/>
                <w:szCs w:val="24"/>
              </w:rPr>
              <w:t>组成拓扑简图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8397" w:type="dxa"/>
            <w:gridSpan w:val="3"/>
            <w:noWrap w:val="0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b w:val="0"/>
                <w:bCs/>
                <w:sz w:val="24"/>
                <w:szCs w:val="24"/>
              </w:rPr>
            </w:pPr>
          </w:p>
        </w:tc>
      </w:tr>
    </w:tbl>
    <w:p/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1985"/>
        <w:gridCol w:w="3143"/>
        <w:gridCol w:w="1488"/>
        <w:gridCol w:w="11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8355" w:type="dxa"/>
            <w:gridSpan w:val="5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  <w:kern w:val="0"/>
                <w:sz w:val="24"/>
                <w:szCs w:val="24"/>
                <w:lang w:eastAsia="zh-CN"/>
              </w:rPr>
              <w:t>（二）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kern w:val="0"/>
                <w:sz w:val="24"/>
                <w:szCs w:val="24"/>
              </w:rPr>
              <w:t>绿色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kern w:val="0"/>
                <w:sz w:val="24"/>
                <w:szCs w:val="24"/>
                <w:lang w:eastAsia="zh-CN"/>
              </w:rPr>
              <w:t>算力设施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kern w:val="0"/>
                <w:sz w:val="24"/>
                <w:szCs w:val="24"/>
                <w:lang w:eastAsia="zh-CN"/>
              </w:rPr>
              <w:t>自评表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tabs>
                <w:tab w:val="center" w:pos="6663"/>
              </w:tabs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kern w:val="0"/>
                <w:sz w:val="24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kern w:val="0"/>
                <w:sz w:val="24"/>
                <w:szCs w:val="22"/>
                <w:lang w:bidi="ar"/>
              </w:rPr>
              <w:t>序号</w:t>
            </w:r>
          </w:p>
        </w:tc>
        <w:tc>
          <w:tcPr>
            <w:tcW w:w="5128" w:type="dxa"/>
            <w:gridSpan w:val="2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tabs>
                <w:tab w:val="center" w:pos="6663"/>
              </w:tabs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kern w:val="0"/>
                <w:sz w:val="24"/>
                <w:szCs w:val="22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kern w:val="0"/>
                <w:sz w:val="24"/>
                <w:szCs w:val="22"/>
                <w:lang w:bidi="ar"/>
              </w:rPr>
              <w:t>指标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tabs>
                <w:tab w:val="center" w:pos="6663"/>
              </w:tabs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kern w:val="0"/>
                <w:sz w:val="24"/>
                <w:szCs w:val="22"/>
                <w:lang w:bidi="ar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kern w:val="0"/>
                <w:sz w:val="24"/>
                <w:szCs w:val="22"/>
                <w:lang w:bidi="ar"/>
              </w:rPr>
              <w:t>权重分值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tabs>
                <w:tab w:val="center" w:pos="6663"/>
              </w:tabs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kern w:val="0"/>
                <w:sz w:val="24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kern w:val="0"/>
                <w:sz w:val="24"/>
                <w:szCs w:val="22"/>
                <w:lang w:eastAsia="zh-CN" w:bidi="ar"/>
              </w:rPr>
              <w:t>自评分数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7191" w:type="dxa"/>
            <w:gridSpan w:val="4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  <w:t>一、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  <w:t>能源利用水平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98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能源高效利用</w:t>
            </w: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电能利用效率（PUE）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24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</w:pPr>
          </w:p>
        </w:tc>
        <w:tc>
          <w:tcPr>
            <w:tcW w:w="198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</w:pP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单位算力能效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6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</w:pPr>
          </w:p>
        </w:tc>
        <w:tc>
          <w:tcPr>
            <w:tcW w:w="198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</w:pP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  <w:t>单位能耗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  <w:t>产出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  <w:t>效益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  <w:tc>
          <w:tcPr>
            <w:tcW w:w="198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清洁能源利用</w:t>
            </w: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  <w:t>可再生能源电量占比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8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vMerge w:val="continue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</w:pPr>
          </w:p>
        </w:tc>
        <w:tc>
          <w:tcPr>
            <w:tcW w:w="1985" w:type="dxa"/>
            <w:vMerge w:val="continue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</w:pPr>
          </w:p>
        </w:tc>
        <w:tc>
          <w:tcPr>
            <w:tcW w:w="3143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  <w:t>余热余冷利用水平</w:t>
            </w:r>
          </w:p>
        </w:tc>
        <w:tc>
          <w:tcPr>
            <w:tcW w:w="1488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  <w:tc>
          <w:tcPr>
            <w:tcW w:w="1164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7191" w:type="dxa"/>
            <w:gridSpan w:val="4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二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  <w:t>、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碳排放管理水平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3</w:t>
            </w:r>
          </w:p>
        </w:tc>
        <w:tc>
          <w:tcPr>
            <w:tcW w:w="198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碳排放</w:t>
            </w: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  <w:t>碳利用效率（CUE）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4</w:t>
            </w:r>
          </w:p>
        </w:tc>
        <w:tc>
          <w:tcPr>
            <w:tcW w:w="198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数字化碳管理</w:t>
            </w: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  <w:t>数字化能碳管理中心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  <w:t>建设及运行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  <w:t>情况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6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5</w:t>
            </w:r>
          </w:p>
        </w:tc>
        <w:tc>
          <w:tcPr>
            <w:tcW w:w="198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产品碳足迹</w:t>
            </w:r>
          </w:p>
        </w:tc>
        <w:tc>
          <w:tcPr>
            <w:tcW w:w="3143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u w:val="none"/>
                <w:lang w:eastAsia="zh-CN" w:bidi="ar"/>
              </w:rPr>
              <w:t>参与产品碳足迹标准制修订</w:t>
            </w:r>
          </w:p>
        </w:tc>
        <w:tc>
          <w:tcPr>
            <w:tcW w:w="1488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164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7191" w:type="dxa"/>
            <w:gridSpan w:val="4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三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  <w:t>、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水资源利用水平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6</w:t>
            </w:r>
          </w:p>
        </w:tc>
        <w:tc>
          <w:tcPr>
            <w:tcW w:w="198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  <w:t>水资源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利用</w:t>
            </w: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  <w:t>水资源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利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  <w:t>用效率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  <w:t>WUE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）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8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7</w:t>
            </w:r>
          </w:p>
        </w:tc>
        <w:tc>
          <w:tcPr>
            <w:tcW w:w="1985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非常规水利用</w:t>
            </w:r>
          </w:p>
        </w:tc>
        <w:tc>
          <w:tcPr>
            <w:tcW w:w="3143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再生水、矿井水、海水等非常规水利用情况</w:t>
            </w:r>
          </w:p>
        </w:tc>
        <w:tc>
          <w:tcPr>
            <w:tcW w:w="1488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4</w:t>
            </w:r>
          </w:p>
        </w:tc>
        <w:tc>
          <w:tcPr>
            <w:tcW w:w="1164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7191" w:type="dxa"/>
            <w:gridSpan w:val="4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  <w:t>四、算力资源利用水平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8</w:t>
            </w:r>
          </w:p>
        </w:tc>
        <w:tc>
          <w:tcPr>
            <w:tcW w:w="198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信息设备利用</w:t>
            </w: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  <w:t>机柜资源利用（上架率）水平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8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  <w:tc>
          <w:tcPr>
            <w:tcW w:w="198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</w:pP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  <w:t>信息设备负荷利用水平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4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  <w:tc>
          <w:tcPr>
            <w:tcW w:w="198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</w:pP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  <w:t>网络资源利用水平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9</w:t>
            </w:r>
          </w:p>
        </w:tc>
        <w:tc>
          <w:tcPr>
            <w:tcW w:w="198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算力设施绿色运维</w:t>
            </w: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绿色采购制度建设情况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  <w:tc>
          <w:tcPr>
            <w:tcW w:w="198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</w:pP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应用先进节能降碳技术装备、节水技术装备情况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  <w:tc>
          <w:tcPr>
            <w:tcW w:w="198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</w:pP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开展节能降碳诊断情况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  <w:tc>
          <w:tcPr>
            <w:tcW w:w="198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bidi="ar"/>
              </w:rPr>
            </w:pP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eastAsia="zh-CN" w:bidi="ar"/>
              </w:rPr>
              <w:t>废弃物处理、退役电器电子产品循环利用情况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10</w:t>
            </w:r>
          </w:p>
        </w:tc>
        <w:tc>
          <w:tcPr>
            <w:tcW w:w="198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eastAsia="zh-CN" w:bidi="ar"/>
              </w:rPr>
              <w:t>算力设施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  <w:t>布局</w:t>
            </w:r>
          </w:p>
        </w:tc>
        <w:tc>
          <w:tcPr>
            <w:tcW w:w="3143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bidi="ar"/>
              </w:rPr>
              <w:t>科学布局水平</w:t>
            </w:r>
          </w:p>
        </w:tc>
        <w:tc>
          <w:tcPr>
            <w:tcW w:w="14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4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7191" w:type="dxa"/>
            <w:gridSpan w:val="4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  <w:t>自评总分</w:t>
            </w:r>
          </w:p>
        </w:tc>
        <w:tc>
          <w:tcPr>
            <w:tcW w:w="1164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22"/>
                <w:lang w:val="en-US" w:eastAsia="zh-CN" w:bidi="ar"/>
              </w:rPr>
            </w:pPr>
          </w:p>
        </w:tc>
      </w:tr>
    </w:tbl>
    <w:p>
      <w:pPr>
        <w:rPr>
          <w:rFonts w:hint="default" w:ascii="Times New Roman" w:hAnsi="Times New Roman" w:cs="Times New Roman"/>
          <w:sz w:val="24"/>
          <w:highlight w:val="none"/>
        </w:rPr>
      </w:pPr>
    </w:p>
    <w:p>
      <w:pPr>
        <w:rPr>
          <w:rFonts w:hint="default" w:ascii="Times New Roman" w:hAnsi="Times New Roman" w:cs="Times New Roman"/>
          <w:sz w:val="24"/>
          <w:highlight w:val="none"/>
        </w:rPr>
        <w:sectPr>
          <w:headerReference r:id="rId12" w:type="default"/>
          <w:footerReference r:id="rId13" w:type="even"/>
          <w:pgSz w:w="11910" w:h="16840"/>
          <w:pgMar w:top="1440" w:right="1800" w:bottom="1440" w:left="1800" w:header="850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Style w:val="11"/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</w:pPr>
      <w:r>
        <w:rPr>
          <w:rStyle w:val="11"/>
          <w:rFonts w:hint="eastAsia" w:ascii="黑体" w:hAnsi="黑体" w:eastAsia="黑体" w:cs="黑体"/>
          <w:b w:val="0"/>
          <w:bCs w:val="0"/>
          <w:sz w:val="36"/>
          <w:szCs w:val="36"/>
        </w:rPr>
        <w:t>五、</w:t>
      </w:r>
      <w:r>
        <w:rPr>
          <w:rStyle w:val="11"/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具体情况说明（</w:t>
      </w:r>
      <w:r>
        <w:rPr>
          <w:rStyle w:val="11"/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提纲</w:t>
      </w:r>
      <w:r>
        <w:rPr>
          <w:rStyle w:val="11"/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Style w:val="11"/>
          <w:rFonts w:hint="default" w:ascii="Times New Roman" w:hAnsi="Times New Roman" w:eastAsia="黑体" w:cs="Times New Roman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楷体_GB2312" w:cs="Times New Roman"/>
          <w:sz w:val="32"/>
        </w:rPr>
      </w:pPr>
      <w:r>
        <w:rPr>
          <w:rFonts w:hint="default" w:ascii="Times New Roman" w:hAnsi="Times New Roman" w:eastAsia="楷体_GB2312" w:cs="Times New Roman"/>
          <w:bCs w:val="0"/>
          <w:sz w:val="32"/>
          <w:szCs w:val="32"/>
          <w:highlight w:val="none"/>
          <w:lang w:eastAsia="zh-CN"/>
        </w:rPr>
        <w:t>（一）</w:t>
      </w:r>
      <w:r>
        <w:rPr>
          <w:rFonts w:hint="default" w:ascii="Times New Roman" w:hAnsi="Times New Roman" w:eastAsia="楷体_GB2312" w:cs="Times New Roman"/>
          <w:sz w:val="32"/>
          <w:lang w:eastAsia="zh-CN"/>
        </w:rPr>
        <w:t>总体</w:t>
      </w:r>
      <w:r>
        <w:rPr>
          <w:rFonts w:hint="default" w:ascii="Times New Roman" w:hAnsi="Times New Roman" w:eastAsia="楷体_GB2312" w:cs="Times New Roman"/>
          <w:sz w:val="32"/>
        </w:rPr>
        <w:t>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  <w:lang w:eastAsia="zh-CN"/>
        </w:rPr>
        <w:t>算力设施</w:t>
      </w:r>
      <w:r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</w:rPr>
        <w:t>基本情况（</w:t>
      </w:r>
      <w:r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</w:rPr>
        <w:t>00字以内）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/>
        </w:rPr>
        <w:t>简要介绍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  <w:t>申报算力设施所属领域、所属类型、用途方向、地理位置、总占地面积、总建筑面积、已安装机柜数、折合标准机柜数、年总用电量等基本情况。可配有一到两幅算力设施外景图或效果图。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</w:rPr>
      </w:pPr>
      <w:r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</w:rPr>
        <w:t>绿色</w:t>
      </w:r>
      <w:r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  <w:lang w:eastAsia="zh-CN"/>
        </w:rPr>
        <w:t>算力设施</w:t>
      </w:r>
      <w:r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</w:rPr>
        <w:t>建设</w:t>
      </w:r>
      <w:r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  <w:lang w:eastAsia="zh-CN"/>
        </w:rPr>
        <w:t>开展</w:t>
      </w:r>
      <w:r>
        <w:rPr>
          <w:rFonts w:hint="default" w:ascii="Times New Roman" w:hAnsi="Times New Roman" w:eastAsia="仿宋" w:cs="Times New Roman"/>
          <w:b w:val="0"/>
          <w:bCs w:val="0"/>
          <w:kern w:val="0"/>
          <w:sz w:val="32"/>
          <w:szCs w:val="32"/>
        </w:rPr>
        <w:t>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/>
        </w:rPr>
        <w:t>对照国家绿色算力设施评价指标表，逐项介绍各指标具体开展工作情况和建设亮点，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  <w:t>要求文字内容精练，逻辑清晰，体现具体工作内容和实施效果，并配有对应图表。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楷体_GB2312" w:cs="Times New Roman"/>
          <w:sz w:val="32"/>
        </w:rPr>
      </w:pPr>
      <w:r>
        <w:rPr>
          <w:rFonts w:hint="default" w:ascii="Times New Roman" w:hAnsi="Times New Roman" w:eastAsia="楷体_GB2312" w:cs="Times New Roman"/>
          <w:bCs w:val="0"/>
          <w:sz w:val="32"/>
          <w:szCs w:val="32"/>
          <w:highlight w:val="none"/>
          <w:lang w:eastAsia="zh-CN"/>
        </w:rPr>
        <w:t>（二）</w:t>
      </w:r>
      <w:r>
        <w:rPr>
          <w:rFonts w:hint="default" w:ascii="Times New Roman" w:hAnsi="Times New Roman" w:eastAsia="楷体_GB2312" w:cs="Times New Roman"/>
          <w:sz w:val="32"/>
        </w:rPr>
        <w:t>绿色</w:t>
      </w:r>
      <w:r>
        <w:rPr>
          <w:rFonts w:hint="eastAsia" w:ascii="Times New Roman" w:hAnsi="Times New Roman" w:eastAsia="楷体_GB2312" w:cs="Times New Roman"/>
          <w:sz w:val="32"/>
          <w:lang w:eastAsia="zh-CN"/>
        </w:rPr>
        <w:t>算力设施</w:t>
      </w:r>
      <w:r>
        <w:rPr>
          <w:rFonts w:hint="default" w:ascii="Times New Roman" w:hAnsi="Times New Roman" w:eastAsia="楷体_GB2312" w:cs="Times New Roman"/>
          <w:sz w:val="32"/>
        </w:rPr>
        <w:t>建设</w:t>
      </w:r>
      <w:r>
        <w:rPr>
          <w:rFonts w:hint="default" w:ascii="Times New Roman" w:hAnsi="Times New Roman" w:eastAsia="楷体_GB2312" w:cs="Times New Roman"/>
          <w:sz w:val="32"/>
          <w:lang w:eastAsia="zh-CN"/>
        </w:rPr>
        <w:t>具体</w:t>
      </w:r>
      <w:r>
        <w:rPr>
          <w:rFonts w:hint="default" w:ascii="Times New Roman" w:hAnsi="Times New Roman" w:eastAsia="楷体_GB2312" w:cs="Times New Roman"/>
          <w:sz w:val="32"/>
        </w:rPr>
        <w:t>情况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60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对照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《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2026年度国家绿色算力设施评价指标体系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》，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逐项详细说明自评分数理由，以及相应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证明材料索引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highlight w:val="none"/>
          <w:lang w:eastAsia="zh-CN" w:bidi="ar"/>
        </w:rPr>
        <w:t>第几项证明材料、证明材料名称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highlight w:val="none"/>
          <w:lang w:eastAsia="zh-CN" w:bidi="ar"/>
        </w:rPr>
        <w:t>及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highlight w:val="none"/>
          <w:lang w:eastAsia="zh-CN" w:bidi="ar"/>
        </w:rPr>
        <w:t>页码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）。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60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也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可以表格形式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eastAsia="zh-CN"/>
        </w:rPr>
        <w:t>体现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，格式见附表。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楷体_GB2312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highlight w:val="none"/>
          <w:lang w:eastAsia="zh-CN"/>
        </w:rPr>
        <w:t>（三）证明材料</w:t>
      </w:r>
      <w:r>
        <w:rPr>
          <w:rFonts w:hint="default" w:ascii="Times New Roman" w:hAnsi="Times New Roman" w:eastAsia="楷体_GB2312" w:cs="Times New Roman"/>
          <w:sz w:val="32"/>
          <w:szCs w:val="32"/>
          <w:highlight w:val="none"/>
        </w:rPr>
        <w:t>清单</w:t>
      </w:r>
    </w:p>
    <w:p>
      <w:pPr>
        <w:keepNext w:val="0"/>
        <w:keepLines w:val="0"/>
        <w:pageBreakBefore w:val="0"/>
        <w:tabs>
          <w:tab w:val="center" w:pos="6663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对证明材料进行编目（包含页码信息）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并在本小节列出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楷体_GB2312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highlight w:val="none"/>
          <w:lang w:eastAsia="zh-CN"/>
        </w:rPr>
        <w:t>（四）证明材料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15" w:leftChars="7" w:firstLine="624" w:firstLineChars="195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/>
        </w:rPr>
        <w:t>按清单所列顺序将证明材料附在本小节内。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  <w:t>证明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材料包括但不限于以下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  <w:t>内容。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/>
        </w:rPr>
        <w:t>1.申报单位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营业执照（必要）;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/>
        </w:rPr>
        <w:t>2.覆盖申报算力设施的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增值电信业务经营许可证（如有）；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相关主管部门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  <w:t>同意算力设施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建设的批复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  <w:t>文件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（必要）；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申报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  <w:t>算力设施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财产权属相关证明（必要）；</w:t>
      </w:r>
    </w:p>
    <w:p>
      <w:pPr>
        <w:keepNext w:val="0"/>
        <w:keepLines w:val="0"/>
        <w:pageBreakBefore w:val="0"/>
        <w:tabs>
          <w:tab w:val="center" w:pos="6663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firstLine="640" w:firstLineChars="200"/>
        <w:jc w:val="left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申报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  <w:t>算力设施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已获得的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  <w:t>国家和地方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节能环保相关奖励证书（如有）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15" w:leftChars="7" w:firstLine="624" w:firstLineChars="195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/>
        </w:rPr>
        <w:t>6.相关检测报告、认证报告等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</w:rPr>
        <w:t>。</w:t>
      </w:r>
    </w:p>
    <w:p>
      <w:pPr>
        <w:widowControl/>
        <w:numPr>
          <w:ilvl w:val="0"/>
          <w:numId w:val="0"/>
        </w:numPr>
        <w:snapToGrid w:val="0"/>
        <w:spacing w:beforeLines="0" w:afterLines="0" w:line="360" w:lineRule="auto"/>
        <w:ind w:firstLine="0" w:firstLineChars="0"/>
        <w:jc w:val="left"/>
        <w:rPr>
          <w:rFonts w:hint="default" w:ascii="Times New Roman" w:hAnsi="Times New Roman" w:eastAsia="黑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br w:type="page"/>
      </w: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附表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902"/>
        <w:gridCol w:w="2688"/>
        <w:gridCol w:w="672"/>
        <w:gridCol w:w="672"/>
        <w:gridCol w:w="1212"/>
        <w:gridCol w:w="15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tabs>
                <w:tab w:val="center" w:pos="6663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3590" w:type="dxa"/>
            <w:gridSpan w:val="2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tabs>
                <w:tab w:val="center" w:pos="6663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指标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tabs>
                <w:tab w:val="center" w:pos="6663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权重分值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自评分数</w:t>
            </w: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理由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说明</w:t>
            </w: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证明材料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索引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8317" w:type="dxa"/>
            <w:gridSpan w:val="7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Times New Roman" w:hAnsi="Times New Roman" w:eastAsia="黑体" w:cs="Times New Roman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黑体" w:cs="Times New Roman"/>
                <w:kern w:val="0"/>
                <w:sz w:val="24"/>
                <w:szCs w:val="24"/>
                <w:lang w:bidi="ar"/>
              </w:rPr>
              <w:t>一、</w:t>
            </w:r>
            <w:r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lang w:eastAsia="zh-CN" w:bidi="ar"/>
              </w:rPr>
              <w:t>能源利用水平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902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能源高效利用</w:t>
            </w: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电能利用效率（PUE）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24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（第几项证明材料、证明材料名称、页码，下同）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902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单位算力能效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902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 w:bidi="ar"/>
              </w:rPr>
              <w:t>单位能耗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产出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 w:bidi="ar"/>
              </w:rPr>
              <w:t>效益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902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清洁能源利用</w:t>
            </w: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4"/>
                <w:lang w:eastAsia="zh-CN" w:bidi="ar"/>
              </w:rPr>
              <w:t>可再生能源电量占比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vMerge w:val="continue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902" w:type="dxa"/>
            <w:vMerge w:val="continue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 w:bidi="ar"/>
              </w:rPr>
            </w:pPr>
          </w:p>
        </w:tc>
        <w:tc>
          <w:tcPr>
            <w:tcW w:w="2688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 w:bidi="ar"/>
              </w:rPr>
              <w:t>余热余冷利用水平</w:t>
            </w:r>
          </w:p>
        </w:tc>
        <w:tc>
          <w:tcPr>
            <w:tcW w:w="672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672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4837" w:type="dxa"/>
            <w:gridSpan w:val="4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highlight w:val="none"/>
                <w:lang w:eastAsia="zh-CN" w:bidi="ar"/>
              </w:rPr>
              <w:t>二</w:t>
            </w:r>
            <w:r>
              <w:rPr>
                <w:rFonts w:ascii="Times New Roman" w:hAnsi="Times New Roman" w:eastAsia="黑体" w:cs="Times New Roman"/>
                <w:kern w:val="0"/>
                <w:sz w:val="24"/>
                <w:szCs w:val="24"/>
                <w:highlight w:val="none"/>
                <w:lang w:bidi="ar"/>
              </w:rPr>
              <w:t>、</w:t>
            </w:r>
            <w:r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highlight w:val="none"/>
                <w:lang w:eastAsia="zh-CN" w:bidi="ar"/>
              </w:rPr>
              <w:t>碳排放管理水平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highlight w:val="none"/>
                <w:lang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highlight w:val="none"/>
                <w:lang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highlight w:val="none"/>
                <w:lang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90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碳排放</w:t>
            </w: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  <w:t>碳利用效率（CUE）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90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数字化碳管理</w:t>
            </w: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数字化能碳管理中心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 w:bidi="ar"/>
              </w:rPr>
              <w:t>建设及运行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情况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90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产品碳足迹</w:t>
            </w:r>
          </w:p>
        </w:tc>
        <w:tc>
          <w:tcPr>
            <w:tcW w:w="2688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参与产品碳足迹标准制修订</w:t>
            </w:r>
          </w:p>
        </w:tc>
        <w:tc>
          <w:tcPr>
            <w:tcW w:w="672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72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212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96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4837" w:type="dxa"/>
            <w:gridSpan w:val="4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highlight w:val="none"/>
                <w:lang w:eastAsia="zh-CN" w:bidi="ar"/>
              </w:rPr>
              <w:t>三</w:t>
            </w:r>
            <w:r>
              <w:rPr>
                <w:rFonts w:ascii="Times New Roman" w:hAnsi="Times New Roman" w:eastAsia="黑体" w:cs="Times New Roman"/>
                <w:kern w:val="0"/>
                <w:sz w:val="24"/>
                <w:szCs w:val="24"/>
                <w:highlight w:val="none"/>
                <w:lang w:bidi="ar"/>
              </w:rPr>
              <w:t>、</w:t>
            </w:r>
            <w:r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highlight w:val="none"/>
                <w:lang w:eastAsia="zh-CN" w:bidi="ar"/>
              </w:rPr>
              <w:t>水资源利用水平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highlight w:val="none"/>
                <w:lang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highlight w:val="none"/>
                <w:lang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highlight w:val="none"/>
                <w:lang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90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  <w:t>水资源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利用</w:t>
            </w: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  <w:t>水资源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利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  <w:t>用效率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WUE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）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575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902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非常规水利用</w:t>
            </w:r>
          </w:p>
        </w:tc>
        <w:tc>
          <w:tcPr>
            <w:tcW w:w="2688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再生水、矿井水、海水等非常规水利用情况</w:t>
            </w:r>
          </w:p>
        </w:tc>
        <w:tc>
          <w:tcPr>
            <w:tcW w:w="672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672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tcBorders>
              <w:bottom w:val="nil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4837" w:type="dxa"/>
            <w:gridSpan w:val="4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lang w:eastAsia="zh-CN" w:bidi="ar"/>
              </w:rPr>
              <w:t>四、算力资源利用水平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lang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lang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eastAsia" w:ascii="Times New Roman" w:hAnsi="Times New Roman" w:eastAsia="黑体" w:cs="Times New Roman"/>
                <w:kern w:val="0"/>
                <w:sz w:val="24"/>
                <w:szCs w:val="24"/>
                <w:lang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902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信息设备利用</w:t>
            </w: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机柜资源利用（上架率）水平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02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信息设备负荷利用水平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02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网络资源利用水平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902" w:type="dxa"/>
            <w:vMerge w:val="restart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算力设施绿色运维</w:t>
            </w: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绿色采购制度建设情况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2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02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应用先进节能降碳技术装备、节水技术装备情况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2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02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开展节能降碳诊断情况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2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" w:hRule="atLeast"/>
        </w:trPr>
        <w:tc>
          <w:tcPr>
            <w:tcW w:w="575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02" w:type="dxa"/>
            <w:vMerge w:val="continue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eastAsia="zh-CN" w:bidi="ar"/>
              </w:rPr>
              <w:t>废弃物处理、退役电器电子产品循环利用情况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  <w:t>2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575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90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eastAsia="zh-CN" w:bidi="ar"/>
              </w:rPr>
              <w:t>算力设施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布局</w:t>
            </w:r>
          </w:p>
        </w:tc>
        <w:tc>
          <w:tcPr>
            <w:tcW w:w="2688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科学布局水平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67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212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96" w:type="dxa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4837" w:type="dxa"/>
            <w:gridSpan w:val="4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  <w:t>自评总分</w:t>
            </w:r>
          </w:p>
        </w:tc>
        <w:tc>
          <w:tcPr>
            <w:tcW w:w="3480" w:type="dxa"/>
            <w:gridSpan w:val="3"/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default" w:ascii="Times New Roman" w:hAnsi="Times New Roman" w:eastAsia="仿宋" w:cs="Times New Roman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/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 Mono CJK JP Regular">
    <w:altName w:val="华文细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210" w:rightChars="100"/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ind w:right="210" w:rightChars="100"/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right="210" w:rightChars="100"/>
                    </w:pP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 w:firstLine="360"/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矩形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ind w:left="210" w:leftChars="100"/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ind w:left="210" w:leftChars="100"/>
                    </w:pPr>
                  </w:p>
                </w:txbxContent>
              </v:textbox>
            </v:rect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ind w:left="210" w:leftChars="100"/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44pt;width:144pt;mso-position-horizontal:left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ind w:left="210" w:leftChars="100"/>
                    </w:pPr>
                  </w:p>
                </w:txbxContent>
              </v:textbox>
            </v:rect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矩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ind w:left="210" w:leftChars="100"/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44pt;width:144pt;mso-position-horizontal:left;mso-position-horizontal-relative:margin;mso-wrap-style:none;z-index:251660288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ind w:left="210" w:leftChars="100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210" w:rightChars="100"/>
    </w:pPr>
    <w:r>
      <w:rPr>
        <w:sz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DOqXm5zwAAAAUB&#10;AAAPAAAAAAAAAAEAIAAAACIAAABkcnMvZG93bnJldi54bWxQSwECFAAUAAAACACHTuJAd85RhbIB&#10;AABZAwAADgAAAAAAAAABACAAAAAeAQAAZHJzL2Uyb0RvYy54bWxQSwUGAAAAAAYABgBZAQAAQgUA&#10;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矩形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ind w:right="210" w:rightChars="100"/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right="210" w:rightChars="100"/>
                    </w:pPr>
                  </w:p>
                </w:txbxContent>
              </v:textbox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 w:firstLine="0"/>
    </w:pPr>
    <w:r>
      <w:rPr>
        <w:sz w:val="2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ind w:left="210" w:leftChars="100"/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44pt;width:144pt;mso-position-horizontal:left;mso-position-horizontal-relative:margin;mso-wrap-style:none;z-index:25166438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ind w:left="210" w:leftChars="100"/>
                    </w:pPr>
                  </w:p>
                </w:txbxContent>
              </v:textbox>
            </v:rect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矩形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ind w:left="210" w:leftChars="100"/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44pt;width:144pt;mso-position-horizontal:left;mso-position-horizontal-relative:margin;mso-wrap-style:none;z-index:251665408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ind w:left="210" w:leftChars="100"/>
                    </w:pP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tabs>
        <w:tab w:val="left" w:pos="426"/>
      </w:tabs>
      <w:ind w:left="424" w:leftChars="202"/>
      <w:jc w:val="both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jc w:val="both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1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B126E"/>
    <w:multiLevelType w:val="multilevel"/>
    <w:tmpl w:val="546B126E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68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DejaVu Sans" w:hAnsi="DejaVu Sans"/>
      <w:sz w:val="18"/>
    </w:rPr>
  </w:style>
  <w:style w:type="paragraph" w:customStyle="1" w:styleId="9">
    <w:name w:val="标题1"/>
    <w:basedOn w:val="1"/>
    <w:next w:val="1"/>
    <w:qFormat/>
    <w:uiPriority w:val="0"/>
    <w:pPr>
      <w:spacing w:before="240" w:after="60"/>
      <w:jc w:val="center"/>
      <w:outlineLvl w:val="0"/>
    </w:pPr>
    <w:rPr>
      <w:rFonts w:ascii="黑体" w:hAnsi="黑体" w:eastAsia="黑体"/>
      <w:b/>
      <w:kern w:val="0"/>
      <w:sz w:val="36"/>
    </w:rPr>
  </w:style>
  <w:style w:type="paragraph" w:customStyle="1" w:styleId="10">
    <w:name w:val="Table Paragraph"/>
    <w:basedOn w:val="1"/>
    <w:qFormat/>
    <w:uiPriority w:val="1"/>
    <w:pPr>
      <w:autoSpaceDE w:val="0"/>
      <w:autoSpaceDN w:val="0"/>
      <w:jc w:val="left"/>
    </w:pPr>
    <w:rPr>
      <w:rFonts w:ascii="Noto Sans Mono CJK JP Regular" w:hAnsi="Noto Sans Mono CJK JP Regular" w:eastAsia="Noto Sans Mono CJK JP Regular" w:cs="Noto Sans Mono CJK JP Regular"/>
      <w:kern w:val="0"/>
      <w:sz w:val="22"/>
      <w:szCs w:val="22"/>
      <w:lang w:eastAsia="en-US"/>
    </w:rPr>
  </w:style>
  <w:style w:type="character" w:customStyle="1" w:styleId="11">
    <w:name w:val="标题 1 Char"/>
    <w:link w:val="3"/>
    <w:qFormat/>
    <w:uiPriority w:val="0"/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theme" Target="theme/theme1.xml"/><Relationship Id="rId13" Type="http://schemas.openxmlformats.org/officeDocument/2006/relationships/footer" Target="footer5.xml"/><Relationship Id="rId12" Type="http://schemas.openxmlformats.org/officeDocument/2006/relationships/header" Target="header6.xml"/><Relationship Id="rId11" Type="http://schemas.openxmlformats.org/officeDocument/2006/relationships/header" Target="header5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2026-09-30T08:29:05Z</dcterms:created>
  <dc:creator>ASUS</dc:creator>
  <cp:lastModifiedBy>ASUS</cp:lastModifiedBy>
  <dcterms:modified xsi:type="dcterms:W3CDTF">2026-09-30T08:29:16Z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