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ind w:firstLine="0" w:firstLineChars="0"/>
        <w:rPr>
          <w:rFonts w:hint="eastAsia" w:ascii="黑体" w:hAnsi="黑体" w:eastAsia="黑体" w:cs="黑体"/>
          <w:highlight w:val="none"/>
        </w:rPr>
      </w:pPr>
      <w:r>
        <w:rPr>
          <w:rFonts w:hint="eastAsia" w:ascii="黑体" w:hAnsi="黑体" w:eastAsia="黑体" w:cs="黑体"/>
          <w:highlight w:val="none"/>
        </w:rPr>
        <w:t>附件</w:t>
      </w: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方正小标宋简体" w:hAnsi="方正小标宋简体" w:eastAsia="方正小标宋简体" w:cs="方正小标宋简体"/>
          <w:sz w:val="44"/>
          <w:szCs w:val="24"/>
          <w:highlight w:val="none"/>
        </w:rPr>
      </w:pPr>
      <w:r>
        <w:rPr>
          <w:rFonts w:hint="eastAsia" w:ascii="方正小标宋简体" w:hAnsi="方正小标宋简体" w:eastAsia="方正小标宋简体" w:cs="方正小标宋简体"/>
          <w:sz w:val="44"/>
          <w:szCs w:val="24"/>
          <w:highlight w:val="none"/>
        </w:rPr>
        <w:t>沈阳市数字化转型</w:t>
      </w:r>
      <w:bookmarkStart w:id="0" w:name="_GoBack"/>
      <w:bookmarkEnd w:id="0"/>
      <w:r>
        <w:rPr>
          <w:rFonts w:hint="eastAsia" w:ascii="方正小标宋简体" w:hAnsi="方正小标宋简体" w:eastAsia="方正小标宋简体" w:cs="方正小标宋简体"/>
          <w:sz w:val="44"/>
          <w:szCs w:val="24"/>
          <w:highlight w:val="none"/>
        </w:rPr>
        <w:t>优秀服务商</w:t>
      </w:r>
    </w:p>
    <w:p>
      <w:pPr>
        <w:widowControl w:val="0"/>
        <w:shd w:val="clear"/>
        <w:ind w:firstLine="0" w:firstLineChars="0"/>
        <w:jc w:val="center"/>
        <w:rPr>
          <w:rFonts w:hint="eastAsia" w:ascii="方正小标宋简体" w:hAnsi="方正小标宋简体" w:eastAsia="方正小标宋简体" w:cs="方正小标宋简体"/>
          <w:sz w:val="44"/>
          <w:szCs w:val="24"/>
          <w:highlight w:val="none"/>
        </w:rPr>
      </w:pPr>
      <w:r>
        <w:rPr>
          <w:rFonts w:hint="eastAsia" w:ascii="方正小标宋简体" w:hAnsi="方正小标宋简体" w:eastAsia="方正小标宋简体" w:cs="方正小标宋简体"/>
          <w:sz w:val="44"/>
          <w:szCs w:val="24"/>
          <w:highlight w:val="none"/>
        </w:rPr>
        <w:t>申报书</w:t>
      </w: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仿宋_GB2312" w:hAnsi="仿宋_GB2312" w:cs="仿宋_GB2312"/>
          <w:highlight w:val="none"/>
        </w:rPr>
      </w:pPr>
    </w:p>
    <w:p>
      <w:pPr>
        <w:widowControl w:val="0"/>
        <w:shd w:val="clear"/>
        <w:rPr>
          <w:rFonts w:hint="eastAsia" w:ascii="仿宋_GB2312" w:hAnsi="仿宋_GB2312" w:cs="仿宋_GB2312"/>
          <w:highlight w:val="none"/>
        </w:rPr>
      </w:pPr>
      <w:r>
        <w:rPr>
          <w:rFonts w:hint="eastAsia" w:ascii="仿宋_GB2312" w:hAnsi="仿宋_GB2312" w:cs="仿宋_GB2312"/>
          <w:highlight w:val="none"/>
        </w:rPr>
        <w:t>申报单位（盖章）：</w:t>
      </w:r>
      <w:r>
        <w:rPr>
          <w:rFonts w:hint="eastAsia" w:ascii="仿宋_GB2312" w:hAnsi="仿宋_GB2312" w:cs="仿宋_GB2312"/>
          <w:highlight w:val="none"/>
          <w:u w:val="single"/>
        </w:rPr>
        <w:t xml:space="preserve">                        </w:t>
      </w:r>
    </w:p>
    <w:p>
      <w:pPr>
        <w:widowControl w:val="0"/>
        <w:shd w:val="clear"/>
        <w:rPr>
          <w:rFonts w:hint="eastAsia" w:ascii="仿宋_GB2312" w:hAnsi="仿宋_GB2312" w:cs="仿宋_GB2312"/>
          <w:highlight w:val="none"/>
        </w:rPr>
      </w:pPr>
      <w:r>
        <w:rPr>
          <w:rFonts w:hint="eastAsia" w:ascii="仿宋_GB2312" w:hAnsi="仿宋_GB2312" w:cs="仿宋_GB2312"/>
          <w:highlight w:val="none"/>
        </w:rPr>
        <w:t>申报类别：</w:t>
      </w:r>
      <w:r>
        <w:rPr>
          <w:rFonts w:hint="eastAsia" w:ascii="仿宋_GB2312" w:hAnsi="仿宋_GB2312" w:cs="仿宋_GB2312"/>
          <w:highlight w:val="none"/>
          <w:u w:val="single"/>
        </w:rPr>
        <w:t xml:space="preserve">                               </w:t>
      </w:r>
    </w:p>
    <w:p>
      <w:pPr>
        <w:widowControl w:val="0"/>
        <w:shd w:val="clear"/>
        <w:rPr>
          <w:rFonts w:hint="eastAsia" w:ascii="仿宋_GB2312" w:hAnsi="仿宋_GB2312" w:cs="仿宋_GB2312"/>
          <w:highlight w:val="none"/>
        </w:rPr>
      </w:pPr>
      <w:r>
        <w:rPr>
          <w:rFonts w:hint="eastAsia" w:ascii="仿宋_GB2312" w:hAnsi="仿宋_GB2312" w:cs="仿宋_GB2312"/>
          <w:highlight w:val="none"/>
        </w:rPr>
        <w:t>申报等级：</w:t>
      </w:r>
      <w:r>
        <w:rPr>
          <w:rFonts w:hint="eastAsia" w:ascii="仿宋_GB2312" w:hAnsi="仿宋_GB2312" w:cs="仿宋_GB2312"/>
          <w:highlight w:val="none"/>
          <w:u w:val="single"/>
        </w:rPr>
        <w:t xml:space="preserve">                               </w:t>
      </w:r>
    </w:p>
    <w:p>
      <w:pPr>
        <w:widowControl w:val="0"/>
        <w:shd w:val="clear"/>
        <w:rPr>
          <w:rFonts w:hint="eastAsia" w:ascii="仿宋_GB2312" w:hAnsi="仿宋_GB2312" w:cs="仿宋_GB2312"/>
          <w:highlight w:val="none"/>
        </w:rPr>
      </w:pPr>
      <w:r>
        <w:rPr>
          <w:rFonts w:hint="eastAsia" w:ascii="仿宋_GB2312" w:hAnsi="仿宋_GB2312" w:cs="仿宋_GB2312"/>
          <w:highlight w:val="none"/>
        </w:rPr>
        <w:t>联 系 人：</w:t>
      </w:r>
      <w:r>
        <w:rPr>
          <w:rFonts w:hint="eastAsia" w:ascii="仿宋_GB2312" w:hAnsi="仿宋_GB2312" w:cs="仿宋_GB2312"/>
          <w:highlight w:val="none"/>
          <w:u w:val="single"/>
        </w:rPr>
        <w:t xml:space="preserve">                               </w:t>
      </w:r>
    </w:p>
    <w:p>
      <w:pPr>
        <w:widowControl w:val="0"/>
        <w:shd w:val="clear"/>
        <w:rPr>
          <w:rFonts w:hint="eastAsia" w:ascii="仿宋_GB2312" w:hAnsi="仿宋_GB2312" w:cs="仿宋_GB2312"/>
          <w:highlight w:val="none"/>
        </w:rPr>
      </w:pPr>
      <w:r>
        <w:rPr>
          <w:rFonts w:hint="eastAsia" w:ascii="仿宋_GB2312" w:hAnsi="仿宋_GB2312" w:cs="仿宋_GB2312"/>
          <w:highlight w:val="none"/>
        </w:rPr>
        <w:t>联系电话：</w:t>
      </w:r>
      <w:r>
        <w:rPr>
          <w:rFonts w:hint="eastAsia" w:ascii="仿宋_GB2312" w:hAnsi="仿宋_GB2312" w:cs="仿宋_GB2312"/>
          <w:highlight w:val="none"/>
          <w:u w:val="single"/>
        </w:rPr>
        <w:t xml:space="preserve">                               </w:t>
      </w:r>
    </w:p>
    <w:p>
      <w:pPr>
        <w:widowControl w:val="0"/>
        <w:shd w:val="clear"/>
        <w:rPr>
          <w:rFonts w:hint="eastAsia" w:ascii="仿宋_GB2312" w:hAnsi="仿宋_GB2312" w:cs="仿宋_GB2312"/>
          <w:highlight w:val="none"/>
        </w:rPr>
      </w:pPr>
      <w:r>
        <w:rPr>
          <w:rFonts w:hint="eastAsia" w:ascii="仿宋_GB2312" w:hAnsi="仿宋_GB2312" w:cs="仿宋_GB2312"/>
          <w:highlight w:val="none"/>
        </w:rPr>
        <w:t>填报日期：</w:t>
      </w:r>
      <w:r>
        <w:rPr>
          <w:rFonts w:hint="eastAsia" w:ascii="仿宋_GB2312" w:hAnsi="仿宋_GB2312" w:cs="仿宋_GB2312"/>
          <w:highlight w:val="none"/>
          <w:u w:val="single"/>
        </w:rPr>
        <w:t xml:space="preserve">         </w:t>
      </w:r>
      <w:r>
        <w:rPr>
          <w:rFonts w:hint="eastAsia" w:ascii="仿宋_GB2312" w:hAnsi="仿宋_GB2312" w:cs="仿宋_GB2312"/>
          <w:highlight w:val="none"/>
        </w:rPr>
        <w:t>年</w:t>
      </w:r>
      <w:r>
        <w:rPr>
          <w:rFonts w:hint="eastAsia" w:ascii="仿宋_GB2312" w:hAnsi="仿宋_GB2312" w:cs="仿宋_GB2312"/>
          <w:highlight w:val="none"/>
          <w:u w:val="single"/>
        </w:rPr>
        <w:t xml:space="preserve">         </w:t>
      </w:r>
      <w:r>
        <w:rPr>
          <w:rFonts w:hint="eastAsia" w:ascii="仿宋_GB2312" w:hAnsi="仿宋_GB2312" w:cs="仿宋_GB2312"/>
          <w:highlight w:val="none"/>
        </w:rPr>
        <w:t>月</w:t>
      </w:r>
      <w:r>
        <w:rPr>
          <w:rFonts w:hint="eastAsia" w:ascii="仿宋_GB2312" w:hAnsi="仿宋_GB2312" w:cs="仿宋_GB2312"/>
          <w:highlight w:val="none"/>
          <w:u w:val="single"/>
        </w:rPr>
        <w:t xml:space="preserve">        </w:t>
      </w:r>
      <w:r>
        <w:rPr>
          <w:rFonts w:hint="eastAsia" w:ascii="仿宋_GB2312" w:hAnsi="仿宋_GB2312" w:cs="仿宋_GB2312"/>
          <w:highlight w:val="none"/>
        </w:rPr>
        <w:t>日</w:t>
      </w:r>
    </w:p>
    <w:p>
      <w:pPr>
        <w:widowControl w:val="0"/>
        <w:shd w:val="clear"/>
        <w:ind w:firstLine="0" w:firstLineChars="0"/>
        <w:jc w:val="center"/>
        <w:rPr>
          <w:rFonts w:hint="eastAsia" w:ascii="仿宋_GB2312" w:hAnsi="仿宋_GB2312" w:cs="仿宋_GB2312"/>
          <w:highlight w:val="none"/>
        </w:rPr>
      </w:pPr>
    </w:p>
    <w:p>
      <w:pPr>
        <w:widowControl w:val="0"/>
        <w:shd w:val="clear"/>
        <w:ind w:firstLine="0" w:firstLineChars="0"/>
        <w:jc w:val="center"/>
        <w:rPr>
          <w:rFonts w:hint="eastAsia" w:ascii="黑体" w:hAnsi="黑体" w:eastAsia="黑体" w:cs="黑体"/>
          <w:highlight w:val="none"/>
        </w:rPr>
      </w:pPr>
      <w:r>
        <w:rPr>
          <w:rFonts w:hint="eastAsia" w:ascii="黑体" w:hAnsi="黑体" w:eastAsia="黑体" w:cs="黑体"/>
          <w:highlight w:val="none"/>
        </w:rPr>
        <w:t>沈阳市工业和信息化局 制</w:t>
      </w:r>
    </w:p>
    <w:p>
      <w:pPr>
        <w:shd w:val="clear"/>
        <w:rPr>
          <w:rFonts w:hint="eastAsia" w:ascii="仿宋_GB2312" w:hAnsi="仿宋_GB2312" w:cs="仿宋_GB2312"/>
          <w:highlight w:val="none"/>
        </w:rPr>
      </w:pPr>
      <w:r>
        <w:rPr>
          <w:rFonts w:hint="eastAsia" w:ascii="仿宋_GB2312" w:hAnsi="仿宋_GB2312" w:cs="仿宋_GB2312"/>
          <w:highlight w:val="none"/>
        </w:rPr>
        <w:br w:type="page"/>
      </w:r>
    </w:p>
    <w:p>
      <w:pPr>
        <w:shd w:val="clear"/>
        <w:ind w:firstLine="0" w:firstLineChars="0"/>
        <w:jc w:val="center"/>
        <w:rPr>
          <w:highlight w:val="none"/>
        </w:rPr>
      </w:pPr>
      <w:r>
        <w:rPr>
          <w:rFonts w:eastAsia="方正小标宋简体"/>
          <w:sz w:val="44"/>
          <w:highlight w:val="none"/>
        </w:rPr>
        <w:t>沈阳市数字化转型优秀服务商申报书</w:t>
      </w:r>
    </w:p>
    <w:p>
      <w:pPr>
        <w:shd w:val="clear"/>
        <w:ind w:firstLine="0" w:firstLineChars="0"/>
        <w:jc w:val="center"/>
        <w:rPr>
          <w:rFonts w:hint="eastAsia" w:ascii="楷体" w:hAnsi="楷体" w:eastAsia="楷体" w:cs="楷体"/>
          <w:highlight w:val="none"/>
        </w:rPr>
      </w:pPr>
      <w:r>
        <w:rPr>
          <w:rFonts w:hint="eastAsia" w:ascii="楷体" w:hAnsi="楷体" w:eastAsia="楷体" w:cs="楷体"/>
          <w:highlight w:val="none"/>
        </w:rPr>
        <w:t>（申报单位填写）</w:t>
      </w:r>
    </w:p>
    <w:p>
      <w:pPr>
        <w:pStyle w:val="2"/>
        <w:shd w:val="clear"/>
        <w:ind w:firstLine="640"/>
        <w:rPr>
          <w:highlight w:val="none"/>
        </w:rPr>
      </w:pPr>
      <w:r>
        <w:rPr>
          <w:highlight w:val="none"/>
        </w:rPr>
        <w:t>一、申报单位基本情况</w:t>
      </w:r>
    </w:p>
    <w:tbl>
      <w:tblPr>
        <w:tblStyle w:val="16"/>
        <w:tblpPr w:leftFromText="180" w:rightFromText="180" w:vertAnchor="text" w:horzAnchor="page" w:tblpX="1642" w:tblpY="46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9"/>
        <w:gridCol w:w="2191"/>
        <w:gridCol w:w="2191"/>
        <w:gridCol w:w="2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单位名称</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统一社会信用代码</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单位性质</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□软件与信息服务业企业</w:t>
            </w:r>
          </w:p>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□互联网企业  □电信运营商</w:t>
            </w:r>
          </w:p>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□制造业企业下属独立法人信息化或智能装备企业</w:t>
            </w:r>
          </w:p>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□中小企业公共服务机构</w:t>
            </w:r>
          </w:p>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□高校和科研院所</w:t>
            </w:r>
          </w:p>
          <w:p>
            <w:pPr>
              <w:shd w:val="clear"/>
              <w:adjustRightInd w:val="0"/>
              <w:snapToGrid w:val="0"/>
              <w:spacing w:line="240" w:lineRule="auto"/>
              <w:ind w:firstLine="0" w:firstLineChars="0"/>
              <w:jc w:val="both"/>
              <w:rPr>
                <w:rFonts w:hint="eastAsia" w:ascii="仿宋_GB2312" w:hAnsi="仿宋_GB2312" w:cs="仿宋_GB2312"/>
                <w:sz w:val="28"/>
                <w:szCs w:val="28"/>
                <w:highlight w:val="none"/>
                <w:u w:val="single"/>
              </w:rPr>
            </w:pPr>
            <w:r>
              <w:rPr>
                <w:rFonts w:hint="eastAsia" w:ascii="仿宋_GB2312" w:hAnsi="仿宋_GB2312" w:cs="仿宋_GB2312"/>
                <w:sz w:val="28"/>
                <w:szCs w:val="28"/>
                <w:highlight w:val="none"/>
              </w:rPr>
              <w:t>□其他（请注明）：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注册地址</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法定代表人</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员工总数</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人。其中：研发及技术人员</w:t>
            </w:r>
            <w:r>
              <w:rPr>
                <w:rFonts w:hint="eastAsia" w:ascii="仿宋_GB2312" w:hAnsi="仿宋_GB2312" w:cs="仿宋_GB2312"/>
                <w:sz w:val="28"/>
                <w:szCs w:val="28"/>
                <w:highlight w:val="none"/>
                <w:u w:val="single"/>
              </w:rPr>
              <w:t xml:space="preserve">    </w:t>
            </w:r>
            <w:r>
              <w:rPr>
                <w:rFonts w:hint="eastAsia" w:ascii="仿宋_GB2312" w:hAnsi="仿宋_GB2312" w:cs="仿宋_GB2312"/>
                <w:sz w:val="28"/>
                <w:szCs w:val="28"/>
                <w:highlight w:val="none"/>
              </w:rPr>
              <w:t>人、</w:t>
            </w:r>
          </w:p>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实施人员</w:t>
            </w:r>
            <w:r>
              <w:rPr>
                <w:rFonts w:hint="eastAsia" w:ascii="仿宋_GB2312" w:hAnsi="仿宋_GB2312" w:cs="仿宋_GB2312"/>
                <w:sz w:val="28"/>
                <w:szCs w:val="28"/>
                <w:highlight w:val="none"/>
                <w:u w:val="single"/>
              </w:rPr>
              <w:t xml:space="preserve">    </w:t>
            </w:r>
            <w:r>
              <w:rPr>
                <w:rFonts w:hint="eastAsia" w:ascii="仿宋_GB2312" w:hAnsi="仿宋_GB2312" w:cs="仿宋_GB2312"/>
                <w:sz w:val="28"/>
                <w:szCs w:val="28"/>
                <w:highlight w:val="none"/>
              </w:rPr>
              <w:t>人、售后服务人员</w:t>
            </w:r>
            <w:r>
              <w:rPr>
                <w:rFonts w:hint="eastAsia" w:ascii="仿宋_GB2312" w:hAnsi="仿宋_GB2312" w:cs="仿宋_GB2312"/>
                <w:sz w:val="28"/>
                <w:szCs w:val="28"/>
                <w:highlight w:val="none"/>
                <w:u w:val="single"/>
              </w:rPr>
              <w:t xml:space="preserve">    </w:t>
            </w:r>
            <w:r>
              <w:rPr>
                <w:rFonts w:hint="eastAsia" w:ascii="仿宋_GB2312" w:hAnsi="仿宋_GB2312" w:cs="仿宋_GB2312"/>
                <w:sz w:val="28"/>
                <w:szCs w:val="28"/>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联系人及职务</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联系电话</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电子邮箱</w:t>
            </w:r>
          </w:p>
        </w:tc>
        <w:tc>
          <w:tcPr>
            <w:tcW w:w="6575" w:type="dxa"/>
            <w:gridSpan w:val="3"/>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469" w:type="dxa"/>
            <w:shd w:val="clear" w:color="auto" w:fill="D9D9D9"/>
            <w:vAlign w:val="center"/>
          </w:tcPr>
          <w:p>
            <w:pPr>
              <w:shd w:val="clear"/>
              <w:adjustRightInd w:val="0"/>
              <w:snapToGrid w:val="0"/>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指标</w:t>
            </w: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eastAsia="黑体" w:cs="黑体"/>
                <w:sz w:val="28"/>
                <w:szCs w:val="28"/>
                <w:highlight w:val="none"/>
              </w:rPr>
              <w:t>2023</w:t>
            </w:r>
            <w:r>
              <w:rPr>
                <w:rFonts w:hint="eastAsia" w:ascii="黑体" w:hAnsi="黑体" w:eastAsia="黑体" w:cs="黑体"/>
                <w:sz w:val="28"/>
                <w:szCs w:val="28"/>
                <w:highlight w:val="none"/>
              </w:rPr>
              <w:t>年</w:t>
            </w: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eastAsia="黑体" w:cs="黑体"/>
                <w:sz w:val="28"/>
                <w:szCs w:val="28"/>
                <w:highlight w:val="none"/>
              </w:rPr>
              <w:t>2024</w:t>
            </w:r>
            <w:r>
              <w:rPr>
                <w:rFonts w:hint="eastAsia" w:ascii="黑体" w:hAnsi="黑体" w:eastAsia="黑体" w:cs="黑体"/>
                <w:sz w:val="28"/>
                <w:szCs w:val="28"/>
                <w:highlight w:val="none"/>
              </w:rPr>
              <w:t>年</w:t>
            </w:r>
          </w:p>
        </w:tc>
        <w:tc>
          <w:tcPr>
            <w:tcW w:w="2193"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eastAsia="黑体" w:cs="黑体"/>
                <w:sz w:val="28"/>
                <w:szCs w:val="28"/>
                <w:highlight w:val="none"/>
              </w:rPr>
              <w:t>2025</w:t>
            </w:r>
            <w:r>
              <w:rPr>
                <w:rFonts w:hint="eastAsia" w:ascii="黑体" w:hAnsi="黑体" w:eastAsia="黑体" w:cs="黑体"/>
                <w:sz w:val="28"/>
                <w:szCs w:val="28"/>
                <w:highlight w:val="none"/>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2469" w:type="dxa"/>
            <w:vAlign w:val="center"/>
          </w:tcPr>
          <w:p>
            <w:pPr>
              <w:shd w:val="clear"/>
              <w:spacing w:line="240" w:lineRule="auto"/>
              <w:ind w:firstLine="0" w:firstLineChars="0"/>
              <w:jc w:val="both"/>
              <w:rPr>
                <w:rFonts w:hint="eastAsia" w:ascii="黑体" w:hAnsi="黑体" w:eastAsia="黑体" w:cs="黑体"/>
                <w:sz w:val="28"/>
                <w:szCs w:val="28"/>
                <w:highlight w:val="none"/>
              </w:rPr>
            </w:pPr>
            <w:r>
              <w:rPr>
                <w:sz w:val="28"/>
                <w:szCs w:val="28"/>
                <w:highlight w:val="none"/>
              </w:rPr>
              <w:t>营业收入（万元）</w:t>
            </w: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c>
          <w:tcPr>
            <w:tcW w:w="2193"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vAlign w:val="center"/>
          </w:tcPr>
          <w:p>
            <w:pPr>
              <w:shd w:val="clear"/>
              <w:spacing w:line="240" w:lineRule="auto"/>
              <w:ind w:firstLine="0" w:firstLineChars="0"/>
              <w:jc w:val="both"/>
              <w:rPr>
                <w:rFonts w:hint="eastAsia" w:ascii="黑体" w:hAnsi="黑体" w:eastAsia="黑体" w:cs="黑体"/>
                <w:sz w:val="28"/>
                <w:szCs w:val="28"/>
                <w:highlight w:val="none"/>
              </w:rPr>
            </w:pPr>
            <w:r>
              <w:rPr>
                <w:sz w:val="28"/>
                <w:szCs w:val="28"/>
                <w:highlight w:val="none"/>
              </w:rPr>
              <w:t>利润总额（万元）</w:t>
            </w: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c>
          <w:tcPr>
            <w:tcW w:w="2193"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9" w:type="dxa"/>
            <w:vAlign w:val="center"/>
          </w:tcPr>
          <w:p>
            <w:pPr>
              <w:shd w:val="clear"/>
              <w:spacing w:line="240" w:lineRule="auto"/>
              <w:ind w:firstLine="0" w:firstLineChars="0"/>
              <w:jc w:val="both"/>
              <w:rPr>
                <w:rFonts w:hint="eastAsia" w:ascii="黑体" w:hAnsi="黑体" w:eastAsia="黑体" w:cs="黑体"/>
                <w:sz w:val="28"/>
                <w:szCs w:val="28"/>
                <w:highlight w:val="none"/>
              </w:rPr>
            </w:pPr>
            <w:r>
              <w:rPr>
                <w:sz w:val="28"/>
                <w:szCs w:val="28"/>
                <w:highlight w:val="none"/>
              </w:rPr>
              <w:t>纳税额（万元）</w:t>
            </w: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c>
          <w:tcPr>
            <w:tcW w:w="2191"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c>
          <w:tcPr>
            <w:tcW w:w="2193" w:type="dxa"/>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0" w:type="dxa"/>
            <w:gridSpan w:val="2"/>
            <w:shd w:val="clear" w:color="auto" w:fill="D9D9D9"/>
            <w:vAlign w:val="center"/>
          </w:tcPr>
          <w:p>
            <w:pPr>
              <w:shd w:val="clear"/>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是否已纳入沈阳市制造业智改数转</w:t>
            </w:r>
            <w:r>
              <w:rPr>
                <w:rFonts w:hint="eastAsia" w:ascii="黑体" w:hAnsi="黑体" w:eastAsia="黑体" w:cs="黑体"/>
                <w:sz w:val="28"/>
                <w:szCs w:val="28"/>
                <w:highlight w:val="none"/>
              </w:rPr>
              <w:br w:type="textWrapping"/>
            </w:r>
            <w:r>
              <w:rPr>
                <w:rFonts w:hint="eastAsia" w:ascii="黑体" w:hAnsi="黑体" w:eastAsia="黑体" w:cs="黑体"/>
                <w:sz w:val="28"/>
                <w:szCs w:val="28"/>
                <w:highlight w:val="none"/>
              </w:rPr>
              <w:t>公共服务平台服务商资源池</w:t>
            </w:r>
          </w:p>
        </w:tc>
        <w:tc>
          <w:tcPr>
            <w:tcW w:w="4384" w:type="dxa"/>
            <w:gridSpan w:val="2"/>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r>
              <w:rPr>
                <w:rFonts w:hint="eastAsia" w:ascii="仿宋_GB2312" w:hAnsi="仿宋_GB2312" w:cs="仿宋_GB2312"/>
                <w:sz w:val="28"/>
                <w:szCs w:val="28"/>
                <w:highlight w:val="none"/>
              </w:rPr>
              <w:t>□是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0" w:type="dxa"/>
            <w:gridSpan w:val="2"/>
            <w:shd w:val="clear" w:color="auto" w:fill="D9D9D9"/>
            <w:vAlign w:val="center"/>
          </w:tcPr>
          <w:p>
            <w:pPr>
              <w:shd w:val="clear"/>
              <w:spacing w:line="240" w:lineRule="auto"/>
              <w:ind w:firstLine="0" w:firstLineChars="0"/>
              <w:jc w:val="both"/>
              <w:rPr>
                <w:rFonts w:hint="eastAsia" w:ascii="黑体" w:hAnsi="黑体" w:eastAsia="黑体" w:cs="黑体"/>
                <w:sz w:val="28"/>
                <w:szCs w:val="28"/>
                <w:highlight w:val="none"/>
              </w:rPr>
            </w:pPr>
            <w:r>
              <w:rPr>
                <w:rFonts w:hint="eastAsia" w:ascii="黑体" w:hAnsi="黑体" w:eastAsia="黑体" w:cs="黑体"/>
                <w:sz w:val="28"/>
                <w:szCs w:val="28"/>
                <w:highlight w:val="none"/>
              </w:rPr>
              <w:t>参与沈阳中小企业数字化转型试点城市数字化改造工作及服务本地中小企业情况及成效（可另附页）</w:t>
            </w:r>
          </w:p>
        </w:tc>
        <w:tc>
          <w:tcPr>
            <w:tcW w:w="4384" w:type="dxa"/>
            <w:gridSpan w:val="2"/>
            <w:vAlign w:val="center"/>
          </w:tcPr>
          <w:p>
            <w:pPr>
              <w:shd w:val="clear"/>
              <w:adjustRightInd w:val="0"/>
              <w:snapToGrid w:val="0"/>
              <w:spacing w:line="240" w:lineRule="auto"/>
              <w:ind w:firstLine="0" w:firstLineChars="0"/>
              <w:jc w:val="both"/>
              <w:rPr>
                <w:rFonts w:hint="eastAsia" w:ascii="仿宋_GB2312" w:hAnsi="仿宋_GB2312" w:cs="仿宋_GB2312"/>
                <w:sz w:val="28"/>
                <w:szCs w:val="28"/>
                <w:highlight w:val="none"/>
              </w:rPr>
            </w:pPr>
          </w:p>
        </w:tc>
      </w:tr>
    </w:tbl>
    <w:p>
      <w:pPr>
        <w:shd w:val="clear"/>
        <w:rPr>
          <w:rFonts w:hint="eastAsia" w:ascii="仿宋_GB2312" w:hAnsi="仿宋_GB2312" w:cs="仿宋_GB2312"/>
          <w:highlight w:val="none"/>
        </w:rPr>
      </w:pPr>
    </w:p>
    <w:p>
      <w:pPr>
        <w:shd w:val="clear"/>
        <w:rPr>
          <w:rFonts w:hint="eastAsia" w:ascii="仿宋_GB2312" w:hAnsi="仿宋_GB2312" w:cs="仿宋_GB2312"/>
          <w:highlight w:val="none"/>
        </w:rPr>
      </w:pPr>
      <w:r>
        <w:rPr>
          <w:rFonts w:hint="eastAsia" w:ascii="仿宋_GB2312" w:hAnsi="仿宋_GB2312" w:cs="仿宋_GB2312"/>
          <w:highlight w:val="none"/>
        </w:rPr>
        <w:br w:type="page"/>
      </w:r>
    </w:p>
    <w:p>
      <w:pPr>
        <w:pStyle w:val="2"/>
        <w:shd w:val="clear"/>
        <w:ind w:firstLine="640"/>
        <w:rPr>
          <w:highlight w:val="none"/>
        </w:rPr>
      </w:pPr>
      <w:r>
        <w:rPr>
          <w:rFonts w:hint="eastAsia"/>
          <w:highlight w:val="none"/>
        </w:rPr>
        <w:t>二、申报类别与等级</w:t>
      </w:r>
    </w:p>
    <w:p>
      <w:pPr>
        <w:pStyle w:val="3"/>
        <w:shd w:val="clear"/>
        <w:ind w:firstLine="640"/>
        <w:rPr>
          <w:rFonts w:hint="eastAsia"/>
          <w:highlight w:val="none"/>
        </w:rPr>
      </w:pPr>
      <w:r>
        <w:rPr>
          <w:rFonts w:hint="eastAsia"/>
          <w:highlight w:val="none"/>
        </w:rPr>
        <w:t>（一）申报类别（可多选</w:t>
      </w:r>
      <w:r>
        <w:rPr>
          <w:rFonts w:hint="eastAsia"/>
          <w:szCs w:val="32"/>
          <w:highlight w:val="none"/>
        </w:rPr>
        <w:t>,请在所选等级前“□”内打“√”</w:t>
      </w:r>
      <w:r>
        <w:rPr>
          <w:rFonts w:hint="eastAsia"/>
          <w:highlight w:val="none"/>
        </w:rPr>
        <w:t>）</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1</w:t>
      </w:r>
      <w:r>
        <w:rPr>
          <w:rFonts w:hint="eastAsia" w:ascii="仿宋_GB2312" w:hAnsi="仿宋_GB2312" w:cs="仿宋_GB2312"/>
          <w:b/>
          <w:bCs/>
          <w:szCs w:val="32"/>
          <w:highlight w:val="none"/>
        </w:rPr>
        <w:t>.数字化咨询服务商</w:t>
      </w:r>
      <w:r>
        <w:rPr>
          <w:rFonts w:hint="eastAsia" w:ascii="仿宋_GB2312" w:hAnsi="仿宋_GB2312" w:cs="仿宋_GB2312"/>
          <w:szCs w:val="32"/>
          <w:highlight w:val="none"/>
        </w:rPr>
        <w:t>：提供数字化转型战略规划、技术路径设计、数字人才培训等咨询服务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2</w:t>
      </w:r>
      <w:r>
        <w:rPr>
          <w:rFonts w:hint="eastAsia" w:ascii="仿宋_GB2312" w:hAnsi="仿宋_GB2312" w:cs="仿宋_GB2312"/>
          <w:b/>
          <w:bCs/>
          <w:szCs w:val="32"/>
          <w:highlight w:val="none"/>
        </w:rPr>
        <w:t>.数字化评测服务商</w:t>
      </w:r>
      <w:r>
        <w:rPr>
          <w:rFonts w:hint="eastAsia" w:ascii="仿宋_GB2312" w:hAnsi="仿宋_GB2312" w:cs="仿宋_GB2312"/>
          <w:szCs w:val="32"/>
          <w:highlight w:val="none"/>
        </w:rPr>
        <w:t>：提供数字化转型相关合格评定、产品检测、项目监理等服务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3</w:t>
      </w:r>
      <w:r>
        <w:rPr>
          <w:rFonts w:hint="eastAsia" w:ascii="仿宋_GB2312" w:hAnsi="仿宋_GB2312" w:cs="仿宋_GB2312"/>
          <w:b/>
          <w:bCs/>
          <w:szCs w:val="32"/>
          <w:highlight w:val="none"/>
        </w:rPr>
        <w:t>.数字化运营服务商</w:t>
      </w:r>
      <w:r>
        <w:rPr>
          <w:rFonts w:hint="eastAsia" w:ascii="仿宋_GB2312" w:hAnsi="仿宋_GB2312" w:cs="仿宋_GB2312"/>
          <w:szCs w:val="32"/>
          <w:highlight w:val="none"/>
        </w:rPr>
        <w:t>：提供业财税一体化、客户关系管理、供应链协同等运营数字化服务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4</w:t>
      </w:r>
      <w:r>
        <w:rPr>
          <w:rFonts w:hint="eastAsia" w:ascii="仿宋_GB2312" w:hAnsi="仿宋_GB2312" w:cs="仿宋_GB2312"/>
          <w:b/>
          <w:bCs/>
          <w:szCs w:val="32"/>
          <w:highlight w:val="none"/>
        </w:rPr>
        <w:t>.数字化研发服务商</w:t>
      </w:r>
      <w:r>
        <w:rPr>
          <w:rFonts w:hint="eastAsia" w:ascii="仿宋_GB2312" w:hAnsi="仿宋_GB2312" w:cs="仿宋_GB2312"/>
          <w:szCs w:val="32"/>
          <w:highlight w:val="none"/>
        </w:rPr>
        <w:t>：提供</w:t>
      </w:r>
      <w:r>
        <w:rPr>
          <w:rFonts w:hint="eastAsia" w:cs="仿宋_GB2312"/>
          <w:szCs w:val="32"/>
          <w:highlight w:val="none"/>
        </w:rPr>
        <w:t>CAD</w:t>
      </w:r>
      <w:r>
        <w:rPr>
          <w:rFonts w:hint="eastAsia" w:ascii="仿宋_GB2312" w:hAnsi="仿宋_GB2312" w:cs="仿宋_GB2312"/>
          <w:szCs w:val="32"/>
          <w:highlight w:val="none"/>
        </w:rPr>
        <w:t>、</w:t>
      </w:r>
      <w:r>
        <w:rPr>
          <w:rFonts w:hint="eastAsia" w:cs="仿宋_GB2312"/>
          <w:szCs w:val="32"/>
          <w:highlight w:val="none"/>
        </w:rPr>
        <w:t>CAE</w:t>
      </w:r>
      <w:r>
        <w:rPr>
          <w:rFonts w:hint="eastAsia" w:ascii="仿宋_GB2312" w:hAnsi="仿宋_GB2312" w:cs="仿宋_GB2312"/>
          <w:szCs w:val="32"/>
          <w:highlight w:val="none"/>
        </w:rPr>
        <w:t>、</w:t>
      </w:r>
      <w:r>
        <w:rPr>
          <w:rFonts w:hint="eastAsia" w:cs="仿宋_GB2312"/>
          <w:szCs w:val="32"/>
          <w:highlight w:val="none"/>
        </w:rPr>
        <w:t>CAPP</w:t>
      </w:r>
      <w:r>
        <w:rPr>
          <w:rFonts w:hint="eastAsia" w:ascii="仿宋_GB2312" w:hAnsi="仿宋_GB2312" w:cs="仿宋_GB2312"/>
          <w:szCs w:val="32"/>
          <w:highlight w:val="none"/>
        </w:rPr>
        <w:t>、数字孪生等研发设计类工具及服务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5</w:t>
      </w:r>
      <w:r>
        <w:rPr>
          <w:rFonts w:hint="eastAsia" w:ascii="仿宋_GB2312" w:hAnsi="仿宋_GB2312" w:cs="仿宋_GB2312"/>
          <w:b/>
          <w:bCs/>
          <w:szCs w:val="32"/>
          <w:highlight w:val="none"/>
        </w:rPr>
        <w:t>.数字化生产服务商</w:t>
      </w:r>
      <w:r>
        <w:rPr>
          <w:rFonts w:hint="eastAsia" w:ascii="仿宋_GB2312" w:hAnsi="仿宋_GB2312" w:cs="仿宋_GB2312"/>
          <w:szCs w:val="32"/>
          <w:highlight w:val="none"/>
        </w:rPr>
        <w:t>：提供</w:t>
      </w:r>
      <w:r>
        <w:rPr>
          <w:rFonts w:hint="eastAsia" w:cs="仿宋_GB2312"/>
          <w:szCs w:val="32"/>
          <w:highlight w:val="none"/>
        </w:rPr>
        <w:t>MES</w:t>
      </w:r>
      <w:r>
        <w:rPr>
          <w:rFonts w:hint="eastAsia" w:ascii="仿宋_GB2312" w:hAnsi="仿宋_GB2312" w:cs="仿宋_GB2312"/>
          <w:szCs w:val="32"/>
          <w:highlight w:val="none"/>
        </w:rPr>
        <w:t>、</w:t>
      </w:r>
      <w:r>
        <w:rPr>
          <w:rFonts w:hint="eastAsia" w:cs="仿宋_GB2312"/>
          <w:szCs w:val="32"/>
          <w:highlight w:val="none"/>
        </w:rPr>
        <w:t>QMS</w:t>
      </w:r>
      <w:r>
        <w:rPr>
          <w:rFonts w:hint="eastAsia" w:ascii="仿宋_GB2312" w:hAnsi="仿宋_GB2312" w:cs="仿宋_GB2312"/>
          <w:szCs w:val="32"/>
          <w:highlight w:val="none"/>
        </w:rPr>
        <w:t>、</w:t>
      </w:r>
      <w:r>
        <w:rPr>
          <w:rFonts w:hint="eastAsia" w:cs="仿宋_GB2312"/>
          <w:szCs w:val="32"/>
          <w:highlight w:val="none"/>
        </w:rPr>
        <w:t>WMS</w:t>
      </w:r>
      <w:r>
        <w:rPr>
          <w:rFonts w:hint="eastAsia" w:ascii="仿宋_GB2312" w:hAnsi="仿宋_GB2312" w:cs="仿宋_GB2312"/>
          <w:szCs w:val="32"/>
          <w:highlight w:val="none"/>
        </w:rPr>
        <w:t>、设备管理、安全生产管理等生产制造类工具及服务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6</w:t>
      </w:r>
      <w:r>
        <w:rPr>
          <w:rFonts w:hint="eastAsia" w:ascii="仿宋_GB2312" w:hAnsi="仿宋_GB2312" w:cs="仿宋_GB2312"/>
          <w:b/>
          <w:bCs/>
          <w:szCs w:val="32"/>
          <w:highlight w:val="none"/>
        </w:rPr>
        <w:t>.数字化基建服务商</w:t>
      </w:r>
      <w:r>
        <w:rPr>
          <w:rFonts w:hint="eastAsia" w:ascii="仿宋_GB2312" w:hAnsi="仿宋_GB2312" w:cs="仿宋_GB2312"/>
          <w:szCs w:val="32"/>
          <w:highlight w:val="none"/>
        </w:rPr>
        <w:t>：提供云服务、系统集成、工业互联网平台等基础设施服务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7</w:t>
      </w:r>
      <w:r>
        <w:rPr>
          <w:rFonts w:hint="eastAsia" w:ascii="仿宋_GB2312" w:hAnsi="仿宋_GB2312" w:cs="仿宋_GB2312"/>
          <w:b/>
          <w:bCs/>
          <w:szCs w:val="32"/>
          <w:highlight w:val="none"/>
        </w:rPr>
        <w:t>.数字化设备服务商</w:t>
      </w:r>
      <w:r>
        <w:rPr>
          <w:rFonts w:hint="eastAsia" w:ascii="仿宋_GB2312" w:hAnsi="仿宋_GB2312" w:cs="仿宋_GB2312"/>
          <w:szCs w:val="32"/>
          <w:highlight w:val="none"/>
        </w:rPr>
        <w:t>：提供智能装备、工业控制系统、设备运维等服务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8</w:t>
      </w:r>
      <w:r>
        <w:rPr>
          <w:rFonts w:hint="eastAsia" w:ascii="仿宋_GB2312" w:hAnsi="仿宋_GB2312" w:cs="仿宋_GB2312"/>
          <w:b/>
          <w:bCs/>
          <w:szCs w:val="32"/>
          <w:highlight w:val="none"/>
        </w:rPr>
        <w:t>.数字化技术服务商</w:t>
      </w:r>
      <w:r>
        <w:rPr>
          <w:rFonts w:hint="eastAsia" w:ascii="仿宋_GB2312" w:hAnsi="仿宋_GB2312" w:cs="仿宋_GB2312"/>
          <w:szCs w:val="32"/>
          <w:highlight w:val="none"/>
        </w:rPr>
        <w:t>：包括数据应用、人工智能、数字孪生</w:t>
      </w:r>
      <w:r>
        <w:rPr>
          <w:rFonts w:hint="eastAsia" w:cs="仿宋_GB2312"/>
          <w:szCs w:val="32"/>
          <w:highlight w:val="none"/>
        </w:rPr>
        <w:t>3</w:t>
      </w:r>
      <w:r>
        <w:rPr>
          <w:rFonts w:hint="eastAsia" w:ascii="仿宋_GB2312" w:hAnsi="仿宋_GB2312" w:cs="仿宋_GB2312"/>
          <w:szCs w:val="32"/>
          <w:highlight w:val="none"/>
        </w:rPr>
        <w:t>个子类，提供数据治理、</w:t>
      </w:r>
      <w:r>
        <w:rPr>
          <w:rFonts w:hint="eastAsia" w:cs="仿宋_GB2312"/>
          <w:szCs w:val="32"/>
          <w:highlight w:val="none"/>
        </w:rPr>
        <w:t>AI</w:t>
      </w:r>
      <w:r>
        <w:rPr>
          <w:rFonts w:hint="eastAsia" w:ascii="仿宋_GB2312" w:hAnsi="仿宋_GB2312" w:cs="仿宋_GB2312"/>
          <w:szCs w:val="32"/>
          <w:highlight w:val="none"/>
        </w:rPr>
        <w:t>质检、数字孪生等技术服务</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cs="仿宋_GB2312"/>
          <w:b/>
          <w:bCs/>
          <w:szCs w:val="32"/>
          <w:highlight w:val="none"/>
        </w:rPr>
        <w:t>9</w:t>
      </w:r>
      <w:r>
        <w:rPr>
          <w:rFonts w:hint="eastAsia" w:ascii="仿宋_GB2312" w:hAnsi="仿宋_GB2312" w:cs="仿宋_GB2312"/>
          <w:b/>
          <w:bCs/>
          <w:szCs w:val="32"/>
          <w:highlight w:val="none"/>
        </w:rPr>
        <w:t>.数字化综合服务商</w:t>
      </w:r>
      <w:r>
        <w:rPr>
          <w:rFonts w:hint="eastAsia" w:ascii="仿宋_GB2312" w:hAnsi="仿宋_GB2312" w:cs="仿宋_GB2312"/>
          <w:szCs w:val="32"/>
          <w:highlight w:val="none"/>
        </w:rPr>
        <w:t>：兼具四类及以上服务商部分或全部子类（须勾选兼具类别）。</w:t>
      </w:r>
    </w:p>
    <w:p>
      <w:pPr>
        <w:shd w:val="clear"/>
        <w:ind w:firstLine="560"/>
        <w:rPr>
          <w:rFonts w:eastAsia="楷体_GB2312"/>
          <w:sz w:val="28"/>
          <w:highlight w:val="none"/>
        </w:rPr>
      </w:pPr>
    </w:p>
    <w:p>
      <w:pPr>
        <w:pStyle w:val="3"/>
        <w:shd w:val="clear"/>
        <w:ind w:firstLine="640"/>
        <w:rPr>
          <w:rFonts w:hint="eastAsia"/>
          <w:highlight w:val="none"/>
        </w:rPr>
      </w:pPr>
      <w:r>
        <w:rPr>
          <w:highlight w:val="none"/>
        </w:rPr>
        <w:t>（二）申报等级（请在所选等级前“□”内打“√”）</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ascii="仿宋_GB2312" w:hAnsi="仿宋_GB2312" w:cs="仿宋_GB2312"/>
          <w:b/>
          <w:bCs/>
          <w:szCs w:val="32"/>
          <w:highlight w:val="none"/>
        </w:rPr>
        <w:t>一级（实践级）</w:t>
      </w:r>
      <w:r>
        <w:rPr>
          <w:rFonts w:hint="eastAsia" w:ascii="仿宋_GB2312" w:hAnsi="仿宋_GB2312" w:cs="仿宋_GB2312"/>
          <w:szCs w:val="32"/>
          <w:highlight w:val="none"/>
        </w:rPr>
        <w:t>：实践应用，产品普适。具有初步数字化转型服务能力，面向某个转型需求具有明确的、标准化的转型产品、解决方案等实践经验</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ascii="仿宋_GB2312" w:hAnsi="仿宋_GB2312" w:cs="仿宋_GB2312"/>
          <w:b/>
          <w:bCs/>
          <w:szCs w:val="32"/>
          <w:highlight w:val="none"/>
        </w:rPr>
        <w:t>二级（专业级）</w:t>
      </w:r>
      <w:r>
        <w:rPr>
          <w:rFonts w:hint="eastAsia" w:ascii="仿宋_GB2312" w:hAnsi="仿宋_GB2312" w:cs="仿宋_GB2312"/>
          <w:szCs w:val="32"/>
          <w:highlight w:val="none"/>
        </w:rPr>
        <w:t>：专业定制，场景适配。具有规模化的数字化服务能力，具备专职的研发及售后维护团队，具有定制化意识，面向某个转型场景推出可定制化的专业产品、解决方案等，有一定的行业沉淀</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ascii="仿宋_GB2312" w:hAnsi="仿宋_GB2312" w:cs="仿宋_GB2312"/>
          <w:b/>
          <w:bCs/>
          <w:szCs w:val="32"/>
          <w:highlight w:val="none"/>
        </w:rPr>
        <w:t>三级（深耕级）</w:t>
      </w:r>
      <w:r>
        <w:rPr>
          <w:rFonts w:hint="eastAsia" w:ascii="仿宋_GB2312" w:hAnsi="仿宋_GB2312" w:cs="仿宋_GB2312"/>
          <w:szCs w:val="32"/>
          <w:highlight w:val="none"/>
        </w:rPr>
        <w:t>：体系完善，领域深耕。具有较为完善的数字化转型服务体系，职能分工明确，人才结构合理并建立专家库，在某个垂直转型领域深耕发展，有融合集成的数字化转型产品或解决方案，具备基于知识库的行业知识沉淀</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ascii="仿宋_GB2312" w:hAnsi="仿宋_GB2312" w:cs="仿宋_GB2312"/>
          <w:b/>
          <w:bCs/>
          <w:szCs w:val="32"/>
          <w:highlight w:val="none"/>
        </w:rPr>
        <w:t>四级（引领级）</w:t>
      </w:r>
      <w:r>
        <w:rPr>
          <w:rFonts w:hint="eastAsia" w:ascii="仿宋_GB2312" w:hAnsi="仿宋_GB2312" w:cs="仿宋_GB2312"/>
          <w:szCs w:val="32"/>
          <w:highlight w:val="none"/>
        </w:rPr>
        <w:t>：智能引领，行业协同。具有成熟的数字化转型服务体系，具备引领行业的服务能力，建立内外部专家库，应用人工智能技术与敏捷方法在关键业务领域协同工作，在多个行业具有成熟的数字化转型方法论，具备基于模型与算法的产品和解决方案，知识库可动态更新</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w:t>
      </w:r>
      <w:r>
        <w:rPr>
          <w:rFonts w:hint="eastAsia" w:ascii="仿宋_GB2312" w:hAnsi="仿宋_GB2312" w:cs="仿宋_GB2312"/>
          <w:b/>
          <w:bCs/>
          <w:szCs w:val="32"/>
          <w:highlight w:val="none"/>
        </w:rPr>
        <w:t>五级（开创级）</w:t>
      </w:r>
      <w:r>
        <w:rPr>
          <w:rFonts w:hint="eastAsia" w:ascii="仿宋_GB2312" w:hAnsi="仿宋_GB2312" w:cs="仿宋_GB2312"/>
          <w:szCs w:val="32"/>
          <w:highlight w:val="none"/>
        </w:rPr>
        <w:t>：开创未来，生态变革。联合产业链供应链上下游，形成数字化转型服务生态，具备开创性的科研与技术攻关能力，推动产业变革，基于行业沉淀与知识库，结合应用大量人工智能等新兴技术持续孵化、优化产品，实现机制的自我改进，为生态赋能</w:t>
      </w:r>
    </w:p>
    <w:p>
      <w:pPr>
        <w:pStyle w:val="3"/>
        <w:shd w:val="clear"/>
        <w:ind w:firstLine="640"/>
        <w:rPr>
          <w:rFonts w:hint="eastAsia"/>
          <w:highlight w:val="none"/>
        </w:rPr>
      </w:pPr>
      <w:r>
        <w:rPr>
          <w:highlight w:val="none"/>
        </w:rPr>
        <w:t>（三）主要服务行业及领域</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97"/>
        <w:gridCol w:w="5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8" w:hRule="atLeast"/>
          <w:jc w:val="center"/>
        </w:trPr>
        <w:tc>
          <w:tcPr>
            <w:tcW w:w="3397" w:type="dxa"/>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主要服务行业</w:t>
            </w:r>
          </w:p>
        </w:tc>
        <w:tc>
          <w:tcPr>
            <w:tcW w:w="5447" w:type="dxa"/>
            <w:vAlign w:val="center"/>
          </w:tcPr>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□汽车及零部件  □食品  □装备制造</w:t>
            </w:r>
          </w:p>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□工业母机  □通用设备制造</w:t>
            </w:r>
          </w:p>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□工程机械  □泵及真空设备</w:t>
            </w:r>
          </w:p>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□输配电及控制设备 □电力装备</w:t>
            </w:r>
          </w:p>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□生物医药及医疗装备  □新能源</w:t>
            </w:r>
          </w:p>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□钢铁  □石化  □其他（请注明）：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7" w:type="dxa"/>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重点服务的工业企业类型</w:t>
            </w:r>
          </w:p>
        </w:tc>
        <w:tc>
          <w:tcPr>
            <w:tcW w:w="5447" w:type="dxa"/>
            <w:vAlign w:val="center"/>
          </w:tcPr>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□大型企业  □中小企业  □小微企业</w:t>
            </w:r>
          </w:p>
          <w:p>
            <w:pPr>
              <w:shd w:val="clear"/>
              <w:adjustRightInd w:val="0"/>
              <w:snapToGrid w:val="0"/>
              <w:spacing w:line="240" w:lineRule="auto"/>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rPr>
              <w:t>□规上企业  □规下企业</w:t>
            </w:r>
          </w:p>
          <w:p>
            <w:pPr>
              <w:shd w:val="clear"/>
              <w:adjustRightInd w:val="0"/>
              <w:snapToGrid w:val="0"/>
              <w:spacing w:line="240" w:lineRule="auto"/>
              <w:ind w:left="280" w:hanging="280" w:hangingChars="100"/>
              <w:rPr>
                <w:rFonts w:hint="eastAsia" w:ascii="仿宋_GB2312" w:hAnsi="仿宋_GB2312" w:cs="仿宋_GB2312"/>
                <w:sz w:val="28"/>
                <w:szCs w:val="28"/>
                <w:highlight w:val="none"/>
              </w:rPr>
            </w:pPr>
            <w:r>
              <w:rPr>
                <w:rFonts w:hint="eastAsia" w:ascii="仿宋_GB2312" w:hAnsi="仿宋_GB2312" w:cs="仿宋_GB2312"/>
                <w:sz w:val="28"/>
                <w:szCs w:val="28"/>
                <w:highlight w:val="none"/>
              </w:rPr>
              <w:t>□其他（请注明）：</w:t>
            </w:r>
          </w:p>
        </w:tc>
      </w:tr>
    </w:tbl>
    <w:p>
      <w:pPr>
        <w:shd w:val="clear"/>
        <w:rPr>
          <w:rFonts w:hint="eastAsia" w:ascii="黑体" w:hAnsi="黑体" w:eastAsia="黑体" w:cs="黑体"/>
          <w:highlight w:val="none"/>
        </w:rPr>
      </w:pPr>
      <w:r>
        <w:rPr>
          <w:rFonts w:hint="eastAsia" w:ascii="黑体" w:hAnsi="黑体" w:eastAsia="黑体" w:cs="黑体"/>
          <w:highlight w:val="none"/>
        </w:rPr>
        <w:t>主要数字化产品／解决方案清单（可另附页）：</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1930"/>
        <w:gridCol w:w="1176"/>
        <w:gridCol w:w="1176"/>
        <w:gridCol w:w="1776"/>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2" w:type="dxa"/>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序号</w:t>
            </w:r>
          </w:p>
        </w:tc>
        <w:tc>
          <w:tcPr>
            <w:tcW w:w="1930" w:type="dxa"/>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产品/解决方案名称</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所属类别</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主要功能</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适用行业/场景</w:t>
            </w:r>
          </w:p>
        </w:tc>
        <w:tc>
          <w:tcPr>
            <w:tcW w:w="1984" w:type="dxa"/>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部署周期及投入规模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912" w:type="dxa"/>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r>
              <w:rPr>
                <w:rFonts w:hint="eastAsia" w:ascii="仿宋_GB2312" w:hAnsi="仿宋_GB2312" w:cs="仿宋_GB2312"/>
                <w:sz w:val="24"/>
                <w:szCs w:val="24"/>
                <w:highlight w:val="none"/>
              </w:rPr>
              <w:t>例</w:t>
            </w:r>
          </w:p>
        </w:tc>
        <w:tc>
          <w:tcPr>
            <w:tcW w:w="1930"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1984"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912" w:type="dxa"/>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r>
              <w:rPr>
                <w:rFonts w:hint="eastAsia" w:cs="仿宋_GB2312"/>
                <w:sz w:val="24"/>
                <w:szCs w:val="24"/>
                <w:highlight w:val="none"/>
              </w:rPr>
              <w:t>1</w:t>
            </w:r>
          </w:p>
        </w:tc>
        <w:tc>
          <w:tcPr>
            <w:tcW w:w="1930"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1984"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912" w:type="dxa"/>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r>
              <w:rPr>
                <w:rFonts w:hint="eastAsia" w:cs="仿宋_GB2312"/>
                <w:sz w:val="24"/>
                <w:szCs w:val="24"/>
                <w:highlight w:val="none"/>
              </w:rPr>
              <w:t>2</w:t>
            </w:r>
          </w:p>
        </w:tc>
        <w:tc>
          <w:tcPr>
            <w:tcW w:w="1930"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1984"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912" w:type="dxa"/>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r>
              <w:rPr>
                <w:rFonts w:hint="eastAsia" w:cs="仿宋_GB2312"/>
                <w:sz w:val="24"/>
                <w:szCs w:val="24"/>
                <w:highlight w:val="none"/>
              </w:rPr>
              <w:t>3</w:t>
            </w:r>
          </w:p>
        </w:tc>
        <w:tc>
          <w:tcPr>
            <w:tcW w:w="1930"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1984"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912" w:type="dxa"/>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r>
              <w:rPr>
                <w:rFonts w:hint="eastAsia" w:ascii="仿宋_GB2312" w:hAnsi="仿宋_GB2312" w:cs="仿宋_GB2312"/>
                <w:sz w:val="24"/>
                <w:szCs w:val="24"/>
                <w:highlight w:val="none"/>
              </w:rPr>
              <w:t>……</w:t>
            </w:r>
          </w:p>
        </w:tc>
        <w:tc>
          <w:tcPr>
            <w:tcW w:w="1930"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c>
          <w:tcPr>
            <w:tcW w:w="1984" w:type="dxa"/>
            <w:vAlign w:val="center"/>
          </w:tcPr>
          <w:p>
            <w:pPr>
              <w:shd w:val="clear"/>
              <w:adjustRightInd w:val="0"/>
              <w:snapToGrid w:val="0"/>
              <w:spacing w:line="240" w:lineRule="auto"/>
              <w:ind w:firstLine="0" w:firstLineChars="0"/>
              <w:rPr>
                <w:rFonts w:hint="eastAsia" w:ascii="仿宋_GB2312" w:hAnsi="仿宋_GB2312" w:cs="仿宋_GB2312"/>
                <w:sz w:val="24"/>
                <w:szCs w:val="24"/>
                <w:highlight w:val="none"/>
              </w:rPr>
            </w:pPr>
          </w:p>
        </w:tc>
      </w:tr>
    </w:tbl>
    <w:p>
      <w:pPr>
        <w:shd w:val="clear"/>
        <w:rPr>
          <w:rFonts w:eastAsia="黑体"/>
          <w:highlight w:val="none"/>
        </w:rPr>
      </w:pPr>
      <w:r>
        <w:rPr>
          <w:rFonts w:eastAsia="黑体"/>
          <w:highlight w:val="none"/>
        </w:rPr>
        <w:br w:type="page"/>
      </w:r>
    </w:p>
    <w:p>
      <w:pPr>
        <w:pStyle w:val="2"/>
        <w:shd w:val="clear"/>
        <w:ind w:firstLine="640"/>
        <w:rPr>
          <w:highlight w:val="none"/>
        </w:rPr>
      </w:pPr>
      <w:r>
        <w:rPr>
          <w:highlight w:val="none"/>
        </w:rPr>
        <w:t>三、服务团队情况</w:t>
      </w:r>
    </w:p>
    <w:p>
      <w:pPr>
        <w:pStyle w:val="3"/>
        <w:shd w:val="clear"/>
        <w:ind w:firstLine="640"/>
        <w:rPr>
          <w:rFonts w:hint="eastAsia"/>
          <w:highlight w:val="none"/>
        </w:rPr>
      </w:pPr>
      <w:r>
        <w:rPr>
          <w:highlight w:val="none"/>
        </w:rPr>
        <w:t>（一）团队规模与人员构成</w:t>
      </w:r>
    </w:p>
    <w:p>
      <w:pPr>
        <w:pStyle w:val="4"/>
        <w:shd w:val="clear"/>
        <w:ind w:firstLine="643"/>
        <w:rPr>
          <w:highlight w:val="none"/>
        </w:rPr>
      </w:pPr>
      <w:r>
        <w:rPr>
          <w:rFonts w:hint="eastAsia"/>
          <w:highlight w:val="none"/>
        </w:rPr>
        <w:t>1.数字化服务团队总人数及人员构成</w:t>
      </w:r>
    </w:p>
    <w:p>
      <w:pPr>
        <w:shd w:val="clear"/>
        <w:rPr>
          <w:highlight w:val="none"/>
        </w:rPr>
      </w:pPr>
    </w:p>
    <w:p>
      <w:pPr>
        <w:pStyle w:val="4"/>
        <w:shd w:val="clear"/>
        <w:ind w:firstLine="643"/>
        <w:rPr>
          <w:highlight w:val="none"/>
        </w:rPr>
      </w:pPr>
      <w:r>
        <w:rPr>
          <w:rFonts w:hint="eastAsia"/>
          <w:highlight w:val="none"/>
        </w:rPr>
        <w:t>2.核心团队及主要分工简介（研发、实施、售前、售后等）</w:t>
      </w:r>
    </w:p>
    <w:p>
      <w:pPr>
        <w:shd w:val="clear"/>
        <w:rPr>
          <w:highlight w:val="none"/>
        </w:rPr>
      </w:pPr>
    </w:p>
    <w:p>
      <w:pPr>
        <w:pStyle w:val="3"/>
        <w:shd w:val="clear"/>
        <w:ind w:firstLine="640"/>
        <w:rPr>
          <w:rFonts w:hint="eastAsia"/>
          <w:highlight w:val="none"/>
        </w:rPr>
      </w:pPr>
      <w:r>
        <w:rPr>
          <w:highlight w:val="none"/>
        </w:rPr>
        <w:t>（二）专家资源情况</w:t>
      </w:r>
    </w:p>
    <w:p>
      <w:pPr>
        <w:shd w:val="clear"/>
        <w:ind w:firstLine="560"/>
        <w:rPr>
          <w:rStyle w:val="116"/>
          <w:highlight w:val="none"/>
        </w:rPr>
      </w:pPr>
      <w:r>
        <w:rPr>
          <w:rStyle w:val="116"/>
          <w:rFonts w:hint="eastAsia"/>
          <w:highlight w:val="none"/>
        </w:rPr>
        <w:t>（外部专家合作情况及专家库建设情况，包含内外部专家数量、专业领域、交流机制等）</w:t>
      </w:r>
    </w:p>
    <w:p>
      <w:pPr>
        <w:shd w:val="clear"/>
        <w:rPr>
          <w:highlight w:val="none"/>
        </w:rPr>
      </w:pPr>
    </w:p>
    <w:p>
      <w:pPr>
        <w:pStyle w:val="3"/>
        <w:shd w:val="clear"/>
        <w:ind w:firstLine="640"/>
        <w:rPr>
          <w:rFonts w:hint="eastAsia"/>
          <w:highlight w:val="none"/>
        </w:rPr>
      </w:pPr>
      <w:r>
        <w:rPr>
          <w:highlight w:val="none"/>
        </w:rPr>
        <w:t>（三）本地服务条件</w:t>
      </w:r>
    </w:p>
    <w:p>
      <w:pPr>
        <w:pStyle w:val="4"/>
        <w:shd w:val="clear"/>
        <w:ind w:firstLine="643"/>
        <w:rPr>
          <w:highlight w:val="none"/>
        </w:rPr>
      </w:pPr>
      <w:r>
        <w:rPr>
          <w:rFonts w:hint="eastAsia"/>
          <w:highlight w:val="none"/>
        </w:rPr>
        <w:t>1.在沈阳服务团队、办公场所及固定联系人情况</w:t>
      </w:r>
    </w:p>
    <w:p>
      <w:pPr>
        <w:shd w:val="clear"/>
        <w:rPr>
          <w:highlight w:val="none"/>
        </w:rPr>
      </w:pPr>
    </w:p>
    <w:p>
      <w:pPr>
        <w:pStyle w:val="4"/>
        <w:shd w:val="clear"/>
        <w:ind w:firstLine="643"/>
        <w:rPr>
          <w:highlight w:val="none"/>
        </w:rPr>
      </w:pPr>
      <w:r>
        <w:rPr>
          <w:rFonts w:hint="eastAsia"/>
          <w:highlight w:val="none"/>
        </w:rPr>
        <w:t>2.本地服务响应机制及服务半径</w:t>
      </w:r>
    </w:p>
    <w:p>
      <w:pPr>
        <w:shd w:val="clear"/>
        <w:rPr>
          <w:highlight w:val="none"/>
        </w:rPr>
      </w:pPr>
    </w:p>
    <w:p>
      <w:pPr>
        <w:pStyle w:val="4"/>
        <w:shd w:val="clear"/>
        <w:ind w:firstLine="643"/>
        <w:rPr>
          <w:highlight w:val="none"/>
        </w:rPr>
      </w:pPr>
      <w:r>
        <w:rPr>
          <w:rFonts w:hint="eastAsia"/>
          <w:highlight w:val="none"/>
        </w:rPr>
        <w:t>3.非沈阳市内注册单位的本地服务证明（本地服务团队、本地长期办公场所等证明材料，见附件材料清单）</w:t>
      </w:r>
    </w:p>
    <w:p>
      <w:pPr>
        <w:shd w:val="clear"/>
        <w:rPr>
          <w:highlight w:val="none"/>
        </w:rPr>
      </w:pPr>
    </w:p>
    <w:p>
      <w:pPr>
        <w:shd w:val="clear"/>
        <w:rPr>
          <w:highlight w:val="none"/>
        </w:rPr>
      </w:pPr>
      <w:r>
        <w:rPr>
          <w:highlight w:val="none"/>
        </w:rPr>
        <w:br w:type="page"/>
      </w:r>
    </w:p>
    <w:p>
      <w:pPr>
        <w:pStyle w:val="2"/>
        <w:shd w:val="clear"/>
        <w:ind w:firstLine="640"/>
        <w:rPr>
          <w:highlight w:val="none"/>
        </w:rPr>
      </w:pPr>
      <w:r>
        <w:rPr>
          <w:highlight w:val="none"/>
        </w:rPr>
        <w:t>四、产品与解决方案情况</w:t>
      </w:r>
    </w:p>
    <w:p>
      <w:pPr>
        <w:pStyle w:val="3"/>
        <w:shd w:val="clear"/>
        <w:ind w:firstLine="640"/>
        <w:rPr>
          <w:rFonts w:hint="eastAsia"/>
          <w:highlight w:val="none"/>
        </w:rPr>
      </w:pPr>
      <w:r>
        <w:rPr>
          <w:highlight w:val="none"/>
        </w:rPr>
        <w:t>（一）产品功能与标准化情况</w:t>
      </w:r>
    </w:p>
    <w:p>
      <w:pPr>
        <w:pStyle w:val="4"/>
        <w:shd w:val="clear"/>
        <w:ind w:firstLine="643"/>
        <w:rPr>
          <w:highlight w:val="none"/>
        </w:rPr>
      </w:pPr>
      <w:r>
        <w:rPr>
          <w:rFonts w:hint="eastAsia"/>
          <w:highlight w:val="none"/>
        </w:rPr>
        <w:t>1.产品/解决方案标准化程度及功能完善情况</w:t>
      </w:r>
    </w:p>
    <w:p>
      <w:pPr>
        <w:shd w:val="clear"/>
        <w:rPr>
          <w:highlight w:val="none"/>
        </w:rPr>
      </w:pPr>
    </w:p>
    <w:p>
      <w:pPr>
        <w:pStyle w:val="4"/>
        <w:shd w:val="clear"/>
        <w:ind w:firstLine="643"/>
        <w:rPr>
          <w:highlight w:val="none"/>
        </w:rPr>
      </w:pPr>
      <w:r>
        <w:rPr>
          <w:rFonts w:hint="eastAsia"/>
          <w:highlight w:val="none"/>
        </w:rPr>
        <w:t>2.实际应用案例（含行业解决方案实施情况）</w:t>
      </w:r>
    </w:p>
    <w:p>
      <w:pPr>
        <w:shd w:val="clear"/>
        <w:rPr>
          <w:highlight w:val="none"/>
        </w:rPr>
      </w:pPr>
    </w:p>
    <w:p>
      <w:pPr>
        <w:shd w:val="clear"/>
        <w:rPr>
          <w:highlight w:val="none"/>
        </w:rPr>
      </w:pPr>
    </w:p>
    <w:p>
      <w:pPr>
        <w:pStyle w:val="3"/>
        <w:shd w:val="clear"/>
        <w:ind w:firstLine="640"/>
        <w:rPr>
          <w:rFonts w:hint="eastAsia"/>
          <w:highlight w:val="none"/>
        </w:rPr>
      </w:pPr>
      <w:r>
        <w:rPr>
          <w:highlight w:val="none"/>
        </w:rPr>
        <w:t>（二）行业适配情况</w:t>
      </w:r>
    </w:p>
    <w:p>
      <w:pPr>
        <w:shd w:val="clear"/>
        <w:ind w:firstLine="560"/>
        <w:rPr>
          <w:rStyle w:val="116"/>
          <w:highlight w:val="none"/>
        </w:rPr>
      </w:pPr>
      <w:r>
        <w:rPr>
          <w:rStyle w:val="116"/>
          <w:rFonts w:hint="eastAsia"/>
          <w:highlight w:val="none"/>
        </w:rPr>
        <w:t>（产品适配行业及场景说明，如深度适配的沈阳重点行业、行业解决方案库建设情况）</w:t>
      </w:r>
    </w:p>
    <w:p>
      <w:pPr>
        <w:shd w:val="clear"/>
        <w:rPr>
          <w:highlight w:val="none"/>
        </w:rPr>
      </w:pPr>
    </w:p>
    <w:p>
      <w:pPr>
        <w:shd w:val="clear"/>
        <w:rPr>
          <w:highlight w:val="none"/>
        </w:rPr>
      </w:pPr>
    </w:p>
    <w:p>
      <w:pPr>
        <w:pStyle w:val="3"/>
        <w:shd w:val="clear"/>
        <w:ind w:firstLine="640"/>
        <w:rPr>
          <w:rFonts w:hint="eastAsia"/>
          <w:highlight w:val="none"/>
        </w:rPr>
      </w:pPr>
      <w:r>
        <w:rPr>
          <w:highlight w:val="none"/>
        </w:rPr>
        <w:t>（三）技术与应用情况</w:t>
      </w:r>
    </w:p>
    <w:p>
      <w:pPr>
        <w:shd w:val="clear"/>
        <w:ind w:firstLine="560"/>
        <w:rPr>
          <w:rStyle w:val="116"/>
          <w:highlight w:val="none"/>
        </w:rPr>
      </w:pPr>
      <w:r>
        <w:rPr>
          <w:rStyle w:val="116"/>
          <w:rFonts w:hint="eastAsia"/>
          <w:highlight w:val="none"/>
        </w:rPr>
        <w:t>（技术架构及应用的新技术，如云计算、大数据、人工智能、工业互联网、模型算法等）</w:t>
      </w:r>
    </w:p>
    <w:p>
      <w:pPr>
        <w:shd w:val="clear"/>
        <w:rPr>
          <w:highlight w:val="none"/>
        </w:rPr>
      </w:pPr>
    </w:p>
    <w:p>
      <w:pPr>
        <w:shd w:val="clear"/>
        <w:rPr>
          <w:highlight w:val="none"/>
        </w:rPr>
      </w:pPr>
    </w:p>
    <w:p>
      <w:pPr>
        <w:pStyle w:val="3"/>
        <w:shd w:val="clear"/>
        <w:ind w:firstLine="640"/>
        <w:rPr>
          <w:rFonts w:hint="eastAsia"/>
          <w:highlight w:val="none"/>
        </w:rPr>
      </w:pPr>
      <w:r>
        <w:rPr>
          <w:highlight w:val="none"/>
        </w:rPr>
        <w:t>（四）产品安全情况</w:t>
      </w:r>
    </w:p>
    <w:p>
      <w:pPr>
        <w:shd w:val="clear"/>
        <w:ind w:firstLine="560"/>
        <w:rPr>
          <w:rStyle w:val="116"/>
          <w:highlight w:val="none"/>
        </w:rPr>
      </w:pPr>
      <w:r>
        <w:rPr>
          <w:rStyle w:val="116"/>
          <w:rFonts w:hint="eastAsia"/>
          <w:highlight w:val="none"/>
        </w:rPr>
        <w:t>（产品安全保障体系、安全检测/认证及数据安全治理情况）</w:t>
      </w:r>
    </w:p>
    <w:p>
      <w:pPr>
        <w:shd w:val="clear"/>
        <w:rPr>
          <w:highlight w:val="none"/>
        </w:rPr>
      </w:pPr>
    </w:p>
    <w:p>
      <w:pPr>
        <w:shd w:val="clear"/>
        <w:rPr>
          <w:highlight w:val="none"/>
        </w:rPr>
      </w:pPr>
    </w:p>
    <w:p>
      <w:pPr>
        <w:shd w:val="clear"/>
        <w:rPr>
          <w:highlight w:val="none"/>
        </w:rPr>
      </w:pPr>
      <w:r>
        <w:rPr>
          <w:highlight w:val="none"/>
        </w:rPr>
        <w:br w:type="page"/>
      </w:r>
    </w:p>
    <w:p>
      <w:pPr>
        <w:pStyle w:val="2"/>
        <w:shd w:val="clear"/>
        <w:ind w:firstLine="640"/>
        <w:rPr>
          <w:highlight w:val="none"/>
        </w:rPr>
      </w:pPr>
      <w:r>
        <w:rPr>
          <w:highlight w:val="none"/>
        </w:rPr>
        <w:t>五、服务保障情况</w:t>
      </w:r>
    </w:p>
    <w:p>
      <w:pPr>
        <w:pStyle w:val="3"/>
        <w:shd w:val="clear"/>
        <w:ind w:firstLine="640"/>
        <w:rPr>
          <w:rFonts w:hint="eastAsia"/>
          <w:highlight w:val="none"/>
        </w:rPr>
      </w:pPr>
      <w:r>
        <w:rPr>
          <w:highlight w:val="none"/>
        </w:rPr>
        <w:t>（一）服务体系建设情况</w:t>
      </w:r>
    </w:p>
    <w:p>
      <w:pPr>
        <w:shd w:val="clear"/>
        <w:ind w:firstLine="560"/>
        <w:rPr>
          <w:rStyle w:val="116"/>
          <w:highlight w:val="none"/>
        </w:rPr>
      </w:pPr>
      <w:r>
        <w:rPr>
          <w:rStyle w:val="116"/>
          <w:rFonts w:hint="eastAsia"/>
          <w:highlight w:val="none"/>
        </w:rPr>
        <w:t>（服务流程、服务规范及职能分工情况）</w:t>
      </w:r>
    </w:p>
    <w:p>
      <w:pPr>
        <w:shd w:val="clear"/>
        <w:rPr>
          <w:highlight w:val="none"/>
        </w:rPr>
      </w:pPr>
    </w:p>
    <w:p>
      <w:pPr>
        <w:shd w:val="clear"/>
        <w:rPr>
          <w:highlight w:val="none"/>
        </w:rPr>
      </w:pPr>
    </w:p>
    <w:p>
      <w:pPr>
        <w:pStyle w:val="3"/>
        <w:shd w:val="clear"/>
        <w:ind w:firstLine="640"/>
        <w:rPr>
          <w:rFonts w:hint="eastAsia"/>
          <w:highlight w:val="none"/>
        </w:rPr>
      </w:pPr>
      <w:r>
        <w:rPr>
          <w:highlight w:val="none"/>
        </w:rPr>
        <w:t>（二）定制化服务情况</w:t>
      </w:r>
    </w:p>
    <w:p>
      <w:pPr>
        <w:shd w:val="clear"/>
        <w:ind w:firstLine="560"/>
        <w:rPr>
          <w:rStyle w:val="116"/>
          <w:highlight w:val="none"/>
        </w:rPr>
      </w:pPr>
      <w:r>
        <w:rPr>
          <w:rStyle w:val="116"/>
          <w:rFonts w:hint="eastAsia"/>
          <w:highlight w:val="none"/>
        </w:rPr>
        <w:t>（按行业/企业需求开展定制化开发的实践与案例）</w:t>
      </w:r>
    </w:p>
    <w:p>
      <w:pPr>
        <w:shd w:val="clear"/>
        <w:rPr>
          <w:highlight w:val="none"/>
        </w:rPr>
      </w:pPr>
    </w:p>
    <w:p>
      <w:pPr>
        <w:shd w:val="clear"/>
        <w:rPr>
          <w:highlight w:val="none"/>
        </w:rPr>
      </w:pPr>
    </w:p>
    <w:p>
      <w:pPr>
        <w:pStyle w:val="3"/>
        <w:shd w:val="clear"/>
        <w:ind w:firstLine="640"/>
        <w:rPr>
          <w:rFonts w:hint="eastAsia"/>
          <w:highlight w:val="none"/>
        </w:rPr>
      </w:pPr>
      <w:r>
        <w:rPr>
          <w:highlight w:val="none"/>
        </w:rPr>
        <w:t>（三）售后服务情况</w:t>
      </w:r>
    </w:p>
    <w:p>
      <w:pPr>
        <w:pStyle w:val="4"/>
        <w:shd w:val="clear"/>
        <w:ind w:firstLine="643"/>
        <w:rPr>
          <w:highlight w:val="none"/>
        </w:rPr>
      </w:pPr>
      <w:r>
        <w:rPr>
          <w:rFonts w:hint="eastAsia"/>
          <w:highlight w:val="none"/>
        </w:rPr>
        <w:t>1.售后服务制度、服务窗口、响应时限及主动运维情况</w:t>
      </w:r>
    </w:p>
    <w:p>
      <w:pPr>
        <w:shd w:val="clear"/>
        <w:rPr>
          <w:highlight w:val="none"/>
        </w:rPr>
      </w:pPr>
    </w:p>
    <w:p>
      <w:pPr>
        <w:shd w:val="clear"/>
        <w:rPr>
          <w:highlight w:val="none"/>
        </w:rPr>
      </w:pPr>
    </w:p>
    <w:p>
      <w:pPr>
        <w:pStyle w:val="4"/>
        <w:shd w:val="clear"/>
        <w:ind w:firstLine="643"/>
        <w:rPr>
          <w:highlight w:val="none"/>
        </w:rPr>
      </w:pPr>
      <w:r>
        <w:rPr>
          <w:rFonts w:hint="eastAsia"/>
          <w:highlight w:val="none"/>
        </w:rPr>
        <w:t>2.智能化售后服务平台建设情况</w:t>
      </w:r>
    </w:p>
    <w:p>
      <w:pPr>
        <w:shd w:val="clear"/>
        <w:rPr>
          <w:highlight w:val="none"/>
        </w:rPr>
      </w:pPr>
    </w:p>
    <w:p>
      <w:pPr>
        <w:shd w:val="clear"/>
        <w:rPr>
          <w:highlight w:val="none"/>
        </w:rPr>
      </w:pPr>
    </w:p>
    <w:p>
      <w:pPr>
        <w:shd w:val="clear"/>
        <w:ind w:firstLine="0" w:firstLineChars="0"/>
        <w:rPr>
          <w:highlight w:val="none"/>
        </w:rPr>
        <w:sectPr>
          <w:footerReference r:id="rId5" w:type="default"/>
          <w:pgSz w:w="11906" w:h="16838"/>
          <w:pgMar w:top="2098" w:right="1474" w:bottom="1984" w:left="1587" w:header="720" w:footer="1587" w:gutter="0"/>
          <w:pgNumType w:start="1"/>
          <w:cols w:space="720" w:num="1"/>
          <w:docGrid w:linePitch="360" w:charSpace="0"/>
        </w:sectPr>
      </w:pPr>
    </w:p>
    <w:p>
      <w:pPr>
        <w:pStyle w:val="2"/>
        <w:shd w:val="clear"/>
        <w:ind w:firstLine="640"/>
        <w:rPr>
          <w:highlight w:val="none"/>
        </w:rPr>
      </w:pPr>
      <w:r>
        <w:rPr>
          <w:highlight w:val="none"/>
        </w:rPr>
        <w:t>六、服务成效情况</w:t>
      </w:r>
    </w:p>
    <w:p>
      <w:pPr>
        <w:pStyle w:val="3"/>
        <w:shd w:val="clear"/>
        <w:ind w:firstLine="640"/>
        <w:rPr>
          <w:rFonts w:hint="eastAsia"/>
          <w:highlight w:val="none"/>
        </w:rPr>
      </w:pPr>
      <w:r>
        <w:rPr>
          <w:highlight w:val="none"/>
        </w:rPr>
        <w:t>（</w:t>
      </w:r>
      <w:r>
        <w:rPr>
          <w:rFonts w:hint="eastAsia"/>
          <w:highlight w:val="none"/>
        </w:rPr>
        <w:t>一</w:t>
      </w:r>
      <w:r>
        <w:rPr>
          <w:highlight w:val="none"/>
        </w:rPr>
        <w:t>）</w:t>
      </w:r>
      <w:r>
        <w:rPr>
          <w:rFonts w:hint="eastAsia"/>
          <w:highlight w:val="none"/>
        </w:rPr>
        <w:t>服务成效表</w:t>
      </w:r>
    </w:p>
    <w:p>
      <w:pPr>
        <w:shd w:val="clear"/>
        <w:rPr>
          <w:highlight w:val="none"/>
        </w:rPr>
      </w:pPr>
      <w:r>
        <w:rPr>
          <w:highlight w:val="none"/>
        </w:rPr>
        <w:t>在沈阳服务工业企业数量：______家（其中工业规上企业______家）。名单如下（可另附页）：</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656"/>
        <w:gridCol w:w="1176"/>
        <w:gridCol w:w="1776"/>
        <w:gridCol w:w="1176"/>
        <w:gridCol w:w="936"/>
        <w:gridCol w:w="936"/>
        <w:gridCol w:w="1656"/>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5"/>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基本情况</w:t>
            </w:r>
          </w:p>
        </w:tc>
        <w:tc>
          <w:tcPr>
            <w:tcW w:w="0" w:type="auto"/>
            <w:gridSpan w:val="2"/>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转型提升情况</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载体建设情况</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满意度情况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序号</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服务企业名称</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所属行业</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服务内容/产品</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服务状态</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改造前</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改造后</w:t>
            </w: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p>
        </w:tc>
        <w:tc>
          <w:tcPr>
            <w:tcW w:w="0" w:type="auto"/>
            <w:shd w:val="clear" w:color="auto" w:fill="D9D9D9"/>
            <w:vAlign w:val="center"/>
          </w:tcPr>
          <w:p>
            <w:pPr>
              <w:shd w:val="clear"/>
              <w:adjustRightInd w:val="0"/>
              <w:snapToGrid w:val="0"/>
              <w:spacing w:line="240" w:lineRule="auto"/>
              <w:ind w:firstLine="0" w:firstLineChars="0"/>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c>
          <w:tcPr>
            <w:tcW w:w="0" w:type="auto"/>
            <w:vAlign w:val="center"/>
          </w:tcPr>
          <w:p>
            <w:pPr>
              <w:shd w:val="clear"/>
              <w:adjustRightInd w:val="0"/>
              <w:snapToGrid w:val="0"/>
              <w:spacing w:line="240" w:lineRule="auto"/>
              <w:ind w:firstLine="0" w:firstLineChars="0"/>
              <w:jc w:val="center"/>
              <w:rPr>
                <w:rFonts w:hint="eastAsia" w:ascii="仿宋_GB2312" w:hAnsi="仿宋_GB2312" w:cs="仿宋_GB2312"/>
                <w:sz w:val="24"/>
                <w:szCs w:val="24"/>
                <w:highlight w:val="none"/>
              </w:rPr>
            </w:pPr>
          </w:p>
        </w:tc>
      </w:tr>
    </w:tbl>
    <w:p>
      <w:pPr>
        <w:shd w:val="clear"/>
        <w:spacing w:line="240" w:lineRule="auto"/>
        <w:ind w:firstLine="560"/>
        <w:rPr>
          <w:rFonts w:hint="eastAsia" w:ascii="仿宋_GB2312" w:hAnsi="仿宋_GB2312" w:cs="仿宋_GB2312"/>
          <w:sz w:val="28"/>
          <w:szCs w:val="21"/>
          <w:highlight w:val="none"/>
        </w:rPr>
      </w:pPr>
    </w:p>
    <w:p>
      <w:pPr>
        <w:shd w:val="clear"/>
        <w:spacing w:line="240" w:lineRule="auto"/>
        <w:ind w:firstLine="560"/>
        <w:rPr>
          <w:rFonts w:hint="eastAsia" w:ascii="楷体" w:hAnsi="楷体" w:eastAsia="楷体" w:cs="楷体"/>
          <w:sz w:val="28"/>
          <w:szCs w:val="21"/>
          <w:highlight w:val="none"/>
        </w:rPr>
      </w:pPr>
      <w:r>
        <w:rPr>
          <w:rFonts w:hint="eastAsia" w:ascii="楷体" w:hAnsi="楷体" w:eastAsia="楷体" w:cs="楷体"/>
          <w:sz w:val="28"/>
          <w:szCs w:val="21"/>
          <w:highlight w:val="none"/>
        </w:rPr>
        <w:t>注</w:t>
      </w:r>
      <w:r>
        <w:rPr>
          <w:rFonts w:hint="eastAsia" w:eastAsia="楷体" w:cs="楷体"/>
          <w:sz w:val="28"/>
          <w:szCs w:val="21"/>
          <w:highlight w:val="none"/>
        </w:rPr>
        <w:t>1</w:t>
      </w:r>
      <w:r>
        <w:rPr>
          <w:rFonts w:hint="eastAsia" w:ascii="楷体" w:hAnsi="楷体" w:eastAsia="楷体" w:cs="楷体"/>
          <w:sz w:val="28"/>
          <w:szCs w:val="21"/>
          <w:highlight w:val="none"/>
        </w:rPr>
        <w:t>：</w:t>
      </w:r>
      <w:r>
        <w:rPr>
          <w:rFonts w:hint="eastAsia" w:ascii="楷体" w:hAnsi="楷体" w:eastAsia="楷体" w:cs="楷体"/>
          <w:b/>
          <w:bCs/>
          <w:sz w:val="28"/>
          <w:szCs w:val="21"/>
          <w:highlight w:val="none"/>
        </w:rPr>
        <w:t>转型提升情况</w:t>
      </w:r>
      <w:r>
        <w:rPr>
          <w:rFonts w:hint="eastAsia" w:ascii="楷体" w:hAnsi="楷体" w:eastAsia="楷体" w:cs="楷体"/>
          <w:sz w:val="28"/>
          <w:szCs w:val="21"/>
          <w:highlight w:val="none"/>
        </w:rPr>
        <w:t>指所服务企业数字化水平提升情况，即为改造前后等级对比。</w:t>
      </w:r>
    </w:p>
    <w:p>
      <w:pPr>
        <w:shd w:val="clear"/>
        <w:spacing w:line="240" w:lineRule="auto"/>
        <w:ind w:firstLine="560"/>
        <w:rPr>
          <w:rFonts w:hint="eastAsia" w:ascii="楷体" w:hAnsi="楷体" w:eastAsia="楷体" w:cs="楷体"/>
          <w:sz w:val="28"/>
          <w:szCs w:val="21"/>
          <w:highlight w:val="none"/>
        </w:rPr>
      </w:pPr>
      <w:r>
        <w:rPr>
          <w:rFonts w:hint="eastAsia" w:ascii="楷体" w:hAnsi="楷体" w:eastAsia="楷体" w:cs="楷体"/>
          <w:sz w:val="28"/>
          <w:szCs w:val="21"/>
          <w:highlight w:val="none"/>
        </w:rPr>
        <w:t>注</w:t>
      </w:r>
      <w:r>
        <w:rPr>
          <w:rFonts w:hint="eastAsia" w:eastAsia="楷体" w:cs="楷体"/>
          <w:sz w:val="28"/>
          <w:szCs w:val="21"/>
          <w:highlight w:val="none"/>
        </w:rPr>
        <w:t>2</w:t>
      </w:r>
      <w:r>
        <w:rPr>
          <w:rFonts w:hint="eastAsia" w:ascii="楷体" w:hAnsi="楷体" w:eastAsia="楷体" w:cs="楷体"/>
          <w:sz w:val="28"/>
          <w:szCs w:val="21"/>
          <w:highlight w:val="none"/>
        </w:rPr>
        <w:t>：</w:t>
      </w:r>
      <w:r>
        <w:rPr>
          <w:rFonts w:hint="eastAsia" w:ascii="楷体" w:hAnsi="楷体" w:eastAsia="楷体" w:cs="楷体"/>
          <w:b/>
          <w:bCs/>
          <w:sz w:val="28"/>
          <w:szCs w:val="21"/>
          <w:highlight w:val="none"/>
        </w:rPr>
        <w:t>载体建设情况</w:t>
      </w:r>
      <w:r>
        <w:rPr>
          <w:rFonts w:hint="eastAsia" w:ascii="楷体" w:hAnsi="楷体" w:eastAsia="楷体" w:cs="楷体"/>
          <w:sz w:val="28"/>
          <w:szCs w:val="21"/>
          <w:highlight w:val="none"/>
        </w:rPr>
        <w:t>指所服务企业获评智能工厂/数字化车间等智能制造载体的建设情况（如辽宁省基础级、先进级，国家卓越级、领航级等）。</w:t>
      </w:r>
    </w:p>
    <w:p>
      <w:pPr>
        <w:shd w:val="clear"/>
        <w:spacing w:line="240" w:lineRule="auto"/>
        <w:ind w:firstLine="560"/>
        <w:rPr>
          <w:rFonts w:hint="eastAsia" w:ascii="楷体" w:hAnsi="楷体" w:eastAsia="楷体" w:cs="楷体"/>
          <w:sz w:val="28"/>
          <w:szCs w:val="21"/>
          <w:highlight w:val="none"/>
        </w:rPr>
      </w:pPr>
      <w:r>
        <w:rPr>
          <w:rFonts w:hint="eastAsia" w:ascii="楷体" w:hAnsi="楷体" w:eastAsia="楷体" w:cs="楷体"/>
          <w:sz w:val="28"/>
          <w:szCs w:val="21"/>
          <w:highlight w:val="none"/>
        </w:rPr>
        <w:t>注</w:t>
      </w:r>
      <w:r>
        <w:rPr>
          <w:rFonts w:hint="eastAsia" w:eastAsia="楷体" w:cs="楷体"/>
          <w:sz w:val="28"/>
          <w:szCs w:val="21"/>
          <w:highlight w:val="none"/>
        </w:rPr>
        <w:t>3</w:t>
      </w:r>
      <w:r>
        <w:rPr>
          <w:rFonts w:hint="eastAsia" w:ascii="楷体" w:hAnsi="楷体" w:eastAsia="楷体" w:cs="楷体"/>
          <w:sz w:val="28"/>
          <w:szCs w:val="21"/>
          <w:highlight w:val="none"/>
        </w:rPr>
        <w:t>：</w:t>
      </w:r>
      <w:r>
        <w:rPr>
          <w:rFonts w:hint="eastAsia" w:ascii="楷体" w:hAnsi="楷体" w:eastAsia="楷体" w:cs="楷体"/>
          <w:b/>
          <w:bCs/>
          <w:sz w:val="28"/>
          <w:szCs w:val="21"/>
          <w:highlight w:val="none"/>
        </w:rPr>
        <w:t>企业满意度</w:t>
      </w:r>
      <w:r>
        <w:rPr>
          <w:rFonts w:hint="eastAsia" w:ascii="楷体" w:hAnsi="楷体" w:eastAsia="楷体" w:cs="楷体"/>
          <w:sz w:val="28"/>
          <w:szCs w:val="21"/>
          <w:highlight w:val="none"/>
        </w:rPr>
        <w:t>指服务企业满意度比例。</w:t>
      </w:r>
    </w:p>
    <w:p>
      <w:pPr>
        <w:shd w:val="clear"/>
        <w:ind w:firstLine="0" w:firstLineChars="0"/>
        <w:rPr>
          <w:highlight w:val="none"/>
        </w:rPr>
      </w:pPr>
    </w:p>
    <w:p>
      <w:pPr>
        <w:shd w:val="clear"/>
        <w:ind w:firstLine="0" w:firstLineChars="0"/>
        <w:rPr>
          <w:rFonts w:eastAsia="黑体"/>
          <w:highlight w:val="none"/>
        </w:rPr>
        <w:sectPr>
          <w:pgSz w:w="16838" w:h="11906" w:orient="landscape"/>
          <w:pgMar w:top="1587" w:right="2098" w:bottom="1474" w:left="1984" w:header="720" w:footer="1587" w:gutter="0"/>
          <w:cols w:space="720" w:num="1"/>
          <w:docGrid w:linePitch="360" w:charSpace="0"/>
        </w:sectPr>
      </w:pPr>
    </w:p>
    <w:p>
      <w:pPr>
        <w:pStyle w:val="3"/>
        <w:shd w:val="clear"/>
        <w:ind w:firstLine="640"/>
        <w:rPr>
          <w:rFonts w:hint="eastAsia"/>
          <w:highlight w:val="none"/>
        </w:rPr>
      </w:pPr>
      <w:r>
        <w:rPr>
          <w:highlight w:val="none"/>
        </w:rPr>
        <w:t>（二）企业转型提升</w:t>
      </w:r>
      <w:r>
        <w:rPr>
          <w:rFonts w:hint="eastAsia"/>
          <w:highlight w:val="none"/>
        </w:rPr>
        <w:t>案例</w:t>
      </w:r>
    </w:p>
    <w:p>
      <w:pPr>
        <w:shd w:val="clear"/>
        <w:rPr>
          <w:highlight w:val="none"/>
        </w:rPr>
      </w:pPr>
    </w:p>
    <w:p>
      <w:pPr>
        <w:shd w:val="clear"/>
        <w:rPr>
          <w:highlight w:val="none"/>
        </w:rPr>
      </w:pPr>
    </w:p>
    <w:p>
      <w:pPr>
        <w:pStyle w:val="3"/>
        <w:shd w:val="clear"/>
        <w:ind w:firstLine="640"/>
        <w:rPr>
          <w:rFonts w:hint="eastAsia"/>
          <w:highlight w:val="none"/>
        </w:rPr>
      </w:pPr>
      <w:r>
        <w:rPr>
          <w:highlight w:val="none"/>
        </w:rPr>
        <w:t>（三）智能制造载体建设</w:t>
      </w:r>
      <w:r>
        <w:rPr>
          <w:rFonts w:hint="eastAsia"/>
          <w:highlight w:val="none"/>
        </w:rPr>
        <w:t>案例</w:t>
      </w:r>
    </w:p>
    <w:p>
      <w:pPr>
        <w:shd w:val="clear"/>
        <w:rPr>
          <w:highlight w:val="none"/>
        </w:rPr>
      </w:pPr>
    </w:p>
    <w:p>
      <w:pPr>
        <w:shd w:val="clear"/>
        <w:rPr>
          <w:highlight w:val="none"/>
        </w:rPr>
      </w:pPr>
    </w:p>
    <w:p>
      <w:pPr>
        <w:pStyle w:val="3"/>
        <w:shd w:val="clear"/>
        <w:ind w:firstLine="640"/>
        <w:rPr>
          <w:rFonts w:hint="eastAsia"/>
          <w:highlight w:val="none"/>
        </w:rPr>
      </w:pPr>
      <w:r>
        <w:rPr>
          <w:highlight w:val="none"/>
        </w:rPr>
        <w:t>（四）企业</w:t>
      </w:r>
      <w:r>
        <w:rPr>
          <w:rFonts w:hint="eastAsia"/>
          <w:highlight w:val="none"/>
        </w:rPr>
        <w:t>持续合作案例</w:t>
      </w:r>
    </w:p>
    <w:p>
      <w:pPr>
        <w:shd w:val="clear"/>
        <w:rPr>
          <w:highlight w:val="none"/>
        </w:rPr>
      </w:pPr>
    </w:p>
    <w:p>
      <w:pPr>
        <w:shd w:val="clear"/>
        <w:rPr>
          <w:highlight w:val="none"/>
        </w:rPr>
      </w:pPr>
    </w:p>
    <w:p>
      <w:pPr>
        <w:shd w:val="clear"/>
        <w:rPr>
          <w:rFonts w:eastAsia="黑体"/>
          <w:highlight w:val="none"/>
        </w:rPr>
      </w:pPr>
      <w:r>
        <w:rPr>
          <w:rFonts w:eastAsia="黑体"/>
          <w:highlight w:val="none"/>
        </w:rPr>
        <w:br w:type="page"/>
      </w:r>
    </w:p>
    <w:p>
      <w:pPr>
        <w:pStyle w:val="2"/>
        <w:shd w:val="clear"/>
        <w:ind w:firstLine="640"/>
        <w:rPr>
          <w:highlight w:val="none"/>
        </w:rPr>
      </w:pPr>
      <w:r>
        <w:rPr>
          <w:highlight w:val="none"/>
        </w:rPr>
        <w:t>七、后续服务中小企业计划</w:t>
      </w:r>
    </w:p>
    <w:p>
      <w:pPr>
        <w:shd w:val="clear"/>
        <w:rPr>
          <w:szCs w:val="32"/>
          <w:highlight w:val="none"/>
        </w:rPr>
      </w:pPr>
      <w:r>
        <w:rPr>
          <w:szCs w:val="32"/>
          <w:highlight w:val="none"/>
        </w:rPr>
        <w:t>为持续推动沈阳市中小企业数字化转型，请结合自身能力填报后续服务计划：</w:t>
      </w:r>
    </w:p>
    <w:p>
      <w:pPr>
        <w:pStyle w:val="3"/>
        <w:shd w:val="clear"/>
        <w:ind w:firstLine="640"/>
        <w:rPr>
          <w:rFonts w:hint="eastAsia"/>
          <w:highlight w:val="none"/>
        </w:rPr>
      </w:pPr>
      <w:r>
        <w:rPr>
          <w:highlight w:val="none"/>
        </w:rPr>
        <w:t>（一）后续服务规模</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6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0" w:type="dxa"/>
            <w:shd w:val="clear" w:color="auto" w:fill="D9D9D9"/>
            <w:vAlign w:val="center"/>
          </w:tcPr>
          <w:p>
            <w:pPr>
              <w:shd w:val="clear"/>
              <w:ind w:firstLine="0" w:firstLineChars="0"/>
              <w:jc w:val="center"/>
              <w:rPr>
                <w:rFonts w:hint="eastAsia" w:ascii="黑体" w:hAnsi="黑体" w:eastAsia="黑体" w:cs="黑体"/>
                <w:sz w:val="28"/>
                <w:szCs w:val="28"/>
                <w:highlight w:val="none"/>
              </w:rPr>
            </w:pPr>
            <w:r>
              <w:rPr>
                <w:rFonts w:hint="eastAsia" w:ascii="黑体" w:hAnsi="黑体" w:eastAsia="黑体" w:cs="黑体"/>
                <w:sz w:val="28"/>
                <w:szCs w:val="28"/>
                <w:highlight w:val="none"/>
              </w:rPr>
              <w:t>计划后续免费服务中小企业数量</w:t>
            </w:r>
          </w:p>
        </w:tc>
        <w:tc>
          <w:tcPr>
            <w:tcW w:w="6434" w:type="dxa"/>
            <w:vAlign w:val="center"/>
          </w:tcPr>
          <w:p>
            <w:pPr>
              <w:shd w:val="clear"/>
              <w:ind w:firstLine="0" w:firstLineChars="0"/>
              <w:rPr>
                <w:rFonts w:hint="eastAsia" w:ascii="仿宋_GB2312" w:hAnsi="仿宋_GB2312" w:cs="仿宋_GB2312"/>
                <w:sz w:val="28"/>
                <w:szCs w:val="28"/>
                <w:highlight w:val="none"/>
              </w:rPr>
            </w:pPr>
            <w:r>
              <w:rPr>
                <w:rFonts w:hint="eastAsia" w:ascii="仿宋_GB2312" w:hAnsi="仿宋_GB2312" w:cs="仿宋_GB2312"/>
                <w:sz w:val="28"/>
                <w:szCs w:val="28"/>
                <w:highlight w:val="none"/>
                <w:u w:val="single"/>
              </w:rPr>
              <w:t xml:space="preserve">      </w:t>
            </w:r>
            <w:r>
              <w:rPr>
                <w:rFonts w:hint="eastAsia" w:ascii="仿宋_GB2312" w:hAnsi="仿宋_GB2312" w:cs="仿宋_GB2312"/>
                <w:sz w:val="28"/>
                <w:szCs w:val="28"/>
                <w:highlight w:val="none"/>
              </w:rPr>
              <w:t>家（不低于10家），</w:t>
            </w:r>
            <w:r>
              <w:rPr>
                <w:rFonts w:ascii="仿宋_GB2312" w:hAnsi="仿宋_GB2312" w:cs="仿宋_GB2312"/>
                <w:sz w:val="28"/>
                <w:szCs w:val="28"/>
                <w:highlight w:val="none"/>
              </w:rPr>
              <w:t>且实施后数字化水平达到L1级及以上，并承诺免费部署的数字化转型产品或解决方案上述企业可免费使用至2027年底，并提供免费运维服务。</w:t>
            </w:r>
          </w:p>
        </w:tc>
      </w:tr>
    </w:tbl>
    <w:p>
      <w:pPr>
        <w:pStyle w:val="3"/>
        <w:shd w:val="clear"/>
        <w:ind w:firstLine="640"/>
        <w:rPr>
          <w:rFonts w:hint="eastAsia"/>
          <w:highlight w:val="none"/>
        </w:rPr>
      </w:pPr>
      <w:r>
        <w:rPr>
          <w:highlight w:val="none"/>
        </w:rPr>
        <w:t>（二）服务内容与安排</w:t>
      </w:r>
    </w:p>
    <w:p>
      <w:pPr>
        <w:pStyle w:val="4"/>
        <w:shd w:val="clear"/>
        <w:ind w:firstLine="643"/>
        <w:rPr>
          <w:highlight w:val="none"/>
        </w:rPr>
      </w:pPr>
      <w:r>
        <w:rPr>
          <w:rFonts w:hint="eastAsia"/>
          <w:highlight w:val="none"/>
        </w:rPr>
        <w:t>1.计划服务行业及领域</w:t>
      </w:r>
    </w:p>
    <w:p>
      <w:pPr>
        <w:shd w:val="clear"/>
        <w:ind w:firstLine="560"/>
        <w:rPr>
          <w:rStyle w:val="116"/>
          <w:highlight w:val="none"/>
        </w:rPr>
      </w:pPr>
      <w:r>
        <w:rPr>
          <w:rStyle w:val="116"/>
          <w:rFonts w:hint="eastAsia"/>
          <w:highlight w:val="none"/>
        </w:rPr>
        <w:t>（可结合沈阳重点产业、“3+4+3”产业体系）</w:t>
      </w:r>
    </w:p>
    <w:p>
      <w:pPr>
        <w:shd w:val="clear"/>
        <w:rPr>
          <w:rFonts w:hint="eastAsia" w:ascii="仿宋_GB2312" w:hAnsi="仿宋_GB2312" w:cs="仿宋_GB2312"/>
          <w:highlight w:val="none"/>
        </w:rPr>
      </w:pPr>
    </w:p>
    <w:p>
      <w:pPr>
        <w:shd w:val="clear"/>
        <w:rPr>
          <w:rFonts w:hint="eastAsia" w:ascii="仿宋_GB2312" w:hAnsi="仿宋_GB2312" w:cs="仿宋_GB2312"/>
          <w:highlight w:val="none"/>
        </w:rPr>
      </w:pPr>
    </w:p>
    <w:p>
      <w:pPr>
        <w:shd w:val="clear"/>
        <w:rPr>
          <w:highlight w:val="none"/>
        </w:rPr>
      </w:pPr>
    </w:p>
    <w:p>
      <w:pPr>
        <w:pStyle w:val="4"/>
        <w:shd w:val="clear"/>
        <w:ind w:firstLine="643"/>
        <w:rPr>
          <w:highlight w:val="none"/>
        </w:rPr>
      </w:pPr>
      <w:r>
        <w:rPr>
          <w:rFonts w:hint="eastAsia"/>
          <w:highlight w:val="none"/>
        </w:rPr>
        <w:t>2.主要服务内容/产品及部署方式</w:t>
      </w:r>
    </w:p>
    <w:p>
      <w:pPr>
        <w:shd w:val="clear"/>
        <w:rPr>
          <w:rFonts w:hint="eastAsia" w:ascii="仿宋_GB2312" w:hAnsi="仿宋_GB2312" w:cs="仿宋_GB2312"/>
          <w:highlight w:val="none"/>
        </w:rPr>
      </w:pPr>
    </w:p>
    <w:p>
      <w:pPr>
        <w:shd w:val="clear"/>
        <w:rPr>
          <w:rFonts w:hint="eastAsia" w:ascii="仿宋_GB2312" w:hAnsi="仿宋_GB2312" w:cs="仿宋_GB2312"/>
          <w:highlight w:val="none"/>
        </w:rPr>
      </w:pPr>
    </w:p>
    <w:p>
      <w:pPr>
        <w:shd w:val="clear"/>
        <w:rPr>
          <w:rFonts w:hint="eastAsia" w:ascii="仿宋_GB2312" w:hAnsi="仿宋_GB2312" w:cs="仿宋_GB2312"/>
          <w:highlight w:val="none"/>
        </w:rPr>
      </w:pPr>
    </w:p>
    <w:p>
      <w:pPr>
        <w:pStyle w:val="4"/>
        <w:shd w:val="clear"/>
        <w:ind w:firstLine="643"/>
        <w:rPr>
          <w:highlight w:val="none"/>
        </w:rPr>
      </w:pPr>
      <w:r>
        <w:rPr>
          <w:rFonts w:hint="eastAsia"/>
          <w:highlight w:val="none"/>
        </w:rPr>
        <w:t>3.</w:t>
      </w:r>
      <w:r>
        <w:rPr>
          <w:highlight w:val="none"/>
        </w:rPr>
        <w:t>计划服务区域</w:t>
      </w:r>
    </w:p>
    <w:p>
      <w:pPr>
        <w:shd w:val="clear"/>
        <w:rPr>
          <w:highlight w:val="none"/>
        </w:rPr>
      </w:pPr>
    </w:p>
    <w:p>
      <w:pPr>
        <w:shd w:val="clear"/>
        <w:rPr>
          <w:highlight w:val="none"/>
        </w:rPr>
      </w:pPr>
    </w:p>
    <w:p>
      <w:pPr>
        <w:shd w:val="clear"/>
        <w:rPr>
          <w:highlight w:val="none"/>
        </w:rPr>
      </w:pPr>
    </w:p>
    <w:p>
      <w:pPr>
        <w:pStyle w:val="3"/>
        <w:shd w:val="clear"/>
        <w:ind w:firstLine="640"/>
        <w:rPr>
          <w:rFonts w:hint="eastAsia"/>
          <w:highlight w:val="none"/>
        </w:rPr>
      </w:pPr>
      <w:r>
        <w:rPr>
          <w:highlight w:val="none"/>
        </w:rPr>
        <w:t>（三）资源投入与时间安排</w:t>
      </w:r>
    </w:p>
    <w:p>
      <w:pPr>
        <w:pStyle w:val="4"/>
        <w:shd w:val="clear"/>
        <w:ind w:firstLine="643"/>
        <w:rPr>
          <w:highlight w:val="none"/>
        </w:rPr>
      </w:pPr>
      <w:r>
        <w:rPr>
          <w:rFonts w:hint="eastAsia"/>
          <w:highlight w:val="none"/>
        </w:rPr>
        <w:t>1.服务团队及资源投入安排</w:t>
      </w:r>
    </w:p>
    <w:p>
      <w:pPr>
        <w:shd w:val="clear"/>
        <w:ind w:firstLine="560"/>
        <w:rPr>
          <w:rStyle w:val="116"/>
          <w:highlight w:val="none"/>
        </w:rPr>
      </w:pPr>
      <w:r>
        <w:rPr>
          <w:rStyle w:val="116"/>
          <w:rFonts w:hint="eastAsia"/>
          <w:highlight w:val="none"/>
        </w:rPr>
        <w:t>（如人员、资金、设备等）</w:t>
      </w:r>
    </w:p>
    <w:p>
      <w:pPr>
        <w:shd w:val="clear"/>
        <w:rPr>
          <w:highlight w:val="none"/>
        </w:rPr>
      </w:pPr>
    </w:p>
    <w:p>
      <w:pPr>
        <w:pStyle w:val="4"/>
        <w:shd w:val="clear"/>
        <w:ind w:firstLine="643"/>
        <w:rPr>
          <w:highlight w:val="none"/>
        </w:rPr>
      </w:pPr>
      <w:r>
        <w:rPr>
          <w:rFonts w:hint="eastAsia"/>
          <w:highlight w:val="none"/>
        </w:rPr>
        <w:t>2.</w:t>
      </w:r>
      <w:r>
        <w:rPr>
          <w:highlight w:val="none"/>
        </w:rPr>
        <w:t>计划实施时间</w:t>
      </w:r>
    </w:p>
    <w:p>
      <w:pPr>
        <w:shd w:val="clear"/>
        <w:rPr>
          <w:rFonts w:hint="eastAsia" w:ascii="仿宋_GB2312" w:hAnsi="仿宋_GB2312" w:cs="仿宋_GB2312"/>
          <w:highlight w:val="none"/>
        </w:rPr>
      </w:pPr>
    </w:p>
    <w:p>
      <w:pPr>
        <w:shd w:val="clear"/>
        <w:rPr>
          <w:rFonts w:hint="eastAsia" w:ascii="仿宋_GB2312" w:hAnsi="仿宋_GB2312" w:cs="仿宋_GB2312"/>
          <w:highlight w:val="none"/>
        </w:rPr>
      </w:pPr>
    </w:p>
    <w:p>
      <w:pPr>
        <w:pStyle w:val="3"/>
        <w:shd w:val="clear"/>
        <w:ind w:firstLine="640"/>
        <w:rPr>
          <w:rFonts w:hint="eastAsia"/>
          <w:highlight w:val="none"/>
        </w:rPr>
      </w:pPr>
      <w:r>
        <w:rPr>
          <w:highlight w:val="none"/>
        </w:rPr>
        <w:t>（四）持续服务保障</w:t>
      </w:r>
    </w:p>
    <w:p>
      <w:pPr>
        <w:shd w:val="clear"/>
        <w:ind w:firstLine="560"/>
        <w:rPr>
          <w:rStyle w:val="116"/>
          <w:highlight w:val="none"/>
        </w:rPr>
      </w:pPr>
      <w:r>
        <w:rPr>
          <w:rStyle w:val="116"/>
          <w:rFonts w:hint="eastAsia"/>
          <w:highlight w:val="none"/>
        </w:rPr>
        <w:t>（持续服务及售后保障措施，如响应机制、跟踪回访、质量保障等）</w:t>
      </w:r>
    </w:p>
    <w:p>
      <w:pPr>
        <w:shd w:val="clear"/>
        <w:rPr>
          <w:highlight w:val="none"/>
        </w:rPr>
      </w:pPr>
    </w:p>
    <w:p>
      <w:pPr>
        <w:shd w:val="clear"/>
        <w:rPr>
          <w:highlight w:val="none"/>
        </w:rPr>
      </w:pPr>
    </w:p>
    <w:p>
      <w:pPr>
        <w:shd w:val="clear"/>
        <w:rPr>
          <w:rFonts w:eastAsia="黑体"/>
          <w:highlight w:val="none"/>
        </w:rPr>
      </w:pPr>
      <w:r>
        <w:rPr>
          <w:rFonts w:eastAsia="黑体"/>
          <w:highlight w:val="none"/>
        </w:rPr>
        <w:br w:type="page"/>
      </w:r>
    </w:p>
    <w:p>
      <w:pPr>
        <w:pStyle w:val="2"/>
        <w:shd w:val="clear"/>
        <w:ind w:firstLine="640"/>
        <w:rPr>
          <w:highlight w:val="none"/>
        </w:rPr>
      </w:pPr>
      <w:r>
        <w:rPr>
          <w:highlight w:val="none"/>
        </w:rPr>
        <w:t>八、行业知识积累情况</w:t>
      </w:r>
    </w:p>
    <w:p>
      <w:pPr>
        <w:pStyle w:val="3"/>
        <w:shd w:val="clear"/>
        <w:ind w:firstLine="640"/>
        <w:rPr>
          <w:rFonts w:hint="eastAsia"/>
          <w:highlight w:val="none"/>
        </w:rPr>
      </w:pPr>
      <w:r>
        <w:rPr>
          <w:highlight w:val="none"/>
        </w:rPr>
        <w:t>（一）行业知识与案例积累</w:t>
      </w:r>
    </w:p>
    <w:p>
      <w:pPr>
        <w:shd w:val="clear"/>
        <w:ind w:firstLine="560"/>
        <w:rPr>
          <w:rStyle w:val="116"/>
          <w:highlight w:val="none"/>
        </w:rPr>
      </w:pPr>
      <w:r>
        <w:rPr>
          <w:rStyle w:val="116"/>
          <w:rFonts w:hint="eastAsia"/>
          <w:highlight w:val="none"/>
        </w:rPr>
        <w:t>（行业服务经验、知识库及案例积累情况，含经验方法沉淀与动态更新机制）</w:t>
      </w:r>
    </w:p>
    <w:p>
      <w:pPr>
        <w:shd w:val="clear"/>
        <w:rPr>
          <w:highlight w:val="none"/>
        </w:rPr>
      </w:pPr>
    </w:p>
    <w:p>
      <w:pPr>
        <w:pStyle w:val="3"/>
        <w:shd w:val="clear"/>
        <w:ind w:firstLine="640"/>
        <w:rPr>
          <w:rFonts w:hint="eastAsia"/>
          <w:highlight w:val="none"/>
        </w:rPr>
      </w:pPr>
      <w:r>
        <w:rPr>
          <w:highlight w:val="none"/>
        </w:rPr>
        <w:t>（二）服务规范与标准制定</w:t>
      </w:r>
    </w:p>
    <w:p>
      <w:pPr>
        <w:shd w:val="clear"/>
        <w:ind w:firstLine="560"/>
        <w:rPr>
          <w:rStyle w:val="116"/>
          <w:highlight w:val="none"/>
        </w:rPr>
      </w:pPr>
      <w:r>
        <w:rPr>
          <w:rStyle w:val="116"/>
          <w:rFonts w:hint="eastAsia"/>
          <w:highlight w:val="none"/>
        </w:rPr>
        <w:t>（服务流程规范与标准制定情况，含行业方法论沉淀、参与制定国家/行业/地方标准情况）</w:t>
      </w:r>
    </w:p>
    <w:p>
      <w:pPr>
        <w:shd w:val="clear"/>
        <w:rPr>
          <w:highlight w:val="none"/>
        </w:rPr>
      </w:pPr>
    </w:p>
    <w:p>
      <w:pPr>
        <w:shd w:val="clear"/>
        <w:rPr>
          <w:rFonts w:eastAsia="黑体"/>
          <w:highlight w:val="none"/>
        </w:rPr>
      </w:pPr>
      <w:r>
        <w:rPr>
          <w:rFonts w:eastAsia="黑体"/>
          <w:highlight w:val="none"/>
        </w:rPr>
        <w:br w:type="page"/>
      </w:r>
    </w:p>
    <w:p>
      <w:pPr>
        <w:pStyle w:val="2"/>
        <w:shd w:val="clear"/>
        <w:ind w:firstLine="640"/>
        <w:rPr>
          <w:highlight w:val="none"/>
        </w:rPr>
      </w:pPr>
      <w:r>
        <w:rPr>
          <w:highlight w:val="none"/>
        </w:rPr>
        <w:t>九、诚信承诺与免费部署承诺</w:t>
      </w:r>
    </w:p>
    <w:p>
      <w:pPr>
        <w:shd w:val="clear"/>
        <w:rPr>
          <w:rFonts w:hint="eastAsia" w:ascii="仿宋_GB2312" w:hAnsi="仿宋_GB2312" w:cs="仿宋_GB2312"/>
          <w:szCs w:val="32"/>
          <w:highlight w:val="none"/>
        </w:rPr>
      </w:pPr>
      <w:r>
        <w:rPr>
          <w:rFonts w:hint="eastAsia" w:ascii="仿宋_GB2312" w:hAnsi="仿宋_GB2312" w:cs="仿宋_GB2312"/>
          <w:szCs w:val="32"/>
          <w:highlight w:val="none"/>
        </w:rPr>
        <w:t>本申报单位郑重承诺：</w:t>
      </w:r>
    </w:p>
    <w:p>
      <w:pPr>
        <w:shd w:val="clear"/>
        <w:rPr>
          <w:rFonts w:hint="eastAsia" w:ascii="仿宋_GB2312" w:hAnsi="仿宋_GB2312" w:cs="仿宋_GB2312"/>
          <w:szCs w:val="32"/>
          <w:highlight w:val="none"/>
        </w:rPr>
      </w:pPr>
      <w:r>
        <w:rPr>
          <w:rFonts w:hint="eastAsia" w:cs="仿宋_GB2312"/>
          <w:szCs w:val="32"/>
          <w:highlight w:val="none"/>
        </w:rPr>
        <w:t>1</w:t>
      </w:r>
      <w:r>
        <w:rPr>
          <w:rFonts w:hint="eastAsia" w:ascii="仿宋_GB2312" w:hAnsi="仿宋_GB2312" w:cs="仿宋_GB2312"/>
          <w:szCs w:val="32"/>
          <w:highlight w:val="none"/>
        </w:rPr>
        <w:t>.本申报书所填写的全部内容及所提交的证明材料真实、准确、完整，并对所提交数据、信息及佐证材料的真实性、准确性、完整性负责。如有虚假陈述或伪造材料，自愿接受取消申报资格、从沈阳市数字化转型优秀</w:t>
      </w:r>
      <w:r>
        <w:rPr>
          <w:rFonts w:hint="eastAsia" w:ascii="仿宋_GB2312" w:hAnsi="仿宋_GB2312" w:cs="仿宋_GB2312"/>
          <w:szCs w:val="32"/>
          <w:highlight w:val="none"/>
        </w:rPr>
        <w:t>服务商</w:t>
      </w:r>
      <w:r>
        <w:rPr>
          <w:rFonts w:hint="eastAsia" w:ascii="仿宋_GB2312" w:hAnsi="仿宋_GB2312" w:cs="仿宋_GB2312"/>
          <w:szCs w:val="32"/>
          <w:highlight w:val="none"/>
          <w:lang w:eastAsia="zh-CN"/>
        </w:rPr>
        <w:t>名单</w:t>
      </w:r>
      <w:r>
        <w:rPr>
          <w:rFonts w:hint="eastAsia" w:ascii="仿宋_GB2312" w:hAnsi="仿宋_GB2312" w:cs="仿宋_GB2312"/>
          <w:szCs w:val="32"/>
          <w:highlight w:val="none"/>
        </w:rPr>
        <w:t>中剔除等处理，并承担由此产生的一切法律责任。</w:t>
      </w:r>
    </w:p>
    <w:p>
      <w:pPr>
        <w:shd w:val="clear"/>
        <w:rPr>
          <w:rFonts w:hint="eastAsia" w:ascii="仿宋_GB2312" w:hAnsi="仿宋_GB2312" w:cs="仿宋_GB2312"/>
          <w:szCs w:val="32"/>
          <w:highlight w:val="none"/>
        </w:rPr>
      </w:pPr>
      <w:r>
        <w:rPr>
          <w:rFonts w:hint="eastAsia" w:cs="仿宋_GB2312"/>
          <w:szCs w:val="32"/>
          <w:highlight w:val="none"/>
        </w:rPr>
        <w:t>2</w:t>
      </w:r>
      <w:r>
        <w:rPr>
          <w:rFonts w:hint="eastAsia" w:ascii="仿宋_GB2312" w:hAnsi="仿宋_GB2312" w:cs="仿宋_GB2312"/>
          <w:szCs w:val="32"/>
          <w:highlight w:val="none"/>
        </w:rPr>
        <w:t>.本申报单位生产经营和财务状况良好，未被列入经营异常名录、严重失信主体名单；近三年无重大安全事故（含网络安全、数据安全）、质量事故、环境污染事件及偷漏税、严重失信等违法行为。</w:t>
      </w:r>
    </w:p>
    <w:p>
      <w:pPr>
        <w:shd w:val="clear"/>
        <w:rPr>
          <w:rFonts w:hint="eastAsia" w:ascii="仿宋_GB2312" w:hAnsi="仿宋_GB2312" w:cs="仿宋_GB2312"/>
          <w:szCs w:val="32"/>
          <w:highlight w:val="none"/>
        </w:rPr>
      </w:pPr>
      <w:r>
        <w:rPr>
          <w:rFonts w:hint="eastAsia" w:cs="仿宋_GB2312"/>
          <w:szCs w:val="32"/>
          <w:highlight w:val="none"/>
        </w:rPr>
        <w:t>3</w:t>
      </w:r>
      <w:r>
        <w:rPr>
          <w:rFonts w:hint="eastAsia" w:ascii="仿宋_GB2312" w:hAnsi="仿宋_GB2312" w:cs="仿宋_GB2312"/>
          <w:szCs w:val="32"/>
          <w:highlight w:val="none"/>
        </w:rPr>
        <w:t>.本申报单位面向沈阳市工业企业（重点面向数字化水平薄弱的工业规上企业）完成</w:t>
      </w:r>
      <w:r>
        <w:rPr>
          <w:rFonts w:hint="eastAsia" w:ascii="仿宋_GB2312" w:hAnsi="仿宋_GB2312" w:cs="仿宋_GB2312"/>
          <w:szCs w:val="32"/>
          <w:highlight w:val="none"/>
          <w:u w:val="single"/>
        </w:rPr>
        <w:t xml:space="preserve">    </w:t>
      </w:r>
      <w:r>
        <w:rPr>
          <w:rFonts w:hint="eastAsia" w:ascii="仿宋_GB2312" w:hAnsi="仿宋_GB2312" w:cs="仿宋_GB2312"/>
          <w:szCs w:val="32"/>
          <w:highlight w:val="none"/>
        </w:rPr>
        <w:t>家企业的免费部署服务，</w:t>
      </w:r>
      <w:r>
        <w:rPr>
          <w:rFonts w:ascii="仿宋_GB2312" w:hAnsi="仿宋_GB2312" w:cs="仿宋_GB2312"/>
          <w:szCs w:val="32"/>
          <w:highlight w:val="none"/>
        </w:rPr>
        <w:t>且实施后数字化水平达到L1级及以上，并承诺免费部署的数字化转型产品或解决方案上述企业可免费使用至2027年底，并提供免费运维服务。</w:t>
      </w:r>
    </w:p>
    <w:p>
      <w:pPr>
        <w:shd w:val="clear"/>
        <w:rPr>
          <w:rFonts w:hint="eastAsia" w:ascii="仿宋_GB2312" w:hAnsi="仿宋_GB2312" w:cs="仿宋_GB2312"/>
          <w:szCs w:val="32"/>
          <w:highlight w:val="none"/>
        </w:rPr>
      </w:pPr>
      <w:r>
        <w:rPr>
          <w:rFonts w:hint="eastAsia" w:cs="仿宋_GB2312"/>
          <w:szCs w:val="32"/>
          <w:highlight w:val="none"/>
        </w:rPr>
        <w:t>4</w:t>
      </w:r>
      <w:r>
        <w:rPr>
          <w:rFonts w:hint="eastAsia" w:ascii="仿宋_GB2312" w:hAnsi="仿宋_GB2312" w:cs="仿宋_GB2312"/>
          <w:szCs w:val="32"/>
          <w:highlight w:val="none"/>
        </w:rPr>
        <w:t>.本申报单位具备在本地开展业务的条件和能力，能够保障服务售后随时响应；</w:t>
      </w:r>
      <w:r>
        <w:rPr>
          <w:rFonts w:hint="eastAsia" w:ascii="仿宋_GB2312" w:hAnsi="仿宋_GB2312" w:cs="仿宋_GB2312"/>
          <w:szCs w:val="32"/>
          <w:highlight w:val="none"/>
        </w:rPr>
        <w:t>入选</w:t>
      </w:r>
      <w:r>
        <w:rPr>
          <w:rFonts w:hint="eastAsia" w:ascii="仿宋_GB2312" w:hAnsi="仿宋_GB2312" w:cs="仿宋_GB2312"/>
          <w:szCs w:val="32"/>
          <w:highlight w:val="none"/>
          <w:lang w:eastAsia="zh-CN"/>
        </w:rPr>
        <w:t>名单</w:t>
      </w:r>
      <w:r>
        <w:rPr>
          <w:rFonts w:hint="eastAsia" w:ascii="仿宋_GB2312" w:hAnsi="仿宋_GB2312" w:cs="仿宋_GB2312"/>
          <w:szCs w:val="32"/>
          <w:highlight w:val="none"/>
        </w:rPr>
        <w:t>后</w:t>
      </w:r>
      <w:r>
        <w:rPr>
          <w:rFonts w:hint="eastAsia" w:ascii="仿宋_GB2312" w:hAnsi="仿宋_GB2312" w:cs="仿宋_GB2312"/>
          <w:szCs w:val="32"/>
          <w:highlight w:val="none"/>
        </w:rPr>
        <w:t>，按要求向市工业和信息化局提交本地部署服务证明材料，并自觉接受市工业和信息化局的动态管理与跟踪评估。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9"/>
        <w:gridCol w:w="4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9" w:type="dxa"/>
            <w:tcBorders>
              <w:top w:val="nil"/>
              <w:left w:val="nil"/>
              <w:bottom w:val="nil"/>
              <w:right w:val="nil"/>
            </w:tcBorders>
            <w:vAlign w:val="center"/>
          </w:tcPr>
          <w:p>
            <w:pPr>
              <w:shd w:val="clear"/>
              <w:ind w:firstLine="0" w:firstLineChars="0"/>
              <w:rPr>
                <w:rFonts w:hint="eastAsia" w:ascii="仿宋_GB2312" w:hAnsi="仿宋_GB2312" w:cs="仿宋_GB2312"/>
                <w:szCs w:val="32"/>
                <w:highlight w:val="none"/>
              </w:rPr>
            </w:pPr>
            <w:r>
              <w:rPr>
                <w:rFonts w:hint="eastAsia" w:ascii="仿宋_GB2312" w:hAnsi="仿宋_GB2312" w:cs="仿宋_GB2312"/>
                <w:szCs w:val="32"/>
                <w:highlight w:val="none"/>
              </w:rPr>
              <w:t>法定代表人（签字）：</w:t>
            </w:r>
          </w:p>
        </w:tc>
        <w:tc>
          <w:tcPr>
            <w:tcW w:w="4195" w:type="dxa"/>
            <w:tcBorders>
              <w:top w:val="nil"/>
              <w:left w:val="nil"/>
              <w:bottom w:val="nil"/>
              <w:right w:val="nil"/>
            </w:tcBorders>
            <w:vAlign w:val="center"/>
          </w:tcPr>
          <w:p>
            <w:pPr>
              <w:shd w:val="clear"/>
              <w:ind w:firstLine="0" w:firstLineChars="0"/>
              <w:rPr>
                <w:rFonts w:hint="eastAsia" w:ascii="仿宋_GB2312" w:hAnsi="仿宋_GB2312" w:cs="仿宋_GB2312"/>
                <w:szCs w:val="32"/>
                <w:highlight w:val="none"/>
              </w:rPr>
            </w:pPr>
            <w:r>
              <w:rPr>
                <w:rFonts w:hint="eastAsia" w:ascii="仿宋_GB2312" w:hAnsi="仿宋_GB2312" w:cs="仿宋_GB2312"/>
                <w:szCs w:val="32"/>
                <w:highlight w:val="none"/>
              </w:rPr>
              <w:t>申报单位（盖章）：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49" w:type="dxa"/>
            <w:tcBorders>
              <w:top w:val="nil"/>
              <w:left w:val="nil"/>
              <w:bottom w:val="nil"/>
              <w:right w:val="nil"/>
            </w:tcBorders>
            <w:vAlign w:val="center"/>
          </w:tcPr>
          <w:p>
            <w:pPr>
              <w:shd w:val="clear"/>
              <w:ind w:firstLine="0" w:firstLineChars="0"/>
              <w:rPr>
                <w:rFonts w:hint="eastAsia" w:ascii="仿宋_GB2312" w:hAnsi="仿宋_GB2312" w:cs="仿宋_GB2312"/>
                <w:szCs w:val="32"/>
                <w:highlight w:val="none"/>
              </w:rPr>
            </w:pPr>
          </w:p>
        </w:tc>
        <w:tc>
          <w:tcPr>
            <w:tcW w:w="4195" w:type="dxa"/>
            <w:tcBorders>
              <w:top w:val="nil"/>
              <w:left w:val="nil"/>
              <w:bottom w:val="nil"/>
              <w:right w:val="nil"/>
            </w:tcBorders>
            <w:vAlign w:val="center"/>
          </w:tcPr>
          <w:p>
            <w:pPr>
              <w:shd w:val="clear"/>
              <w:ind w:firstLine="0" w:firstLineChars="0"/>
              <w:rPr>
                <w:rFonts w:hint="eastAsia" w:ascii="仿宋_GB2312" w:hAnsi="仿宋_GB2312" w:cs="仿宋_GB2312"/>
                <w:szCs w:val="32"/>
                <w:highlight w:val="none"/>
              </w:rPr>
            </w:pPr>
            <w:r>
              <w:rPr>
                <w:rFonts w:hint="eastAsia" w:ascii="仿宋_GB2312" w:hAnsi="仿宋_GB2312" w:cs="仿宋_GB2312"/>
                <w:szCs w:val="32"/>
                <w:highlight w:val="none"/>
              </w:rPr>
              <w:t xml:space="preserve">    年    月    日</w:t>
            </w:r>
          </w:p>
        </w:tc>
      </w:tr>
    </w:tbl>
    <w:p>
      <w:pPr>
        <w:shd w:val="clear"/>
        <w:rPr>
          <w:rFonts w:eastAsia="黑体"/>
          <w:highlight w:val="none"/>
        </w:rPr>
      </w:pPr>
      <w:r>
        <w:rPr>
          <w:rFonts w:eastAsia="黑体"/>
          <w:highlight w:val="none"/>
        </w:rPr>
        <w:br w:type="page"/>
      </w:r>
    </w:p>
    <w:p>
      <w:pPr>
        <w:pStyle w:val="2"/>
        <w:shd w:val="clear"/>
        <w:ind w:firstLine="640"/>
        <w:rPr>
          <w:highlight w:val="none"/>
        </w:rPr>
      </w:pPr>
      <w:r>
        <w:rPr>
          <w:highlight w:val="none"/>
        </w:rPr>
        <w:t>十、佐证材料清单</w:t>
      </w:r>
    </w:p>
    <w:p>
      <w:pPr>
        <w:shd w:val="clear"/>
        <w:rPr>
          <w:highlight w:val="none"/>
        </w:rPr>
      </w:pPr>
      <w:r>
        <w:rPr>
          <w:rFonts w:hint="eastAsia"/>
          <w:highlight w:val="none"/>
        </w:rPr>
        <w:t>1</w:t>
      </w:r>
      <w:r>
        <w:rPr>
          <w:highlight w:val="none"/>
        </w:rPr>
        <w:t>.营业执照（副本）复印件（加盖公章）；</w:t>
      </w:r>
    </w:p>
    <w:p>
      <w:pPr>
        <w:shd w:val="clear"/>
        <w:rPr>
          <w:highlight w:val="none"/>
        </w:rPr>
      </w:pPr>
      <w:r>
        <w:rPr>
          <w:rFonts w:hint="eastAsia"/>
          <w:highlight w:val="none"/>
        </w:rPr>
        <w:t>2</w:t>
      </w:r>
      <w:r>
        <w:rPr>
          <w:highlight w:val="none"/>
        </w:rPr>
        <w:t>.近三年财务报表或审计报告；</w:t>
      </w:r>
    </w:p>
    <w:p>
      <w:pPr>
        <w:shd w:val="clear"/>
        <w:rPr>
          <w:highlight w:val="none"/>
        </w:rPr>
      </w:pPr>
      <w:r>
        <w:rPr>
          <w:rFonts w:hint="eastAsia"/>
          <w:highlight w:val="none"/>
        </w:rPr>
        <w:t>3</w:t>
      </w:r>
      <w:r>
        <w:rPr>
          <w:highlight w:val="none"/>
        </w:rPr>
        <w:t>.相关资质证书、知识产权（专利、软著等）证明；</w:t>
      </w:r>
    </w:p>
    <w:p>
      <w:pPr>
        <w:shd w:val="clear"/>
        <w:rPr>
          <w:highlight w:val="none"/>
        </w:rPr>
      </w:pPr>
      <w:r>
        <w:rPr>
          <w:rFonts w:hint="eastAsia"/>
          <w:highlight w:val="none"/>
        </w:rPr>
        <w:t>4</w:t>
      </w:r>
      <w:r>
        <w:rPr>
          <w:highlight w:val="none"/>
        </w:rPr>
        <w:t>.典型服务案例材料（含数字化水平提升前后对比、智能工厂/数字化车间获评证明等）；</w:t>
      </w:r>
    </w:p>
    <w:p>
      <w:pPr>
        <w:shd w:val="clear"/>
        <w:rPr>
          <w:highlight w:val="none"/>
        </w:rPr>
      </w:pPr>
      <w:r>
        <w:rPr>
          <w:rFonts w:hint="eastAsia"/>
          <w:highlight w:val="none"/>
        </w:rPr>
        <w:t>5</w:t>
      </w:r>
      <w:r>
        <w:rPr>
          <w:highlight w:val="none"/>
        </w:rPr>
        <w:t>.在沈阳服务企业名单及服务合同（协议）或服务证明；</w:t>
      </w:r>
    </w:p>
    <w:p>
      <w:pPr>
        <w:shd w:val="clear"/>
        <w:rPr>
          <w:highlight w:val="none"/>
        </w:rPr>
      </w:pPr>
      <w:r>
        <w:rPr>
          <w:rFonts w:hint="eastAsia"/>
          <w:highlight w:val="none"/>
        </w:rPr>
        <w:t>6</w:t>
      </w:r>
      <w:r>
        <w:rPr>
          <w:highlight w:val="none"/>
        </w:rPr>
        <w:t>.面向工业企业免费部署服务承诺函及免费部署企业名单；</w:t>
      </w:r>
    </w:p>
    <w:p>
      <w:pPr>
        <w:shd w:val="clear"/>
        <w:rPr>
          <w:highlight w:val="none"/>
        </w:rPr>
      </w:pPr>
      <w:r>
        <w:rPr>
          <w:rFonts w:hint="eastAsia"/>
          <w:highlight w:val="none"/>
        </w:rPr>
        <w:t>7</w:t>
      </w:r>
      <w:r>
        <w:rPr>
          <w:highlight w:val="none"/>
        </w:rPr>
        <w:t>.非在沈阳市内注册单位的本地服务团队、本地长期办公场所等证明材料；</w:t>
      </w:r>
    </w:p>
    <w:p>
      <w:pPr>
        <w:shd w:val="clear"/>
        <w:rPr>
          <w:highlight w:val="none"/>
        </w:rPr>
      </w:pPr>
      <w:r>
        <w:rPr>
          <w:rFonts w:hint="eastAsia"/>
          <w:highlight w:val="none"/>
        </w:rPr>
        <w:t>8</w:t>
      </w:r>
      <w:r>
        <w:rPr>
          <w:highlight w:val="none"/>
        </w:rPr>
        <w:t>.企业满意度调查材料；</w:t>
      </w:r>
    </w:p>
    <w:p>
      <w:pPr>
        <w:shd w:val="clear"/>
        <w:rPr>
          <w:highlight w:val="none"/>
        </w:rPr>
      </w:pPr>
      <w:r>
        <w:rPr>
          <w:rFonts w:hint="eastAsia"/>
          <w:highlight w:val="none"/>
        </w:rPr>
        <w:t>9</w:t>
      </w:r>
      <w:r>
        <w:rPr>
          <w:highlight w:val="none"/>
        </w:rPr>
        <w:t>.其他需要提交的证明材料（荣誉证书、参与标准制定证明等）。</w:t>
      </w:r>
    </w:p>
    <w:sectPr>
      <w:pgSz w:w="11906" w:h="16838"/>
      <w:pgMar w:top="2098" w:right="1474" w:bottom="1984" w:left="1587" w:header="720" w:footer="158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ＭＳ 明朝">
    <w:panose1 w:val="02020609040205080304"/>
    <w:charset w:val="86"/>
    <w:family w:val="auto"/>
    <w:pitch w:val="default"/>
    <w:sig w:usb0="E00002FF" w:usb1="6AC7FDFB" w:usb2="00000012" w:usb3="00000000" w:csb0="4002009F" w:csb1="DFD70000"/>
  </w:font>
  <w:font w:name="ＭＳ 明朝">
    <w:panose1 w:val="02020609040205080304"/>
    <w:charset w:val="80"/>
    <w:family w:val="auto"/>
    <w:pitch w:val="default"/>
    <w:sig w:usb0="E00002FF" w:usb1="6AC7FDFB" w:usb2="00000012" w:usb3="00000000" w:csb0="4002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ＭＳ ゴシック">
    <w:panose1 w:val="020B0609070205080204"/>
    <w:charset w:val="80"/>
    <w:family w:val="auto"/>
    <w:pitch w:val="default"/>
    <w:sig w:usb0="E00002FF" w:usb1="6AC7FDFB" w:usb2="00000012" w:usb3="00000000" w:csb0="4002009F" w:csb1="DFD7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ind w:firstLine="0" w:firstLineChars="0"/>
      <w:jc w:val="center"/>
    </w:pPr>
    <w:r>
      <w:rPr>
        <w:rFonts w:hint="eastAsia" w:ascii="宋体" w:hAnsi="宋体" w:eastAsia="宋体" w:cs="宋体"/>
        <w:sz w:val="28"/>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 Arabic \* MERGEFORMAT </w:instrText>
    </w:r>
    <w:r>
      <w:rPr>
        <w:rFonts w:hint="eastAsia" w:ascii="宋体" w:hAnsi="宋体" w:eastAsia="宋体" w:cs="宋体"/>
        <w:sz w:val="28"/>
      </w:rPr>
      <w:fldChar w:fldCharType="separate"/>
    </w:r>
    <w:r>
      <w:rPr>
        <w:rFonts w:hint="eastAsia" w:ascii="宋体" w:hAnsi="宋体" w:eastAsia="宋体" w:cs="宋体"/>
        <w:sz w:val="28"/>
      </w:rPr>
      <w:t>1</w:t>
    </w:r>
    <w:r>
      <w:rPr>
        <w:rFonts w:hint="eastAsia" w:ascii="宋体" w:hAnsi="宋体" w:eastAsia="宋体" w:cs="宋体"/>
        <w:sz w:val="28"/>
      </w:rPr>
      <w:fldChar w:fldCharType="end"/>
    </w:r>
    <w:r>
      <w:rPr>
        <w:rFonts w:hint="eastAsia" w:ascii="宋体" w:hAnsi="宋体" w:eastAsia="宋体" w:cs="宋体"/>
        <w:sz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0967"/>
    <w:rsid w:val="0006063C"/>
    <w:rsid w:val="0015074B"/>
    <w:rsid w:val="001B397E"/>
    <w:rsid w:val="001C1E2F"/>
    <w:rsid w:val="00254246"/>
    <w:rsid w:val="0029639D"/>
    <w:rsid w:val="00326F90"/>
    <w:rsid w:val="005955A1"/>
    <w:rsid w:val="006D0ABD"/>
    <w:rsid w:val="00AA1D8D"/>
    <w:rsid w:val="00B47730"/>
    <w:rsid w:val="00CB0664"/>
    <w:rsid w:val="00EC6E11"/>
    <w:rsid w:val="00ED3E62"/>
    <w:rsid w:val="00FC693F"/>
    <w:rsid w:val="0B664CB3"/>
    <w:rsid w:val="0EBC5E2E"/>
    <w:rsid w:val="238B19DA"/>
    <w:rsid w:val="27CD267F"/>
    <w:rsid w:val="3F275F2C"/>
    <w:rsid w:val="57811E04"/>
    <w:rsid w:val="5B1F28B0"/>
    <w:rsid w:val="7E6D1B27"/>
    <w:rsid w:val="AFBE95AA"/>
    <w:rsid w:val="CB5FAF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nhideWhenUsed="0" w:uiPriority="0" w:semiHidden="0" w:name="macro"/>
    <w:lsdException w:uiPriority="99"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iPriority="99" w:name="List 4"/>
    <w:lsdException w:uiPriority="99" w:name="List 5"/>
    <w:lsdException w:unhideWhenUsed="0" w:uiPriority="0" w:semiHidden="0" w:name="List Bullet 2"/>
    <w:lsdException w:unhideWhenUsed="0" w:uiPriority="0" w:semiHidden="0" w:name="List Bullet 3"/>
    <w:lsdException w:uiPriority="99" w:name="List Bullet 4"/>
    <w:lsdException w:uiPriority="99" w:name="List Bullet 5"/>
    <w:lsdException w:unhideWhenUsed="0" w:uiPriority="0" w:semiHidden="0" w:name="List Number 2"/>
    <w:lsdException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560" w:lineRule="exact"/>
      <w:ind w:firstLine="640" w:firstLineChars="200"/>
    </w:pPr>
    <w:rPr>
      <w:rFonts w:ascii="Times New Roman" w:hAnsi="Times New Roman" w:eastAsia="仿宋_GB2312" w:cstheme="minorBidi"/>
      <w:sz w:val="32"/>
      <w:szCs w:val="22"/>
      <w:lang w:val="en-US" w:eastAsia="zh-CN" w:bidi="ar-SA"/>
    </w:rPr>
  </w:style>
  <w:style w:type="paragraph" w:styleId="2">
    <w:name w:val="heading 1"/>
    <w:basedOn w:val="1"/>
    <w:next w:val="1"/>
    <w:link w:val="117"/>
    <w:qFormat/>
    <w:uiPriority w:val="9"/>
    <w:pPr>
      <w:ind w:firstLine="320"/>
      <w:outlineLvl w:val="0"/>
    </w:pPr>
    <w:rPr>
      <w:rFonts w:eastAsia="黑体"/>
    </w:rPr>
  </w:style>
  <w:style w:type="paragraph" w:styleId="3">
    <w:name w:val="heading 2"/>
    <w:basedOn w:val="1"/>
    <w:next w:val="1"/>
    <w:link w:val="118"/>
    <w:unhideWhenUsed/>
    <w:qFormat/>
    <w:uiPriority w:val="9"/>
    <w:pPr>
      <w:ind w:firstLine="320"/>
      <w:outlineLvl w:val="1"/>
    </w:pPr>
    <w:rPr>
      <w:rFonts w:ascii="楷体" w:hAnsi="楷体" w:eastAsia="楷体" w:cs="楷体"/>
    </w:rPr>
  </w:style>
  <w:style w:type="paragraph" w:styleId="4">
    <w:name w:val="heading 3"/>
    <w:basedOn w:val="1"/>
    <w:next w:val="1"/>
    <w:link w:val="119"/>
    <w:unhideWhenUsed/>
    <w:qFormat/>
    <w:uiPriority w:val="9"/>
    <w:pPr>
      <w:outlineLvl w:val="2"/>
    </w:pPr>
    <w:rPr>
      <w:b/>
      <w:bCs/>
    </w:rPr>
  </w:style>
  <w:style w:type="paragraph" w:styleId="5">
    <w:name w:val="heading 4"/>
    <w:basedOn w:val="1"/>
    <w:next w:val="1"/>
    <w:link w:val="122"/>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23"/>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24"/>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25"/>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26"/>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27"/>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5">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13">
    <w:name w:val="Subtitle"/>
    <w:basedOn w:val="1"/>
    <w:next w:val="1"/>
    <w:link w:val="121"/>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
    <w:name w:val="Title"/>
    <w:basedOn w:val="1"/>
    <w:next w:val="1"/>
    <w:link w:val="120"/>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16">
    <w:name w:val="Table Grid"/>
    <w:basedOn w:val="1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7">
    <w:name w:val="Light Shading"/>
    <w:basedOn w:val="15"/>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18">
    <w:name w:val="Light Shading Accent 1"/>
    <w:basedOn w:val="15"/>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9">
    <w:name w:val="Light Shading Accent 2"/>
    <w:basedOn w:val="15"/>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20">
    <w:name w:val="Light Shading Accent 3"/>
    <w:basedOn w:val="15"/>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21">
    <w:name w:val="Light Shading Accent 4"/>
    <w:basedOn w:val="15"/>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22">
    <w:name w:val="Light Shading Accent 5"/>
    <w:basedOn w:val="15"/>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23">
    <w:name w:val="Light Shading Accent 6"/>
    <w:basedOn w:val="15"/>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24">
    <w:name w:val="Light List"/>
    <w:basedOn w:val="15"/>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25">
    <w:name w:val="Light List Accent 1"/>
    <w:basedOn w:val="15"/>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26">
    <w:name w:val="Light List Accent 2"/>
    <w:basedOn w:val="15"/>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27">
    <w:name w:val="Light List Accent 3"/>
    <w:basedOn w:val="15"/>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28">
    <w:name w:val="Light List Accent 4"/>
    <w:basedOn w:val="15"/>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29">
    <w:name w:val="Light List Accent 5"/>
    <w:basedOn w:val="15"/>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30">
    <w:name w:val="Light List Accent 6"/>
    <w:basedOn w:val="15"/>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31">
    <w:name w:val="Light Grid"/>
    <w:basedOn w:val="15"/>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32">
    <w:name w:val="Light Grid Accent 1"/>
    <w:basedOn w:val="15"/>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33">
    <w:name w:val="Light Grid Accent 2"/>
    <w:basedOn w:val="15"/>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34">
    <w:name w:val="Light Grid Accent 3"/>
    <w:basedOn w:val="15"/>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35">
    <w:name w:val="Light Grid Accent 4"/>
    <w:basedOn w:val="1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36">
    <w:name w:val="Light Grid Accent 5"/>
    <w:basedOn w:val="1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37">
    <w:name w:val="Light Grid Accent 6"/>
    <w:basedOn w:val="15"/>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38">
    <w:name w:val="Medium Shading 1"/>
    <w:basedOn w:val="15"/>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39">
    <w:name w:val="Medium Shading 1 Accent 1"/>
    <w:basedOn w:val="15"/>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0">
    <w:name w:val="Medium Shading 1 Accent 2"/>
    <w:basedOn w:val="15"/>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41">
    <w:name w:val="Medium Shading 1 Accent 3"/>
    <w:basedOn w:val="15"/>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2">
    <w:name w:val="Medium Shading 1 Accent 4"/>
    <w:basedOn w:val="15"/>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3">
    <w:name w:val="Medium Shading 1 Accent 5"/>
    <w:basedOn w:val="15"/>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44">
    <w:name w:val="Medium Shading 1 Accent 6"/>
    <w:basedOn w:val="15"/>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45">
    <w:name w:val="Medium Shading 2"/>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46">
    <w:name w:val="Medium Shading 2 Accent 1"/>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47">
    <w:name w:val="Medium Shading 2 Accent 2"/>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48">
    <w:name w:val="Medium Shading 2 Accent 3"/>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49">
    <w:name w:val="Medium Shading 2 Accent 4"/>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0">
    <w:name w:val="Medium Shading 2 Accent 5"/>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1">
    <w:name w:val="Medium Shading 2 Accent 6"/>
    <w:basedOn w:val="1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2">
    <w:name w:val="Medium List 1"/>
    <w:basedOn w:val="1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53">
    <w:name w:val="Medium List 1 Accent 1"/>
    <w:basedOn w:val="15"/>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54">
    <w:name w:val="Medium List 1 Accent 2"/>
    <w:basedOn w:val="15"/>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55">
    <w:name w:val="Medium List 1 Accent 3"/>
    <w:basedOn w:val="1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56">
    <w:name w:val="Medium List 1 Accent 4"/>
    <w:basedOn w:val="15"/>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57">
    <w:name w:val="Medium List 1 Accent 5"/>
    <w:basedOn w:val="15"/>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58">
    <w:name w:val="Medium List 1 Accent 6"/>
    <w:basedOn w:val="15"/>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59">
    <w:name w:val="Medium List 2"/>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60">
    <w:name w:val="Medium List 2 Accent 1"/>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61">
    <w:name w:val="Medium List 2 Accent 2"/>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62">
    <w:name w:val="Medium List 2 Accent 3"/>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63">
    <w:name w:val="Medium List 2 Accent 4"/>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64">
    <w:name w:val="Medium List 2 Accent 5"/>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65">
    <w:name w:val="Medium List 2 Accent 6"/>
    <w:basedOn w:val="1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66">
    <w:name w:val="Medium Grid 1"/>
    <w:basedOn w:val="1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67">
    <w:name w:val="Medium Grid 1 Accent 1"/>
    <w:basedOn w:val="15"/>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68">
    <w:name w:val="Medium Grid 1 Accent 2"/>
    <w:basedOn w:val="1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69">
    <w:name w:val="Medium Grid 1 Accent 3"/>
    <w:basedOn w:val="15"/>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70">
    <w:name w:val="Medium Grid 1 Accent 4"/>
    <w:basedOn w:val="1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71">
    <w:name w:val="Medium Grid 1 Accent 5"/>
    <w:basedOn w:val="1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72">
    <w:name w:val="Medium Grid 1 Accent 6"/>
    <w:basedOn w:val="1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73">
    <w:name w:val="Medium Grid 2"/>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74">
    <w:name w:val="Medium Grid 2 Accent 1"/>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75">
    <w:name w:val="Medium Grid 2 Accent 2"/>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76">
    <w:name w:val="Medium Grid 2 Accent 3"/>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77">
    <w:name w:val="Medium Grid 2 Accent 4"/>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78">
    <w:name w:val="Medium Grid 2 Accent 5"/>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79">
    <w:name w:val="Medium Grid 2 Accent 6"/>
    <w:basedOn w:val="1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80">
    <w:name w:val="Medium Grid 3"/>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81">
    <w:name w:val="Medium Grid 3 Accent 1"/>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82">
    <w:name w:val="Medium Grid 3 Accent 2"/>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83">
    <w:name w:val="Medium Grid 3 Accent 3"/>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84">
    <w:name w:val="Medium Grid 3 Accent 4"/>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85">
    <w:name w:val="Medium Grid 3 Accent 5"/>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86">
    <w:name w:val="Medium Grid 3 Accent 6"/>
    <w:basedOn w:val="1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87">
    <w:name w:val="Dark List"/>
    <w:basedOn w:val="15"/>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88">
    <w:name w:val="Dark List Accent 1"/>
    <w:basedOn w:val="15"/>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89">
    <w:name w:val="Dark List Accent 2"/>
    <w:basedOn w:val="15"/>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90">
    <w:name w:val="Dark List Accent 3"/>
    <w:basedOn w:val="15"/>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91">
    <w:name w:val="Dark List Accent 4"/>
    <w:basedOn w:val="15"/>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92">
    <w:name w:val="Dark List Accent 5"/>
    <w:basedOn w:val="15"/>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93">
    <w:name w:val="Dark List Accent 6"/>
    <w:basedOn w:val="15"/>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94">
    <w:name w:val="Colorful Shading"/>
    <w:basedOn w:val="15"/>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5">
    <w:name w:val="Colorful Shading Accent 1"/>
    <w:basedOn w:val="1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6">
    <w:name w:val="Colorful Shading Accent 2"/>
    <w:basedOn w:val="1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7">
    <w:name w:val="Colorful Shading Accent 3"/>
    <w:basedOn w:val="1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98">
    <w:name w:val="Colorful Shading Accent 4"/>
    <w:basedOn w:val="15"/>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9">
    <w:name w:val="Colorful Shading Accent 5"/>
    <w:basedOn w:val="15"/>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00">
    <w:name w:val="Colorful Shading Accent 6"/>
    <w:basedOn w:val="1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01">
    <w:name w:val="Colorful List"/>
    <w:basedOn w:val="15"/>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02">
    <w:name w:val="Colorful List Accent 1"/>
    <w:basedOn w:val="15"/>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03">
    <w:name w:val="Colorful List Accent 2"/>
    <w:basedOn w:val="15"/>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04">
    <w:name w:val="Colorful List Accent 3"/>
    <w:basedOn w:val="15"/>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05">
    <w:name w:val="Colorful List Accent 4"/>
    <w:basedOn w:val="15"/>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06">
    <w:name w:val="Colorful List Accent 5"/>
    <w:basedOn w:val="15"/>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07">
    <w:name w:val="Colorful List Accent 6"/>
    <w:basedOn w:val="15"/>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08">
    <w:name w:val="Colorful Grid"/>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09">
    <w:name w:val="Colorful Grid Accent 1"/>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10">
    <w:name w:val="Colorful Grid Accent 2"/>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11">
    <w:name w:val="Colorful Grid Accent 3"/>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12">
    <w:name w:val="Colorful Grid Accent 4"/>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13">
    <w:name w:val="Colorful Grid Accent 5"/>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14">
    <w:name w:val="Colorful Grid Accent 6"/>
    <w:basedOn w:val="1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16">
    <w:name w:val="Strong"/>
    <w:qFormat/>
    <w:uiPriority w:val="22"/>
    <w:rPr>
      <w:rFonts w:ascii="Times New Roman" w:hAnsi="Times New Roman" w:eastAsia="仿宋_GB2312" w:cstheme="minorBidi"/>
      <w:i/>
      <w:iCs/>
      <w:sz w:val="28"/>
      <w:szCs w:val="21"/>
      <w:lang w:val="en-US" w:eastAsia="zh-CN" w:bidi="ar-SA"/>
    </w:rPr>
  </w:style>
  <w:style w:type="character" w:customStyle="1" w:styleId="117">
    <w:name w:val="标题 1 字符"/>
    <w:link w:val="2"/>
    <w:qFormat/>
    <w:uiPriority w:val="9"/>
    <w:rPr>
      <w:rFonts w:ascii="Times New Roman" w:hAnsi="Times New Roman" w:eastAsia="黑体" w:cstheme="minorBidi"/>
      <w:sz w:val="32"/>
      <w:szCs w:val="22"/>
      <w:lang w:val="en-US" w:eastAsia="en-US" w:bidi="ar-SA"/>
    </w:rPr>
  </w:style>
  <w:style w:type="character" w:customStyle="1" w:styleId="118">
    <w:name w:val="标题 2 字符"/>
    <w:link w:val="3"/>
    <w:qFormat/>
    <w:uiPriority w:val="9"/>
    <w:rPr>
      <w:rFonts w:ascii="楷体" w:hAnsi="楷体" w:eastAsia="楷体" w:cs="楷体"/>
      <w:sz w:val="32"/>
      <w:szCs w:val="22"/>
      <w:lang w:val="en-US" w:eastAsia="en-US" w:bidi="ar-SA"/>
    </w:rPr>
  </w:style>
  <w:style w:type="character" w:customStyle="1" w:styleId="119">
    <w:name w:val="标题 3 字符"/>
    <w:link w:val="4"/>
    <w:qFormat/>
    <w:uiPriority w:val="9"/>
    <w:rPr>
      <w:rFonts w:ascii="Times New Roman" w:hAnsi="Times New Roman" w:eastAsia="仿宋_GB2312" w:cstheme="minorBidi"/>
      <w:b/>
      <w:bCs/>
      <w:sz w:val="32"/>
      <w:szCs w:val="22"/>
      <w:lang w:val="en-US" w:eastAsia="zh-CN" w:bidi="ar-SA"/>
    </w:rPr>
  </w:style>
  <w:style w:type="character" w:customStyle="1" w:styleId="120">
    <w:name w:val="标题 字符"/>
    <w:basedOn w:val="115"/>
    <w:link w:val="1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21">
    <w:name w:val="副标题 字符"/>
    <w:basedOn w:val="115"/>
    <w:link w:val="1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122">
    <w:name w:val="标题 4 字符"/>
    <w:basedOn w:val="115"/>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23">
    <w:name w:val="标题 5 字符"/>
    <w:basedOn w:val="115"/>
    <w:link w:val="6"/>
    <w:semiHidden/>
    <w:qFormat/>
    <w:uiPriority w:val="9"/>
    <w:rPr>
      <w:rFonts w:asciiTheme="majorHAnsi" w:hAnsiTheme="majorHAnsi" w:eastAsiaTheme="majorEastAsia" w:cstheme="majorBidi"/>
      <w:color w:val="254061" w:themeColor="accent1" w:themeShade="80"/>
    </w:rPr>
  </w:style>
  <w:style w:type="character" w:customStyle="1" w:styleId="124">
    <w:name w:val="标题 6 字符"/>
    <w:basedOn w:val="115"/>
    <w:link w:val="7"/>
    <w:semiHidden/>
    <w:qFormat/>
    <w:uiPriority w:val="9"/>
    <w:rPr>
      <w:rFonts w:asciiTheme="majorHAnsi" w:hAnsiTheme="majorHAnsi" w:eastAsiaTheme="majorEastAsia" w:cstheme="majorBidi"/>
      <w:i/>
      <w:iCs/>
      <w:color w:val="254061" w:themeColor="accent1" w:themeShade="80"/>
    </w:rPr>
  </w:style>
  <w:style w:type="character" w:customStyle="1" w:styleId="125">
    <w:name w:val="标题 7 字符"/>
    <w:basedOn w:val="115"/>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26">
    <w:name w:val="标题 8 字符"/>
    <w:basedOn w:val="115"/>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27">
    <w:name w:val="标题 9 字符"/>
    <w:basedOn w:val="115"/>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15</Pages>
  <Words>1987</Words>
  <Characters>2027</Characters>
  <Lines>253</Lines>
  <Paragraphs>200</Paragraphs>
  <TotalTime>9</TotalTime>
  <ScaleCrop>false</ScaleCrop>
  <LinksUpToDate>false</LinksUpToDate>
  <CharactersWithSpaces>3814</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2026-09-17T07:18:00Z</dcterms:created>
  <dc:creator>python-docx</dc:creator>
  <dc:description>generated by python-docx</dc:description>
  <cp:lastModifiedBy>uos</cp:lastModifiedBy>
  <dcterms:modified xsi:type="dcterms:W3CDTF">2026-09-20T10:53:29Z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eyJoZGlkIjoiYzQwMjY5YjFmY2RlMzZmNTU1MGFmODRlZTc1YzZlYzgiLCJ1c2VySWQiOiIyMzc5OTkzODMifQ==</vt:lpwstr>
  </property>
  <property fmtid="{D5CDD505-2E9C-101B-9397-08002B2CF9AE}" pid="3" name="KSOProductBuildVer">
    <vt:lpwstr>2052-11.8.2.1122</vt:lpwstr>
  </property>
  <property fmtid="{D5CDD505-2E9C-101B-9397-08002B2CF9AE}" pid="4" name="ICV">
    <vt:lpwstr>8A2FD2F92423EF5209B8AC6AA67F4121</vt:lpwstr>
  </property>
</Properties>
</file>