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outlineLvl w:val="0"/>
        <w:rPr>
          <w:rFonts w:hint="eastAsia" w:ascii="黑体" w:hAnsi="黑体" w:eastAsia="黑体" w:cs="黑体"/>
          <w:bCs/>
          <w:color w:val="000000"/>
          <w:sz w:val="32"/>
          <w:szCs w:val="32"/>
        </w:rPr>
      </w:pPr>
      <w:r>
        <w:rPr>
          <w:rFonts w:hint="eastAsia" w:ascii="黑体" w:hAnsi="黑体" w:eastAsia="黑体" w:cs="黑体"/>
          <w:bCs/>
          <w:color w:val="000000"/>
          <w:sz w:val="32"/>
          <w:szCs w:val="32"/>
        </w:rPr>
        <w:t>附件1</w:t>
      </w:r>
    </w:p>
    <w:p>
      <w:pPr>
        <w:widowControl/>
        <w:spacing w:line="600" w:lineRule="exact"/>
        <w:outlineLvl w:val="0"/>
        <w:rPr>
          <w:rFonts w:hint="eastAsia" w:ascii="黑体" w:hAnsi="黑体" w:eastAsia="黑体" w:cs="黑体"/>
          <w:bCs/>
          <w:color w:val="000000"/>
          <w:sz w:val="32"/>
          <w:szCs w:val="32"/>
        </w:rPr>
      </w:pPr>
    </w:p>
    <w:p>
      <w:pPr>
        <w:spacing w:line="56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华为云上云解决方案</w:t>
      </w:r>
    </w:p>
    <w:p>
      <w:pPr>
        <w:numPr>
          <w:ilvl w:val="0"/>
          <w:numId w:val="1"/>
        </w:numPr>
        <w:autoSpaceDE w:val="0"/>
        <w:autoSpaceDN w:val="0"/>
        <w:adjustRightInd w:val="0"/>
        <w:spacing w:line="360" w:lineRule="auto"/>
        <w:jc w:val="left"/>
        <w:rPr>
          <w:rFonts w:ascii="宋体" w:hAnsi="宋体"/>
          <w:b/>
          <w:snapToGrid w:val="0"/>
          <w:color w:val="000000"/>
          <w:kern w:val="0"/>
          <w:szCs w:val="18"/>
        </w:rPr>
      </w:pPr>
      <w:r>
        <w:rPr>
          <w:rFonts w:hint="eastAsia" w:ascii="宋体" w:hAnsi="宋体"/>
          <w:b/>
          <w:snapToGrid w:val="0"/>
          <w:color w:val="000000"/>
          <w:kern w:val="0"/>
          <w:szCs w:val="18"/>
        </w:rPr>
        <w:t>场景化解决方案（</w:t>
      </w:r>
      <w:r>
        <w:rPr>
          <w:rFonts w:hint="eastAsia" w:ascii="黑体" w:hAnsi="黑体" w:eastAsia="黑体" w:cs="黑体"/>
          <w:color w:val="000000"/>
          <w:sz w:val="22"/>
          <w:szCs w:val="32"/>
        </w:rPr>
        <w:t>本目录仅展示部分华为云产品，申请单位如需选择更多类型产品，请登录华为云官网（www</w:t>
      </w:r>
      <w:r>
        <w:rPr>
          <w:rFonts w:ascii="黑体" w:hAnsi="黑体" w:eastAsia="黑体" w:cs="黑体"/>
          <w:color w:val="000000"/>
          <w:sz w:val="22"/>
          <w:szCs w:val="32"/>
        </w:rPr>
        <w:t>.</w:t>
      </w:r>
      <w:r>
        <w:rPr>
          <w:rFonts w:hint="eastAsia" w:ascii="黑体" w:hAnsi="黑体" w:eastAsia="黑体" w:cs="黑体"/>
          <w:color w:val="000000"/>
          <w:sz w:val="22"/>
          <w:szCs w:val="32"/>
        </w:rPr>
        <w:t>huaweicloud</w:t>
      </w:r>
      <w:r>
        <w:rPr>
          <w:rFonts w:ascii="黑体" w:hAnsi="黑体" w:eastAsia="黑体" w:cs="黑体"/>
          <w:color w:val="000000"/>
          <w:sz w:val="22"/>
          <w:szCs w:val="32"/>
        </w:rPr>
        <w:t>.</w:t>
      </w:r>
      <w:r>
        <w:rPr>
          <w:rFonts w:hint="eastAsia" w:ascii="黑体" w:hAnsi="黑体" w:eastAsia="黑体" w:cs="黑体"/>
          <w:color w:val="000000"/>
          <w:sz w:val="22"/>
          <w:szCs w:val="32"/>
        </w:rPr>
        <w:t>com）进行资源选择。</w:t>
      </w:r>
      <w:r>
        <w:rPr>
          <w:rFonts w:hint="eastAsia" w:ascii="宋体" w:hAnsi="宋体"/>
          <w:b/>
          <w:snapToGrid w:val="0"/>
          <w:color w:val="000000"/>
          <w:kern w:val="0"/>
          <w:szCs w:val="18"/>
        </w:rPr>
        <w:t>）</w:t>
      </w:r>
    </w:p>
    <w:p>
      <w:pPr>
        <w:autoSpaceDE w:val="0"/>
        <w:autoSpaceDN w:val="0"/>
        <w:adjustRightInd w:val="0"/>
        <w:spacing w:line="360" w:lineRule="auto"/>
        <w:jc w:val="left"/>
        <w:rPr>
          <w:rFonts w:ascii="宋体" w:hAnsi="宋体"/>
          <w:b/>
          <w:snapToGrid w:val="0"/>
          <w:color w:val="000000"/>
          <w:kern w:val="0"/>
          <w:szCs w:val="18"/>
        </w:rPr>
      </w:pPr>
      <w:r>
        <w:rPr>
          <w:rFonts w:ascii="宋体" w:hAnsi="宋体"/>
          <w:b/>
          <w:snapToGrid w:val="0"/>
          <w:color w:val="000000"/>
          <w:kern w:val="0"/>
          <w:szCs w:val="18"/>
        </w:rPr>
        <w:t>1</w:t>
      </w:r>
      <w:r>
        <w:rPr>
          <w:rFonts w:hint="eastAsia" w:ascii="宋体" w:hAnsi="宋体"/>
          <w:b/>
          <w:snapToGrid w:val="0"/>
          <w:color w:val="000000"/>
          <w:kern w:val="0"/>
          <w:szCs w:val="18"/>
        </w:rPr>
        <w:t>、企业上云通用方案</w:t>
      </w:r>
    </w:p>
    <w:tbl>
      <w:tblPr>
        <w:tblStyle w:val="2"/>
        <w:tblW w:w="5651" w:type="pct"/>
        <w:jc w:val="center"/>
        <w:tblLayout w:type="fixed"/>
        <w:tblCellMar>
          <w:top w:w="0" w:type="dxa"/>
          <w:left w:w="108" w:type="dxa"/>
          <w:bottom w:w="0" w:type="dxa"/>
          <w:right w:w="108" w:type="dxa"/>
        </w:tblCellMar>
      </w:tblPr>
      <w:tblGrid>
        <w:gridCol w:w="1508"/>
        <w:gridCol w:w="3242"/>
        <w:gridCol w:w="3965"/>
        <w:gridCol w:w="917"/>
      </w:tblGrid>
      <w:tr>
        <w:tblPrEx>
          <w:tblCellMar>
            <w:top w:w="0" w:type="dxa"/>
            <w:left w:w="108" w:type="dxa"/>
            <w:bottom w:w="0" w:type="dxa"/>
            <w:right w:w="108" w:type="dxa"/>
          </w:tblCellMar>
        </w:tblPrEx>
        <w:trPr>
          <w:trHeight w:val="315" w:hRule="atLeast"/>
          <w:jc w:val="center"/>
        </w:trPr>
        <w:tc>
          <w:tcPr>
            <w:tcW w:w="782" w:type="pc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产品名称</w:t>
            </w:r>
          </w:p>
        </w:tc>
        <w:tc>
          <w:tcPr>
            <w:tcW w:w="1683"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产品用途</w:t>
            </w:r>
          </w:p>
        </w:tc>
        <w:tc>
          <w:tcPr>
            <w:tcW w:w="2058"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参考配置</w:t>
            </w:r>
          </w:p>
        </w:tc>
        <w:tc>
          <w:tcPr>
            <w:tcW w:w="476"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参考价格（元）</w:t>
            </w:r>
          </w:p>
        </w:tc>
      </w:tr>
      <w:tr>
        <w:tblPrEx>
          <w:tblCellMar>
            <w:top w:w="0" w:type="dxa"/>
            <w:left w:w="108" w:type="dxa"/>
            <w:bottom w:w="0" w:type="dxa"/>
            <w:right w:w="108" w:type="dxa"/>
          </w:tblCellMar>
        </w:tblPrEx>
        <w:trPr>
          <w:trHeight w:val="300"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弹性云服务器ECS</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承载网站、APP的业务</w:t>
            </w:r>
          </w:p>
        </w:tc>
        <w:tc>
          <w:tcPr>
            <w:tcW w:w="2058"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snapToGrid w:val="0"/>
                <w:color w:val="000000"/>
                <w:kern w:val="0"/>
                <w:sz w:val="18"/>
                <w:szCs w:val="18"/>
                <w:shd w:val="clear" w:color="auto" w:fill="FFFFFF"/>
              </w:rPr>
            </w:pPr>
            <w:r>
              <w:rPr>
                <w:rFonts w:ascii="宋体" w:hAnsi="宋体"/>
                <w:snapToGrid w:val="0"/>
                <w:color w:val="000000"/>
                <w:kern w:val="0"/>
                <w:sz w:val="18"/>
                <w:szCs w:val="18"/>
                <w:shd w:val="clear" w:color="auto" w:fill="FFFFFF"/>
              </w:rPr>
              <w:t xml:space="preserve">X86计算|通用计算增强型| c6.xlarge.2|4核|8GB </w:t>
            </w:r>
          </w:p>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系统盘</w:t>
            </w:r>
            <w:r>
              <w:rPr>
                <w:rFonts w:hint="eastAsia" w:ascii="宋体" w:hAnsi="宋体" w:cs="宋体"/>
                <w:color w:val="000000"/>
                <w:kern w:val="0"/>
                <w:sz w:val="18"/>
                <w:szCs w:val="18"/>
              </w:rPr>
              <w:t xml:space="preserve"> </w:t>
            </w:r>
            <w:r>
              <w:rPr>
                <w:rFonts w:ascii="宋体" w:hAnsi="宋体" w:cs="宋体"/>
                <w:color w:val="000000"/>
                <w:kern w:val="0"/>
                <w:sz w:val="18"/>
                <w:szCs w:val="18"/>
              </w:rPr>
              <w:t>高IO|40GB</w:t>
            </w:r>
          </w:p>
          <w:p>
            <w:pPr>
              <w:widowControl/>
              <w:adjustRightInd w:val="0"/>
              <w:snapToGrid w:val="0"/>
              <w:jc w:val="left"/>
              <w:rPr>
                <w:rFonts w:ascii="宋体" w:hAnsi="宋体"/>
                <w:snapToGrid w:val="0"/>
                <w:color w:val="000000"/>
                <w:kern w:val="0"/>
                <w:sz w:val="18"/>
                <w:szCs w:val="18"/>
                <w:shd w:val="clear" w:color="auto" w:fill="FFFFFF"/>
              </w:rPr>
            </w:pPr>
            <w:r>
              <w:rPr>
                <w:rFonts w:hint="eastAsia" w:ascii="宋体" w:hAnsi="宋体"/>
                <w:snapToGrid w:val="0"/>
                <w:color w:val="000000"/>
                <w:kern w:val="0"/>
                <w:sz w:val="18"/>
                <w:szCs w:val="18"/>
                <w:shd w:val="clear" w:color="auto" w:fill="FFFFFF"/>
              </w:rPr>
              <w:t xml:space="preserve">数据盘 </w:t>
            </w:r>
            <w:r>
              <w:rPr>
                <w:rFonts w:ascii="宋体" w:hAnsi="宋体"/>
                <w:snapToGrid w:val="0"/>
                <w:color w:val="000000"/>
                <w:kern w:val="0"/>
                <w:sz w:val="18"/>
                <w:szCs w:val="18"/>
                <w:shd w:val="clear" w:color="auto" w:fill="FFFFFF"/>
              </w:rPr>
              <w:t>高IO|500GB</w:t>
            </w:r>
          </w:p>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全动态BGP|独享|按带宽计费| 5Mbit/s</w:t>
            </w: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7</w:t>
            </w:r>
            <w:r>
              <w:rPr>
                <w:rFonts w:ascii="宋体" w:hAnsi="宋体" w:cs="宋体"/>
                <w:color w:val="000000"/>
                <w:kern w:val="0"/>
                <w:sz w:val="18"/>
                <w:szCs w:val="18"/>
              </w:rPr>
              <w:t>044.4</w:t>
            </w:r>
          </w:p>
        </w:tc>
      </w:tr>
      <w:tr>
        <w:tblPrEx>
          <w:tblCellMar>
            <w:top w:w="0" w:type="dxa"/>
            <w:left w:w="108" w:type="dxa"/>
            <w:bottom w:w="0" w:type="dxa"/>
            <w:right w:w="108" w:type="dxa"/>
          </w:tblCellMar>
        </w:tblPrEx>
        <w:trPr>
          <w:trHeight w:val="600"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弹性负载均衡ELB</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将用户请求分发到多台ECS服务器，轻松应对高并发场景，提高可靠性</w:t>
            </w:r>
          </w:p>
        </w:tc>
        <w:tc>
          <w:tcPr>
            <w:tcW w:w="2058"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共享型负载均衡</w:t>
            </w:r>
          </w:p>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1LCU|全动态BGP</w:t>
            </w:r>
            <w:r>
              <w:rPr>
                <w:rFonts w:hint="eastAsia" w:ascii="宋体" w:hAnsi="宋体" w:cs="宋体"/>
                <w:color w:val="000000"/>
                <w:kern w:val="0"/>
                <w:sz w:val="18"/>
                <w:szCs w:val="18"/>
              </w:rPr>
              <w:t xml:space="preserve"> </w:t>
            </w:r>
          </w:p>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全动态BGP|带宽|5Mbit/s</w:t>
            </w:r>
            <w:r>
              <w:rPr>
                <w:rFonts w:hint="eastAsia" w:ascii="宋体" w:hAnsi="宋体" w:cs="宋体"/>
                <w:color w:val="000000"/>
                <w:kern w:val="0"/>
                <w:sz w:val="18"/>
                <w:szCs w:val="18"/>
              </w:rPr>
              <w:t>|</w:t>
            </w:r>
            <w:r>
              <w:rPr>
                <w:rFonts w:ascii="宋体" w:hAnsi="宋体" w:cs="宋体"/>
                <w:color w:val="000000"/>
                <w:kern w:val="0"/>
                <w:sz w:val="18"/>
                <w:szCs w:val="18"/>
              </w:rPr>
              <w:t>8760 小时</w:t>
            </w: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5,737.8</w:t>
            </w:r>
          </w:p>
        </w:tc>
      </w:tr>
      <w:tr>
        <w:tblPrEx>
          <w:tblCellMar>
            <w:top w:w="0" w:type="dxa"/>
            <w:left w:w="108" w:type="dxa"/>
            <w:bottom w:w="0" w:type="dxa"/>
            <w:right w:w="108" w:type="dxa"/>
          </w:tblCellMar>
        </w:tblPrEx>
        <w:trPr>
          <w:trHeight w:val="300"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云数据库 MySQL</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存储业务系统产生的数据</w:t>
            </w:r>
          </w:p>
        </w:tc>
        <w:tc>
          <w:tcPr>
            <w:tcW w:w="205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snapToGrid w:val="0"/>
                <w:color w:val="000000"/>
                <w:kern w:val="0"/>
                <w:sz w:val="18"/>
                <w:szCs w:val="18"/>
                <w:shd w:val="clear" w:color="auto" w:fill="FFFFFF"/>
              </w:rPr>
            </w:pPr>
            <w:r>
              <w:rPr>
                <w:rFonts w:ascii="宋体" w:hAnsi="宋体"/>
                <w:snapToGrid w:val="0"/>
                <w:color w:val="000000"/>
                <w:kern w:val="0"/>
                <w:sz w:val="18"/>
                <w:szCs w:val="18"/>
                <w:shd w:val="clear" w:color="auto" w:fill="FFFFFF"/>
              </w:rPr>
              <w:t>MySQL|8.0|单机|通用型|4核8GB</w:t>
            </w:r>
          </w:p>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SSD云盘|400GB</w:t>
            </w: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7600</w:t>
            </w:r>
          </w:p>
        </w:tc>
      </w:tr>
      <w:tr>
        <w:tblPrEx>
          <w:tblCellMar>
            <w:top w:w="0" w:type="dxa"/>
            <w:left w:w="108" w:type="dxa"/>
            <w:bottom w:w="0" w:type="dxa"/>
            <w:right w:w="108" w:type="dxa"/>
          </w:tblCellMar>
        </w:tblPrEx>
        <w:trPr>
          <w:trHeight w:val="300"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分布式缓存服务 DCS （Redis）</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缓存热点资源，加速用户访问，提高并发性能</w:t>
            </w:r>
          </w:p>
        </w:tc>
        <w:tc>
          <w:tcPr>
            <w:tcW w:w="205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5.0|主备|X86|DRAM|2|8 GB</w:t>
            </w: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5488</w:t>
            </w:r>
          </w:p>
        </w:tc>
      </w:tr>
      <w:tr>
        <w:tblPrEx>
          <w:tblCellMar>
            <w:top w:w="0" w:type="dxa"/>
            <w:left w:w="108" w:type="dxa"/>
            <w:bottom w:w="0" w:type="dxa"/>
            <w:right w:w="108" w:type="dxa"/>
          </w:tblCellMar>
        </w:tblPrEx>
        <w:trPr>
          <w:trHeight w:val="491"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云备份CBR</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按计划自动创建ECS备份，防止意外发生导致业务数据丢失</w:t>
            </w:r>
          </w:p>
        </w:tc>
        <w:tc>
          <w:tcPr>
            <w:tcW w:w="2058"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云服务器备份存储库 | 500GB</w:t>
            </w: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996</w:t>
            </w:r>
          </w:p>
        </w:tc>
      </w:tr>
      <w:tr>
        <w:tblPrEx>
          <w:tblCellMar>
            <w:top w:w="0" w:type="dxa"/>
            <w:left w:w="108" w:type="dxa"/>
            <w:bottom w:w="0" w:type="dxa"/>
            <w:right w:w="108" w:type="dxa"/>
          </w:tblCellMar>
        </w:tblPrEx>
        <w:trPr>
          <w:trHeight w:val="300"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Web应用防火墙WAF</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守护应用安全，阻断常见攻击，拦截非正常流量</w:t>
            </w:r>
          </w:p>
        </w:tc>
        <w:tc>
          <w:tcPr>
            <w:tcW w:w="205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 1 标准版</w:t>
            </w: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38,800</w:t>
            </w:r>
          </w:p>
        </w:tc>
      </w:tr>
      <w:tr>
        <w:tblPrEx>
          <w:tblCellMar>
            <w:top w:w="0" w:type="dxa"/>
            <w:left w:w="108" w:type="dxa"/>
            <w:bottom w:w="0" w:type="dxa"/>
            <w:right w:w="108" w:type="dxa"/>
          </w:tblCellMar>
        </w:tblPrEx>
        <w:trPr>
          <w:trHeight w:val="69"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企业主机安全HSS</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漏洞扫描、补丁安装、入侵检测等服务，保护服务器安全</w:t>
            </w:r>
          </w:p>
        </w:tc>
        <w:tc>
          <w:tcPr>
            <w:tcW w:w="205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企业主机安全 1 旗舰版</w:t>
            </w: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2,000</w:t>
            </w:r>
          </w:p>
        </w:tc>
      </w:tr>
      <w:tr>
        <w:tblPrEx>
          <w:tblCellMar>
            <w:top w:w="0" w:type="dxa"/>
            <w:left w:w="108" w:type="dxa"/>
            <w:bottom w:w="0" w:type="dxa"/>
            <w:right w:w="108" w:type="dxa"/>
          </w:tblCellMar>
        </w:tblPrEx>
        <w:trPr>
          <w:trHeight w:val="233"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内容分发网络CDN</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将静态内容保存到各边缘节点，提升用户访问速度</w:t>
            </w:r>
          </w:p>
        </w:tc>
        <w:tc>
          <w:tcPr>
            <w:tcW w:w="205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r>
      <w:tr>
        <w:tblPrEx>
          <w:tblCellMar>
            <w:top w:w="0" w:type="dxa"/>
            <w:left w:w="108" w:type="dxa"/>
            <w:bottom w:w="0" w:type="dxa"/>
            <w:right w:w="108" w:type="dxa"/>
          </w:tblCellMar>
        </w:tblPrEx>
        <w:trPr>
          <w:trHeight w:val="900" w:hRule="atLeast"/>
          <w:jc w:val="center"/>
        </w:trPr>
        <w:tc>
          <w:tcPr>
            <w:tcW w:w="782"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对象存储服务OBS</w:t>
            </w:r>
          </w:p>
        </w:tc>
        <w:tc>
          <w:tcPr>
            <w:tcW w:w="16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将部分文件（如用户上传的文件、网站视频等）独立于业务服务器存放，可获得无限容量、无限带宽、高可用、高安全性等优势。</w:t>
            </w:r>
          </w:p>
        </w:tc>
        <w:tc>
          <w:tcPr>
            <w:tcW w:w="205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中国大陆流量包 | 50TB</w:t>
            </w:r>
          </w:p>
        </w:tc>
        <w:tc>
          <w:tcPr>
            <w:tcW w:w="476"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8,388</w:t>
            </w:r>
          </w:p>
        </w:tc>
      </w:tr>
    </w:tbl>
    <w:p>
      <w:pPr>
        <w:autoSpaceDE w:val="0"/>
        <w:autoSpaceDN w:val="0"/>
        <w:adjustRightInd w:val="0"/>
        <w:spacing w:line="360" w:lineRule="auto"/>
        <w:jc w:val="left"/>
        <w:rPr>
          <w:rFonts w:ascii="宋体" w:hAnsi="宋体"/>
          <w:b/>
          <w:snapToGrid w:val="0"/>
          <w:color w:val="000000"/>
          <w:kern w:val="0"/>
          <w:szCs w:val="18"/>
        </w:rPr>
      </w:pPr>
      <w:r>
        <w:rPr>
          <w:rFonts w:hint="eastAsia" w:ascii="宋体" w:hAnsi="宋体"/>
          <w:b/>
          <w:snapToGrid w:val="0"/>
          <w:color w:val="000000"/>
          <w:kern w:val="0"/>
          <w:szCs w:val="18"/>
        </w:rPr>
        <w:t>2、软件开发行业上云</w:t>
      </w:r>
    </w:p>
    <w:tbl>
      <w:tblPr>
        <w:tblStyle w:val="2"/>
        <w:tblW w:w="5687" w:type="pct"/>
        <w:jc w:val="center"/>
        <w:tblLayout w:type="autofit"/>
        <w:tblCellMar>
          <w:top w:w="0" w:type="dxa"/>
          <w:left w:w="108" w:type="dxa"/>
          <w:bottom w:w="0" w:type="dxa"/>
          <w:right w:w="108" w:type="dxa"/>
        </w:tblCellMar>
      </w:tblPr>
      <w:tblGrid>
        <w:gridCol w:w="1361"/>
        <w:gridCol w:w="3567"/>
        <w:gridCol w:w="3861"/>
        <w:gridCol w:w="904"/>
      </w:tblGrid>
      <w:tr>
        <w:tblPrEx>
          <w:tblCellMar>
            <w:top w:w="0" w:type="dxa"/>
            <w:left w:w="108" w:type="dxa"/>
            <w:bottom w:w="0" w:type="dxa"/>
            <w:right w:w="108" w:type="dxa"/>
          </w:tblCellMar>
        </w:tblPrEx>
        <w:trPr>
          <w:trHeight w:val="315" w:hRule="atLeast"/>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产品名称</w:t>
            </w:r>
          </w:p>
        </w:tc>
        <w:tc>
          <w:tcPr>
            <w:tcW w:w="1839"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产品用途</w:t>
            </w:r>
          </w:p>
        </w:tc>
        <w:tc>
          <w:tcPr>
            <w:tcW w:w="1991"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参考配置</w:t>
            </w:r>
          </w:p>
        </w:tc>
        <w:tc>
          <w:tcPr>
            <w:tcW w:w="466"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参考报价（元）</w:t>
            </w:r>
          </w:p>
        </w:tc>
      </w:tr>
      <w:tr>
        <w:tblPrEx>
          <w:tblCellMar>
            <w:top w:w="0" w:type="dxa"/>
            <w:left w:w="108" w:type="dxa"/>
            <w:bottom w:w="0" w:type="dxa"/>
            <w:right w:w="108" w:type="dxa"/>
          </w:tblCellMar>
        </w:tblPrEx>
        <w:trPr>
          <w:trHeight w:val="300" w:hRule="atLeast"/>
          <w:jc w:val="center"/>
        </w:trPr>
        <w:tc>
          <w:tcPr>
            <w:tcW w:w="702"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弹性云服务器ECS</w:t>
            </w:r>
          </w:p>
        </w:tc>
        <w:tc>
          <w:tcPr>
            <w:tcW w:w="183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承载测试环境计算需求</w:t>
            </w:r>
          </w:p>
        </w:tc>
        <w:tc>
          <w:tcPr>
            <w:tcW w:w="1991"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snapToGrid w:val="0"/>
                <w:color w:val="000000"/>
                <w:kern w:val="0"/>
                <w:sz w:val="18"/>
                <w:szCs w:val="18"/>
                <w:shd w:val="clear" w:color="auto" w:fill="FFFFFF"/>
              </w:rPr>
            </w:pPr>
            <w:r>
              <w:rPr>
                <w:rFonts w:ascii="宋体" w:hAnsi="宋体"/>
                <w:snapToGrid w:val="0"/>
                <w:color w:val="000000"/>
                <w:kern w:val="0"/>
                <w:sz w:val="18"/>
                <w:szCs w:val="18"/>
                <w:shd w:val="clear" w:color="auto" w:fill="FFFFFF"/>
              </w:rPr>
              <w:t xml:space="preserve">X86|通用计算增强型| c6.xlarge.2|4核|8GB </w:t>
            </w:r>
          </w:p>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系统盘</w:t>
            </w:r>
            <w:r>
              <w:rPr>
                <w:rFonts w:hint="eastAsia" w:ascii="宋体" w:hAnsi="宋体" w:cs="宋体"/>
                <w:color w:val="000000"/>
                <w:kern w:val="0"/>
                <w:sz w:val="18"/>
                <w:szCs w:val="18"/>
              </w:rPr>
              <w:t xml:space="preserve"> </w:t>
            </w:r>
            <w:r>
              <w:rPr>
                <w:rFonts w:ascii="宋体" w:hAnsi="宋体" w:cs="宋体"/>
                <w:color w:val="000000"/>
                <w:kern w:val="0"/>
                <w:sz w:val="18"/>
                <w:szCs w:val="18"/>
              </w:rPr>
              <w:t>高IO|40GB</w:t>
            </w:r>
          </w:p>
          <w:p>
            <w:pPr>
              <w:widowControl/>
              <w:adjustRightInd w:val="0"/>
              <w:snapToGrid w:val="0"/>
              <w:jc w:val="left"/>
              <w:rPr>
                <w:rFonts w:ascii="宋体" w:hAnsi="宋体"/>
                <w:snapToGrid w:val="0"/>
                <w:color w:val="000000"/>
                <w:kern w:val="0"/>
                <w:sz w:val="18"/>
                <w:szCs w:val="18"/>
                <w:shd w:val="clear" w:color="auto" w:fill="FFFFFF"/>
              </w:rPr>
            </w:pPr>
            <w:r>
              <w:rPr>
                <w:rFonts w:hint="eastAsia" w:ascii="宋体" w:hAnsi="宋体"/>
                <w:snapToGrid w:val="0"/>
                <w:color w:val="000000"/>
                <w:kern w:val="0"/>
                <w:sz w:val="18"/>
                <w:szCs w:val="18"/>
                <w:shd w:val="clear" w:color="auto" w:fill="FFFFFF"/>
              </w:rPr>
              <w:t xml:space="preserve">数据盘 </w:t>
            </w:r>
            <w:r>
              <w:rPr>
                <w:rFonts w:ascii="宋体" w:hAnsi="宋体"/>
                <w:snapToGrid w:val="0"/>
                <w:color w:val="000000"/>
                <w:kern w:val="0"/>
                <w:sz w:val="18"/>
                <w:szCs w:val="18"/>
                <w:shd w:val="clear" w:color="auto" w:fill="FFFFFF"/>
              </w:rPr>
              <w:t>高IO|500GB</w:t>
            </w:r>
          </w:p>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全动态BGP|独享|按带宽计费| 5Mbit/s</w:t>
            </w:r>
          </w:p>
        </w:tc>
        <w:tc>
          <w:tcPr>
            <w:tcW w:w="466"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snapToGrid w:val="0"/>
                <w:color w:val="000000"/>
                <w:kern w:val="0"/>
                <w:sz w:val="18"/>
                <w:szCs w:val="18"/>
                <w:shd w:val="clear" w:color="auto" w:fill="FFFFFF"/>
              </w:rPr>
            </w:pPr>
            <w:r>
              <w:rPr>
                <w:rFonts w:ascii="宋体" w:hAnsi="宋体"/>
                <w:snapToGrid w:val="0"/>
                <w:color w:val="000000"/>
                <w:kern w:val="0"/>
                <w:sz w:val="18"/>
                <w:szCs w:val="18"/>
                <w:shd w:val="clear" w:color="auto" w:fill="FFFFFF"/>
              </w:rPr>
              <w:t>7044.4</w:t>
            </w:r>
          </w:p>
        </w:tc>
      </w:tr>
      <w:tr>
        <w:tblPrEx>
          <w:tblCellMar>
            <w:top w:w="0" w:type="dxa"/>
            <w:left w:w="108" w:type="dxa"/>
            <w:bottom w:w="0" w:type="dxa"/>
            <w:right w:w="108" w:type="dxa"/>
          </w:tblCellMar>
        </w:tblPrEx>
        <w:trPr>
          <w:trHeight w:val="585" w:hRule="atLeast"/>
          <w:jc w:val="center"/>
        </w:trPr>
        <w:tc>
          <w:tcPr>
            <w:tcW w:w="702"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软件开发平台DevCloud</w:t>
            </w:r>
          </w:p>
        </w:tc>
        <w:tc>
          <w:tcPr>
            <w:tcW w:w="183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全流程实现开发过程的需求、开发进度、测试、编译、打包、部署全过程的可靠管理。</w:t>
            </w:r>
          </w:p>
        </w:tc>
        <w:tc>
          <w:tcPr>
            <w:tcW w:w="1991"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ascii="宋体" w:hAnsi="宋体"/>
                <w:snapToGrid w:val="0"/>
                <w:color w:val="000000"/>
                <w:kern w:val="0"/>
                <w:sz w:val="18"/>
                <w:szCs w:val="18"/>
                <w:shd w:val="clear" w:color="auto" w:fill="FFFFFF"/>
              </w:rPr>
              <w:t>专业版 | 20人</w:t>
            </w:r>
          </w:p>
        </w:tc>
        <w:tc>
          <w:tcPr>
            <w:tcW w:w="466"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ascii="宋体" w:hAnsi="宋体"/>
                <w:snapToGrid w:val="0"/>
                <w:color w:val="000000"/>
                <w:kern w:val="0"/>
                <w:sz w:val="18"/>
                <w:szCs w:val="18"/>
                <w:shd w:val="clear" w:color="auto" w:fill="FFFFFF"/>
              </w:rPr>
              <w:t>36,012</w:t>
            </w:r>
          </w:p>
        </w:tc>
      </w:tr>
      <w:tr>
        <w:tblPrEx>
          <w:tblCellMar>
            <w:top w:w="0" w:type="dxa"/>
            <w:left w:w="108" w:type="dxa"/>
            <w:bottom w:w="0" w:type="dxa"/>
            <w:right w:w="108" w:type="dxa"/>
          </w:tblCellMar>
        </w:tblPrEx>
        <w:trPr>
          <w:trHeight w:val="154" w:hRule="atLeast"/>
          <w:jc w:val="center"/>
        </w:trPr>
        <w:tc>
          <w:tcPr>
            <w:tcW w:w="702"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云性能测试服务CPTS</w:t>
            </w:r>
          </w:p>
        </w:tc>
        <w:tc>
          <w:tcPr>
            <w:tcW w:w="183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真实还原应用大规模业务访问场景，帮助用户提前识别应用性能问题。</w:t>
            </w:r>
          </w:p>
        </w:tc>
        <w:tc>
          <w:tcPr>
            <w:tcW w:w="1991"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铂金版最大并发用户数10000</w:t>
            </w:r>
          </w:p>
        </w:tc>
        <w:tc>
          <w:tcPr>
            <w:tcW w:w="466"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50000</w:t>
            </w:r>
          </w:p>
        </w:tc>
      </w:tr>
      <w:tr>
        <w:tblPrEx>
          <w:tblCellMar>
            <w:top w:w="0" w:type="dxa"/>
            <w:left w:w="108" w:type="dxa"/>
            <w:bottom w:w="0" w:type="dxa"/>
            <w:right w:w="108" w:type="dxa"/>
          </w:tblCellMar>
        </w:tblPrEx>
        <w:trPr>
          <w:trHeight w:val="92" w:hRule="atLeast"/>
          <w:jc w:val="center"/>
        </w:trPr>
        <w:tc>
          <w:tcPr>
            <w:tcW w:w="702"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容器镜像服务SWR</w:t>
            </w:r>
          </w:p>
        </w:tc>
        <w:tc>
          <w:tcPr>
            <w:tcW w:w="183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存储用户应用程序编译的镜像，并提供对应的镜像拉取服务</w:t>
            </w:r>
          </w:p>
        </w:tc>
        <w:tc>
          <w:tcPr>
            <w:tcW w:w="1991"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p>
        </w:tc>
        <w:tc>
          <w:tcPr>
            <w:tcW w:w="466"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p>
        </w:tc>
      </w:tr>
      <w:tr>
        <w:tblPrEx>
          <w:tblCellMar>
            <w:top w:w="0" w:type="dxa"/>
            <w:left w:w="108" w:type="dxa"/>
            <w:bottom w:w="0" w:type="dxa"/>
            <w:right w:w="108" w:type="dxa"/>
          </w:tblCellMar>
        </w:tblPrEx>
        <w:trPr>
          <w:trHeight w:val="600" w:hRule="atLeast"/>
          <w:jc w:val="center"/>
        </w:trPr>
        <w:tc>
          <w:tcPr>
            <w:tcW w:w="702"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云容器实例 CCI</w:t>
            </w:r>
          </w:p>
        </w:tc>
        <w:tc>
          <w:tcPr>
            <w:tcW w:w="183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承载测试环境计算需求（容器化部署，微服务等）</w:t>
            </w:r>
          </w:p>
        </w:tc>
        <w:tc>
          <w:tcPr>
            <w:tcW w:w="1991"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p>
        </w:tc>
        <w:tc>
          <w:tcPr>
            <w:tcW w:w="466"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p>
        </w:tc>
      </w:tr>
    </w:tbl>
    <w:p>
      <w:pPr>
        <w:autoSpaceDE w:val="0"/>
        <w:autoSpaceDN w:val="0"/>
        <w:adjustRightInd w:val="0"/>
        <w:spacing w:line="360" w:lineRule="auto"/>
        <w:jc w:val="left"/>
        <w:rPr>
          <w:rFonts w:ascii="宋体" w:hAnsi="宋体"/>
          <w:b/>
          <w:snapToGrid w:val="0"/>
          <w:color w:val="000000"/>
          <w:kern w:val="0"/>
          <w:szCs w:val="18"/>
        </w:rPr>
      </w:pPr>
    </w:p>
    <w:p>
      <w:pPr>
        <w:autoSpaceDE w:val="0"/>
        <w:autoSpaceDN w:val="0"/>
        <w:adjustRightInd w:val="0"/>
        <w:spacing w:line="360" w:lineRule="auto"/>
        <w:jc w:val="left"/>
        <w:rPr>
          <w:rFonts w:ascii="宋体" w:hAnsi="宋体"/>
          <w:b/>
          <w:snapToGrid w:val="0"/>
          <w:color w:val="000000"/>
          <w:kern w:val="0"/>
          <w:szCs w:val="18"/>
        </w:rPr>
      </w:pPr>
      <w:r>
        <w:rPr>
          <w:rFonts w:hint="eastAsia" w:ascii="宋体" w:hAnsi="宋体"/>
          <w:b/>
          <w:snapToGrid w:val="0"/>
          <w:color w:val="000000"/>
          <w:kern w:val="0"/>
          <w:szCs w:val="18"/>
        </w:rPr>
        <w:t>3、工业互联网、物联网行业上云</w:t>
      </w:r>
    </w:p>
    <w:tbl>
      <w:tblPr>
        <w:tblStyle w:val="2"/>
        <w:tblW w:w="5343" w:type="pct"/>
        <w:jc w:val="center"/>
        <w:tblLayout w:type="autofit"/>
        <w:tblCellMar>
          <w:top w:w="0" w:type="dxa"/>
          <w:left w:w="108" w:type="dxa"/>
          <w:bottom w:w="0" w:type="dxa"/>
          <w:right w:w="108" w:type="dxa"/>
        </w:tblCellMar>
      </w:tblPr>
      <w:tblGrid>
        <w:gridCol w:w="1184"/>
        <w:gridCol w:w="4299"/>
        <w:gridCol w:w="2666"/>
        <w:gridCol w:w="958"/>
      </w:tblGrid>
      <w:tr>
        <w:tblPrEx>
          <w:tblCellMar>
            <w:top w:w="0" w:type="dxa"/>
            <w:left w:w="108" w:type="dxa"/>
            <w:bottom w:w="0" w:type="dxa"/>
            <w:right w:w="108" w:type="dxa"/>
          </w:tblCellMar>
        </w:tblPrEx>
        <w:trPr>
          <w:trHeight w:val="315" w:hRule="atLeast"/>
          <w:jc w:val="center"/>
        </w:trPr>
        <w:tc>
          <w:tcPr>
            <w:tcW w:w="650" w:type="pc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产品名称</w:t>
            </w:r>
          </w:p>
        </w:tc>
        <w:tc>
          <w:tcPr>
            <w:tcW w:w="2359"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产品用途</w:t>
            </w:r>
          </w:p>
        </w:tc>
        <w:tc>
          <w:tcPr>
            <w:tcW w:w="1463"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参考配置</w:t>
            </w:r>
          </w:p>
        </w:tc>
        <w:tc>
          <w:tcPr>
            <w:tcW w:w="526"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参考报价（元）</w:t>
            </w:r>
          </w:p>
        </w:tc>
      </w:tr>
      <w:tr>
        <w:tblPrEx>
          <w:tblCellMar>
            <w:top w:w="0" w:type="dxa"/>
            <w:left w:w="108" w:type="dxa"/>
            <w:bottom w:w="0" w:type="dxa"/>
            <w:right w:w="108" w:type="dxa"/>
          </w:tblCellMar>
        </w:tblPrEx>
        <w:trPr>
          <w:trHeight w:val="918" w:hRule="atLeast"/>
          <w:jc w:val="center"/>
        </w:trPr>
        <w:tc>
          <w:tcPr>
            <w:tcW w:w="650"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设备接入 IoTDA</w:t>
            </w:r>
          </w:p>
        </w:tc>
        <w:tc>
          <w:tcPr>
            <w:tcW w:w="235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提供海量设备连接上云、设备和云端双向消息通信、批量设备管理、远程控制和监控、OTA升级、设备联动规则等能力，并可将设备数据灵活流转到华为云其他服务</w:t>
            </w:r>
          </w:p>
        </w:tc>
        <w:tc>
          <w:tcPr>
            <w:tcW w:w="1463"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olor w:val="000000"/>
                <w:kern w:val="0"/>
                <w:sz w:val="18"/>
                <w:szCs w:val="18"/>
              </w:rPr>
            </w:pPr>
            <w:r>
              <w:rPr>
                <w:rFonts w:ascii="宋体" w:hAnsi="宋体"/>
                <w:snapToGrid w:val="0"/>
                <w:color w:val="000000"/>
                <w:kern w:val="0"/>
                <w:sz w:val="18"/>
                <w:szCs w:val="18"/>
              </w:rPr>
              <w:t>实例版本</w:t>
            </w:r>
          </w:p>
          <w:p>
            <w:pPr>
              <w:shd w:val="clear" w:color="auto" w:fill="FFFFFF"/>
              <w:autoSpaceDE w:val="0"/>
              <w:autoSpaceDN w:val="0"/>
              <w:adjustRightInd w:val="0"/>
              <w:snapToGrid w:val="0"/>
              <w:jc w:val="left"/>
              <w:rPr>
                <w:rFonts w:ascii="宋体" w:hAnsi="宋体"/>
                <w:snapToGrid w:val="0"/>
                <w:color w:val="000000"/>
                <w:kern w:val="0"/>
                <w:sz w:val="18"/>
                <w:szCs w:val="18"/>
              </w:rPr>
            </w:pPr>
            <w:r>
              <w:rPr>
                <w:rFonts w:ascii="宋体" w:hAnsi="宋体"/>
                <w:snapToGrid w:val="0"/>
                <w:color w:val="000000"/>
                <w:kern w:val="0"/>
                <w:sz w:val="18"/>
                <w:szCs w:val="18"/>
              </w:rPr>
              <w:t>标准版 | 中频单元S2 | 1</w:t>
            </w:r>
          </w:p>
        </w:tc>
        <w:tc>
          <w:tcPr>
            <w:tcW w:w="526"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snapToGrid w:val="0"/>
                <w:color w:val="000000"/>
                <w:kern w:val="0"/>
                <w:sz w:val="18"/>
                <w:szCs w:val="18"/>
              </w:rPr>
            </w:pPr>
            <w:r>
              <w:rPr>
                <w:rFonts w:hint="eastAsia" w:ascii="宋体" w:hAnsi="宋体"/>
                <w:snapToGrid w:val="0"/>
                <w:color w:val="000000"/>
                <w:kern w:val="0"/>
                <w:sz w:val="18"/>
                <w:szCs w:val="18"/>
              </w:rPr>
              <w:t>30000</w:t>
            </w:r>
          </w:p>
        </w:tc>
      </w:tr>
      <w:tr>
        <w:tblPrEx>
          <w:tblCellMar>
            <w:top w:w="0" w:type="dxa"/>
            <w:left w:w="108" w:type="dxa"/>
            <w:bottom w:w="0" w:type="dxa"/>
            <w:right w:w="108" w:type="dxa"/>
          </w:tblCellMar>
        </w:tblPrEx>
        <w:trPr>
          <w:trHeight w:val="653" w:hRule="atLeast"/>
          <w:jc w:val="center"/>
        </w:trPr>
        <w:tc>
          <w:tcPr>
            <w:tcW w:w="650"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IoT数据分析 IoTA</w:t>
            </w:r>
          </w:p>
        </w:tc>
        <w:tc>
          <w:tcPr>
            <w:tcW w:w="235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华为云物联网数据分析服务基于物联网资产模型，整合物联网数据集成，清洗，存储，分析，可视化，为物联网数据开发者提供一站式服务，降低开发门槛，缩短开发周期，快速实现物联网数据价值变现。</w:t>
            </w:r>
          </w:p>
        </w:tc>
        <w:tc>
          <w:tcPr>
            <w:tcW w:w="1463"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olor w:val="000000"/>
                <w:kern w:val="0"/>
                <w:sz w:val="18"/>
                <w:szCs w:val="18"/>
              </w:rPr>
            </w:pPr>
            <w:r>
              <w:rPr>
                <w:rFonts w:ascii="宋体" w:hAnsi="宋体"/>
                <w:snapToGrid w:val="0"/>
                <w:color w:val="000000"/>
                <w:kern w:val="0"/>
                <w:sz w:val="18"/>
                <w:szCs w:val="18"/>
              </w:rPr>
              <w:t>资源包类型</w:t>
            </w:r>
          </w:p>
          <w:p>
            <w:pPr>
              <w:shd w:val="clear" w:color="auto" w:fill="FFFFFF"/>
              <w:autoSpaceDE w:val="0"/>
              <w:autoSpaceDN w:val="0"/>
              <w:adjustRightInd w:val="0"/>
              <w:snapToGrid w:val="0"/>
              <w:jc w:val="left"/>
              <w:rPr>
                <w:rFonts w:ascii="宋体" w:hAnsi="宋体"/>
                <w:snapToGrid w:val="0"/>
                <w:color w:val="000000"/>
                <w:kern w:val="0"/>
                <w:sz w:val="18"/>
                <w:szCs w:val="18"/>
              </w:rPr>
            </w:pPr>
            <w:r>
              <w:rPr>
                <w:rFonts w:ascii="宋体" w:hAnsi="宋体"/>
                <w:snapToGrid w:val="0"/>
                <w:color w:val="000000"/>
                <w:kern w:val="0"/>
                <w:sz w:val="18"/>
                <w:szCs w:val="18"/>
              </w:rPr>
              <w:t>温存储空间大小 | 500GB</w:t>
            </w:r>
          </w:p>
        </w:tc>
        <w:tc>
          <w:tcPr>
            <w:tcW w:w="526"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b/>
                <w:color w:val="000000"/>
                <w:kern w:val="0"/>
                <w:sz w:val="18"/>
                <w:szCs w:val="18"/>
              </w:rPr>
            </w:pPr>
            <w:r>
              <w:rPr>
                <w:rFonts w:ascii="宋体" w:hAnsi="宋体"/>
                <w:snapToGrid w:val="0"/>
                <w:color w:val="000000"/>
                <w:kern w:val="0"/>
                <w:sz w:val="18"/>
                <w:szCs w:val="18"/>
                <w:shd w:val="clear" w:color="auto" w:fill="FFFFFF"/>
              </w:rPr>
              <w:t>21,549.6</w:t>
            </w:r>
          </w:p>
        </w:tc>
      </w:tr>
      <w:tr>
        <w:tblPrEx>
          <w:tblCellMar>
            <w:top w:w="0" w:type="dxa"/>
            <w:left w:w="108" w:type="dxa"/>
            <w:bottom w:w="0" w:type="dxa"/>
            <w:right w:w="108" w:type="dxa"/>
          </w:tblCellMar>
        </w:tblPrEx>
        <w:trPr>
          <w:trHeight w:val="118" w:hRule="atLeast"/>
          <w:jc w:val="center"/>
        </w:trPr>
        <w:tc>
          <w:tcPr>
            <w:tcW w:w="650"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全球SIM联接GSL</w:t>
            </w:r>
          </w:p>
        </w:tc>
        <w:tc>
          <w:tcPr>
            <w:tcW w:w="235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全球SIM联接（Global SIM Link，GSL）提供物联网流量及管理平台，支持按需选网</w:t>
            </w:r>
          </w:p>
        </w:tc>
        <w:tc>
          <w:tcPr>
            <w:tcW w:w="1463"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实体卡|消费级三切卡|中国移动|4G|10G|卡包数量规格：100个| 1年</w:t>
            </w:r>
          </w:p>
        </w:tc>
        <w:tc>
          <w:tcPr>
            <w:tcW w:w="526"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ascii="宋体" w:hAnsi="宋体" w:cs="宋体"/>
                <w:color w:val="000000"/>
                <w:kern w:val="0"/>
                <w:sz w:val="18"/>
                <w:szCs w:val="18"/>
              </w:rPr>
              <w:t>46,800</w:t>
            </w:r>
          </w:p>
        </w:tc>
      </w:tr>
      <w:tr>
        <w:tblPrEx>
          <w:tblCellMar>
            <w:top w:w="0" w:type="dxa"/>
            <w:left w:w="108" w:type="dxa"/>
            <w:bottom w:w="0" w:type="dxa"/>
            <w:right w:w="108" w:type="dxa"/>
          </w:tblCellMar>
        </w:tblPrEx>
        <w:trPr>
          <w:trHeight w:val="1200" w:hRule="atLeast"/>
          <w:jc w:val="center"/>
        </w:trPr>
        <w:tc>
          <w:tcPr>
            <w:tcW w:w="650"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数据可视化DLV</w:t>
            </w:r>
          </w:p>
        </w:tc>
        <w:tc>
          <w:tcPr>
            <w:tcW w:w="235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数据可视化服务（Data Lake Visualization）是一站式数据可视化平台，适配云上云下多种数据源，提供丰富多样的2D、3D可视化组件，采用拖拽式自由布局，旨在帮助用户定制数据大屏。</w:t>
            </w:r>
          </w:p>
        </w:tc>
        <w:tc>
          <w:tcPr>
            <w:tcW w:w="1463"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专业版</w:t>
            </w:r>
          </w:p>
        </w:tc>
        <w:tc>
          <w:tcPr>
            <w:tcW w:w="526"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ascii="宋体" w:hAnsi="宋体" w:cs="宋体"/>
                <w:color w:val="000000"/>
                <w:kern w:val="0"/>
                <w:sz w:val="18"/>
                <w:szCs w:val="18"/>
              </w:rPr>
              <w:t>15,000</w:t>
            </w:r>
          </w:p>
        </w:tc>
      </w:tr>
      <w:tr>
        <w:tblPrEx>
          <w:tblCellMar>
            <w:top w:w="0" w:type="dxa"/>
            <w:left w:w="108" w:type="dxa"/>
            <w:bottom w:w="0" w:type="dxa"/>
            <w:right w:w="108" w:type="dxa"/>
          </w:tblCellMar>
        </w:tblPrEx>
        <w:trPr>
          <w:trHeight w:val="1500" w:hRule="atLeast"/>
          <w:jc w:val="center"/>
        </w:trPr>
        <w:tc>
          <w:tcPr>
            <w:tcW w:w="650" w:type="pct"/>
            <w:tcBorders>
              <w:top w:val="nil"/>
              <w:left w:val="single" w:color="auto" w:sz="4" w:space="0"/>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AI平台ModelArts*</w:t>
            </w:r>
          </w:p>
        </w:tc>
        <w:tc>
          <w:tcPr>
            <w:tcW w:w="2359"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hint="eastAsia" w:ascii="宋体" w:hAnsi="宋体" w:cs="宋体"/>
                <w:color w:val="000000"/>
                <w:kern w:val="0"/>
                <w:sz w:val="18"/>
                <w:szCs w:val="18"/>
              </w:rPr>
              <w:t>ModelArts 是面向开发者的一站式 AI 平台，为机器学习与深度学习提供海量数据预处理及交互式智能标注、大规模分布式训练、自动化模型生成，及端-边-云模型按需部署能力，帮助用户快速创建和部署模型，管理全周期 AI 工作流。</w:t>
            </w:r>
          </w:p>
        </w:tc>
        <w:tc>
          <w:tcPr>
            <w:tcW w:w="1463"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s="Helvetica"/>
                <w:color w:val="000000"/>
                <w:kern w:val="0"/>
                <w:sz w:val="18"/>
                <w:szCs w:val="18"/>
              </w:rPr>
            </w:pPr>
            <w:r>
              <w:rPr>
                <w:rFonts w:ascii="宋体" w:hAnsi="宋体" w:cs="Helvetica"/>
                <w:color w:val="000000"/>
                <w:kern w:val="0"/>
                <w:sz w:val="18"/>
                <w:szCs w:val="18"/>
              </w:rPr>
              <w:t>AI全流程开发 | 公共资源池 | 计算型GPU（V100 NVLINK_32G）实例 | 1个</w:t>
            </w:r>
          </w:p>
        </w:tc>
        <w:tc>
          <w:tcPr>
            <w:tcW w:w="526" w:type="pct"/>
            <w:tcBorders>
              <w:top w:val="nil"/>
              <w:left w:val="nil"/>
              <w:bottom w:val="single" w:color="auto" w:sz="4" w:space="0"/>
              <w:right w:val="single" w:color="auto" w:sz="4" w:space="0"/>
            </w:tcBorders>
            <w:noWrap w:val="0"/>
            <w:vAlign w:val="center"/>
          </w:tcPr>
          <w:p>
            <w:pPr>
              <w:widowControl/>
              <w:adjustRightInd w:val="0"/>
              <w:snapToGrid w:val="0"/>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100,400</w:t>
            </w:r>
          </w:p>
        </w:tc>
      </w:tr>
    </w:tbl>
    <w:p>
      <w:pPr>
        <w:autoSpaceDE w:val="0"/>
        <w:autoSpaceDN w:val="0"/>
        <w:adjustRightInd w:val="0"/>
        <w:spacing w:line="360" w:lineRule="auto"/>
        <w:jc w:val="left"/>
        <w:rPr>
          <w:rFonts w:ascii="宋体" w:hAnsi="宋体"/>
          <w:b/>
          <w:snapToGrid w:val="0"/>
          <w:color w:val="000000"/>
          <w:kern w:val="0"/>
          <w:szCs w:val="18"/>
        </w:rPr>
      </w:pPr>
      <w:r>
        <w:rPr>
          <w:rFonts w:hint="eastAsia" w:ascii="宋体" w:hAnsi="宋体"/>
          <w:b/>
          <w:snapToGrid w:val="0"/>
          <w:color w:val="000000"/>
          <w:kern w:val="0"/>
          <w:szCs w:val="18"/>
        </w:rPr>
        <w:t>4、人工智能场景上云</w:t>
      </w:r>
    </w:p>
    <w:tbl>
      <w:tblPr>
        <w:tblStyle w:val="2"/>
        <w:tblW w:w="5339" w:type="pct"/>
        <w:tblInd w:w="-297" w:type="dxa"/>
        <w:tblLayout w:type="autofit"/>
        <w:tblCellMar>
          <w:top w:w="0" w:type="dxa"/>
          <w:left w:w="108" w:type="dxa"/>
          <w:bottom w:w="0" w:type="dxa"/>
          <w:right w:w="108" w:type="dxa"/>
        </w:tblCellMar>
      </w:tblPr>
      <w:tblGrid>
        <w:gridCol w:w="1184"/>
        <w:gridCol w:w="4304"/>
        <w:gridCol w:w="2669"/>
        <w:gridCol w:w="943"/>
      </w:tblGrid>
      <w:tr>
        <w:trPr>
          <w:trHeight w:val="315" w:hRule="atLeast"/>
        </w:trPr>
        <w:tc>
          <w:tcPr>
            <w:tcW w:w="650" w:type="pct"/>
            <w:tcBorders>
              <w:top w:val="single" w:color="auto" w:sz="4" w:space="0"/>
              <w:left w:val="single" w:color="auto" w:sz="4" w:space="0"/>
              <w:bottom w:val="single" w:color="auto" w:sz="4" w:space="0"/>
              <w:right w:val="single" w:color="auto" w:sz="4" w:space="0"/>
            </w:tcBorders>
            <w:noWrap w:val="0"/>
            <w:vAlign w:val="bottom"/>
          </w:tcPr>
          <w:p>
            <w:pPr>
              <w:widowControl/>
              <w:adjustRightInd w:val="0"/>
              <w:snapToGrid w:val="0"/>
              <w:jc w:val="center"/>
              <w:rPr>
                <w:rFonts w:ascii="宋体" w:hAnsi="宋体" w:cs="宋体"/>
                <w:b/>
                <w:color w:val="000000"/>
                <w:kern w:val="0"/>
                <w:sz w:val="18"/>
                <w:szCs w:val="18"/>
              </w:rPr>
            </w:pPr>
            <w:r>
              <w:rPr>
                <w:rFonts w:hint="eastAsia" w:ascii="宋体" w:hAnsi="宋体" w:cs="宋体"/>
                <w:b/>
                <w:color w:val="000000"/>
                <w:kern w:val="0"/>
                <w:sz w:val="18"/>
                <w:szCs w:val="18"/>
              </w:rPr>
              <w:t>产品名称</w:t>
            </w:r>
          </w:p>
        </w:tc>
        <w:tc>
          <w:tcPr>
            <w:tcW w:w="2364" w:type="pct"/>
            <w:tcBorders>
              <w:top w:val="single" w:color="auto" w:sz="4" w:space="0"/>
              <w:left w:val="nil"/>
              <w:bottom w:val="single" w:color="auto" w:sz="4" w:space="0"/>
              <w:right w:val="single" w:color="auto" w:sz="4" w:space="0"/>
            </w:tcBorders>
            <w:noWrap w:val="0"/>
            <w:vAlign w:val="bottom"/>
          </w:tcPr>
          <w:p>
            <w:pPr>
              <w:widowControl/>
              <w:adjustRightInd w:val="0"/>
              <w:snapToGrid w:val="0"/>
              <w:jc w:val="center"/>
              <w:rPr>
                <w:rFonts w:ascii="宋体" w:hAnsi="宋体" w:cs="宋体"/>
                <w:b/>
                <w:color w:val="000000"/>
                <w:kern w:val="0"/>
                <w:sz w:val="18"/>
                <w:szCs w:val="18"/>
              </w:rPr>
            </w:pPr>
            <w:r>
              <w:rPr>
                <w:rFonts w:hint="eastAsia" w:ascii="宋体" w:hAnsi="宋体" w:cs="宋体"/>
                <w:b/>
                <w:color w:val="000000"/>
                <w:kern w:val="0"/>
                <w:sz w:val="18"/>
                <w:szCs w:val="18"/>
              </w:rPr>
              <w:t>产品用途</w:t>
            </w:r>
          </w:p>
        </w:tc>
        <w:tc>
          <w:tcPr>
            <w:tcW w:w="1466" w:type="pct"/>
            <w:tcBorders>
              <w:top w:val="single" w:color="auto" w:sz="4" w:space="0"/>
              <w:left w:val="nil"/>
              <w:bottom w:val="single" w:color="auto" w:sz="4" w:space="0"/>
              <w:right w:val="single" w:color="auto" w:sz="4" w:space="0"/>
            </w:tcBorders>
            <w:noWrap w:val="0"/>
            <w:vAlign w:val="top"/>
          </w:tcPr>
          <w:p>
            <w:pPr>
              <w:widowControl/>
              <w:adjustRightInd w:val="0"/>
              <w:snapToGrid w:val="0"/>
              <w:jc w:val="center"/>
              <w:rPr>
                <w:rFonts w:ascii="宋体" w:hAnsi="宋体" w:cs="宋体"/>
                <w:b/>
                <w:color w:val="000000"/>
                <w:kern w:val="0"/>
                <w:sz w:val="18"/>
                <w:szCs w:val="18"/>
              </w:rPr>
            </w:pPr>
            <w:r>
              <w:rPr>
                <w:rFonts w:hint="eastAsia" w:ascii="宋体" w:hAnsi="宋体" w:cs="宋体"/>
                <w:b/>
                <w:color w:val="000000"/>
                <w:kern w:val="0"/>
                <w:sz w:val="18"/>
                <w:szCs w:val="18"/>
              </w:rPr>
              <w:t>参考配置</w:t>
            </w:r>
          </w:p>
        </w:tc>
        <w:tc>
          <w:tcPr>
            <w:tcW w:w="518" w:type="pct"/>
            <w:tcBorders>
              <w:top w:val="single" w:color="auto" w:sz="4" w:space="0"/>
              <w:left w:val="nil"/>
              <w:bottom w:val="single" w:color="auto" w:sz="4" w:space="0"/>
              <w:right w:val="single" w:color="auto" w:sz="4" w:space="0"/>
            </w:tcBorders>
            <w:noWrap w:val="0"/>
            <w:vAlign w:val="top"/>
          </w:tcPr>
          <w:p>
            <w:pPr>
              <w:widowControl/>
              <w:adjustRightInd w:val="0"/>
              <w:snapToGrid w:val="0"/>
              <w:jc w:val="center"/>
              <w:rPr>
                <w:rFonts w:ascii="宋体" w:hAnsi="宋体" w:cs="宋体"/>
                <w:b/>
                <w:color w:val="000000"/>
                <w:kern w:val="0"/>
                <w:sz w:val="18"/>
                <w:szCs w:val="18"/>
              </w:rPr>
            </w:pPr>
            <w:r>
              <w:rPr>
                <w:rFonts w:hint="eastAsia" w:ascii="宋体" w:hAnsi="宋体" w:cs="宋体"/>
                <w:b/>
                <w:color w:val="000000"/>
                <w:kern w:val="0"/>
                <w:sz w:val="18"/>
                <w:szCs w:val="18"/>
              </w:rPr>
              <w:t>参考报价</w:t>
            </w:r>
          </w:p>
        </w:tc>
      </w:tr>
      <w:tr>
        <w:tblPrEx>
          <w:tblCellMar>
            <w:top w:w="0" w:type="dxa"/>
            <w:left w:w="108" w:type="dxa"/>
            <w:bottom w:w="0" w:type="dxa"/>
            <w:right w:w="108" w:type="dxa"/>
          </w:tblCellMar>
        </w:tblPrEx>
        <w:trPr>
          <w:trHeight w:val="1200" w:hRule="atLeast"/>
        </w:trPr>
        <w:tc>
          <w:tcPr>
            <w:tcW w:w="650" w:type="pct"/>
            <w:tcBorders>
              <w:top w:val="single" w:color="auto" w:sz="4" w:space="0"/>
              <w:left w:val="single" w:color="auto" w:sz="4" w:space="0"/>
              <w:bottom w:val="single" w:color="auto" w:sz="4" w:space="0"/>
              <w:right w:val="single" w:color="auto" w:sz="4" w:space="0"/>
            </w:tcBorders>
            <w:noWrap w:val="0"/>
            <w:vAlign w:val="bottom"/>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AI</w:t>
            </w:r>
            <w:r>
              <w:rPr>
                <w:rFonts w:ascii="宋体" w:hAnsi="宋体" w:cs="宋体"/>
                <w:bCs/>
                <w:color w:val="000000"/>
                <w:kern w:val="0"/>
                <w:sz w:val="18"/>
                <w:szCs w:val="18"/>
              </w:rPr>
              <w:t xml:space="preserve"> ModelArts</w:t>
            </w:r>
          </w:p>
        </w:tc>
        <w:tc>
          <w:tcPr>
            <w:tcW w:w="2364" w:type="pct"/>
            <w:tcBorders>
              <w:top w:val="single" w:color="auto" w:sz="4" w:space="0"/>
              <w:left w:val="nil"/>
              <w:bottom w:val="single" w:color="auto" w:sz="4" w:space="0"/>
              <w:right w:val="single" w:color="auto" w:sz="4" w:space="0"/>
            </w:tcBorders>
            <w:noWrap w:val="0"/>
            <w:vAlign w:val="bottom"/>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ModelArts 是面向开发者的一站式 AI 平台，为机器学习与深度学习提供海量数据预处理及交互式智能标注、大规模分布式训练、自动化模型生成，及端-边-云模型按需部署能力，帮助用户快速创建和部署模型，管理全周期 AI 工作流。</w:t>
            </w:r>
          </w:p>
        </w:tc>
        <w:tc>
          <w:tcPr>
            <w:tcW w:w="1466" w:type="pct"/>
            <w:tcBorders>
              <w:top w:val="single" w:color="auto" w:sz="4" w:space="0"/>
              <w:left w:val="nil"/>
              <w:bottom w:val="single" w:color="auto" w:sz="4" w:space="0"/>
              <w:right w:val="single" w:color="auto" w:sz="4" w:space="0"/>
            </w:tcBorders>
            <w:noWrap w:val="0"/>
            <w:vAlign w:val="top"/>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A</w:t>
            </w:r>
            <w:r>
              <w:rPr>
                <w:rFonts w:ascii="宋体" w:hAnsi="宋体" w:cs="宋体"/>
                <w:bCs/>
                <w:color w:val="000000"/>
                <w:kern w:val="0"/>
                <w:sz w:val="18"/>
                <w:szCs w:val="18"/>
              </w:rPr>
              <w:t>I</w:t>
            </w:r>
            <w:r>
              <w:rPr>
                <w:rFonts w:hint="eastAsia" w:ascii="宋体" w:hAnsi="宋体" w:cs="宋体"/>
                <w:bCs/>
                <w:color w:val="000000"/>
                <w:kern w:val="0"/>
                <w:sz w:val="18"/>
                <w:szCs w:val="18"/>
              </w:rPr>
              <w:t>全流程开发-计算性GPU（V</w:t>
            </w:r>
            <w:r>
              <w:rPr>
                <w:rFonts w:ascii="宋体" w:hAnsi="宋体" w:cs="宋体"/>
                <w:bCs/>
                <w:color w:val="000000"/>
                <w:kern w:val="0"/>
                <w:sz w:val="18"/>
                <w:szCs w:val="18"/>
              </w:rPr>
              <w:t>100 NVLINK 32G</w:t>
            </w:r>
            <w:r>
              <w:rPr>
                <w:rFonts w:hint="eastAsia" w:ascii="宋体" w:hAnsi="宋体" w:cs="宋体"/>
                <w:bCs/>
                <w:color w:val="000000"/>
                <w:kern w:val="0"/>
                <w:sz w:val="18"/>
                <w:szCs w:val="18"/>
              </w:rPr>
              <w:t>）,</w:t>
            </w:r>
            <w:r>
              <w:rPr>
                <w:rFonts w:ascii="宋体" w:hAnsi="宋体" w:cs="宋体"/>
                <w:bCs/>
                <w:color w:val="000000"/>
                <w:kern w:val="0"/>
                <w:sz w:val="18"/>
                <w:szCs w:val="18"/>
              </w:rPr>
              <w:t>1000</w:t>
            </w:r>
            <w:r>
              <w:rPr>
                <w:rFonts w:hint="eastAsia" w:ascii="宋体" w:hAnsi="宋体" w:cs="宋体"/>
                <w:bCs/>
                <w:color w:val="000000"/>
                <w:kern w:val="0"/>
                <w:sz w:val="18"/>
                <w:szCs w:val="18"/>
              </w:rPr>
              <w:t>小时/年</w:t>
            </w:r>
          </w:p>
          <w:p>
            <w:pPr>
              <w:widowControl/>
              <w:adjustRightInd w:val="0"/>
              <w:snapToGrid w:val="0"/>
              <w:rPr>
                <w:rFonts w:ascii="宋体" w:hAnsi="宋体" w:cs="宋体"/>
                <w:bCs/>
                <w:color w:val="000000"/>
                <w:kern w:val="0"/>
                <w:sz w:val="18"/>
                <w:szCs w:val="18"/>
              </w:rPr>
            </w:pPr>
          </w:p>
        </w:tc>
        <w:tc>
          <w:tcPr>
            <w:tcW w:w="518" w:type="pct"/>
            <w:tcBorders>
              <w:top w:val="single" w:color="auto" w:sz="4" w:space="0"/>
              <w:left w:val="nil"/>
              <w:bottom w:val="single" w:color="auto" w:sz="4" w:space="0"/>
              <w:right w:val="single" w:color="auto" w:sz="4" w:space="0"/>
            </w:tcBorders>
            <w:noWrap w:val="0"/>
            <w:vAlign w:val="top"/>
          </w:tcPr>
          <w:p>
            <w:pPr>
              <w:widowControl/>
              <w:adjustRightInd w:val="0"/>
              <w:snapToGrid w:val="0"/>
              <w:rPr>
                <w:rFonts w:ascii="宋体" w:hAnsi="宋体" w:cs="宋体"/>
                <w:bCs/>
                <w:color w:val="000000"/>
                <w:kern w:val="0"/>
                <w:sz w:val="18"/>
                <w:szCs w:val="18"/>
              </w:rPr>
            </w:pPr>
            <w:r>
              <w:rPr>
                <w:rFonts w:ascii="宋体" w:hAnsi="宋体" w:cs="宋体"/>
                <w:bCs/>
                <w:color w:val="000000"/>
                <w:kern w:val="0"/>
                <w:sz w:val="18"/>
                <w:szCs w:val="18"/>
              </w:rPr>
              <w:t>24</w:t>
            </w:r>
            <w:r>
              <w:rPr>
                <w:rFonts w:hint="eastAsia" w:ascii="宋体" w:hAnsi="宋体" w:cs="宋体"/>
                <w:bCs/>
                <w:color w:val="000000"/>
                <w:kern w:val="0"/>
                <w:sz w:val="18"/>
                <w:szCs w:val="18"/>
              </w:rPr>
              <w:t>,</w:t>
            </w:r>
            <w:r>
              <w:rPr>
                <w:rFonts w:ascii="宋体" w:hAnsi="宋体" w:cs="宋体"/>
                <w:bCs/>
                <w:color w:val="000000"/>
                <w:kern w:val="0"/>
                <w:sz w:val="18"/>
                <w:szCs w:val="18"/>
              </w:rPr>
              <w:t>500</w:t>
            </w:r>
          </w:p>
        </w:tc>
      </w:tr>
      <w:tr>
        <w:tblPrEx>
          <w:tblCellMar>
            <w:top w:w="0" w:type="dxa"/>
            <w:left w:w="108" w:type="dxa"/>
            <w:bottom w:w="0" w:type="dxa"/>
            <w:right w:w="108" w:type="dxa"/>
          </w:tblCellMar>
        </w:tblPrEx>
        <w:trPr>
          <w:trHeight w:val="1200" w:hRule="atLeast"/>
        </w:trPr>
        <w:tc>
          <w:tcPr>
            <w:tcW w:w="650" w:type="pct"/>
            <w:tcBorders>
              <w:top w:val="single" w:color="auto" w:sz="4" w:space="0"/>
              <w:left w:val="single" w:color="auto" w:sz="4" w:space="0"/>
              <w:bottom w:val="single" w:color="auto" w:sz="4" w:space="0"/>
              <w:right w:val="single" w:color="auto" w:sz="4" w:space="0"/>
            </w:tcBorders>
            <w:noWrap w:val="0"/>
            <w:vAlign w:val="bottom"/>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O</w:t>
            </w:r>
            <w:r>
              <w:rPr>
                <w:rFonts w:ascii="宋体" w:hAnsi="宋体" w:cs="宋体"/>
                <w:bCs/>
                <w:color w:val="000000"/>
                <w:kern w:val="0"/>
                <w:sz w:val="18"/>
                <w:szCs w:val="18"/>
              </w:rPr>
              <w:t xml:space="preserve">CR </w:t>
            </w:r>
            <w:r>
              <w:rPr>
                <w:rFonts w:hint="eastAsia" w:ascii="宋体" w:hAnsi="宋体" w:cs="宋体"/>
                <w:bCs/>
                <w:color w:val="000000"/>
                <w:kern w:val="0"/>
                <w:sz w:val="18"/>
                <w:szCs w:val="18"/>
              </w:rPr>
              <w:t>服务</w:t>
            </w:r>
          </w:p>
        </w:tc>
        <w:tc>
          <w:tcPr>
            <w:tcW w:w="2364" w:type="pct"/>
            <w:tcBorders>
              <w:top w:val="single" w:color="auto" w:sz="4" w:space="0"/>
              <w:left w:val="nil"/>
              <w:bottom w:val="single" w:color="auto" w:sz="4" w:space="0"/>
              <w:right w:val="single" w:color="auto" w:sz="4" w:space="0"/>
            </w:tcBorders>
            <w:noWrap w:val="0"/>
            <w:vAlign w:val="bottom"/>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文字识别OCR提供在线文字识别服务，将图片、扫描件或PDF、OFD文档中的文字识别成可编辑的文本。OCR文字识别支持证件识别、票据识别、定制模板识别、通用表格文字识别等。</w:t>
            </w:r>
          </w:p>
        </w:tc>
        <w:tc>
          <w:tcPr>
            <w:tcW w:w="1466" w:type="pct"/>
            <w:tcBorders>
              <w:top w:val="single" w:color="auto" w:sz="4" w:space="0"/>
              <w:left w:val="nil"/>
              <w:bottom w:val="single" w:color="auto" w:sz="4" w:space="0"/>
              <w:right w:val="single" w:color="auto" w:sz="4" w:space="0"/>
            </w:tcBorders>
            <w:noWrap w:val="0"/>
            <w:vAlign w:val="top"/>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通用文字识别-</w:t>
            </w:r>
            <w:r>
              <w:rPr>
                <w:rFonts w:ascii="宋体" w:hAnsi="宋体" w:cs="宋体"/>
                <w:bCs/>
                <w:color w:val="000000"/>
                <w:kern w:val="0"/>
                <w:sz w:val="18"/>
                <w:szCs w:val="18"/>
              </w:rPr>
              <w:t>100</w:t>
            </w:r>
            <w:r>
              <w:rPr>
                <w:rFonts w:hint="eastAsia" w:ascii="宋体" w:hAnsi="宋体" w:cs="宋体"/>
                <w:bCs/>
                <w:color w:val="000000"/>
                <w:kern w:val="0"/>
                <w:sz w:val="18"/>
                <w:szCs w:val="18"/>
              </w:rPr>
              <w:t>万次/年</w:t>
            </w:r>
          </w:p>
        </w:tc>
        <w:tc>
          <w:tcPr>
            <w:tcW w:w="518" w:type="pct"/>
            <w:tcBorders>
              <w:top w:val="single" w:color="auto" w:sz="4" w:space="0"/>
              <w:left w:val="nil"/>
              <w:bottom w:val="single" w:color="auto" w:sz="4" w:space="0"/>
              <w:right w:val="single" w:color="auto" w:sz="4" w:space="0"/>
            </w:tcBorders>
            <w:noWrap w:val="0"/>
            <w:vAlign w:val="top"/>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1</w:t>
            </w:r>
            <w:r>
              <w:rPr>
                <w:rFonts w:ascii="宋体" w:hAnsi="宋体" w:cs="宋体"/>
                <w:bCs/>
                <w:color w:val="000000"/>
                <w:kern w:val="0"/>
                <w:sz w:val="18"/>
                <w:szCs w:val="18"/>
              </w:rPr>
              <w:t>6</w:t>
            </w:r>
            <w:r>
              <w:rPr>
                <w:rFonts w:hint="eastAsia" w:ascii="宋体" w:hAnsi="宋体" w:cs="宋体"/>
                <w:bCs/>
                <w:color w:val="000000"/>
                <w:kern w:val="0"/>
                <w:sz w:val="18"/>
                <w:szCs w:val="18"/>
              </w:rPr>
              <w:t>,</w:t>
            </w:r>
            <w:r>
              <w:rPr>
                <w:rFonts w:ascii="宋体" w:hAnsi="宋体" w:cs="宋体"/>
                <w:bCs/>
                <w:color w:val="000000"/>
                <w:kern w:val="0"/>
                <w:sz w:val="18"/>
                <w:szCs w:val="18"/>
              </w:rPr>
              <w:t>000</w:t>
            </w:r>
          </w:p>
        </w:tc>
      </w:tr>
      <w:tr>
        <w:tblPrEx>
          <w:tblCellMar>
            <w:top w:w="0" w:type="dxa"/>
            <w:left w:w="108" w:type="dxa"/>
            <w:bottom w:w="0" w:type="dxa"/>
            <w:right w:w="108" w:type="dxa"/>
          </w:tblCellMar>
        </w:tblPrEx>
        <w:trPr>
          <w:trHeight w:val="1200" w:hRule="atLeast"/>
        </w:trPr>
        <w:tc>
          <w:tcPr>
            <w:tcW w:w="650" w:type="pct"/>
            <w:tcBorders>
              <w:top w:val="single" w:color="auto" w:sz="4" w:space="0"/>
              <w:left w:val="single" w:color="auto" w:sz="4" w:space="0"/>
              <w:bottom w:val="single" w:color="auto" w:sz="4" w:space="0"/>
              <w:right w:val="single" w:color="auto" w:sz="4" w:space="0"/>
            </w:tcBorders>
            <w:noWrap w:val="0"/>
            <w:vAlign w:val="bottom"/>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自然语言处理基础</w:t>
            </w:r>
          </w:p>
        </w:tc>
        <w:tc>
          <w:tcPr>
            <w:tcW w:w="2364" w:type="pct"/>
            <w:tcBorders>
              <w:top w:val="single" w:color="auto" w:sz="4" w:space="0"/>
              <w:left w:val="nil"/>
              <w:bottom w:val="single" w:color="auto" w:sz="4" w:space="0"/>
              <w:right w:val="single" w:color="auto" w:sz="4" w:space="0"/>
            </w:tcBorders>
            <w:noWrap w:val="0"/>
            <w:vAlign w:val="bottom"/>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自然语言处理提供分词、命名实体识别、关键词提取、文本相似度等自然语言相关的API，可用于智能问答、对话机器人、内容推荐、电商评价分析。</w:t>
            </w:r>
          </w:p>
        </w:tc>
        <w:tc>
          <w:tcPr>
            <w:tcW w:w="1466" w:type="pct"/>
            <w:tcBorders>
              <w:top w:val="single" w:color="auto" w:sz="4" w:space="0"/>
              <w:left w:val="nil"/>
              <w:bottom w:val="single" w:color="auto" w:sz="4" w:space="0"/>
              <w:right w:val="single" w:color="auto" w:sz="4" w:space="0"/>
            </w:tcBorders>
            <w:noWrap w:val="0"/>
            <w:vAlign w:val="top"/>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基础套餐包（3</w:t>
            </w:r>
            <w:r>
              <w:rPr>
                <w:rFonts w:ascii="宋体" w:hAnsi="宋体" w:cs="宋体"/>
                <w:bCs/>
                <w:color w:val="000000"/>
                <w:kern w:val="0"/>
                <w:sz w:val="18"/>
                <w:szCs w:val="18"/>
              </w:rPr>
              <w:t>00</w:t>
            </w:r>
            <w:r>
              <w:rPr>
                <w:rFonts w:hint="eastAsia" w:ascii="宋体" w:hAnsi="宋体" w:cs="宋体"/>
                <w:bCs/>
                <w:color w:val="000000"/>
                <w:kern w:val="0"/>
                <w:sz w:val="18"/>
                <w:szCs w:val="18"/>
              </w:rPr>
              <w:t>万次/年）</w:t>
            </w:r>
          </w:p>
        </w:tc>
        <w:tc>
          <w:tcPr>
            <w:tcW w:w="518" w:type="pct"/>
            <w:tcBorders>
              <w:top w:val="single" w:color="auto" w:sz="4" w:space="0"/>
              <w:left w:val="nil"/>
              <w:bottom w:val="single" w:color="auto" w:sz="4" w:space="0"/>
              <w:right w:val="single" w:color="auto" w:sz="4" w:space="0"/>
            </w:tcBorders>
            <w:noWrap w:val="0"/>
            <w:vAlign w:val="top"/>
          </w:tcPr>
          <w:p>
            <w:pPr>
              <w:widowControl/>
              <w:adjustRightInd w:val="0"/>
              <w:snapToGrid w:val="0"/>
              <w:rPr>
                <w:rFonts w:ascii="宋体" w:hAnsi="宋体" w:cs="宋体"/>
                <w:bCs/>
                <w:color w:val="000000"/>
                <w:kern w:val="0"/>
                <w:sz w:val="18"/>
                <w:szCs w:val="18"/>
              </w:rPr>
            </w:pPr>
            <w:r>
              <w:rPr>
                <w:rFonts w:ascii="宋体" w:hAnsi="宋体" w:cs="宋体"/>
                <w:bCs/>
                <w:color w:val="000000"/>
                <w:kern w:val="0"/>
                <w:sz w:val="18"/>
                <w:szCs w:val="18"/>
              </w:rPr>
              <w:t>4</w:t>
            </w:r>
            <w:r>
              <w:rPr>
                <w:rFonts w:hint="eastAsia" w:ascii="宋体" w:hAnsi="宋体" w:cs="宋体"/>
                <w:bCs/>
                <w:color w:val="000000"/>
                <w:kern w:val="0"/>
                <w:sz w:val="18"/>
                <w:szCs w:val="18"/>
              </w:rPr>
              <w:t>,</w:t>
            </w:r>
            <w:r>
              <w:rPr>
                <w:rFonts w:ascii="宋体" w:hAnsi="宋体" w:cs="宋体"/>
                <w:bCs/>
                <w:color w:val="000000"/>
                <w:kern w:val="0"/>
                <w:sz w:val="18"/>
                <w:szCs w:val="18"/>
              </w:rPr>
              <w:t>500</w:t>
            </w:r>
          </w:p>
        </w:tc>
      </w:tr>
      <w:tr>
        <w:tblPrEx>
          <w:tblCellMar>
            <w:top w:w="0" w:type="dxa"/>
            <w:left w:w="108" w:type="dxa"/>
            <w:bottom w:w="0" w:type="dxa"/>
            <w:right w:w="108" w:type="dxa"/>
          </w:tblCellMar>
        </w:tblPrEx>
        <w:trPr>
          <w:trHeight w:val="1200" w:hRule="atLeast"/>
        </w:trPr>
        <w:tc>
          <w:tcPr>
            <w:tcW w:w="650" w:type="pct"/>
            <w:tcBorders>
              <w:top w:val="single" w:color="auto" w:sz="4" w:space="0"/>
              <w:left w:val="single" w:color="auto" w:sz="4" w:space="0"/>
              <w:bottom w:val="single" w:color="auto" w:sz="4" w:space="0"/>
              <w:right w:val="single" w:color="auto" w:sz="4" w:space="0"/>
            </w:tcBorders>
            <w:noWrap w:val="0"/>
            <w:vAlign w:val="bottom"/>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RPA流程自动化机器人</w:t>
            </w:r>
          </w:p>
        </w:tc>
        <w:tc>
          <w:tcPr>
            <w:tcW w:w="2364" w:type="pct"/>
            <w:tcBorders>
              <w:top w:val="single" w:color="auto" w:sz="4" w:space="0"/>
              <w:left w:val="nil"/>
              <w:bottom w:val="single" w:color="auto" w:sz="4" w:space="0"/>
              <w:right w:val="single" w:color="auto" w:sz="4" w:space="0"/>
            </w:tcBorders>
            <w:noWrap w:val="0"/>
            <w:vAlign w:val="bottom"/>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RPA结合OCR、NLP等深度学习AI算法，通过模拟并增强人与计算机的交互过程，实现工作流程自动化。通过低代码快速开发APP小程序，提供人机交互界面</w:t>
            </w:r>
          </w:p>
        </w:tc>
        <w:tc>
          <w:tcPr>
            <w:tcW w:w="1466" w:type="pct"/>
            <w:tcBorders>
              <w:top w:val="single" w:color="auto" w:sz="4" w:space="0"/>
              <w:left w:val="nil"/>
              <w:bottom w:val="single" w:color="auto" w:sz="4" w:space="0"/>
              <w:right w:val="single" w:color="auto" w:sz="4" w:space="0"/>
            </w:tcBorders>
            <w:noWrap w:val="0"/>
            <w:vAlign w:val="top"/>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按需</w:t>
            </w:r>
          </w:p>
        </w:tc>
        <w:tc>
          <w:tcPr>
            <w:tcW w:w="518" w:type="pct"/>
            <w:tcBorders>
              <w:top w:val="single" w:color="auto" w:sz="4" w:space="0"/>
              <w:left w:val="nil"/>
              <w:bottom w:val="single" w:color="auto" w:sz="4" w:space="0"/>
              <w:right w:val="single" w:color="auto" w:sz="4" w:space="0"/>
            </w:tcBorders>
            <w:noWrap w:val="0"/>
            <w:vAlign w:val="top"/>
          </w:tcPr>
          <w:p>
            <w:pPr>
              <w:widowControl/>
              <w:adjustRightInd w:val="0"/>
              <w:snapToGrid w:val="0"/>
              <w:rPr>
                <w:rFonts w:ascii="宋体" w:hAnsi="宋体" w:cs="宋体"/>
                <w:bCs/>
                <w:color w:val="000000"/>
                <w:kern w:val="0"/>
                <w:sz w:val="18"/>
                <w:szCs w:val="18"/>
              </w:rPr>
            </w:pPr>
            <w:r>
              <w:rPr>
                <w:rFonts w:hint="eastAsia" w:ascii="宋体" w:hAnsi="宋体" w:cs="宋体"/>
                <w:bCs/>
                <w:color w:val="000000"/>
                <w:kern w:val="0"/>
                <w:sz w:val="18"/>
                <w:szCs w:val="18"/>
              </w:rPr>
              <w:t>按需报价</w:t>
            </w:r>
          </w:p>
        </w:tc>
      </w:tr>
    </w:tbl>
    <w:p>
      <w:pPr>
        <w:autoSpaceDE w:val="0"/>
        <w:autoSpaceDN w:val="0"/>
        <w:adjustRightInd w:val="0"/>
        <w:spacing w:line="360" w:lineRule="auto"/>
        <w:jc w:val="left"/>
        <w:rPr>
          <w:rFonts w:ascii="宋体" w:hAnsi="宋体"/>
          <w:b/>
          <w:snapToGrid w:val="0"/>
          <w:color w:val="000000"/>
          <w:kern w:val="0"/>
          <w:szCs w:val="18"/>
        </w:rPr>
      </w:pPr>
    </w:p>
    <w:p>
      <w:pPr>
        <w:autoSpaceDE w:val="0"/>
        <w:autoSpaceDN w:val="0"/>
        <w:adjustRightInd w:val="0"/>
        <w:spacing w:line="360" w:lineRule="auto"/>
        <w:jc w:val="left"/>
        <w:rPr>
          <w:rFonts w:ascii="宋体" w:hAnsi="宋体"/>
          <w:b/>
          <w:snapToGrid w:val="0"/>
          <w:color w:val="000000"/>
          <w:kern w:val="0"/>
          <w:szCs w:val="18"/>
        </w:rPr>
      </w:pPr>
    </w:p>
    <w:p>
      <w:pPr>
        <w:autoSpaceDE w:val="0"/>
        <w:autoSpaceDN w:val="0"/>
        <w:adjustRightInd w:val="0"/>
        <w:spacing w:line="360" w:lineRule="auto"/>
        <w:jc w:val="left"/>
        <w:rPr>
          <w:rFonts w:ascii="宋体" w:hAnsi="宋体"/>
          <w:b/>
          <w:snapToGrid w:val="0"/>
          <w:color w:val="000000"/>
          <w:kern w:val="0"/>
          <w:szCs w:val="18"/>
        </w:rPr>
      </w:pPr>
    </w:p>
    <w:p>
      <w:pPr>
        <w:autoSpaceDE w:val="0"/>
        <w:autoSpaceDN w:val="0"/>
        <w:adjustRightInd w:val="0"/>
        <w:spacing w:line="360" w:lineRule="auto"/>
        <w:jc w:val="left"/>
        <w:rPr>
          <w:rFonts w:ascii="宋体" w:hAnsi="宋体"/>
          <w:b/>
          <w:snapToGrid w:val="0"/>
          <w:color w:val="000000"/>
          <w:kern w:val="0"/>
          <w:szCs w:val="18"/>
        </w:rPr>
      </w:pPr>
    </w:p>
    <w:p>
      <w:pPr>
        <w:autoSpaceDE w:val="0"/>
        <w:autoSpaceDN w:val="0"/>
        <w:adjustRightInd w:val="0"/>
        <w:spacing w:line="360" w:lineRule="auto"/>
        <w:jc w:val="left"/>
        <w:rPr>
          <w:rFonts w:ascii="宋体" w:hAnsi="宋体"/>
          <w:snapToGrid w:val="0"/>
          <w:color w:val="000000"/>
          <w:kern w:val="0"/>
          <w:sz w:val="18"/>
          <w:szCs w:val="18"/>
        </w:rPr>
      </w:pPr>
      <w:r>
        <w:rPr>
          <w:rFonts w:ascii="宋体" w:hAnsi="宋体"/>
          <w:b/>
          <w:snapToGrid w:val="0"/>
          <w:color w:val="000000"/>
          <w:kern w:val="0"/>
          <w:szCs w:val="18"/>
        </w:rPr>
        <w:t>5</w:t>
      </w:r>
      <w:r>
        <w:rPr>
          <w:rFonts w:hint="eastAsia" w:ascii="宋体" w:hAnsi="宋体"/>
          <w:b/>
          <w:snapToGrid w:val="0"/>
          <w:color w:val="000000"/>
          <w:kern w:val="0"/>
          <w:szCs w:val="18"/>
        </w:rPr>
        <w:t>、影视、三维、动画行业渲染上云</w:t>
      </w:r>
    </w:p>
    <w:tbl>
      <w:tblPr>
        <w:tblStyle w:val="2"/>
        <w:tblW w:w="5272" w:type="pct"/>
        <w:jc w:val="center"/>
        <w:tblLayout w:type="autofit"/>
        <w:tblCellMar>
          <w:top w:w="0" w:type="dxa"/>
          <w:left w:w="108" w:type="dxa"/>
          <w:bottom w:w="0" w:type="dxa"/>
          <w:right w:w="108" w:type="dxa"/>
        </w:tblCellMar>
      </w:tblPr>
      <w:tblGrid>
        <w:gridCol w:w="1408"/>
        <w:gridCol w:w="4366"/>
        <w:gridCol w:w="2309"/>
        <w:gridCol w:w="903"/>
      </w:tblGrid>
      <w:tr>
        <w:tblPrEx>
          <w:tblCellMar>
            <w:top w:w="0" w:type="dxa"/>
            <w:left w:w="108" w:type="dxa"/>
            <w:bottom w:w="0" w:type="dxa"/>
            <w:right w:w="108" w:type="dxa"/>
          </w:tblCellMar>
        </w:tblPrEx>
        <w:trPr>
          <w:trHeight w:val="315" w:hRule="atLeast"/>
          <w:jc w:val="center"/>
        </w:trPr>
        <w:tc>
          <w:tcPr>
            <w:tcW w:w="783" w:type="pc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产品名称</w:t>
            </w:r>
          </w:p>
        </w:tc>
        <w:tc>
          <w:tcPr>
            <w:tcW w:w="2428"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产品用途</w:t>
            </w:r>
          </w:p>
        </w:tc>
        <w:tc>
          <w:tcPr>
            <w:tcW w:w="1284"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参考价格</w:t>
            </w:r>
          </w:p>
        </w:tc>
        <w:tc>
          <w:tcPr>
            <w:tcW w:w="502"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p>
        </w:tc>
      </w:tr>
      <w:tr>
        <w:tblPrEx>
          <w:tblCellMar>
            <w:top w:w="0" w:type="dxa"/>
            <w:left w:w="108" w:type="dxa"/>
            <w:bottom w:w="0" w:type="dxa"/>
            <w:right w:w="108" w:type="dxa"/>
          </w:tblCellMar>
        </w:tblPrEx>
        <w:trPr>
          <w:trHeight w:val="600" w:hRule="atLeast"/>
          <w:jc w:val="center"/>
        </w:trPr>
        <w:tc>
          <w:tcPr>
            <w:tcW w:w="783"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弹性云服务器ECS</w:t>
            </w:r>
          </w:p>
        </w:tc>
        <w:tc>
          <w:tcPr>
            <w:tcW w:w="242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构建渲染集群。对于部分渲染类型，可使用GPU实例加速渲染</w:t>
            </w:r>
          </w:p>
        </w:tc>
        <w:tc>
          <w:tcPr>
            <w:tcW w:w="1284"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c>
          <w:tcPr>
            <w:tcW w:w="50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783"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弹性文件服务SFS</w:t>
            </w:r>
          </w:p>
        </w:tc>
        <w:tc>
          <w:tcPr>
            <w:tcW w:w="242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存储影视素材和输出的渲染结果</w:t>
            </w:r>
          </w:p>
        </w:tc>
        <w:tc>
          <w:tcPr>
            <w:tcW w:w="1284"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c>
          <w:tcPr>
            <w:tcW w:w="50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r>
      <w:tr>
        <w:tblPrEx>
          <w:tblCellMar>
            <w:top w:w="0" w:type="dxa"/>
            <w:left w:w="108" w:type="dxa"/>
            <w:bottom w:w="0" w:type="dxa"/>
            <w:right w:w="108" w:type="dxa"/>
          </w:tblCellMar>
        </w:tblPrEx>
        <w:trPr>
          <w:trHeight w:val="820" w:hRule="atLeast"/>
          <w:jc w:val="center"/>
        </w:trPr>
        <w:tc>
          <w:tcPr>
            <w:tcW w:w="783"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虚拟专用网络VPN</w:t>
            </w:r>
          </w:p>
        </w:tc>
        <w:tc>
          <w:tcPr>
            <w:tcW w:w="2428"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用于搭建用户本地数据中心与华为云VPC之间便捷、灵活，即开即用的IPsec加密连接通道，方便用户将影视工程同步至云端</w:t>
            </w:r>
          </w:p>
        </w:tc>
        <w:tc>
          <w:tcPr>
            <w:tcW w:w="1284"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c>
          <w:tcPr>
            <w:tcW w:w="50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r>
    </w:tbl>
    <w:p>
      <w:pPr>
        <w:autoSpaceDE w:val="0"/>
        <w:autoSpaceDN w:val="0"/>
        <w:adjustRightInd w:val="0"/>
        <w:spacing w:line="360" w:lineRule="auto"/>
        <w:jc w:val="left"/>
        <w:rPr>
          <w:rFonts w:ascii="宋体" w:hAnsi="宋体"/>
          <w:b/>
          <w:snapToGrid w:val="0"/>
          <w:color w:val="000000"/>
          <w:kern w:val="0"/>
          <w:szCs w:val="18"/>
        </w:rPr>
      </w:pPr>
      <w:r>
        <w:rPr>
          <w:rFonts w:ascii="宋体" w:hAnsi="宋体"/>
          <w:b/>
          <w:snapToGrid w:val="0"/>
          <w:color w:val="000000"/>
          <w:kern w:val="0"/>
          <w:szCs w:val="18"/>
        </w:rPr>
        <w:t>6</w:t>
      </w:r>
      <w:r>
        <w:rPr>
          <w:rFonts w:hint="eastAsia" w:ascii="宋体" w:hAnsi="宋体"/>
          <w:b/>
          <w:snapToGrid w:val="0"/>
          <w:color w:val="000000"/>
          <w:kern w:val="0"/>
          <w:szCs w:val="18"/>
        </w:rPr>
        <w:t>、面向东盟业务上云</w:t>
      </w:r>
    </w:p>
    <w:tbl>
      <w:tblPr>
        <w:tblStyle w:val="2"/>
        <w:tblW w:w="5226" w:type="pct"/>
        <w:jc w:val="center"/>
        <w:tblLayout w:type="autofit"/>
        <w:tblCellMar>
          <w:top w:w="0" w:type="dxa"/>
          <w:left w:w="108" w:type="dxa"/>
          <w:bottom w:w="0" w:type="dxa"/>
          <w:right w:w="108" w:type="dxa"/>
        </w:tblCellMar>
      </w:tblPr>
      <w:tblGrid>
        <w:gridCol w:w="1344"/>
        <w:gridCol w:w="4370"/>
        <w:gridCol w:w="1798"/>
        <w:gridCol w:w="1395"/>
      </w:tblGrid>
      <w:tr>
        <w:tblPrEx>
          <w:tblCellMar>
            <w:top w:w="0" w:type="dxa"/>
            <w:left w:w="108" w:type="dxa"/>
            <w:bottom w:w="0" w:type="dxa"/>
            <w:right w:w="108" w:type="dxa"/>
          </w:tblCellMar>
        </w:tblPrEx>
        <w:trPr>
          <w:trHeight w:val="315" w:hRule="atLeast"/>
          <w:jc w:val="center"/>
        </w:trPr>
        <w:tc>
          <w:tcPr>
            <w:tcW w:w="754" w:type="pc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产品名称</w:t>
            </w:r>
          </w:p>
        </w:tc>
        <w:tc>
          <w:tcPr>
            <w:tcW w:w="2452"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产品用途</w:t>
            </w:r>
          </w:p>
        </w:tc>
        <w:tc>
          <w:tcPr>
            <w:tcW w:w="1009"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参考配置</w:t>
            </w:r>
          </w:p>
        </w:tc>
        <w:tc>
          <w:tcPr>
            <w:tcW w:w="783"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参考报价（元）</w:t>
            </w:r>
          </w:p>
        </w:tc>
      </w:tr>
      <w:tr>
        <w:tblPrEx>
          <w:tblCellMar>
            <w:top w:w="0" w:type="dxa"/>
            <w:left w:w="108" w:type="dxa"/>
            <w:bottom w:w="0" w:type="dxa"/>
            <w:right w:w="108" w:type="dxa"/>
          </w:tblCellMar>
        </w:tblPrEx>
        <w:trPr>
          <w:trHeight w:val="204" w:hRule="atLeast"/>
          <w:jc w:val="center"/>
        </w:trPr>
        <w:tc>
          <w:tcPr>
            <w:tcW w:w="754"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全站加速WSA</w:t>
            </w:r>
          </w:p>
        </w:tc>
        <w:tc>
          <w:tcPr>
            <w:tcW w:w="245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全站加速是一种融合了动态和静态加速的网站加速解决方案。用户请求资源时，静态内容从边缘节点就近获取，动态内容通过动态加速技术智能选择最佳路由回源获取。CDN全站加速能有效提升动态页面的加载速度，避开网络拥堵路由，提高访问成功率</w:t>
            </w:r>
          </w:p>
        </w:tc>
        <w:tc>
          <w:tcPr>
            <w:tcW w:w="100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中国大陆境外流量包 | 200TB</w:t>
            </w:r>
          </w:p>
        </w:tc>
        <w:tc>
          <w:tcPr>
            <w:tcW w:w="7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122,400</w:t>
            </w:r>
          </w:p>
        </w:tc>
      </w:tr>
      <w:tr>
        <w:tblPrEx>
          <w:tblCellMar>
            <w:top w:w="0" w:type="dxa"/>
            <w:left w:w="108" w:type="dxa"/>
            <w:bottom w:w="0" w:type="dxa"/>
            <w:right w:w="108" w:type="dxa"/>
          </w:tblCellMar>
        </w:tblPrEx>
        <w:trPr>
          <w:trHeight w:val="996" w:hRule="atLeast"/>
          <w:jc w:val="center"/>
        </w:trPr>
        <w:tc>
          <w:tcPr>
            <w:tcW w:w="754"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云解析服务DNS</w:t>
            </w:r>
          </w:p>
        </w:tc>
        <w:tc>
          <w:tcPr>
            <w:tcW w:w="245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云解析服务（Domain Name Service）提供高可用，高扩展的权威DNS服务和DNS管理服务，把人们常用的域名或应用资源转换成用于计算机连接的IP地址</w:t>
            </w:r>
          </w:p>
        </w:tc>
        <w:tc>
          <w:tcPr>
            <w:tcW w:w="100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c>
          <w:tcPr>
            <w:tcW w:w="7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r>
      <w:tr>
        <w:tblPrEx>
          <w:tblCellMar>
            <w:top w:w="0" w:type="dxa"/>
            <w:left w:w="108" w:type="dxa"/>
            <w:bottom w:w="0" w:type="dxa"/>
            <w:right w:w="108" w:type="dxa"/>
          </w:tblCellMar>
        </w:tblPrEx>
        <w:trPr>
          <w:trHeight w:val="1200" w:hRule="atLeast"/>
          <w:jc w:val="center"/>
        </w:trPr>
        <w:tc>
          <w:tcPr>
            <w:tcW w:w="754"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Web应用防火墙WAF</w:t>
            </w:r>
          </w:p>
        </w:tc>
        <w:tc>
          <w:tcPr>
            <w:tcW w:w="245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Web应用防火墙WAF对网站业务流量进行多维度检测和防护，结合深度机器学习智能识别恶意请求特征和防御未知威胁，全面避免网站被黑客恶意攻击和入侵。</w:t>
            </w:r>
          </w:p>
        </w:tc>
        <w:tc>
          <w:tcPr>
            <w:tcW w:w="100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 1 标准版</w:t>
            </w:r>
          </w:p>
        </w:tc>
        <w:tc>
          <w:tcPr>
            <w:tcW w:w="78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38,800.00</w:t>
            </w:r>
          </w:p>
        </w:tc>
      </w:tr>
    </w:tbl>
    <w:p>
      <w:pPr>
        <w:autoSpaceDE w:val="0"/>
        <w:autoSpaceDN w:val="0"/>
        <w:adjustRightInd w:val="0"/>
        <w:spacing w:line="360" w:lineRule="auto"/>
        <w:jc w:val="left"/>
        <w:rPr>
          <w:rFonts w:ascii="宋体" w:hAnsi="宋体"/>
          <w:b/>
          <w:snapToGrid w:val="0"/>
          <w:color w:val="000000"/>
          <w:kern w:val="0"/>
          <w:szCs w:val="18"/>
        </w:rPr>
      </w:pPr>
      <w:r>
        <w:rPr>
          <w:rFonts w:ascii="宋体" w:hAnsi="宋体"/>
          <w:b/>
          <w:snapToGrid w:val="0"/>
          <w:color w:val="000000"/>
          <w:kern w:val="0"/>
          <w:szCs w:val="18"/>
        </w:rPr>
        <w:t>7</w:t>
      </w:r>
      <w:r>
        <w:rPr>
          <w:rFonts w:hint="eastAsia" w:ascii="宋体" w:hAnsi="宋体"/>
          <w:b/>
          <w:snapToGrid w:val="0"/>
          <w:color w:val="000000"/>
          <w:kern w:val="0"/>
          <w:szCs w:val="18"/>
        </w:rPr>
        <w:t>、在线教育业务上云</w:t>
      </w:r>
    </w:p>
    <w:tbl>
      <w:tblPr>
        <w:tblStyle w:val="2"/>
        <w:tblW w:w="5155" w:type="pct"/>
        <w:jc w:val="center"/>
        <w:tblLayout w:type="fixed"/>
        <w:tblCellMar>
          <w:top w:w="0" w:type="dxa"/>
          <w:left w:w="108" w:type="dxa"/>
          <w:bottom w:w="0" w:type="dxa"/>
          <w:right w:w="108" w:type="dxa"/>
        </w:tblCellMar>
      </w:tblPr>
      <w:tblGrid>
        <w:gridCol w:w="1594"/>
        <w:gridCol w:w="2967"/>
        <w:gridCol w:w="3112"/>
        <w:gridCol w:w="1113"/>
      </w:tblGrid>
      <w:tr>
        <w:tblPrEx>
          <w:tblCellMar>
            <w:top w:w="0" w:type="dxa"/>
            <w:left w:w="108" w:type="dxa"/>
            <w:bottom w:w="0" w:type="dxa"/>
            <w:right w:w="108" w:type="dxa"/>
          </w:tblCellMar>
        </w:tblPrEx>
        <w:trPr>
          <w:trHeight w:val="315" w:hRule="atLeast"/>
          <w:tblHeader/>
          <w:jc w:val="center"/>
        </w:trPr>
        <w:tc>
          <w:tcPr>
            <w:tcW w:w="908" w:type="pc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产品名称</w:t>
            </w:r>
          </w:p>
        </w:tc>
        <w:tc>
          <w:tcPr>
            <w:tcW w:w="1687"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产品用途</w:t>
            </w:r>
          </w:p>
        </w:tc>
        <w:tc>
          <w:tcPr>
            <w:tcW w:w="1770"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参考配置</w:t>
            </w:r>
          </w:p>
        </w:tc>
        <w:tc>
          <w:tcPr>
            <w:tcW w:w="633"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参考报价（元）</w:t>
            </w:r>
          </w:p>
        </w:tc>
      </w:tr>
      <w:tr>
        <w:tblPrEx>
          <w:tblCellMar>
            <w:top w:w="0" w:type="dxa"/>
            <w:left w:w="108" w:type="dxa"/>
            <w:bottom w:w="0" w:type="dxa"/>
            <w:right w:w="108" w:type="dxa"/>
          </w:tblCellMar>
        </w:tblPrEx>
        <w:trPr>
          <w:trHeight w:val="1187"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弹性云服务器ECS</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承载网站、APP的业务</w:t>
            </w:r>
          </w:p>
        </w:tc>
        <w:tc>
          <w:tcPr>
            <w:tcW w:w="1770"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snapToGrid w:val="0"/>
                <w:color w:val="000000"/>
                <w:kern w:val="0"/>
                <w:sz w:val="18"/>
                <w:szCs w:val="18"/>
                <w:shd w:val="clear" w:color="auto" w:fill="FFFFFF"/>
              </w:rPr>
            </w:pPr>
            <w:r>
              <w:rPr>
                <w:rFonts w:ascii="宋体" w:hAnsi="宋体"/>
                <w:snapToGrid w:val="0"/>
                <w:color w:val="000000"/>
                <w:kern w:val="0"/>
                <w:sz w:val="18"/>
                <w:szCs w:val="18"/>
                <w:shd w:val="clear" w:color="auto" w:fill="FFFFFF"/>
              </w:rPr>
              <w:t xml:space="preserve">X86计算|通用计算增强型|c6.xlarge.2|4核|8GB </w:t>
            </w:r>
          </w:p>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系统盘</w:t>
            </w:r>
            <w:r>
              <w:rPr>
                <w:rFonts w:hint="eastAsia" w:ascii="宋体" w:hAnsi="宋体" w:cs="宋体"/>
                <w:color w:val="000000"/>
                <w:kern w:val="0"/>
                <w:sz w:val="18"/>
                <w:szCs w:val="18"/>
              </w:rPr>
              <w:t xml:space="preserve"> </w:t>
            </w:r>
            <w:r>
              <w:rPr>
                <w:rFonts w:ascii="宋体" w:hAnsi="宋体" w:cs="宋体"/>
                <w:color w:val="000000"/>
                <w:kern w:val="0"/>
                <w:sz w:val="18"/>
                <w:szCs w:val="18"/>
              </w:rPr>
              <w:t>高IO|40GB</w:t>
            </w:r>
          </w:p>
          <w:p>
            <w:pPr>
              <w:widowControl/>
              <w:adjustRightInd w:val="0"/>
              <w:snapToGrid w:val="0"/>
              <w:jc w:val="left"/>
              <w:rPr>
                <w:rFonts w:ascii="宋体" w:hAnsi="宋体"/>
                <w:snapToGrid w:val="0"/>
                <w:color w:val="000000"/>
                <w:kern w:val="0"/>
                <w:sz w:val="18"/>
                <w:szCs w:val="18"/>
                <w:shd w:val="clear" w:color="auto" w:fill="FFFFFF"/>
              </w:rPr>
            </w:pPr>
            <w:r>
              <w:rPr>
                <w:rFonts w:hint="eastAsia" w:ascii="宋体" w:hAnsi="宋体"/>
                <w:snapToGrid w:val="0"/>
                <w:color w:val="000000"/>
                <w:kern w:val="0"/>
                <w:sz w:val="18"/>
                <w:szCs w:val="18"/>
                <w:shd w:val="clear" w:color="auto" w:fill="FFFFFF"/>
              </w:rPr>
              <w:t xml:space="preserve">数据盘 </w:t>
            </w:r>
            <w:r>
              <w:rPr>
                <w:rFonts w:ascii="宋体" w:hAnsi="宋体"/>
                <w:snapToGrid w:val="0"/>
                <w:color w:val="000000"/>
                <w:kern w:val="0"/>
                <w:sz w:val="18"/>
                <w:szCs w:val="18"/>
                <w:shd w:val="clear" w:color="auto" w:fill="FFFFFF"/>
              </w:rPr>
              <w:t>高IO|500GB</w:t>
            </w:r>
          </w:p>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全动态BGP|独享|按带宽计费| 5Mbit/s</w:t>
            </w: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7044.4</w:t>
            </w:r>
          </w:p>
        </w:tc>
      </w:tr>
      <w:tr>
        <w:tblPrEx>
          <w:tblCellMar>
            <w:top w:w="0" w:type="dxa"/>
            <w:left w:w="108" w:type="dxa"/>
            <w:bottom w:w="0" w:type="dxa"/>
            <w:right w:w="108" w:type="dxa"/>
          </w:tblCellMar>
        </w:tblPrEx>
        <w:trPr>
          <w:trHeight w:val="600"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弹性负载均衡ELB</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将用户请求分发到多台ECS服务器，轻松应对高并发场景，提高可靠性</w:t>
            </w:r>
          </w:p>
        </w:tc>
        <w:tc>
          <w:tcPr>
            <w:tcW w:w="1770"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共享型负载均衡</w:t>
            </w:r>
          </w:p>
          <w:p>
            <w:pPr>
              <w:widowControl/>
              <w:shd w:val="clear" w:color="auto" w:fill="FFFFFF"/>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1LCU|全动态BGP</w:t>
            </w:r>
            <w:r>
              <w:rPr>
                <w:rFonts w:hint="eastAsia" w:ascii="宋体" w:hAnsi="宋体" w:cs="宋体"/>
                <w:color w:val="000000"/>
                <w:kern w:val="0"/>
                <w:sz w:val="18"/>
                <w:szCs w:val="18"/>
              </w:rPr>
              <w:t xml:space="preserve"> </w:t>
            </w:r>
          </w:p>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全动态BGP|带宽|5Mbit/s</w:t>
            </w:r>
            <w:r>
              <w:rPr>
                <w:rFonts w:hint="eastAsia" w:ascii="宋体" w:hAnsi="宋体" w:cs="宋体"/>
                <w:color w:val="000000"/>
                <w:kern w:val="0"/>
                <w:sz w:val="18"/>
                <w:szCs w:val="18"/>
              </w:rPr>
              <w:t>|</w:t>
            </w:r>
            <w:r>
              <w:rPr>
                <w:rFonts w:ascii="宋体" w:hAnsi="宋体" w:cs="宋体"/>
                <w:color w:val="000000"/>
                <w:kern w:val="0"/>
                <w:sz w:val="18"/>
                <w:szCs w:val="18"/>
              </w:rPr>
              <w:t>8760 小时</w:t>
            </w: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5,737.8</w:t>
            </w:r>
          </w:p>
        </w:tc>
      </w:tr>
      <w:tr>
        <w:tblPrEx>
          <w:tblCellMar>
            <w:top w:w="0" w:type="dxa"/>
            <w:left w:w="108" w:type="dxa"/>
            <w:bottom w:w="0" w:type="dxa"/>
            <w:right w:w="108" w:type="dxa"/>
          </w:tblCellMar>
        </w:tblPrEx>
        <w:trPr>
          <w:trHeight w:val="300"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云数据库 MySQL</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存储业务系统产生的数据</w:t>
            </w:r>
          </w:p>
        </w:tc>
        <w:tc>
          <w:tcPr>
            <w:tcW w:w="17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MySQL|8.0|单机|通用型|4核8GB|SSD云盘|400GB</w:t>
            </w: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7600</w:t>
            </w:r>
          </w:p>
        </w:tc>
      </w:tr>
      <w:tr>
        <w:tblPrEx>
          <w:tblCellMar>
            <w:top w:w="0" w:type="dxa"/>
            <w:left w:w="108" w:type="dxa"/>
            <w:bottom w:w="0" w:type="dxa"/>
            <w:right w:w="108" w:type="dxa"/>
          </w:tblCellMar>
        </w:tblPrEx>
        <w:trPr>
          <w:trHeight w:val="380"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分布式缓存服务 DCS （Redis/Memcached）</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缓存热点资源，加速用户访问，提高并发性能</w:t>
            </w:r>
          </w:p>
        </w:tc>
        <w:tc>
          <w:tcPr>
            <w:tcW w:w="17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snapToGrid w:val="0"/>
                <w:color w:val="000000"/>
                <w:kern w:val="0"/>
                <w:sz w:val="18"/>
                <w:szCs w:val="18"/>
                <w:shd w:val="clear" w:color="auto" w:fill="FFFFFF"/>
              </w:rPr>
              <w:t>5.0|主备|X86|DRAM|2|8 GB</w:t>
            </w: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5488</w:t>
            </w:r>
          </w:p>
        </w:tc>
      </w:tr>
      <w:tr>
        <w:tblPrEx>
          <w:tblCellMar>
            <w:top w:w="0" w:type="dxa"/>
            <w:left w:w="108" w:type="dxa"/>
            <w:bottom w:w="0" w:type="dxa"/>
            <w:right w:w="108" w:type="dxa"/>
          </w:tblCellMar>
        </w:tblPrEx>
        <w:trPr>
          <w:trHeight w:val="1200"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弹性伸缩AS</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弹性伸缩（Auto Scaling）可根据用户的业务需求和预设策略，自动调整计算资源，使云服务器数量自动随业务负载增长而增加，随业务负载降低而减少，保证业务平稳健康运行</w:t>
            </w:r>
          </w:p>
        </w:tc>
        <w:tc>
          <w:tcPr>
            <w:tcW w:w="17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r>
      <w:tr>
        <w:tblPrEx>
          <w:tblCellMar>
            <w:top w:w="0" w:type="dxa"/>
            <w:left w:w="108" w:type="dxa"/>
            <w:bottom w:w="0" w:type="dxa"/>
            <w:right w:w="108" w:type="dxa"/>
          </w:tblCellMar>
        </w:tblPrEx>
        <w:trPr>
          <w:trHeight w:val="900"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实时音视频 RTC</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提供高并发、低延迟、高清流畅、安全可靠的全场景、全互动、全实时的音视频服务。可用于线上直播授课</w:t>
            </w:r>
          </w:p>
        </w:tc>
        <w:tc>
          <w:tcPr>
            <w:tcW w:w="17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按需计费</w:t>
            </w: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p>
        </w:tc>
      </w:tr>
      <w:tr>
        <w:tblPrEx>
          <w:tblCellMar>
            <w:top w:w="0" w:type="dxa"/>
            <w:left w:w="108" w:type="dxa"/>
            <w:bottom w:w="0" w:type="dxa"/>
            <w:right w:w="108" w:type="dxa"/>
          </w:tblCellMar>
        </w:tblPrEx>
        <w:trPr>
          <w:trHeight w:val="62"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视频点播 VOD</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提供视频上传、自动化转码处理、媒资管理、分发加速的一站式视频点播媒体服务。可用于课程回放</w:t>
            </w:r>
          </w:p>
        </w:tc>
        <w:tc>
          <w:tcPr>
            <w:tcW w:w="1770"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s="Helvetica"/>
                <w:color w:val="000000"/>
                <w:kern w:val="0"/>
                <w:sz w:val="18"/>
                <w:szCs w:val="18"/>
              </w:rPr>
            </w:pPr>
            <w:r>
              <w:rPr>
                <w:rFonts w:ascii="宋体" w:hAnsi="宋体" w:cs="Helvetica"/>
                <w:color w:val="000000"/>
                <w:kern w:val="0"/>
                <w:sz w:val="18"/>
                <w:szCs w:val="18"/>
              </w:rPr>
              <w:t>规格</w:t>
            </w:r>
            <w:r>
              <w:rPr>
                <w:rFonts w:hint="eastAsia" w:ascii="宋体" w:hAnsi="宋体" w:cs="Helvetica"/>
                <w:color w:val="000000"/>
                <w:kern w:val="0"/>
                <w:sz w:val="18"/>
                <w:szCs w:val="18"/>
              </w:rPr>
              <w:t>|</w:t>
            </w:r>
            <w:r>
              <w:rPr>
                <w:rFonts w:ascii="宋体" w:hAnsi="宋体" w:cs="Helvetica"/>
                <w:color w:val="000000"/>
                <w:kern w:val="0"/>
                <w:sz w:val="18"/>
                <w:szCs w:val="18"/>
              </w:rPr>
              <w:t>100TB|1 年</w:t>
            </w:r>
            <w:r>
              <w:rPr>
                <w:rFonts w:hint="eastAsia" w:ascii="宋体" w:hAnsi="宋体" w:cs="Helvetica"/>
                <w:color w:val="000000"/>
                <w:kern w:val="0"/>
                <w:sz w:val="18"/>
                <w:szCs w:val="18"/>
              </w:rPr>
              <w:t>|</w:t>
            </w:r>
            <w:r>
              <w:rPr>
                <w:rFonts w:ascii="宋体" w:hAnsi="宋体" w:cs="Helvetica"/>
                <w:color w:val="000000"/>
                <w:kern w:val="0"/>
                <w:sz w:val="18"/>
                <w:szCs w:val="18"/>
              </w:rPr>
              <w:t>H.264标准转码包|20000分钟</w:t>
            </w:r>
            <w:r>
              <w:rPr>
                <w:rFonts w:hint="eastAsia" w:ascii="宋体" w:hAnsi="宋体" w:cs="Helvetica"/>
                <w:color w:val="000000"/>
                <w:kern w:val="0"/>
                <w:sz w:val="18"/>
                <w:szCs w:val="18"/>
              </w:rPr>
              <w:t>|</w:t>
            </w:r>
            <w:r>
              <w:rPr>
                <w:rFonts w:ascii="宋体" w:hAnsi="宋体" w:cs="Helvetica"/>
                <w:color w:val="000000"/>
                <w:kern w:val="0"/>
                <w:sz w:val="18"/>
                <w:szCs w:val="18"/>
              </w:rPr>
              <w:t>1 年</w:t>
            </w:r>
            <w:r>
              <w:rPr>
                <w:rFonts w:hint="eastAsia" w:ascii="宋体" w:hAnsi="宋体" w:cs="Helvetica"/>
                <w:color w:val="000000"/>
                <w:kern w:val="0"/>
                <w:sz w:val="18"/>
                <w:szCs w:val="18"/>
              </w:rPr>
              <w:t>|</w:t>
            </w:r>
            <w:r>
              <w:rPr>
                <w:rFonts w:ascii="宋体" w:hAnsi="宋体" w:cs="Helvetica"/>
                <w:color w:val="000000"/>
                <w:kern w:val="0"/>
                <w:sz w:val="18"/>
                <w:szCs w:val="18"/>
              </w:rPr>
              <w:t>100TB</w:t>
            </w: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98,087</w:t>
            </w:r>
          </w:p>
        </w:tc>
      </w:tr>
      <w:tr>
        <w:tblPrEx>
          <w:tblCellMar>
            <w:top w:w="0" w:type="dxa"/>
            <w:left w:w="108" w:type="dxa"/>
            <w:bottom w:w="0" w:type="dxa"/>
            <w:right w:w="108" w:type="dxa"/>
          </w:tblCellMar>
        </w:tblPrEx>
        <w:trPr>
          <w:trHeight w:val="204"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全站加速WSA</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全站加速是一种融合了动态和静态加速的网站加速解决方案。用户请求资源时，静态内容从边缘节点就近获取，动态内容通过动态加速技术智能选择最佳路由回源获取。CDN全站加速能有效提升动态页面的加载速度，避开网络拥堵路由，提高访问成功率</w:t>
            </w:r>
          </w:p>
        </w:tc>
        <w:tc>
          <w:tcPr>
            <w:tcW w:w="17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中国大陆境外流量包 | 200TB</w:t>
            </w: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122,400</w:t>
            </w:r>
          </w:p>
        </w:tc>
      </w:tr>
      <w:tr>
        <w:tblPrEx>
          <w:tblCellMar>
            <w:top w:w="0" w:type="dxa"/>
            <w:left w:w="108" w:type="dxa"/>
            <w:bottom w:w="0" w:type="dxa"/>
            <w:right w:w="108" w:type="dxa"/>
          </w:tblCellMar>
        </w:tblPrEx>
        <w:trPr>
          <w:trHeight w:val="50" w:hRule="atLeast"/>
          <w:jc w:val="center"/>
        </w:trPr>
        <w:tc>
          <w:tcPr>
            <w:tcW w:w="90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Web应用防火墙WAF</w:t>
            </w:r>
          </w:p>
        </w:tc>
        <w:tc>
          <w:tcPr>
            <w:tcW w:w="168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守护应用安全，阻断常见攻击，拦截非正常流量</w:t>
            </w:r>
          </w:p>
        </w:tc>
        <w:tc>
          <w:tcPr>
            <w:tcW w:w="17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 1 标准版</w:t>
            </w:r>
          </w:p>
        </w:tc>
        <w:tc>
          <w:tcPr>
            <w:tcW w:w="633"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38,800</w:t>
            </w:r>
          </w:p>
        </w:tc>
      </w:tr>
    </w:tbl>
    <w:p>
      <w:pPr>
        <w:autoSpaceDE w:val="0"/>
        <w:autoSpaceDN w:val="0"/>
        <w:adjustRightInd w:val="0"/>
        <w:spacing w:line="360" w:lineRule="auto"/>
        <w:jc w:val="left"/>
        <w:rPr>
          <w:rFonts w:ascii="宋体" w:hAnsi="宋体"/>
          <w:b/>
          <w:snapToGrid w:val="0"/>
          <w:color w:val="000000"/>
          <w:kern w:val="0"/>
          <w:szCs w:val="18"/>
        </w:rPr>
      </w:pPr>
      <w:r>
        <w:rPr>
          <w:rFonts w:ascii="宋体" w:hAnsi="宋体"/>
          <w:b/>
          <w:snapToGrid w:val="0"/>
          <w:color w:val="000000"/>
          <w:kern w:val="0"/>
          <w:szCs w:val="18"/>
        </w:rPr>
        <w:t>8</w:t>
      </w:r>
      <w:r>
        <w:rPr>
          <w:rFonts w:hint="eastAsia" w:ascii="宋体" w:hAnsi="宋体"/>
          <w:b/>
          <w:snapToGrid w:val="0"/>
          <w:color w:val="000000"/>
          <w:kern w:val="0"/>
          <w:szCs w:val="18"/>
        </w:rPr>
        <w:t>、企业官网、微网站快速上云</w:t>
      </w:r>
    </w:p>
    <w:tbl>
      <w:tblPr>
        <w:tblStyle w:val="2"/>
        <w:tblW w:w="4850" w:type="pct"/>
        <w:jc w:val="center"/>
        <w:tblLayout w:type="autofit"/>
        <w:tblCellMar>
          <w:top w:w="0" w:type="dxa"/>
          <w:left w:w="108" w:type="dxa"/>
          <w:bottom w:w="0" w:type="dxa"/>
          <w:right w:w="108" w:type="dxa"/>
        </w:tblCellMar>
      </w:tblPr>
      <w:tblGrid>
        <w:gridCol w:w="1255"/>
        <w:gridCol w:w="3258"/>
        <w:gridCol w:w="2467"/>
        <w:gridCol w:w="1286"/>
      </w:tblGrid>
      <w:tr>
        <w:tblPrEx>
          <w:tblCellMar>
            <w:top w:w="0" w:type="dxa"/>
            <w:left w:w="108" w:type="dxa"/>
            <w:bottom w:w="0" w:type="dxa"/>
            <w:right w:w="108" w:type="dxa"/>
          </w:tblCellMar>
        </w:tblPrEx>
        <w:trPr>
          <w:trHeight w:val="315" w:hRule="atLeast"/>
          <w:jc w:val="center"/>
        </w:trPr>
        <w:tc>
          <w:tcPr>
            <w:tcW w:w="759" w:type="pc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产品名称</w:t>
            </w:r>
          </w:p>
        </w:tc>
        <w:tc>
          <w:tcPr>
            <w:tcW w:w="1970"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产品用途</w:t>
            </w:r>
          </w:p>
        </w:tc>
        <w:tc>
          <w:tcPr>
            <w:tcW w:w="1492"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参考配置</w:t>
            </w:r>
          </w:p>
        </w:tc>
        <w:tc>
          <w:tcPr>
            <w:tcW w:w="777"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参考报价（元）</w:t>
            </w:r>
          </w:p>
        </w:tc>
      </w:tr>
      <w:tr>
        <w:tblPrEx>
          <w:tblCellMar>
            <w:top w:w="0" w:type="dxa"/>
            <w:left w:w="108" w:type="dxa"/>
            <w:bottom w:w="0" w:type="dxa"/>
            <w:right w:w="108" w:type="dxa"/>
          </w:tblCellMar>
        </w:tblPrEx>
        <w:trPr>
          <w:trHeight w:val="645" w:hRule="atLeast"/>
          <w:jc w:val="center"/>
        </w:trPr>
        <w:tc>
          <w:tcPr>
            <w:tcW w:w="759"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云速建站CloudSite</w:t>
            </w:r>
          </w:p>
        </w:tc>
        <w:tc>
          <w:tcPr>
            <w:tcW w:w="19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上千套网站模板，覆盖上百行业，直接通过选择模板的形式快速建立五合一网站（PC/手机/小程序/微信公众号/App）</w:t>
            </w:r>
          </w:p>
        </w:tc>
        <w:tc>
          <w:tcPr>
            <w:tcW w:w="149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企业版</w:t>
            </w:r>
          </w:p>
        </w:tc>
        <w:tc>
          <w:tcPr>
            <w:tcW w:w="77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1980</w:t>
            </w:r>
          </w:p>
        </w:tc>
      </w:tr>
      <w:tr>
        <w:tblPrEx>
          <w:tblCellMar>
            <w:top w:w="0" w:type="dxa"/>
            <w:left w:w="108" w:type="dxa"/>
            <w:bottom w:w="0" w:type="dxa"/>
            <w:right w:w="108" w:type="dxa"/>
          </w:tblCellMar>
        </w:tblPrEx>
        <w:trPr>
          <w:trHeight w:val="158" w:hRule="atLeast"/>
          <w:jc w:val="center"/>
        </w:trPr>
        <w:tc>
          <w:tcPr>
            <w:tcW w:w="759"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域名注册服务Domains</w:t>
            </w:r>
          </w:p>
        </w:tc>
        <w:tc>
          <w:tcPr>
            <w:tcW w:w="19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需购买域名方可让用户访问到网站</w:t>
            </w:r>
          </w:p>
        </w:tc>
        <w:tc>
          <w:tcPr>
            <w:tcW w:w="149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域名</w:t>
            </w:r>
          </w:p>
        </w:tc>
        <w:tc>
          <w:tcPr>
            <w:tcW w:w="77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78</w:t>
            </w:r>
          </w:p>
        </w:tc>
      </w:tr>
      <w:tr>
        <w:tblPrEx>
          <w:tblCellMar>
            <w:top w:w="0" w:type="dxa"/>
            <w:left w:w="108" w:type="dxa"/>
            <w:bottom w:w="0" w:type="dxa"/>
            <w:right w:w="108" w:type="dxa"/>
          </w:tblCellMar>
        </w:tblPrEx>
        <w:trPr>
          <w:trHeight w:val="600" w:hRule="atLeast"/>
          <w:jc w:val="center"/>
        </w:trPr>
        <w:tc>
          <w:tcPr>
            <w:tcW w:w="759"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安全证书服务SSL</w:t>
            </w:r>
          </w:p>
        </w:tc>
        <w:tc>
          <w:tcPr>
            <w:tcW w:w="197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为网站添加HTTPS加密访问支持，提升安全性，提高客户信赖。</w:t>
            </w:r>
          </w:p>
        </w:tc>
        <w:tc>
          <w:tcPr>
            <w:tcW w:w="1492"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Helvetica"/>
                <w:snapToGrid w:val="0"/>
                <w:color w:val="000000"/>
                <w:kern w:val="0"/>
                <w:sz w:val="18"/>
                <w:szCs w:val="18"/>
                <w:shd w:val="clear" w:color="auto" w:fill="FFFFFF"/>
              </w:rPr>
            </w:pPr>
            <w:r>
              <w:rPr>
                <w:rFonts w:ascii="宋体" w:hAnsi="宋体" w:cs="Helvetica"/>
                <w:snapToGrid w:val="0"/>
                <w:color w:val="000000"/>
                <w:kern w:val="0"/>
                <w:sz w:val="18"/>
                <w:szCs w:val="18"/>
                <w:shd w:val="clear" w:color="auto" w:fill="FFFFFF"/>
              </w:rPr>
              <w:t>OV Pro（专业版企业型）| DigiCert|多域名|1年|1个</w:t>
            </w:r>
          </w:p>
          <w:p>
            <w:pPr>
              <w:widowControl/>
              <w:adjustRightInd w:val="0"/>
              <w:snapToGrid w:val="0"/>
              <w:jc w:val="left"/>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附加单域名</w:t>
            </w:r>
            <w:r>
              <w:rPr>
                <w:rFonts w:hint="eastAsia" w:ascii="宋体" w:hAnsi="宋体" w:cs="Helvetica"/>
                <w:snapToGrid w:val="0"/>
                <w:color w:val="000000"/>
                <w:kern w:val="0"/>
                <w:sz w:val="18"/>
                <w:szCs w:val="18"/>
                <w:shd w:val="clear" w:color="auto" w:fill="FFFFFF"/>
              </w:rPr>
              <w:t xml:space="preserve"> 1个</w:t>
            </w:r>
          </w:p>
        </w:tc>
        <w:tc>
          <w:tcPr>
            <w:tcW w:w="777"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13,280.00</w:t>
            </w:r>
          </w:p>
        </w:tc>
      </w:tr>
    </w:tbl>
    <w:p>
      <w:pPr>
        <w:autoSpaceDE w:val="0"/>
        <w:autoSpaceDN w:val="0"/>
        <w:adjustRightInd w:val="0"/>
        <w:spacing w:line="360" w:lineRule="auto"/>
        <w:jc w:val="left"/>
        <w:rPr>
          <w:rFonts w:ascii="宋体" w:hAnsi="宋体"/>
          <w:b/>
          <w:snapToGrid w:val="0"/>
          <w:color w:val="000000"/>
          <w:kern w:val="0"/>
          <w:szCs w:val="18"/>
        </w:rPr>
      </w:pPr>
      <w:r>
        <w:rPr>
          <w:rFonts w:ascii="宋体" w:hAnsi="宋体"/>
          <w:b/>
          <w:snapToGrid w:val="0"/>
          <w:color w:val="000000"/>
          <w:kern w:val="0"/>
          <w:szCs w:val="18"/>
        </w:rPr>
        <w:t>9</w:t>
      </w:r>
      <w:r>
        <w:rPr>
          <w:rFonts w:hint="eastAsia" w:ascii="宋体" w:hAnsi="宋体"/>
          <w:b/>
          <w:snapToGrid w:val="0"/>
          <w:color w:val="000000"/>
          <w:kern w:val="0"/>
          <w:szCs w:val="18"/>
        </w:rPr>
        <w:t>、云上等保合规改造（二、三级）</w:t>
      </w:r>
    </w:p>
    <w:tbl>
      <w:tblPr>
        <w:tblStyle w:val="2"/>
        <w:tblW w:w="4979" w:type="pct"/>
        <w:jc w:val="center"/>
        <w:tblLayout w:type="autofit"/>
        <w:tblCellMar>
          <w:top w:w="0" w:type="dxa"/>
          <w:left w:w="108" w:type="dxa"/>
          <w:bottom w:w="0" w:type="dxa"/>
          <w:right w:w="108" w:type="dxa"/>
        </w:tblCellMar>
      </w:tblPr>
      <w:tblGrid>
        <w:gridCol w:w="1100"/>
        <w:gridCol w:w="3294"/>
        <w:gridCol w:w="2766"/>
        <w:gridCol w:w="1326"/>
      </w:tblGrid>
      <w:tr>
        <w:tblPrEx>
          <w:tblCellMar>
            <w:top w:w="0" w:type="dxa"/>
            <w:left w:w="108" w:type="dxa"/>
            <w:bottom w:w="0" w:type="dxa"/>
            <w:right w:w="108" w:type="dxa"/>
          </w:tblCellMar>
        </w:tblPrEx>
        <w:trPr>
          <w:trHeight w:val="315" w:hRule="atLeast"/>
          <w:tblHeader/>
          <w:jc w:val="center"/>
        </w:trPr>
        <w:tc>
          <w:tcPr>
            <w:tcW w:w="648" w:type="pc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产品名称</w:t>
            </w:r>
          </w:p>
        </w:tc>
        <w:tc>
          <w:tcPr>
            <w:tcW w:w="1940"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产品用途</w:t>
            </w:r>
          </w:p>
        </w:tc>
        <w:tc>
          <w:tcPr>
            <w:tcW w:w="1629"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参考配置</w:t>
            </w:r>
          </w:p>
        </w:tc>
        <w:tc>
          <w:tcPr>
            <w:tcW w:w="781" w:type="pct"/>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参考报价（元）</w:t>
            </w:r>
          </w:p>
        </w:tc>
      </w:tr>
      <w:tr>
        <w:tblPrEx>
          <w:tblCellMar>
            <w:top w:w="0" w:type="dxa"/>
            <w:left w:w="108" w:type="dxa"/>
            <w:bottom w:w="0" w:type="dxa"/>
            <w:right w:w="108" w:type="dxa"/>
          </w:tblCellMar>
        </w:tblPrEx>
        <w:trPr>
          <w:trHeight w:val="50"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企业主机安全HSS</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保护企业云主机不受入侵、挂马等威胁攻击</w:t>
            </w:r>
          </w:p>
        </w:tc>
        <w:tc>
          <w:tcPr>
            <w:tcW w:w="162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企业主机安全 1 旗舰版</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2,000.00</w:t>
            </w:r>
          </w:p>
        </w:tc>
      </w:tr>
      <w:tr>
        <w:tblPrEx>
          <w:tblCellMar>
            <w:top w:w="0" w:type="dxa"/>
            <w:left w:w="108" w:type="dxa"/>
            <w:bottom w:w="0" w:type="dxa"/>
            <w:right w:w="108" w:type="dxa"/>
          </w:tblCellMar>
        </w:tblPrEx>
        <w:trPr>
          <w:trHeight w:val="151"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Web应用防火墙WAF</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保护应用流量，识别已知和未知流量风险，应对针对应用的攻击行为</w:t>
            </w:r>
          </w:p>
        </w:tc>
        <w:tc>
          <w:tcPr>
            <w:tcW w:w="162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Web应用防火墙 1 标准版</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38,800.00</w:t>
            </w:r>
          </w:p>
        </w:tc>
      </w:tr>
      <w:tr>
        <w:tblPrEx>
          <w:tblCellMar>
            <w:top w:w="0" w:type="dxa"/>
            <w:left w:w="108" w:type="dxa"/>
            <w:bottom w:w="0" w:type="dxa"/>
            <w:right w:w="108" w:type="dxa"/>
          </w:tblCellMar>
        </w:tblPrEx>
        <w:trPr>
          <w:trHeight w:val="374"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SSL证书</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加密网络通讯</w:t>
            </w:r>
          </w:p>
        </w:tc>
        <w:tc>
          <w:tcPr>
            <w:tcW w:w="162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Helvetica"/>
                <w:snapToGrid w:val="0"/>
                <w:color w:val="000000"/>
                <w:kern w:val="0"/>
                <w:sz w:val="18"/>
                <w:szCs w:val="18"/>
                <w:shd w:val="clear" w:color="auto" w:fill="FFFFFF"/>
              </w:rPr>
            </w:pPr>
            <w:r>
              <w:rPr>
                <w:rFonts w:ascii="宋体" w:hAnsi="宋体" w:cs="Helvetica"/>
                <w:snapToGrid w:val="0"/>
                <w:color w:val="000000"/>
                <w:kern w:val="0"/>
                <w:sz w:val="18"/>
                <w:szCs w:val="18"/>
                <w:shd w:val="clear" w:color="auto" w:fill="FFFFFF"/>
              </w:rPr>
              <w:t>OV Pro（专业版企业型）| DigiCert|多域名|1年|1个</w:t>
            </w:r>
          </w:p>
          <w:p>
            <w:pPr>
              <w:widowControl/>
              <w:adjustRightInd w:val="0"/>
              <w:snapToGrid w:val="0"/>
              <w:jc w:val="left"/>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附加单域名</w:t>
            </w:r>
            <w:r>
              <w:rPr>
                <w:rFonts w:hint="eastAsia" w:ascii="宋体" w:hAnsi="宋体" w:cs="Helvetica"/>
                <w:snapToGrid w:val="0"/>
                <w:color w:val="000000"/>
                <w:kern w:val="0"/>
                <w:sz w:val="18"/>
                <w:szCs w:val="18"/>
                <w:shd w:val="clear" w:color="auto" w:fill="FFFFFF"/>
              </w:rPr>
              <w:t xml:space="preserve"> 1个</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宋体"/>
                <w:color w:val="000000"/>
                <w:kern w:val="0"/>
                <w:sz w:val="18"/>
                <w:szCs w:val="18"/>
              </w:rPr>
              <w:t>13,280.00</w:t>
            </w:r>
          </w:p>
        </w:tc>
      </w:tr>
      <w:tr>
        <w:tblPrEx>
          <w:tblCellMar>
            <w:top w:w="0" w:type="dxa"/>
            <w:left w:w="108" w:type="dxa"/>
            <w:bottom w:w="0" w:type="dxa"/>
            <w:right w:w="108" w:type="dxa"/>
          </w:tblCellMar>
        </w:tblPrEx>
        <w:trPr>
          <w:trHeight w:val="300"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云堡垒机CBH</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实现管理唯一入口，且具有审计功能</w:t>
            </w:r>
          </w:p>
        </w:tc>
        <w:tc>
          <w:tcPr>
            <w:tcW w:w="1629"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s="Helvetica"/>
                <w:color w:val="000000"/>
                <w:kern w:val="0"/>
                <w:sz w:val="18"/>
                <w:szCs w:val="18"/>
              </w:rPr>
            </w:pPr>
            <w:r>
              <w:rPr>
                <w:rFonts w:ascii="宋体" w:hAnsi="宋体" w:cs="Helvetica"/>
                <w:color w:val="000000"/>
                <w:kern w:val="0"/>
                <w:sz w:val="18"/>
                <w:szCs w:val="18"/>
              </w:rPr>
              <w:t>100资产标准版</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37,800.00</w:t>
            </w:r>
          </w:p>
        </w:tc>
      </w:tr>
      <w:tr>
        <w:tblPrEx>
          <w:tblCellMar>
            <w:top w:w="0" w:type="dxa"/>
            <w:left w:w="108" w:type="dxa"/>
            <w:bottom w:w="0" w:type="dxa"/>
            <w:right w:w="108" w:type="dxa"/>
          </w:tblCellMar>
        </w:tblPrEx>
        <w:trPr>
          <w:trHeight w:val="519"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态势感知SA</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 xml:space="preserve"> 为用户提供统一的威胁检测和风险处置平台。帮助用户检测云上资产遭受到的各种典型安全风险，还原攻击历史，感知攻击现状，预测攻击态势</w:t>
            </w:r>
          </w:p>
        </w:tc>
        <w:tc>
          <w:tcPr>
            <w:tcW w:w="1629" w:type="pct"/>
            <w:tcBorders>
              <w:top w:val="nil"/>
              <w:left w:val="nil"/>
              <w:bottom w:val="single" w:color="auto" w:sz="4" w:space="0"/>
              <w:right w:val="single" w:color="auto" w:sz="4" w:space="0"/>
            </w:tcBorders>
            <w:noWrap w:val="0"/>
            <w:vAlign w:val="center"/>
          </w:tcPr>
          <w:p>
            <w:pPr>
              <w:widowControl/>
              <w:shd w:val="clear" w:color="auto" w:fill="FFFFFF"/>
              <w:adjustRightInd w:val="0"/>
              <w:snapToGrid w:val="0"/>
              <w:jc w:val="left"/>
              <w:rPr>
                <w:rFonts w:ascii="宋体" w:hAnsi="宋体" w:cs="Helvetica"/>
                <w:color w:val="000000"/>
                <w:kern w:val="0"/>
                <w:sz w:val="18"/>
                <w:szCs w:val="18"/>
              </w:rPr>
            </w:pPr>
            <w:r>
              <w:rPr>
                <w:rFonts w:ascii="宋体" w:hAnsi="宋体" w:cs="Helvetica"/>
                <w:color w:val="000000"/>
                <w:kern w:val="0"/>
                <w:sz w:val="18"/>
                <w:szCs w:val="18"/>
              </w:rPr>
              <w:t>最大配额数5个</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7500</w:t>
            </w:r>
          </w:p>
        </w:tc>
      </w:tr>
      <w:tr>
        <w:tblPrEx>
          <w:tblCellMar>
            <w:top w:w="0" w:type="dxa"/>
            <w:left w:w="108" w:type="dxa"/>
            <w:bottom w:w="0" w:type="dxa"/>
            <w:right w:w="108" w:type="dxa"/>
          </w:tblCellMar>
        </w:tblPrEx>
        <w:trPr>
          <w:trHeight w:val="900"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漏洞扫描服务VSS</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Web漏洞扫描、操作系统漏洞扫描、资产及内容合规检测、安全配置基线检查、弱密码检测、开源合规及漏洞检查、移动应用安全检查</w:t>
            </w:r>
          </w:p>
        </w:tc>
        <w:tc>
          <w:tcPr>
            <w:tcW w:w="162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ascii="宋体" w:hAnsi="宋体" w:cs="Helvetica"/>
                <w:snapToGrid w:val="0"/>
                <w:color w:val="000000"/>
                <w:kern w:val="0"/>
                <w:sz w:val="18"/>
                <w:szCs w:val="18"/>
                <w:shd w:val="clear" w:color="auto" w:fill="FFFFFF"/>
              </w:rPr>
              <w:t>漏洞扫描服务 | 高级版 | 1个</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48000</w:t>
            </w:r>
          </w:p>
        </w:tc>
      </w:tr>
      <w:tr>
        <w:tblPrEx>
          <w:tblCellMar>
            <w:top w:w="0" w:type="dxa"/>
            <w:left w:w="108" w:type="dxa"/>
            <w:bottom w:w="0" w:type="dxa"/>
            <w:right w:w="108" w:type="dxa"/>
          </w:tblCellMar>
        </w:tblPrEx>
        <w:trPr>
          <w:trHeight w:val="900"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威胁检测服务</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通过对IAM、CTS、OBS、DNS服务日志的多维检测，识别租户帐号、资源、审计、桶资产数据的异常和风险。</w:t>
            </w:r>
          </w:p>
        </w:tc>
        <w:tc>
          <w:tcPr>
            <w:tcW w:w="162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Helvetica"/>
                <w:snapToGrid w:val="0"/>
                <w:color w:val="000000"/>
                <w:kern w:val="0"/>
                <w:sz w:val="18"/>
                <w:szCs w:val="18"/>
                <w:shd w:val="clear" w:color="auto" w:fill="FFFFFF"/>
              </w:rPr>
            </w:pPr>
            <w:r>
              <w:rPr>
                <w:rFonts w:hint="eastAsia" w:ascii="宋体" w:hAnsi="宋体" w:cs="Helvetica"/>
                <w:snapToGrid w:val="0"/>
                <w:color w:val="000000"/>
                <w:kern w:val="0"/>
                <w:sz w:val="18"/>
                <w:szCs w:val="18"/>
                <w:shd w:val="clear" w:color="auto" w:fill="FFFFFF"/>
              </w:rPr>
              <w:t>IAM检测量：200万/月</w:t>
            </w:r>
          </w:p>
          <w:p>
            <w:pPr>
              <w:widowControl/>
              <w:adjustRightInd w:val="0"/>
              <w:snapToGrid w:val="0"/>
              <w:jc w:val="left"/>
              <w:rPr>
                <w:rFonts w:ascii="宋体" w:hAnsi="宋体" w:cs="Helvetica"/>
                <w:snapToGrid w:val="0"/>
                <w:color w:val="000000"/>
                <w:kern w:val="0"/>
                <w:sz w:val="18"/>
                <w:szCs w:val="18"/>
                <w:shd w:val="clear" w:color="auto" w:fill="FFFFFF"/>
              </w:rPr>
            </w:pPr>
            <w:r>
              <w:rPr>
                <w:rFonts w:hint="eastAsia" w:ascii="宋体" w:hAnsi="宋体" w:cs="Helvetica"/>
                <w:snapToGrid w:val="0"/>
                <w:color w:val="000000"/>
                <w:kern w:val="0"/>
                <w:sz w:val="18"/>
                <w:szCs w:val="18"/>
                <w:shd w:val="clear" w:color="auto" w:fill="FFFFFF"/>
              </w:rPr>
              <w:t>CTS检测事件数：2,000万/月</w:t>
            </w:r>
          </w:p>
          <w:p>
            <w:pPr>
              <w:widowControl/>
              <w:adjustRightInd w:val="0"/>
              <w:snapToGrid w:val="0"/>
              <w:jc w:val="left"/>
              <w:rPr>
                <w:rFonts w:ascii="宋体" w:hAnsi="宋体" w:cs="Helvetica"/>
                <w:snapToGrid w:val="0"/>
                <w:color w:val="000000"/>
                <w:kern w:val="0"/>
                <w:sz w:val="18"/>
                <w:szCs w:val="18"/>
                <w:shd w:val="clear" w:color="auto" w:fill="FFFFFF"/>
              </w:rPr>
            </w:pPr>
            <w:r>
              <w:rPr>
                <w:rFonts w:hint="eastAsia" w:ascii="宋体" w:hAnsi="宋体" w:cs="Helvetica"/>
                <w:snapToGrid w:val="0"/>
                <w:color w:val="000000"/>
                <w:kern w:val="0"/>
                <w:sz w:val="18"/>
                <w:szCs w:val="18"/>
                <w:shd w:val="clear" w:color="auto" w:fill="FFFFFF"/>
              </w:rPr>
              <w:t>OBS检测事件数：30,000万/月</w:t>
            </w:r>
          </w:p>
          <w:p>
            <w:pPr>
              <w:widowControl/>
              <w:adjustRightInd w:val="0"/>
              <w:snapToGrid w:val="0"/>
              <w:jc w:val="left"/>
              <w:rPr>
                <w:rFonts w:ascii="宋体" w:hAnsi="宋体" w:cs="Helvetica"/>
                <w:snapToGrid w:val="0"/>
                <w:color w:val="000000"/>
                <w:kern w:val="0"/>
                <w:sz w:val="18"/>
                <w:szCs w:val="18"/>
                <w:shd w:val="clear" w:color="auto" w:fill="FFFFFF"/>
              </w:rPr>
            </w:pPr>
            <w:r>
              <w:rPr>
                <w:rFonts w:hint="eastAsia" w:ascii="宋体" w:hAnsi="宋体" w:cs="Helvetica"/>
                <w:snapToGrid w:val="0"/>
                <w:color w:val="000000"/>
                <w:kern w:val="0"/>
                <w:sz w:val="18"/>
                <w:szCs w:val="18"/>
                <w:shd w:val="clear" w:color="auto" w:fill="FFFFFF"/>
              </w:rPr>
              <w:t>DNS检测量：230G/月</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5</w:t>
            </w:r>
            <w:r>
              <w:rPr>
                <w:rFonts w:ascii="宋体" w:hAnsi="宋体" w:cs="宋体"/>
                <w:color w:val="000000"/>
                <w:kern w:val="0"/>
                <w:sz w:val="18"/>
                <w:szCs w:val="18"/>
              </w:rPr>
              <w:t>2,788</w:t>
            </w:r>
          </w:p>
        </w:tc>
      </w:tr>
      <w:tr>
        <w:tblPrEx>
          <w:tblCellMar>
            <w:top w:w="0" w:type="dxa"/>
            <w:left w:w="108" w:type="dxa"/>
            <w:bottom w:w="0" w:type="dxa"/>
            <w:right w:w="108" w:type="dxa"/>
          </w:tblCellMar>
        </w:tblPrEx>
        <w:trPr>
          <w:trHeight w:val="900"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云防火墙</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具备精细化应用管控，可为用户提供灵活的安全访问控制，包括策略阻止、会话限制等。同时，还具备入侵防御、病毒过滤、攻击防护等功能，满足客户对安全访问，攻击防护以及应用识别和控制等需求。</w:t>
            </w:r>
          </w:p>
        </w:tc>
        <w:tc>
          <w:tcPr>
            <w:tcW w:w="162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Helvetica"/>
                <w:snapToGrid w:val="0"/>
                <w:color w:val="000000"/>
                <w:kern w:val="0"/>
                <w:sz w:val="18"/>
                <w:szCs w:val="18"/>
                <w:shd w:val="clear" w:color="auto" w:fill="FFFFFF"/>
              </w:rPr>
            </w:pPr>
            <w:r>
              <w:rPr>
                <w:rFonts w:hint="eastAsia" w:ascii="宋体" w:hAnsi="宋体" w:cs="Helvetica"/>
                <w:snapToGrid w:val="0"/>
                <w:color w:val="000000"/>
                <w:kern w:val="0"/>
                <w:sz w:val="18"/>
                <w:szCs w:val="18"/>
                <w:shd w:val="clear" w:color="auto" w:fill="FFFFFF"/>
              </w:rPr>
              <w:t>山石引擎</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2</w:t>
            </w:r>
            <w:r>
              <w:rPr>
                <w:rFonts w:ascii="宋体" w:hAnsi="宋体" w:cs="宋体"/>
                <w:color w:val="000000"/>
                <w:kern w:val="0"/>
                <w:sz w:val="18"/>
                <w:szCs w:val="18"/>
              </w:rPr>
              <w:t>8,000</w:t>
            </w:r>
          </w:p>
        </w:tc>
      </w:tr>
      <w:tr>
        <w:tblPrEx>
          <w:tblCellMar>
            <w:top w:w="0" w:type="dxa"/>
            <w:left w:w="108" w:type="dxa"/>
            <w:bottom w:w="0" w:type="dxa"/>
            <w:right w:w="108" w:type="dxa"/>
          </w:tblCellMar>
        </w:tblPrEx>
        <w:trPr>
          <w:trHeight w:val="563" w:hRule="atLeast"/>
          <w:jc w:val="center"/>
        </w:trPr>
        <w:tc>
          <w:tcPr>
            <w:tcW w:w="648" w:type="pct"/>
            <w:tcBorders>
              <w:top w:val="nil"/>
              <w:left w:val="single" w:color="auto" w:sz="4" w:space="0"/>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企业主机安全HSS</w:t>
            </w:r>
          </w:p>
        </w:tc>
        <w:tc>
          <w:tcPr>
            <w:tcW w:w="1940"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保护企业云主机不受入侵、挂马等威胁攻击</w:t>
            </w:r>
          </w:p>
        </w:tc>
        <w:tc>
          <w:tcPr>
            <w:tcW w:w="1629"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Helvetica"/>
                <w:snapToGrid w:val="0"/>
                <w:color w:val="000000"/>
                <w:kern w:val="0"/>
                <w:sz w:val="18"/>
                <w:szCs w:val="18"/>
                <w:shd w:val="clear" w:color="auto" w:fill="FFFFFF"/>
              </w:rPr>
            </w:pPr>
            <w:r>
              <w:rPr>
                <w:rFonts w:ascii="宋体" w:hAnsi="宋体" w:cs="Helvetica"/>
                <w:snapToGrid w:val="0"/>
                <w:color w:val="000000"/>
                <w:kern w:val="0"/>
                <w:sz w:val="18"/>
                <w:szCs w:val="18"/>
                <w:shd w:val="clear" w:color="auto" w:fill="FFFFFF"/>
              </w:rPr>
              <w:t xml:space="preserve">企业主机安全 1 </w:t>
            </w:r>
            <w:r>
              <w:rPr>
                <w:rFonts w:hint="eastAsia" w:ascii="宋体" w:hAnsi="宋体" w:cs="Helvetica"/>
                <w:snapToGrid w:val="0"/>
                <w:color w:val="000000"/>
                <w:kern w:val="0"/>
                <w:sz w:val="18"/>
                <w:szCs w:val="18"/>
                <w:shd w:val="clear" w:color="auto" w:fill="FFFFFF"/>
              </w:rPr>
              <w:t>旗舰版</w:t>
            </w:r>
          </w:p>
        </w:tc>
        <w:tc>
          <w:tcPr>
            <w:tcW w:w="781" w:type="pct"/>
            <w:tcBorders>
              <w:top w:val="nil"/>
              <w:left w:val="nil"/>
              <w:bottom w:val="single" w:color="auto" w:sz="4" w:space="0"/>
              <w:right w:val="single" w:color="auto" w:sz="4" w:space="0"/>
            </w:tcBorders>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2,000.00</w:t>
            </w:r>
          </w:p>
        </w:tc>
      </w:tr>
    </w:tbl>
    <w:p>
      <w:pPr>
        <w:numPr>
          <w:ilvl w:val="0"/>
          <w:numId w:val="1"/>
        </w:numPr>
        <w:autoSpaceDE w:val="0"/>
        <w:autoSpaceDN w:val="0"/>
        <w:adjustRightInd w:val="0"/>
        <w:spacing w:line="360" w:lineRule="auto"/>
        <w:jc w:val="left"/>
        <w:rPr>
          <w:rFonts w:ascii="宋体" w:hAnsi="宋体"/>
          <w:b/>
          <w:snapToGrid w:val="0"/>
          <w:color w:val="000000"/>
          <w:kern w:val="0"/>
          <w:szCs w:val="18"/>
        </w:rPr>
      </w:pPr>
      <w:r>
        <w:rPr>
          <w:rFonts w:hint="eastAsia" w:ascii="宋体" w:hAnsi="宋体"/>
          <w:b/>
          <w:snapToGrid w:val="0"/>
          <w:color w:val="000000"/>
          <w:kern w:val="0"/>
          <w:szCs w:val="18"/>
        </w:rPr>
        <w:t>行业解决方案</w:t>
      </w:r>
    </w:p>
    <w:p>
      <w:pPr>
        <w:rPr>
          <w:rFonts w:ascii="宋体" w:hAnsi="宋体"/>
          <w:b/>
          <w:snapToGrid w:val="0"/>
          <w:color w:val="000000"/>
          <w:kern w:val="0"/>
          <w:szCs w:val="18"/>
        </w:rPr>
      </w:pPr>
      <w:r>
        <w:rPr>
          <w:rFonts w:hint="eastAsia" w:ascii="宋体" w:hAnsi="宋体"/>
          <w:b/>
          <w:snapToGrid w:val="0"/>
          <w:color w:val="000000"/>
          <w:kern w:val="0"/>
          <w:szCs w:val="18"/>
        </w:rPr>
        <w:t>1、制造业智能化系统</w:t>
      </w:r>
    </w:p>
    <w:tbl>
      <w:tblPr>
        <w:tblStyle w:val="2"/>
        <w:tblW w:w="8880"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7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566" w:type="dxa"/>
            <w:noWrap w:val="0"/>
            <w:vAlign w:val="center"/>
          </w:tcPr>
          <w:p>
            <w:pPr>
              <w:pStyle w:val="4"/>
              <w:adjustRightInd w:val="0"/>
              <w:snapToGrid w:val="0"/>
              <w:ind w:firstLine="0"/>
              <w:jc w:val="center"/>
              <w:rPr>
                <w:rFonts w:ascii="等线" w:hAnsi="等线" w:eastAsia="等线"/>
                <w:b/>
                <w:sz w:val="18"/>
              </w:rPr>
            </w:pPr>
            <w:r>
              <w:rPr>
                <w:rFonts w:hint="eastAsia" w:ascii="等线" w:hAnsi="等线" w:eastAsia="等线"/>
                <w:b/>
                <w:sz w:val="18"/>
              </w:rPr>
              <w:t>产品名称</w:t>
            </w:r>
          </w:p>
        </w:tc>
        <w:tc>
          <w:tcPr>
            <w:tcW w:w="7314" w:type="dxa"/>
            <w:noWrap w:val="0"/>
            <w:vAlign w:val="center"/>
          </w:tcPr>
          <w:p>
            <w:pPr>
              <w:pStyle w:val="4"/>
              <w:adjustRightInd w:val="0"/>
              <w:snapToGrid w:val="0"/>
              <w:ind w:firstLine="0"/>
              <w:jc w:val="center"/>
              <w:rPr>
                <w:rFonts w:ascii="等线" w:hAnsi="等线" w:eastAsia="等线"/>
                <w:b/>
                <w:sz w:val="18"/>
              </w:rPr>
            </w:pPr>
            <w:r>
              <w:rPr>
                <w:rFonts w:hint="eastAsia" w:ascii="等线" w:hAnsi="等线" w:eastAsia="等线"/>
                <w:b/>
                <w:sz w:val="18"/>
              </w:rPr>
              <w:t>产品介绍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黑湖智造协同解决方案</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基于云计算的智能制造协同系统，主要为制造业提供计划排产、生产执行、质量管理、物流管理、物料管理、可视化数据分析等协同制造功能。 主要服务于离散制造业及部分连续型制造业，应用场景用于计划调度、生产派单及过程管控、生产进度的实施把控、物流及物料的协同配合、管理层对生产数据的分析等。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微茗机加工协同智造解决方案</w:t>
            </w:r>
          </w:p>
        </w:tc>
        <w:tc>
          <w:tcPr>
            <w:tcW w:w="7314" w:type="dxa"/>
            <w:vMerge w:val="restart"/>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提供设备生产监控和协同制造的平台，可选多个内部应用，包括设备数据采集分析、工艺管理，生产计划管理，设备远程诊断，可视化等，此系统可基于鲲鹏云服务器进行部署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万腾云MES</w:t>
            </w:r>
          </w:p>
        </w:tc>
        <w:tc>
          <w:tcPr>
            <w:tcW w:w="7314" w:type="dxa"/>
            <w:vMerge w:val="continue"/>
            <w:noWrap w:val="0"/>
            <w:vAlign w:val="center"/>
          </w:tcPr>
          <w:p>
            <w:pPr>
              <w:pStyle w:val="4"/>
              <w:adjustRightInd w:val="0"/>
              <w:snapToGrid w:val="0"/>
              <w:ind w:firstLine="0"/>
              <w:jc w:val="center"/>
              <w:rPr>
                <w:rFonts w:ascii="等线" w:hAnsi="等线" w:eastAsia="等线"/>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鼎捷sMES智能车间执行解决方案</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满足企业在制品管理、质量控管、设备整合与管理、问题追溯分析、生产车间实时数据采集等关键需求；并依照行业特性、管理方式或生产模式等不同，进行阶段性信息化需求整合。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智塑云MES系统</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一款轻量级注塑生产企业的生产管理执行系统，着力于解决全国中小型注塑生产企业在生产制造信息化过程中遇到的各种问题。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环思纺织服装工业互联网平台</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环思纺织服装工业互联网平台是针对纺织、服装、家纺行业特点，并结合10余年成功实施经验研发而成的。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Mixlinker工业IOT平台解决方案</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工业垂直领域和不同场景提供数据采集、数据存储、数据处理和应用接口对接等底层工作的支撑，支持工业领域大规模高并发数据处理的物联网解决方案。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语祯云工</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设备状态监控、DNC、生产执行、IOT接入以实现生产透明制造过程可控；充分发挥产能 减少各种浪费；找到生产瓶颈 改进制造工艺；效率持续改善产量稳步提升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云智控</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能管理系统，帮助企业实现可视化管理、智能化控制并整站节能，完成从设备节能到系统节能的改造，从粗放型管理到精细化管理的升级。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华天软件Inforcenter PLM解决方案</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协同管理以产品数据为核心，解决从用户需求、订单信息、产品开发、工艺设计、生产制造、维护维修整个生命周期过程中的不同类型数据管理、过程管理以及跨部门、跨区域和供应链协同工作的软件系统及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CAXA PLM协同管理解决方案</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面向制造业产品全生命周期管理业务过程，旨在为企业提供从需求收集、产品设计、工艺设计到车间生产的智能制造管理平台。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566"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盛原成工业IOT解决方案</w:t>
            </w:r>
          </w:p>
        </w:tc>
        <w:tc>
          <w:tcPr>
            <w:tcW w:w="7314"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装备制造业提供设备服务生命周期管理解决方案，实现设备用户、服务商和制造商的连接;</w:t>
            </w:r>
          </w:p>
        </w:tc>
      </w:tr>
    </w:tbl>
    <w:p>
      <w:pPr>
        <w:rPr>
          <w:rFonts w:ascii="宋体" w:hAnsi="宋体"/>
          <w:b/>
          <w:snapToGrid w:val="0"/>
          <w:color w:val="000000"/>
          <w:kern w:val="0"/>
          <w:szCs w:val="18"/>
        </w:rPr>
      </w:pPr>
    </w:p>
    <w:p>
      <w:pPr>
        <w:rPr>
          <w:rFonts w:ascii="宋体" w:hAnsi="宋体"/>
          <w:b/>
          <w:snapToGrid w:val="0"/>
          <w:color w:val="000000"/>
          <w:kern w:val="0"/>
          <w:szCs w:val="18"/>
        </w:rPr>
      </w:pPr>
      <w:r>
        <w:rPr>
          <w:rFonts w:hint="eastAsia" w:ascii="宋体" w:hAnsi="宋体"/>
          <w:b/>
          <w:snapToGrid w:val="0"/>
          <w:color w:val="000000"/>
          <w:kern w:val="0"/>
          <w:szCs w:val="18"/>
        </w:rPr>
        <w:t>2、通用销售及供应链管理</w:t>
      </w:r>
    </w:p>
    <w:tbl>
      <w:tblPr>
        <w:tblStyle w:val="2"/>
        <w:tblW w:w="8865" w:type="dxa"/>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7"/>
        <w:gridCol w:w="7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纷享销客CRM</w:t>
            </w:r>
          </w:p>
        </w:tc>
        <w:tc>
          <w:tcPr>
            <w:tcW w:w="718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企业提供销售管理、营销管理及服务管理为一体的移动化客户全生命周期管理，助力企业实现外部业务、内部员工、上下游伙伴之间的互联互通，构建连接企业内外的业务价值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欧电云SRP大中台系列软件</w:t>
            </w:r>
          </w:p>
        </w:tc>
        <w:tc>
          <w:tcPr>
            <w:tcW w:w="718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对各行业品牌商业务全渠道销售的统一管理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融汇员SCRM会员管理及营销平台</w:t>
            </w:r>
          </w:p>
        </w:tc>
        <w:tc>
          <w:tcPr>
            <w:tcW w:w="718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以会员运营为核心的会员营销管理系统，为企业打通微信、门店、电商等线上线下全渠道会员管理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红圈CRM</w:t>
            </w:r>
          </w:p>
        </w:tc>
        <w:tc>
          <w:tcPr>
            <w:tcW w:w="718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帮助企业实现从线索转化、商机跟进、合同回款到客户服务的全流程精细化管理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医码平川医药溯源平台</w:t>
            </w:r>
          </w:p>
        </w:tc>
        <w:tc>
          <w:tcPr>
            <w:tcW w:w="718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为医药生产、流通、零售企业提供医药追溯服务，数据安全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用友U9cloud制造管理解决方案</w:t>
            </w:r>
          </w:p>
        </w:tc>
        <w:tc>
          <w:tcPr>
            <w:tcW w:w="718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构建互联互通的智能制造体系，全面服务企业上云，实现云端一体化、管理数字化、生产智能化、管控精细化、运营敏捷化、经营国际化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甄云甄采云SRM解决方案</w:t>
            </w:r>
          </w:p>
        </w:tc>
        <w:tc>
          <w:tcPr>
            <w:tcW w:w="718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数字采购云平台 通过供应商管理、战略寻源、供应链敏捷协同、企业采购商城、云应用商城、智能分析等6大套件助力企业快速完成采购数字化转型。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阿帕TMS运输管理解决方案</w:t>
            </w:r>
          </w:p>
        </w:tc>
        <w:tc>
          <w:tcPr>
            <w:tcW w:w="7188" w:type="dxa"/>
            <w:vMerge w:val="restart"/>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零担专线运输管理系统、整车运输管理系统、同城配送管理系统、城乡物流管理系统、无车承运人管理系统等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677"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阿帕WMS仓储管理解决方案</w:t>
            </w:r>
          </w:p>
        </w:tc>
        <w:tc>
          <w:tcPr>
            <w:tcW w:w="7188" w:type="dxa"/>
            <w:vMerge w:val="continue"/>
            <w:noWrap w:val="0"/>
            <w:vAlign w:val="center"/>
          </w:tcPr>
          <w:p>
            <w:pPr>
              <w:pStyle w:val="4"/>
              <w:adjustRightInd w:val="0"/>
              <w:snapToGrid w:val="0"/>
              <w:ind w:firstLine="0"/>
              <w:jc w:val="center"/>
              <w:rPr>
                <w:rFonts w:ascii="等线" w:hAnsi="等线" w:eastAsia="等线"/>
                <w:sz w:val="18"/>
              </w:rPr>
            </w:pPr>
          </w:p>
        </w:tc>
      </w:tr>
    </w:tbl>
    <w:p>
      <w:pPr>
        <w:rPr>
          <w:rFonts w:hint="eastAsia"/>
        </w:rPr>
      </w:pPr>
    </w:p>
    <w:p>
      <w:pPr>
        <w:rPr>
          <w:rFonts w:ascii="宋体" w:hAnsi="宋体"/>
          <w:b/>
          <w:snapToGrid w:val="0"/>
          <w:color w:val="000000"/>
          <w:kern w:val="0"/>
          <w:szCs w:val="18"/>
        </w:rPr>
      </w:pPr>
      <w:r>
        <w:rPr>
          <w:rFonts w:hint="eastAsia" w:ascii="宋体" w:hAnsi="宋体"/>
          <w:b/>
          <w:snapToGrid w:val="0"/>
          <w:color w:val="000000"/>
          <w:kern w:val="0"/>
          <w:szCs w:val="18"/>
        </w:rPr>
        <w:t>3、无纸化办公及办公辅助系统</w:t>
      </w:r>
    </w:p>
    <w:tbl>
      <w:tblPr>
        <w:tblStyle w:val="2"/>
        <w:tblW w:w="8670" w:type="dxa"/>
        <w:tblInd w:w="1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7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4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泛微e-office</w:t>
            </w:r>
          </w:p>
        </w:tc>
        <w:tc>
          <w:tcPr>
            <w:tcW w:w="7722"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泛微e-office是一款标准化的协同OA办公软件，实行通用化产品设计，充分贴合企业管理需求，本着简洁易用、高效智能的原则，为企业快速打造移动化、无纸化、数字化的办公平台。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94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盖雅劳动力管理系统软件</w:t>
            </w:r>
          </w:p>
        </w:tc>
        <w:tc>
          <w:tcPr>
            <w:tcW w:w="7722"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排班业绩No1，主要面向制造业，餐饮，零售等行业的工作人员排班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94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致远协同管理软件</w:t>
            </w:r>
          </w:p>
        </w:tc>
        <w:tc>
          <w:tcPr>
            <w:tcW w:w="7722"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业界领先的协同办公平台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48"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WPS+云办公服务</w:t>
            </w:r>
          </w:p>
        </w:tc>
        <w:tc>
          <w:tcPr>
            <w:tcW w:w="7722" w:type="dxa"/>
            <w:noWrap w:val="0"/>
            <w:vAlign w:val="center"/>
          </w:tcPr>
          <w:p>
            <w:pPr>
              <w:pStyle w:val="4"/>
              <w:adjustRightInd w:val="0"/>
              <w:snapToGrid w:val="0"/>
              <w:ind w:firstLine="0"/>
              <w:jc w:val="center"/>
              <w:rPr>
                <w:rFonts w:ascii="等线" w:hAnsi="等线" w:eastAsia="等线"/>
                <w:sz w:val="18"/>
              </w:rPr>
            </w:pPr>
            <w:r>
              <w:rPr>
                <w:rFonts w:hint="eastAsia" w:ascii="等线" w:hAnsi="等线" w:eastAsia="等线"/>
                <w:sz w:val="18"/>
              </w:rPr>
              <w:t>基于WPS云文档、文档安全服务、企业管理后台、办公轻应用（日程/日历/待办）等全线产品的企业办公云服务</w:t>
            </w:r>
          </w:p>
        </w:tc>
      </w:tr>
    </w:tbl>
    <w:p>
      <w:pPr>
        <w:autoSpaceDE w:val="0"/>
        <w:autoSpaceDN w:val="0"/>
        <w:adjustRightInd w:val="0"/>
        <w:spacing w:line="360" w:lineRule="auto"/>
        <w:jc w:val="left"/>
        <w:rPr>
          <w:rFonts w:hint="eastAsia" w:ascii="宋体" w:hAnsi="宋体"/>
          <w:b/>
          <w:snapToGrid w:val="0"/>
          <w:color w:val="000000"/>
          <w:kern w:val="0"/>
          <w:szCs w:val="18"/>
        </w:rPr>
      </w:pPr>
      <w:r>
        <w:rPr>
          <w:rFonts w:hint="eastAsia" w:ascii="宋体" w:hAnsi="宋体"/>
          <w:b/>
          <w:snapToGrid w:val="0"/>
          <w:color w:val="000000"/>
          <w:kern w:val="0"/>
          <w:szCs w:val="18"/>
        </w:rPr>
        <w:t>三、高等院校人才服务方案</w:t>
      </w:r>
    </w:p>
    <w:tbl>
      <w:tblPr>
        <w:tblStyle w:val="2"/>
        <w:tblW w:w="4879" w:type="pct"/>
        <w:tblInd w:w="0" w:type="dxa"/>
        <w:tblLayout w:type="fixed"/>
        <w:tblCellMar>
          <w:top w:w="0" w:type="dxa"/>
          <w:left w:w="108" w:type="dxa"/>
          <w:bottom w:w="0" w:type="dxa"/>
          <w:right w:w="108" w:type="dxa"/>
        </w:tblCellMar>
      </w:tblPr>
      <w:tblGrid>
        <w:gridCol w:w="899"/>
        <w:gridCol w:w="5428"/>
        <w:gridCol w:w="1989"/>
      </w:tblGrid>
      <w:tr>
        <w:tblPrEx>
          <w:tblCellMar>
            <w:top w:w="0" w:type="dxa"/>
            <w:left w:w="108" w:type="dxa"/>
            <w:bottom w:w="0" w:type="dxa"/>
            <w:right w:w="108" w:type="dxa"/>
          </w:tblCellMar>
        </w:tblPrEx>
        <w:trPr>
          <w:trHeight w:val="348" w:hRule="atLeast"/>
        </w:trPr>
        <w:tc>
          <w:tcPr>
            <w:tcW w:w="541"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人才方案名称</w:t>
            </w:r>
          </w:p>
        </w:tc>
        <w:tc>
          <w:tcPr>
            <w:tcW w:w="3262" w:type="pct"/>
            <w:tcBorders>
              <w:top w:val="single" w:color="auto" w:sz="4" w:space="0"/>
              <w:left w:val="nil"/>
              <w:bottom w:val="single" w:color="auto" w:sz="4" w:space="0"/>
              <w:right w:val="single" w:color="auto" w:sz="4" w:space="0"/>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解决方案介绍</w:t>
            </w:r>
          </w:p>
        </w:tc>
        <w:tc>
          <w:tcPr>
            <w:tcW w:w="1196" w:type="pct"/>
            <w:tcBorders>
              <w:top w:val="single" w:color="auto" w:sz="4" w:space="0"/>
              <w:left w:val="nil"/>
              <w:bottom w:val="single" w:color="auto" w:sz="4" w:space="0"/>
              <w:right w:val="single" w:color="auto" w:sz="4" w:space="0"/>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参考报价</w:t>
            </w:r>
          </w:p>
        </w:tc>
      </w:tr>
      <w:tr>
        <w:tblPrEx>
          <w:tblCellMar>
            <w:top w:w="0" w:type="dxa"/>
            <w:left w:w="108" w:type="dxa"/>
            <w:bottom w:w="0" w:type="dxa"/>
            <w:right w:w="108" w:type="dxa"/>
          </w:tblCellMar>
        </w:tblPrEx>
        <w:trPr>
          <w:trHeight w:val="936" w:hRule="atLeast"/>
        </w:trPr>
        <w:tc>
          <w:tcPr>
            <w:tcW w:w="541" w:type="pc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华为开发者创新中心建设</w:t>
            </w:r>
          </w:p>
        </w:tc>
        <w:tc>
          <w:tcPr>
            <w:tcW w:w="3262" w:type="pct"/>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华为开发者创新中心结合互动场景体验、实验操作课程展示华为云技术、，通过“技术科普、互动体验、动手实操“多元化展示方式，培养学生的动手实践及创新。</w:t>
            </w:r>
          </w:p>
        </w:tc>
        <w:tc>
          <w:tcPr>
            <w:tcW w:w="1196" w:type="pct"/>
            <w:tcBorders>
              <w:top w:val="nil"/>
              <w:left w:val="nil"/>
              <w:bottom w:val="single" w:color="auto" w:sz="4" w:space="0"/>
              <w:right w:val="single" w:color="auto" w:sz="4" w:space="0"/>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参考华为云官网</w:t>
            </w:r>
          </w:p>
        </w:tc>
      </w:tr>
      <w:tr>
        <w:tblPrEx>
          <w:tblCellMar>
            <w:top w:w="0" w:type="dxa"/>
            <w:left w:w="108" w:type="dxa"/>
            <w:bottom w:w="0" w:type="dxa"/>
            <w:right w:w="108" w:type="dxa"/>
          </w:tblCellMar>
        </w:tblPrEx>
        <w:trPr>
          <w:trHeight w:val="624" w:hRule="atLeast"/>
        </w:trPr>
        <w:tc>
          <w:tcPr>
            <w:tcW w:w="541" w:type="pc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华为云物联网人才培养实训方案</w:t>
            </w:r>
          </w:p>
        </w:tc>
        <w:tc>
          <w:tcPr>
            <w:tcW w:w="3262" w:type="pct"/>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提供全栈的实验实训教学体验，多技术融通（IoT、AI、5G、HarmonyOS、V2X 等），实现课程资源随时学、端到端技能反复练的效果，助力教学与产业的融合，实现所学即所用。</w:t>
            </w:r>
          </w:p>
        </w:tc>
        <w:tc>
          <w:tcPr>
            <w:tcW w:w="1196" w:type="pct"/>
            <w:tcBorders>
              <w:top w:val="nil"/>
              <w:left w:val="nil"/>
              <w:bottom w:val="single" w:color="auto" w:sz="4" w:space="0"/>
              <w:right w:val="single" w:color="auto" w:sz="4" w:space="0"/>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参考华为云官网</w:t>
            </w:r>
          </w:p>
        </w:tc>
      </w:tr>
      <w:tr>
        <w:tblPrEx>
          <w:tblCellMar>
            <w:top w:w="0" w:type="dxa"/>
            <w:left w:w="108" w:type="dxa"/>
            <w:bottom w:w="0" w:type="dxa"/>
            <w:right w:w="108" w:type="dxa"/>
          </w:tblCellMar>
        </w:tblPrEx>
        <w:trPr>
          <w:trHeight w:val="624" w:hRule="atLeast"/>
        </w:trPr>
        <w:tc>
          <w:tcPr>
            <w:tcW w:w="541" w:type="pc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双创实践云平台</w:t>
            </w:r>
          </w:p>
        </w:tc>
        <w:tc>
          <w:tcPr>
            <w:tcW w:w="3262" w:type="pct"/>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提供云计算、大数据、人工智能、物联网等专业建设资源和师生的实践能力提升服务，大大解决了教学环境普通局限性，打破了ICT行业的教学瓶颈。</w:t>
            </w:r>
          </w:p>
        </w:tc>
        <w:tc>
          <w:tcPr>
            <w:tcW w:w="1196" w:type="pct"/>
            <w:tcBorders>
              <w:top w:val="nil"/>
              <w:left w:val="nil"/>
              <w:bottom w:val="single" w:color="auto" w:sz="4" w:space="0"/>
              <w:right w:val="single" w:color="auto" w:sz="4" w:space="0"/>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参考华为云官网</w:t>
            </w:r>
          </w:p>
        </w:tc>
      </w:tr>
      <w:tr>
        <w:tblPrEx>
          <w:tblCellMar>
            <w:top w:w="0" w:type="dxa"/>
            <w:left w:w="108" w:type="dxa"/>
            <w:bottom w:w="0" w:type="dxa"/>
            <w:right w:w="108" w:type="dxa"/>
          </w:tblCellMar>
        </w:tblPrEx>
        <w:trPr>
          <w:trHeight w:val="936" w:hRule="atLeast"/>
        </w:trPr>
        <w:tc>
          <w:tcPr>
            <w:tcW w:w="541" w:type="pc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U+新工科智慧云</w:t>
            </w:r>
          </w:p>
        </w:tc>
        <w:tc>
          <w:tcPr>
            <w:tcW w:w="3262" w:type="pct"/>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通过信息技术与教育教学深度融合将场景落地，贯穿完整的人才培养链条，为高校提供云计算、大数据、人工智能、物联网等内容、平台及服务的综合解决方案，以信息化引领构建以学习者为中心的全新教育生态。</w:t>
            </w:r>
          </w:p>
        </w:tc>
        <w:tc>
          <w:tcPr>
            <w:tcW w:w="1196" w:type="pct"/>
            <w:tcBorders>
              <w:top w:val="nil"/>
              <w:left w:val="nil"/>
              <w:bottom w:val="single" w:color="auto" w:sz="4" w:space="0"/>
              <w:right w:val="single" w:color="auto" w:sz="4" w:space="0"/>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参考华为云官网</w:t>
            </w:r>
          </w:p>
        </w:tc>
      </w:tr>
    </w:tbl>
    <w:p>
      <w:pPr>
        <w:autoSpaceDE w:val="0"/>
        <w:autoSpaceDN w:val="0"/>
        <w:adjustRightInd w:val="0"/>
        <w:spacing w:line="360" w:lineRule="auto"/>
        <w:jc w:val="left"/>
        <w:rPr>
          <w:rFonts w:ascii="宋体" w:hAnsi="宋体"/>
          <w:b/>
          <w:snapToGrid w:val="0"/>
          <w:color w:val="000000"/>
          <w:kern w:val="0"/>
          <w:szCs w:val="18"/>
        </w:rPr>
      </w:pPr>
      <w:r>
        <w:rPr>
          <w:rFonts w:hint="eastAsia" w:ascii="宋体" w:hAnsi="宋体"/>
          <w:b/>
          <w:snapToGrid w:val="0"/>
          <w:color w:val="000000"/>
          <w:kern w:val="0"/>
          <w:szCs w:val="18"/>
        </w:rPr>
        <w:t>四、数字经济产业人才服务方案</w:t>
      </w:r>
    </w:p>
    <w:tbl>
      <w:tblPr>
        <w:tblStyle w:val="2"/>
        <w:tblW w:w="8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380"/>
        <w:gridCol w:w="506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blHeader/>
          <w:jc w:val="center"/>
        </w:trPr>
        <w:tc>
          <w:tcPr>
            <w:tcW w:w="885" w:type="dxa"/>
            <w:noWrap/>
            <w:vAlign w:val="center"/>
          </w:tcPr>
          <w:p>
            <w:pPr>
              <w:widowControl/>
              <w:adjustRightInd w:val="0"/>
              <w:snapToGrid w:val="0"/>
              <w:jc w:val="center"/>
              <w:rPr>
                <w:rFonts w:ascii="宋体" w:hAnsi="宋体" w:cs="宋体"/>
                <w:b/>
                <w:bCs/>
                <w:color w:val="000000"/>
                <w:kern w:val="0"/>
                <w:sz w:val="18"/>
                <w:szCs w:val="18"/>
              </w:rPr>
            </w:pPr>
            <w:r>
              <w:rPr>
                <w:rFonts w:hint="eastAsia" w:ascii="宋体" w:hAnsi="宋体" w:cs="宋体"/>
                <w:b/>
                <w:bCs/>
                <w:color w:val="000000"/>
                <w:kern w:val="0"/>
                <w:sz w:val="18"/>
                <w:szCs w:val="18"/>
              </w:rPr>
              <w:t>资源类型</w:t>
            </w:r>
          </w:p>
        </w:tc>
        <w:tc>
          <w:tcPr>
            <w:tcW w:w="1380" w:type="dxa"/>
            <w:noWrap w:val="0"/>
            <w:vAlign w:val="center"/>
          </w:tcPr>
          <w:p>
            <w:pPr>
              <w:widowControl/>
              <w:adjustRightInd w:val="0"/>
              <w:snapToGrid w:val="0"/>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资源名称</w:t>
            </w:r>
          </w:p>
        </w:tc>
        <w:tc>
          <w:tcPr>
            <w:tcW w:w="5060" w:type="dxa"/>
            <w:noWrap w:val="0"/>
            <w:vAlign w:val="center"/>
          </w:tcPr>
          <w:p>
            <w:pPr>
              <w:widowControl/>
              <w:adjustRightInd w:val="0"/>
              <w:snapToGrid w:val="0"/>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简介</w:t>
            </w:r>
          </w:p>
        </w:tc>
        <w:tc>
          <w:tcPr>
            <w:tcW w:w="1560" w:type="dxa"/>
            <w:noWrap w:val="0"/>
            <w:vAlign w:val="center"/>
          </w:tcPr>
          <w:p>
            <w:pPr>
              <w:widowControl/>
              <w:adjustRightInd w:val="0"/>
              <w:snapToGrid w:val="0"/>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参考价格（万元）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885" w:type="dxa"/>
            <w:noWrap w:val="0"/>
            <w:vAlign w:val="center"/>
          </w:tcPr>
          <w:p>
            <w:pPr>
              <w:widowControl/>
              <w:adjustRightInd w:val="0"/>
              <w:snapToGrid w:val="0"/>
              <w:jc w:val="left"/>
              <w:rPr>
                <w:rFonts w:ascii="宋体" w:hAnsi="宋体" w:cs="宋体"/>
                <w:color w:val="000000"/>
                <w:kern w:val="0"/>
                <w:sz w:val="18"/>
                <w:szCs w:val="18"/>
              </w:rPr>
            </w:pPr>
            <w:r>
              <w:rPr>
                <w:rFonts w:hint="eastAsia" w:ascii="宋体" w:hAnsi="宋体" w:cs="宋体"/>
                <w:color w:val="000000"/>
                <w:kern w:val="0"/>
                <w:sz w:val="18"/>
                <w:szCs w:val="18"/>
              </w:rPr>
              <w:t>大赛</w:t>
            </w: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开发者大赛</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围绕华为云、HMS、鸿蒙等技术，结合当地产业竞赛需求，举办和组织大型技术竞赛（100支队伍以上）。提供赛题、赛制、奖品、评委、荣誉证书、宣传推广等全流程端到端服务；</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85"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考试券</w:t>
            </w: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1加X移动应用开发认证考试券（初级、中级、高级）</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1+X移动应用开发考试券，用于学校获得1+x课程资源，组织学生参加1+x考试，获得教育部颁发的1+x证书、2+x证书、3+x证书</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 xml:space="preserve">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885" w:type="dxa"/>
            <w:vMerge w:val="restart"/>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认证培训</w:t>
            </w:r>
          </w:p>
        </w:tc>
        <w:tc>
          <w:tcPr>
            <w:tcW w:w="138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华为云工程师认证培训</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间5天，20人以内。定位于培养掌握云服务、人工智能、大数据、物联网、openGauss数据库、GaussDB数据库等的前沿知识技能，熟练掌握云服务、人工智能、大数据、物联网、openGauss数据库、GaussDB数据库等知识和实践动手能力的工程师。</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21.49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华为云高级工程师认证培训</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培训时间5天，20人以内。定位于培养华为云服务解决方案架构、华为云大数据、华为云数据仓库、华为云云服务DevOps、数据治理等方向高级工程师。</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25.618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2"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华为企业人工智能高级开发者培训/华为GaussDB数据库高级工程师培训</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培训时间6天，20人以内。</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华为企业人工智能高级开发者培训：定位于培养具有图像处理、语音处理、自然语言处理等基础理论知识，能够应用华为云企业智能等华为企业人工智能解决方案、通用开源框架、面向人工智能开发者的一站式开发平台ModelArts进行开发和创新的专业人才。</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华为GaussDB数据库高级工程师培训：定位于培训具备华为GaussDB(for MySQL)数据库二次开发和管理能力的高级工程师。内容包括：GaussDB OLTP概述、SQL语法进阶、数据库日常操作、云DBA智能运维、数据库性能调优、数据库安全管理、数据库高级特性等内容。</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30.6216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华为物联网高级开发者培训</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培训时间8天，20人以内。定位于熟悉物联网技术原理，并能够应用华为物联网产品与技术进行综合创新的应用型人才培养。</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课程内容：华为云物联网解决方案、华为云物联网解决方案关键特性、华为云物联网端到端开发、华为云服务介绍、NB-IoT标准及解决方案介绍、华为NB-IoT芯片与模组介绍、LwM2M/MQTT协议技术原理、Huawei LiteOS基础架构等。</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40.6288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885"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师资培训</w:t>
            </w:r>
          </w:p>
        </w:tc>
        <w:tc>
          <w:tcPr>
            <w:tcW w:w="138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 xml:space="preserve">AI高校学科师资培训服务 </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培训时长5天，20人以内。以下主题任选其一，提供华为高级讲师人工智能课程体系培训服务</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a.深度学习基础</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b.人工智能应用实践</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c.大数据基础与应用</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25.618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885" w:type="dxa"/>
            <w:vMerge w:val="restart"/>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实训</w:t>
            </w: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物联网与有线通信技术</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培训时长2天，20人以内。定位于培养开发者掌握工业物联网等物联网有线通信技术，具备基于相关有线协议进行工程应用开发的能力。</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课程内容：工业物联网概述，工业物联网关键技术，工业物联网项目。</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8.956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ModelArts开发者培训/华为云DevCloud HE2E DevOps工作坊</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培训时长2天，20人以内。</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ModelArts开发者培训：定位于培养具有人工智能基础理论知识，能够熟练应用华为云ModelArts一站式开发平台，进行图像，语音和自然语言等人工智能应用初级开发和科研创新的开发者。</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华为云DevCloud HE2E DevOps工作坊：课程依托DevCloud软件开发服务，让学员在学习DevOps相关知识点的同时，能够端到端实践DevOps实施框架，让软件交付过程可以做到持续交付，实现更短的交付周期、更高质量和更低的成本。</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10.6072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物联网与短/长距离无线通信技术</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培训时长3天，20人以内。</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物联网与短距离无线通信技术：定位于培养开发者掌握ZigBee、BLE、Wi-Fi等物联网短距离无线通信技术，具备基于相关无线协议进行工程应用开发的能力。</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物联网与长距离无线通信技术：定位于培养开发者掌握NB-IoT、LoRa、LTE、eMTC等物联网通信技术，具备基于相关无线协议进行工程应用开发的能力。</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13.134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物联网识别技术</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培训时长4天，20人以内。定位于培养掌握自动识别专业知识，扎实职业技能的工程师，以常见的自动识别技术为基础，结合成熟的解决方案实践案例，为技术应用、工程实施奠定基础。</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课程内容：认识识别技术，物流包裹识别系统，门禁控制系统，智能交通管理系统，无人超市管理系统</w:t>
            </w:r>
          </w:p>
        </w:tc>
        <w:tc>
          <w:tcPr>
            <w:tcW w:w="15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17.312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物联网创新训练营</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培训时长2天，50人以内。定位于培养开发者掌握物联网设备端侧开发，接入平台，数据流转，AI</w:t>
            </w:r>
            <w:bookmarkStart w:id="0" w:name="_GoBack"/>
            <w:bookmarkEnd w:id="0"/>
            <w:r>
              <w:rPr>
                <w:rFonts w:hint="eastAsia" w:ascii="宋体" w:hAnsi="宋体" w:cs="宋体"/>
                <w:color w:val="000000"/>
                <w:kern w:val="0"/>
                <w:sz w:val="18"/>
                <w:szCs w:val="18"/>
                <w:lang w:eastAsia="zh-CN"/>
              </w:rPr>
              <w:t>模型</w:t>
            </w:r>
            <w:r>
              <w:rPr>
                <w:rFonts w:hint="eastAsia" w:ascii="宋体" w:hAnsi="宋体" w:cs="宋体"/>
                <w:color w:val="000000"/>
                <w:kern w:val="0"/>
                <w:sz w:val="18"/>
                <w:szCs w:val="18"/>
              </w:rPr>
              <w:t>训练，数据分析预测等知识技能，具备AIoT融合场景设计与应用开发的能力。</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课程内容：AI与IoT融合连通方案介绍，自动售货机功能简介、技术架构，华为云平台搭建，AI销量预测介绍，AI智慧选址介绍。</w:t>
            </w:r>
          </w:p>
        </w:tc>
        <w:tc>
          <w:tcPr>
            <w:tcW w:w="15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定向人才实训</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培训时长5天，20人以内。定位于培养掌握物联网综合设计、NB-IoT入门到精通、Huawei LiteOS操作系统、传感器原理及应用技术、嵌入式系统与设计等方向的物联网工程师。</w:t>
            </w:r>
          </w:p>
        </w:tc>
        <w:tc>
          <w:tcPr>
            <w:tcW w:w="15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21.49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华为云人工智能技术应用与实践培训</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培训时长5天，20人以内。定位于大中型企业昇腾人工智能系统的搭建、开发与运维实践的培训，使学员在实践中掌握企业昇腾系统搭建、开发、运维、性能优化等能力。</w:t>
            </w:r>
          </w:p>
        </w:tc>
        <w:tc>
          <w:tcPr>
            <w:tcW w:w="15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25.618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实训课程包</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面向客户提供的实训课程包，提供AI基础、技术领域、技术应用场景、Modelarts、Modelbox课程，理论联系实践，夯实技术基础。</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85" w:type="dxa"/>
            <w:vMerge w:val="continue"/>
            <w:noWrap w:val="0"/>
            <w:vAlign w:val="center"/>
          </w:tcPr>
          <w:p>
            <w:pPr>
              <w:widowControl/>
              <w:adjustRightInd w:val="0"/>
              <w:snapToGrid w:val="0"/>
              <w:jc w:val="left"/>
              <w:rPr>
                <w:rFonts w:ascii="宋体" w:hAnsi="宋体" w:cs="宋体"/>
                <w:color w:val="000000"/>
                <w:kern w:val="0"/>
                <w:sz w:val="18"/>
                <w:szCs w:val="18"/>
              </w:rPr>
            </w:pPr>
          </w:p>
        </w:tc>
        <w:tc>
          <w:tcPr>
            <w:tcW w:w="138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人工智能实训课程包</w:t>
            </w:r>
          </w:p>
        </w:tc>
        <w:tc>
          <w:tcPr>
            <w:tcW w:w="5060" w:type="dxa"/>
            <w:noWrap w:val="0"/>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面向客户提供人工智能领域的实训课程包，提供AI基础、技术领域、技术应用场景、Modelarts、Modelbox课程，理论联系实践，夯实技术基础。</w:t>
            </w:r>
          </w:p>
        </w:tc>
        <w:tc>
          <w:tcPr>
            <w:tcW w:w="1560" w:type="dxa"/>
            <w:noWrap/>
            <w:vAlign w:val="center"/>
          </w:tcPr>
          <w:p>
            <w:pPr>
              <w:widowControl/>
              <w:adjustRightInd w:val="0"/>
              <w:snapToGrid w:val="0"/>
              <w:jc w:val="left"/>
              <w:rPr>
                <w:rFonts w:hint="eastAsia" w:ascii="宋体" w:hAnsi="宋体" w:cs="宋体"/>
                <w:color w:val="000000"/>
                <w:kern w:val="0"/>
                <w:sz w:val="18"/>
                <w:szCs w:val="18"/>
              </w:rPr>
            </w:pPr>
            <w:r>
              <w:rPr>
                <w:rFonts w:hint="eastAsia" w:ascii="宋体" w:hAnsi="宋体" w:cs="宋体"/>
                <w:color w:val="000000"/>
                <w:kern w:val="0"/>
                <w:sz w:val="18"/>
                <w:szCs w:val="18"/>
              </w:rPr>
              <w:t>60</w:t>
            </w:r>
          </w:p>
        </w:tc>
      </w:tr>
    </w:tbl>
    <w:p>
      <w:pPr>
        <w:rPr>
          <w:rFonts w:hint="eastAsia" w:ascii="仿宋_GB2312" w:hAnsi="宋体" w:eastAsia="仿宋_GB2312" w:cs="宋体"/>
          <w:color w:val="000000"/>
        </w:rPr>
      </w:pPr>
    </w:p>
    <w:p>
      <w:pPr>
        <w:rPr>
          <w:rFonts w:hint="eastAsia" w:ascii="仿宋_GB2312" w:hAnsi="宋体" w:eastAsia="仿宋_GB2312" w:cs="宋体"/>
          <w:color w:val="000000"/>
        </w:rPr>
      </w:pPr>
      <w:r>
        <w:rPr>
          <w:rFonts w:hint="eastAsia" w:ascii="仿宋_GB2312" w:hAnsi="宋体" w:eastAsia="仿宋_GB2312" w:cs="宋体"/>
          <w:color w:val="000000"/>
        </w:rPr>
        <w:t>1</w:t>
      </w:r>
      <w:r>
        <w:rPr>
          <w:rFonts w:ascii="仿宋_GB2312" w:hAnsi="宋体" w:eastAsia="仿宋_GB2312" w:cs="宋体"/>
          <w:color w:val="000000"/>
        </w:rPr>
        <w:t>.</w:t>
      </w:r>
      <w:r>
        <w:rPr>
          <w:rFonts w:hint="eastAsia" w:ascii="仿宋_GB2312" w:hAnsi="宋体" w:eastAsia="仿宋_GB2312" w:cs="宋体"/>
          <w:color w:val="000000"/>
        </w:rPr>
        <w:t>线下人才培训服务内容持续更新中，本表格为参考价格，实际价格以华为云官网实时价格为最终交付价格。</w:t>
      </w:r>
    </w:p>
    <w:p>
      <w:pPr>
        <w:rPr>
          <w:rFonts w:ascii="仿宋_GB2312" w:hAnsi="宋体" w:eastAsia="仿宋_GB2312" w:cs="宋体"/>
          <w:color w:val="000000"/>
        </w:rPr>
      </w:pPr>
      <w:r>
        <w:rPr>
          <w:rFonts w:ascii="仿宋_GB2312" w:hAnsi="宋体" w:eastAsia="仿宋_GB2312" w:cs="宋体"/>
          <w:color w:val="000000"/>
        </w:rPr>
        <w:t>2.</w:t>
      </w:r>
      <w:r>
        <w:rPr>
          <w:rFonts w:hint="eastAsia" w:ascii="仿宋_GB2312" w:hAnsi="宋体" w:eastAsia="仿宋_GB2312" w:cs="宋体"/>
          <w:color w:val="000000"/>
        </w:rPr>
        <w:t>企业可自行在华为云服务商城选择适合自身发展的培训服务，并将需求报送云宝智诚公司。申报人数到达开班人数后，由云宝智城公司按规定统一申请有关培训资源。</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30049C"/>
    <w:multiLevelType w:val="multilevel"/>
    <w:tmpl w:val="2830049C"/>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ZkYTExZjhhODA5YmMxNzlkZjUwNTUxNWY0NDA4YzgifQ=="/>
  </w:docVars>
  <w:rsids>
    <w:rsidRoot w:val="0F8507B3"/>
    <w:rsid w:val="00A66937"/>
    <w:rsid w:val="0F850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pPr>
    <w:rPr>
      <w:rFonts w:ascii="Times New Roman" w:hAnsi="Times New Roman" w:eastAsia="宋体" w:cs="Times New Roman"/>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7473</Words>
  <Characters>8845</Characters>
  <Lines>0</Lines>
  <Paragraphs>0</Paragraphs>
  <TotalTime>2</TotalTime>
  <ScaleCrop>false</ScaleCrop>
  <LinksUpToDate>false</LinksUpToDate>
  <CharactersWithSpaces>8965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2022-09-08T01:21:00Z</dcterms:created>
  <dc:creator>星光</dc:creator>
  <cp:lastModifiedBy>星光</cp:lastModifiedBy>
  <dcterms:modified xsi:type="dcterms:W3CDTF">2023-01-31T14:04:24Z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5B9873A583CE4B4DAB81FB22238FD190</vt:lpwstr>
  </property>
</Properties>
</file>