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潮州市“优大强”企业遴选管理办法（试行）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第一条</w:t>
      </w:r>
      <w:r>
        <w:rPr>
          <w:rFonts w:hint="eastAsia" w:eastAsia="仿宋_GB2312"/>
          <w:sz w:val="32"/>
          <w:szCs w:val="32"/>
          <w:lang w:val="en-US" w:eastAsia="zh-CN"/>
        </w:rPr>
        <w:t xml:space="preserve"> </w:t>
      </w:r>
      <w:r>
        <w:rPr>
          <w:rFonts w:hint="default" w:eastAsia="仿宋_GB2312"/>
          <w:sz w:val="32"/>
          <w:szCs w:val="32"/>
          <w:lang w:val="en-US" w:eastAsia="zh-CN"/>
        </w:rPr>
        <w:t>为落实市委市政府决策部署，突出“优大强”鲜明导向，实施“优大强”培育计划，促进各类资源要素向优质企业聚集，</w:t>
      </w:r>
      <w:r>
        <w:rPr>
          <w:rFonts w:hint="eastAsia" w:eastAsia="仿宋_GB2312"/>
          <w:sz w:val="32"/>
          <w:szCs w:val="32"/>
          <w:lang w:val="en-US" w:eastAsia="zh-CN"/>
        </w:rPr>
        <w:t>全力筑牢制造业当家的“顶梁柱”，根据《关于培育扶持“优大强”企业的若干政策措施（试行）》（潮府办函〔2024〕4号），制定本办法。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第二条</w:t>
      </w:r>
      <w:r>
        <w:rPr>
          <w:rFonts w:hint="eastAsia" w:eastAsia="仿宋_GB2312"/>
          <w:sz w:val="32"/>
          <w:szCs w:val="32"/>
          <w:lang w:val="en-US" w:eastAsia="zh-CN"/>
        </w:rPr>
        <w:t xml:space="preserve"> 本办法适用于潮州市工业和信息化局组织开展的“优大强”企业遴选、管理、服务和相关支持活动。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第二章 遴选条件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第三条</w:t>
      </w:r>
      <w:r>
        <w:rPr>
          <w:rFonts w:hint="eastAsia" w:eastAsia="仿宋_GB2312"/>
          <w:sz w:val="32"/>
          <w:szCs w:val="32"/>
          <w:lang w:val="en-US" w:eastAsia="zh-CN"/>
        </w:rPr>
        <w:t xml:space="preserve"> </w:t>
      </w:r>
      <w:r>
        <w:rPr>
          <w:rFonts w:hint="default" w:eastAsia="仿宋_GB2312"/>
          <w:sz w:val="32"/>
          <w:szCs w:val="32"/>
          <w:lang w:val="en-US" w:eastAsia="zh-CN"/>
        </w:rPr>
        <w:t>申报</w:t>
      </w:r>
      <w:r>
        <w:rPr>
          <w:rFonts w:hint="eastAsia" w:eastAsia="仿宋_GB2312"/>
          <w:sz w:val="32"/>
          <w:szCs w:val="32"/>
          <w:lang w:val="en-US" w:eastAsia="zh-CN"/>
        </w:rPr>
        <w:t>“优大强”企业</w:t>
      </w:r>
      <w:r>
        <w:rPr>
          <w:rFonts w:hint="default" w:eastAsia="仿宋_GB2312"/>
          <w:sz w:val="32"/>
          <w:szCs w:val="32"/>
          <w:lang w:val="en-US" w:eastAsia="zh-CN"/>
        </w:rPr>
        <w:t>应</w:t>
      </w:r>
      <w:r>
        <w:rPr>
          <w:rFonts w:hint="eastAsia" w:eastAsia="仿宋_GB2312"/>
          <w:sz w:val="32"/>
          <w:szCs w:val="32"/>
          <w:lang w:val="en-US" w:eastAsia="zh-CN"/>
        </w:rPr>
        <w:t>同时</w:t>
      </w:r>
      <w:r>
        <w:rPr>
          <w:rFonts w:hint="default" w:eastAsia="仿宋_GB2312"/>
          <w:sz w:val="32"/>
          <w:szCs w:val="32"/>
          <w:lang w:val="en-US" w:eastAsia="zh-CN"/>
        </w:rPr>
        <w:t>符合以下基本条件</w:t>
      </w:r>
      <w:r>
        <w:rPr>
          <w:rFonts w:hint="eastAsia"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val="en-US" w:eastAsia="zh-CN"/>
        </w:rPr>
      </w:pPr>
      <w:r>
        <w:rPr>
          <w:rFonts w:hint="eastAsia" w:eastAsia="仿宋_GB2312"/>
          <w:sz w:val="32"/>
          <w:szCs w:val="32"/>
          <w:lang w:val="en-US" w:eastAsia="zh-CN"/>
        </w:rPr>
        <w:t>（一）</w:t>
      </w:r>
      <w:r>
        <w:rPr>
          <w:rFonts w:hint="default" w:eastAsia="仿宋_GB2312"/>
          <w:sz w:val="32"/>
          <w:szCs w:val="32"/>
          <w:lang w:val="en-US" w:eastAsia="zh-CN"/>
        </w:rPr>
        <w:t>在</w:t>
      </w:r>
      <w:r>
        <w:rPr>
          <w:rFonts w:hint="eastAsia" w:eastAsia="仿宋_GB2312"/>
          <w:sz w:val="32"/>
          <w:szCs w:val="32"/>
          <w:lang w:val="en-US" w:eastAsia="zh-CN"/>
        </w:rPr>
        <w:t>潮州</w:t>
      </w:r>
      <w:r>
        <w:rPr>
          <w:rFonts w:hint="default" w:eastAsia="仿宋_GB2312"/>
          <w:sz w:val="32"/>
          <w:szCs w:val="32"/>
          <w:lang w:val="en-US" w:eastAsia="zh-CN"/>
        </w:rPr>
        <w:t>市登记注册、纳税并具有独立法人资格的工业企业</w:t>
      </w:r>
      <w:r>
        <w:rPr>
          <w:rFonts w:hint="eastAsia"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val="en-US" w:eastAsia="zh-CN"/>
        </w:rPr>
      </w:pPr>
      <w:r>
        <w:rPr>
          <w:rFonts w:hint="eastAsia" w:eastAsia="仿宋_GB2312"/>
          <w:sz w:val="32"/>
          <w:szCs w:val="32"/>
          <w:lang w:val="en-US" w:eastAsia="zh-CN"/>
        </w:rPr>
        <w:t>（二）</w:t>
      </w:r>
      <w:r>
        <w:rPr>
          <w:rFonts w:hint="default" w:eastAsia="仿宋_GB2312"/>
          <w:sz w:val="32"/>
          <w:szCs w:val="32"/>
          <w:lang w:val="en-US" w:eastAsia="zh-CN"/>
        </w:rPr>
        <w:t>企业上年度营业收入1亿元（含）以上且净入库税款500万元（含）以上</w:t>
      </w:r>
      <w:r>
        <w:rPr>
          <w:rFonts w:hint="eastAsia"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val="en-US" w:eastAsia="zh-CN"/>
        </w:rPr>
      </w:pPr>
      <w:r>
        <w:rPr>
          <w:rFonts w:hint="eastAsia" w:eastAsia="仿宋_GB2312"/>
          <w:sz w:val="32"/>
          <w:szCs w:val="32"/>
          <w:lang w:val="en-US" w:eastAsia="zh-CN"/>
        </w:rPr>
        <w:t>（三）符合省、市优先发展产业导向，企业财务状况良好且具有较好的成长性。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val="en-US" w:eastAsia="zh-CN"/>
        </w:rPr>
      </w:pPr>
      <w:r>
        <w:rPr>
          <w:rFonts w:hint="eastAsia" w:eastAsia="仿宋_GB2312"/>
          <w:sz w:val="32"/>
          <w:szCs w:val="32"/>
          <w:lang w:val="en-US" w:eastAsia="zh-CN"/>
        </w:rPr>
        <w:t>（四）</w:t>
      </w:r>
      <w:r>
        <w:rPr>
          <w:rFonts w:hint="default" w:eastAsia="仿宋_GB2312"/>
          <w:sz w:val="32"/>
          <w:szCs w:val="32"/>
          <w:lang w:val="en-US" w:eastAsia="zh-CN"/>
        </w:rPr>
        <w:t>企业近三年无不良信用记录，未发生重大安全、环保、质量事故。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第四条</w:t>
      </w:r>
      <w:r>
        <w:rPr>
          <w:rFonts w:hint="eastAsia" w:eastAsia="仿宋_GB2312"/>
          <w:sz w:val="32"/>
          <w:szCs w:val="32"/>
          <w:lang w:val="en-US" w:eastAsia="zh-CN"/>
        </w:rPr>
        <w:t xml:space="preserve"> 对原注册地非我市，当年度在我市新登记注册的新招商落地企业，符合第条（一）（三）（四）条件，且对我市产业发展具有重点引领作用的，可采用“一事一议”报市政府同意后纳入企业库。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第五条</w:t>
      </w:r>
      <w:r>
        <w:rPr>
          <w:rFonts w:hint="eastAsia" w:eastAsia="仿宋_GB2312"/>
          <w:sz w:val="32"/>
          <w:szCs w:val="32"/>
          <w:lang w:val="en-US" w:eastAsia="zh-CN"/>
        </w:rPr>
        <w:t xml:space="preserve"> 原则上不支持企业以合并报表形式参与“优大强”申报。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申报材料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第六条</w:t>
      </w:r>
      <w:r>
        <w:rPr>
          <w:rFonts w:hint="eastAsia" w:eastAsia="仿宋_GB2312"/>
          <w:sz w:val="32"/>
          <w:szCs w:val="32"/>
          <w:lang w:val="en-US" w:eastAsia="zh-CN"/>
        </w:rPr>
        <w:t xml:space="preserve"> 申报企业应当提交以下材料：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（一）潮州市“优大强”企业申请表；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（二）营业执照复印件（企业负责人签名并加盖企业公章）；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（三）企业承诺书；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（四）“信用广东平台”（https://credit.gd.gov.cn）查询下载的信用报告。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遴选程序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第七条</w:t>
      </w:r>
      <w:r>
        <w:rPr>
          <w:rFonts w:hint="eastAsia" w:eastAsia="仿宋_GB2312"/>
          <w:sz w:val="32"/>
          <w:szCs w:val="32"/>
          <w:lang w:val="en-US" w:eastAsia="zh-CN"/>
        </w:rPr>
        <w:t xml:space="preserve"> 市“优大强”企业遴选工作原则上每年开展一次，于每年第一季度启动。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第八条</w:t>
      </w:r>
      <w:r>
        <w:rPr>
          <w:rFonts w:hint="eastAsia" w:eastAsia="仿宋_GB2312"/>
          <w:sz w:val="32"/>
          <w:szCs w:val="32"/>
          <w:lang w:val="en-US" w:eastAsia="zh-CN"/>
        </w:rPr>
        <w:t xml:space="preserve"> 凡符合申报条件的企业，本着自愿申报原则，按当年市工业和信息化局的申报通知要求，将申报材料报送至企业所在县（区）工业和信息化主管部门，凤泉湖高新区内的企业将申报材料报送至凤泉湖高新区管委会。申请企业应如实填写申报材料，并对资料的真实性和完整性负全部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第九条</w:t>
      </w:r>
      <w:r>
        <w:rPr>
          <w:rFonts w:hint="eastAsia" w:eastAsia="仿宋_GB2312"/>
          <w:sz w:val="32"/>
          <w:szCs w:val="32"/>
          <w:lang w:val="en-US" w:eastAsia="zh-CN"/>
        </w:rPr>
        <w:t xml:space="preserve"> 凤泉湖高新区管委会、各县（区）工业和信息化主管部门根据遴选条件和要求，对企业申报材料和相关佐证材料进行初审，对初审合格者出具推荐意见，汇总报市工业和信息化局。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第十条</w:t>
      </w:r>
      <w:r>
        <w:rPr>
          <w:rFonts w:hint="eastAsia" w:eastAsia="仿宋_GB2312"/>
          <w:sz w:val="32"/>
          <w:szCs w:val="32"/>
          <w:lang w:val="en-US" w:eastAsia="zh-CN"/>
        </w:rPr>
        <w:t xml:space="preserve"> 市工业和信息化局根据凤泉湖高新区、各县（区）工业和信息化主管部门推荐的企业，按照遴选标准初步拟定我市“优大强”企业名单，向市制造强市建设领导小组成员单位征求意见，根据各成员单位反馈意见进行修改完善，拟定公示企业名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第十一条</w:t>
      </w:r>
      <w:r>
        <w:rPr>
          <w:rFonts w:hint="eastAsia" w:eastAsia="仿宋_GB2312"/>
          <w:sz w:val="32"/>
          <w:szCs w:val="32"/>
          <w:lang w:val="en-US" w:eastAsia="zh-CN"/>
        </w:rPr>
        <w:t xml:space="preserve"> 市工业和信息化局通过市政府网站向社会公示企业名单，公示期为5个工作日。经公示无异议的，由市工业和信息化局报市政府同意后，向社会公布“优大强”企业遴选结果。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跟踪管理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第十二条</w:t>
      </w:r>
      <w:r>
        <w:rPr>
          <w:rFonts w:hint="eastAsia" w:eastAsia="仿宋_GB2312"/>
          <w:sz w:val="32"/>
          <w:szCs w:val="32"/>
          <w:lang w:val="en-US" w:eastAsia="zh-CN"/>
        </w:rPr>
        <w:t xml:space="preserve"> 潮州市“优大强”企业实行动态管理。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第十三条</w:t>
      </w:r>
      <w:r>
        <w:rPr>
          <w:rFonts w:hint="eastAsia" w:eastAsia="仿宋_GB2312"/>
          <w:sz w:val="32"/>
          <w:szCs w:val="32"/>
          <w:lang w:val="en-US" w:eastAsia="zh-CN"/>
        </w:rPr>
        <w:t xml:space="preserve"> 每年“优大强”企业遴选工作完成后，启动“优大强”企业高质量发展情况研判工作。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第十四条</w:t>
      </w:r>
      <w:r>
        <w:rPr>
          <w:rFonts w:hint="eastAsia" w:eastAsia="仿宋_GB2312"/>
          <w:sz w:val="32"/>
          <w:szCs w:val="32"/>
          <w:lang w:val="en-US" w:eastAsia="zh-CN"/>
        </w:rPr>
        <w:t xml:space="preserve"> 建立“优大强”企业高质量发展研判体系，从企业营收、贡献、效益、创新等方面进行综合研判，根据企业高质量发展指标得分情况，由高至低进行排名，名次不对外公开，作为《关于培育扶持“优大强”企业的若干政策措施》相关扶持措施执行、市相关部门及各县（区）政策扶持和资源要素分配的重要依据。具体研判指标及计分方式附后。市工业和信息化局可结合我市产业发展和企业培育需要，对研判指标进行适当调整，在每年度的“优大强”企业申报通知中予以公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第十五条</w:t>
      </w:r>
      <w:r>
        <w:rPr>
          <w:rFonts w:hint="eastAsia" w:eastAsia="仿宋_GB2312"/>
          <w:sz w:val="32"/>
          <w:szCs w:val="32"/>
          <w:lang w:val="en-US" w:eastAsia="zh-CN"/>
        </w:rPr>
        <w:t xml:space="preserve"> 对连续两年高质量发展指标得分排名最后一位和未能达到本文第三条第（二）（四）项要求的企业，原则上退出“优大强”企业库，不再享受《关于培育扶持“优大强”企业的若干政策措施》等其他“优大强”企业相关扶持政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第十六条</w:t>
      </w:r>
      <w:r>
        <w:rPr>
          <w:rFonts w:hint="eastAsia" w:eastAsia="仿宋_GB2312"/>
          <w:sz w:val="32"/>
          <w:szCs w:val="32"/>
          <w:lang w:val="en-US" w:eastAsia="zh-CN"/>
        </w:rPr>
        <w:t xml:space="preserve"> 对以本文第四条情况入库的企业，不参与当年度高质量发展情况研判。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第十七条</w:t>
      </w:r>
      <w:r>
        <w:rPr>
          <w:rFonts w:hint="eastAsia" w:eastAsia="仿宋_GB2312"/>
          <w:sz w:val="32"/>
          <w:szCs w:val="32"/>
          <w:lang w:val="en-US" w:eastAsia="zh-CN"/>
        </w:rPr>
        <w:t xml:space="preserve"> </w:t>
      </w:r>
      <w:r>
        <w:rPr>
          <w:rFonts w:hint="default" w:eastAsia="仿宋_GB2312"/>
          <w:sz w:val="32"/>
          <w:szCs w:val="32"/>
          <w:lang w:val="en-US" w:eastAsia="zh-CN"/>
        </w:rPr>
        <w:t>在库“优大强”经营发展遇到特殊变化，迁离</w:t>
      </w:r>
      <w:r>
        <w:rPr>
          <w:rFonts w:hint="eastAsia" w:eastAsia="仿宋_GB2312"/>
          <w:sz w:val="32"/>
          <w:szCs w:val="32"/>
          <w:lang w:val="en-US" w:eastAsia="zh-CN"/>
        </w:rPr>
        <w:t>潮州</w:t>
      </w:r>
      <w:r>
        <w:rPr>
          <w:rFonts w:hint="default" w:eastAsia="仿宋_GB2312"/>
          <w:sz w:val="32"/>
          <w:szCs w:val="32"/>
          <w:lang w:val="en-US" w:eastAsia="zh-CN"/>
        </w:rPr>
        <w:t>，发生重大违法行为和存在关停风险等情况的，报</w:t>
      </w:r>
      <w:r>
        <w:rPr>
          <w:rFonts w:hint="eastAsia" w:eastAsia="仿宋_GB2312"/>
          <w:sz w:val="32"/>
          <w:szCs w:val="32"/>
          <w:lang w:val="en-US" w:eastAsia="zh-CN"/>
        </w:rPr>
        <w:t>市政府</w:t>
      </w:r>
      <w:r>
        <w:rPr>
          <w:rFonts w:hint="default" w:eastAsia="仿宋_GB2312"/>
          <w:sz w:val="32"/>
          <w:szCs w:val="32"/>
          <w:lang w:val="en-US" w:eastAsia="zh-CN"/>
        </w:rPr>
        <w:t>同意后退出“优大强”企业培育库。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第十八条</w:t>
      </w:r>
      <w:r>
        <w:rPr>
          <w:rFonts w:hint="eastAsia" w:eastAsia="仿宋_GB2312"/>
          <w:sz w:val="32"/>
          <w:szCs w:val="32"/>
          <w:lang w:val="en-US" w:eastAsia="zh-CN"/>
        </w:rPr>
        <w:t xml:space="preserve"> 市相关部门、各县（区）政府在增资扩产、转型升级、要素保障、创新研发、教育人才、融资上市、审批服务、并购重组、品牌孵化、专题培训等方面，依法依规对“优大强”企业进行重点扶持，帮助企业做大做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第十九条</w:t>
      </w:r>
      <w:r>
        <w:rPr>
          <w:rFonts w:hint="eastAsia" w:eastAsia="仿宋_GB2312"/>
          <w:sz w:val="32"/>
          <w:szCs w:val="32"/>
          <w:lang w:val="en-US" w:eastAsia="zh-CN"/>
        </w:rPr>
        <w:t xml:space="preserve"> 各县（区）政府为辖区内每家“优大强”企业配备一名服务专员，掌握了解“优大强”企业发展动态和企业成长等情况，促进政策直达，协调解决企业发展中遇到的困难问题，辅导企业申报国家、省重大政策专项。</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仿宋_GB2312"/>
          <w:sz w:val="32"/>
          <w:szCs w:val="32"/>
          <w:lang w:val="en-US" w:eastAsia="zh-CN"/>
        </w:rPr>
      </w:pPr>
      <w:r>
        <w:rPr>
          <w:rFonts w:hint="eastAsia" w:ascii="黑体" w:hAnsi="黑体" w:eastAsia="黑体" w:cs="黑体"/>
          <w:sz w:val="32"/>
          <w:szCs w:val="32"/>
          <w:lang w:val="en-US" w:eastAsia="zh-CN"/>
        </w:rPr>
        <w:t>第六章 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pPr>
      <w:r>
        <w:rPr>
          <w:rFonts w:hint="eastAsia" w:eastAsia="仿宋_GB2312"/>
          <w:b/>
          <w:bCs/>
          <w:sz w:val="32"/>
          <w:szCs w:val="32"/>
          <w:lang w:val="en-US" w:eastAsia="zh-CN"/>
        </w:rPr>
        <w:t>第二十条</w:t>
      </w:r>
      <w:r>
        <w:rPr>
          <w:rFonts w:hint="eastAsia" w:eastAsia="仿宋_GB2312"/>
          <w:sz w:val="32"/>
          <w:szCs w:val="32"/>
          <w:lang w:val="en-US" w:eastAsia="zh-CN"/>
        </w:rPr>
        <w:t xml:space="preserve"> </w:t>
      </w:r>
      <w:r>
        <w:rPr>
          <w:rFonts w:hint="default" w:eastAsia="仿宋_GB2312"/>
          <w:sz w:val="32"/>
          <w:szCs w:val="32"/>
          <w:lang w:val="en-US" w:eastAsia="zh-CN"/>
        </w:rPr>
        <w:t>本办法由</w:t>
      </w:r>
      <w:r>
        <w:rPr>
          <w:rFonts w:hint="eastAsia" w:eastAsia="仿宋_GB2312"/>
          <w:sz w:val="32"/>
          <w:szCs w:val="32"/>
          <w:lang w:val="en-US" w:eastAsia="zh-CN"/>
        </w:rPr>
        <w:t>市工业和信息化局</w:t>
      </w:r>
      <w:r>
        <w:rPr>
          <w:rFonts w:hint="default" w:eastAsia="仿宋_GB2312"/>
          <w:sz w:val="32"/>
          <w:szCs w:val="32"/>
          <w:lang w:val="en-US" w:eastAsia="zh-CN"/>
        </w:rPr>
        <w:t>负责解释</w:t>
      </w:r>
      <w:r>
        <w:rPr>
          <w:rFonts w:hint="eastAsia"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sz w:val="32"/>
          <w:szCs w:val="32"/>
          <w:lang w:val="en-US" w:eastAsia="zh-CN"/>
        </w:rPr>
        <w:sectPr>
          <w:footerReference r:id="rId3" w:type="default"/>
          <w:pgSz w:w="11906" w:h="16838"/>
          <w:pgMar w:top="1440" w:right="1800" w:bottom="1440" w:left="1800" w:header="851" w:footer="992" w:gutter="0"/>
          <w:cols w:space="425" w:num="1"/>
          <w:docGrid w:type="lines" w:linePitch="312" w:charSpace="0"/>
        </w:sectPr>
      </w:pPr>
      <w:r>
        <w:rPr>
          <w:rFonts w:hint="eastAsia" w:eastAsia="仿宋_GB2312"/>
          <w:b/>
          <w:bCs/>
          <w:sz w:val="32"/>
          <w:szCs w:val="32"/>
          <w:lang w:val="en-US" w:eastAsia="zh-CN"/>
        </w:rPr>
        <w:t>第二十一条</w:t>
      </w:r>
      <w:r>
        <w:rPr>
          <w:rFonts w:hint="eastAsia" w:eastAsia="仿宋_GB2312"/>
          <w:sz w:val="32"/>
          <w:szCs w:val="32"/>
          <w:lang w:val="en-US" w:eastAsia="zh-CN"/>
        </w:rPr>
        <w:t xml:space="preserve"> </w:t>
      </w:r>
      <w:r>
        <w:rPr>
          <w:rFonts w:hint="default" w:eastAsia="仿宋_GB2312"/>
          <w:sz w:val="32"/>
          <w:szCs w:val="32"/>
          <w:lang w:val="en-US" w:eastAsia="zh-CN"/>
        </w:rPr>
        <w:t>本办法自印发之日起施行，有效期至202</w:t>
      </w:r>
      <w:r>
        <w:rPr>
          <w:rFonts w:hint="eastAsia" w:eastAsia="仿宋_GB2312"/>
          <w:sz w:val="32"/>
          <w:szCs w:val="32"/>
          <w:lang w:val="en-US" w:eastAsia="zh-CN"/>
        </w:rPr>
        <w:t>5</w:t>
      </w:r>
      <w:r>
        <w:rPr>
          <w:rFonts w:hint="default" w:eastAsia="仿宋_GB2312"/>
          <w:sz w:val="32"/>
          <w:szCs w:val="32"/>
          <w:lang w:val="en-US" w:eastAsia="zh-CN"/>
        </w:rPr>
        <w:t>年12月31日</w:t>
      </w:r>
      <w:r>
        <w:rPr>
          <w:rFonts w:hint="eastAsia"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仿宋_GB2312"/>
          <w:sz w:val="32"/>
          <w:szCs w:val="32"/>
          <w:lang w:val="en-US" w:eastAsia="zh-CN"/>
        </w:rPr>
      </w:pPr>
      <w:r>
        <w:rPr>
          <w:rFonts w:hint="eastAsia" w:ascii="方正小标宋简体" w:hAnsi="方正小标宋简体" w:eastAsia="方正小标宋简体" w:cs="方正小标宋简体"/>
          <w:sz w:val="44"/>
          <w:szCs w:val="44"/>
          <w:lang w:val="en-US" w:eastAsia="zh-CN"/>
        </w:rPr>
        <w:t>潮州市“优大强”企业申请表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sz w:val="32"/>
          <w:szCs w:val="32"/>
          <w:lang w:val="en-US" w:eastAsia="zh-CN"/>
        </w:rPr>
      </w:pPr>
    </w:p>
    <w:tbl>
      <w:tblPr>
        <w:tblStyle w:val="5"/>
        <w:tblW w:w="99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83"/>
        <w:gridCol w:w="150"/>
        <w:gridCol w:w="1200"/>
        <w:gridCol w:w="263"/>
        <w:gridCol w:w="691"/>
        <w:gridCol w:w="546"/>
        <w:gridCol w:w="653"/>
        <w:gridCol w:w="922"/>
        <w:gridCol w:w="43"/>
        <w:gridCol w:w="1543"/>
        <w:gridCol w:w="19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jc w:val="center"/>
        </w:trPr>
        <w:tc>
          <w:tcPr>
            <w:tcW w:w="99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0"/>
                <w:szCs w:val="30"/>
                <w:u w:val="none"/>
              </w:rPr>
            </w:pPr>
            <w:r>
              <w:rPr>
                <w:rFonts w:hint="eastAsia" w:ascii="黑体" w:hAnsi="黑体" w:eastAsia="黑体" w:cs="黑体"/>
                <w:i w:val="0"/>
                <w:iCs w:val="0"/>
                <w:color w:val="000000"/>
                <w:kern w:val="0"/>
                <w:sz w:val="30"/>
                <w:szCs w:val="30"/>
                <w:u w:val="none"/>
                <w:lang w:val="en-US" w:eastAsia="zh-CN" w:bidi="ar"/>
              </w:rPr>
              <w:t>一、基本情况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企业名称</w:t>
            </w:r>
          </w:p>
        </w:tc>
        <w:tc>
          <w:tcPr>
            <w:tcW w:w="79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8"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统一社会信用代码</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21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登记注册类型</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营业执照地址</w:t>
            </w:r>
          </w:p>
        </w:tc>
        <w:tc>
          <w:tcPr>
            <w:tcW w:w="2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21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成立日期</w:t>
            </w:r>
          </w:p>
        </w:tc>
        <w:tc>
          <w:tcPr>
            <w:tcW w:w="3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法定代表人</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手机</w:t>
            </w:r>
          </w:p>
        </w:tc>
        <w:tc>
          <w:tcPr>
            <w:tcW w:w="51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3"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企业联系人</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手机</w:t>
            </w:r>
          </w:p>
        </w:tc>
        <w:tc>
          <w:tcPr>
            <w:tcW w:w="16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30"/>
                <w:szCs w:val="30"/>
                <w:u w:val="none"/>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企业联系邮箱</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所属行业</w:t>
            </w:r>
          </w:p>
        </w:tc>
        <w:tc>
          <w:tcPr>
            <w:tcW w:w="79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4" w:hRule="atLeast"/>
          <w:jc w:val="center"/>
        </w:trPr>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企业类型</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（可多选）</w:t>
            </w:r>
          </w:p>
        </w:tc>
        <w:tc>
          <w:tcPr>
            <w:tcW w:w="798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left"/>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sz w:val="30"/>
                <w:szCs w:val="30"/>
              </w:rPr>
              <w:t>国家</w:t>
            </w:r>
            <w:r>
              <w:rPr>
                <w:rFonts w:hint="eastAsia" w:ascii="仿宋_GB2312" w:hAnsi="仿宋_GB2312" w:eastAsia="仿宋_GB2312" w:cs="仿宋_GB2312"/>
                <w:color w:val="auto"/>
                <w:sz w:val="30"/>
                <w:szCs w:val="30"/>
                <w:lang w:eastAsia="zh-CN"/>
              </w:rPr>
              <w:t>制造业</w:t>
            </w:r>
            <w:r>
              <w:rPr>
                <w:rFonts w:hint="eastAsia" w:ascii="仿宋_GB2312" w:hAnsi="仿宋_GB2312" w:eastAsia="仿宋_GB2312" w:cs="仿宋_GB2312"/>
                <w:color w:val="auto"/>
                <w:sz w:val="30"/>
                <w:szCs w:val="30"/>
              </w:rPr>
              <w:t>单项</w:t>
            </w:r>
            <w:r>
              <w:rPr>
                <w:rFonts w:hint="eastAsia" w:ascii="仿宋_GB2312" w:hAnsi="仿宋_GB2312" w:eastAsia="仿宋_GB2312" w:cs="仿宋_GB2312"/>
                <w:color w:val="auto"/>
                <w:sz w:val="30"/>
                <w:szCs w:val="30"/>
                <w:lang w:eastAsia="zh-CN"/>
              </w:rPr>
              <w:t>冠军</w:t>
            </w:r>
            <w:r>
              <w:rPr>
                <w:rFonts w:hint="eastAsia" w:ascii="仿宋_GB2312" w:hAnsi="仿宋_GB2312" w:eastAsia="仿宋_GB2312" w:cs="仿宋_GB2312"/>
                <w:color w:val="auto"/>
                <w:sz w:val="30"/>
                <w:szCs w:val="30"/>
              </w:rPr>
              <w:t>企业</w:t>
            </w:r>
          </w:p>
          <w:p>
            <w:pPr>
              <w:pStyle w:val="2"/>
              <w:keepNext w:val="0"/>
              <w:keepLines w:val="0"/>
              <w:pageBreakBefore w:val="0"/>
              <w:kinsoku/>
              <w:wordWrap/>
              <w:overflowPunct/>
              <w:topLinePunct w:val="0"/>
              <w:autoSpaceDE/>
              <w:autoSpaceDN/>
              <w:bidi w:val="0"/>
              <w:adjustRightInd/>
              <w:spacing w:beforeLines="0" w:afterLines="0" w:line="440" w:lineRule="exact"/>
              <w:ind w:left="0" w:leftChars="0" w:firstLine="0" w:firstLineChars="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sz w:val="30"/>
                <w:szCs w:val="30"/>
              </w:rPr>
              <w:t>国家专精特新“小巨人”企业</w:t>
            </w:r>
          </w:p>
          <w:p>
            <w:pPr>
              <w:pStyle w:val="2"/>
              <w:keepNext w:val="0"/>
              <w:keepLines w:val="0"/>
              <w:pageBreakBefore w:val="0"/>
              <w:kinsoku/>
              <w:wordWrap/>
              <w:overflowPunct/>
              <w:topLinePunct w:val="0"/>
              <w:autoSpaceDE/>
              <w:autoSpaceDN/>
              <w:bidi w:val="0"/>
              <w:adjustRightInd/>
              <w:spacing w:beforeLines="0" w:afterLines="0" w:line="440" w:lineRule="exact"/>
              <w:ind w:left="0" w:leftChars="0" w:firstLine="0" w:firstLineChars="0"/>
              <w:textAlignment w:val="auto"/>
              <w:rPr>
                <w:rFonts w:hint="eastAsia" w:ascii="仿宋_GB2312" w:hAnsi="仿宋_GB2312" w:eastAsia="仿宋_GB2312" w:cs="仿宋_GB2312"/>
                <w:color w:val="auto"/>
                <w:kern w:val="0"/>
                <w:sz w:val="30"/>
                <w:szCs w:val="30"/>
                <w:lang w:eastAsia="zh-CN"/>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kern w:val="0"/>
                <w:sz w:val="30"/>
                <w:szCs w:val="30"/>
                <w:lang w:eastAsia="zh-CN"/>
              </w:rPr>
              <w:t>国家高新技术企业</w:t>
            </w:r>
          </w:p>
          <w:p>
            <w:pPr>
              <w:pStyle w:val="2"/>
              <w:keepNext w:val="0"/>
              <w:keepLines w:val="0"/>
              <w:pageBreakBefore w:val="0"/>
              <w:kinsoku/>
              <w:wordWrap/>
              <w:overflowPunct/>
              <w:topLinePunct w:val="0"/>
              <w:autoSpaceDE/>
              <w:autoSpaceDN/>
              <w:bidi w:val="0"/>
              <w:adjustRightInd/>
              <w:spacing w:beforeLines="0" w:afterLines="0" w:line="440" w:lineRule="exact"/>
              <w:ind w:left="0" w:leftChars="0" w:firstLine="0" w:firstLineChars="0"/>
              <w:textAlignment w:val="auto"/>
              <w:rPr>
                <w:rFonts w:hint="eastAsia" w:ascii="仿宋_GB2312" w:hAnsi="仿宋_GB2312" w:eastAsia="仿宋_GB2312" w:cs="仿宋_GB2312"/>
                <w:color w:val="auto"/>
                <w:kern w:val="0"/>
                <w:sz w:val="30"/>
                <w:szCs w:val="30"/>
                <w:lang w:val="en-US" w:eastAsia="zh-CN"/>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kern w:val="0"/>
                <w:sz w:val="30"/>
                <w:szCs w:val="30"/>
                <w:lang w:eastAsia="zh-CN"/>
              </w:rPr>
              <w:t>省级以上“链主”企业</w:t>
            </w:r>
          </w:p>
          <w:p>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left"/>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sz w:val="30"/>
                <w:szCs w:val="30"/>
              </w:rPr>
              <w:t>省级专精特新中小企业</w:t>
            </w:r>
          </w:p>
          <w:p>
            <w:pPr>
              <w:keepNext w:val="0"/>
              <w:keepLines w:val="0"/>
              <w:pageBreakBefore w:val="0"/>
              <w:widowControl/>
              <w:kinsoku/>
              <w:wordWrap/>
              <w:overflowPunct/>
              <w:topLinePunct w:val="0"/>
              <w:autoSpaceDE/>
              <w:autoSpaceDN/>
              <w:bidi w:val="0"/>
              <w:adjustRightInd/>
              <w:snapToGrid/>
              <w:spacing w:before="0" w:beforeLines="0" w:after="0" w:afterLines="0" w:line="440" w:lineRule="exact"/>
              <w:jc w:val="left"/>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sz w:val="30"/>
                <w:szCs w:val="30"/>
              </w:rPr>
              <w:t>上市企业（含境内外）</w:t>
            </w:r>
          </w:p>
          <w:p>
            <w:pPr>
              <w:keepNext w:val="0"/>
              <w:keepLines w:val="0"/>
              <w:pageBreakBefore w:val="0"/>
              <w:widowControl/>
              <w:kinsoku/>
              <w:wordWrap/>
              <w:overflowPunct/>
              <w:topLinePunct w:val="0"/>
              <w:autoSpaceDE/>
              <w:autoSpaceDN/>
              <w:bidi w:val="0"/>
              <w:adjustRightInd/>
              <w:snapToGrid/>
              <w:spacing w:before="0" w:beforeLines="0" w:after="0" w:afterLines="0" w:line="440" w:lineRule="exact"/>
              <w:jc w:val="left"/>
              <w:textAlignment w:val="auto"/>
              <w:rPr>
                <w:rFonts w:hint="eastAsia" w:ascii="仿宋_GB2312" w:hAnsi="仿宋_GB2312" w:eastAsia="仿宋_GB2312" w:cs="仿宋_GB2312"/>
                <w:i w:val="0"/>
                <w:iCs w:val="0"/>
                <w:color w:val="000000"/>
                <w:sz w:val="30"/>
                <w:szCs w:val="30"/>
                <w:u w:val="none"/>
                <w:lang w:val="en-US" w:eastAsia="zh-CN"/>
              </w:rPr>
            </w:pPr>
            <w:r>
              <w:rPr>
                <w:rFonts w:hint="eastAsia" w:ascii="仿宋_GB2312" w:hAnsi="仿宋_GB2312" w:eastAsia="仿宋_GB2312" w:cs="仿宋_GB2312"/>
                <w:color w:val="auto"/>
                <w:kern w:val="0"/>
                <w:sz w:val="30"/>
                <w:szCs w:val="30"/>
              </w:rPr>
              <w:sym w:font="Wingdings 2" w:char="00A3"/>
            </w:r>
            <w:r>
              <w:rPr>
                <w:rFonts w:hint="eastAsia" w:ascii="仿宋_GB2312" w:hAnsi="仿宋_GB2312" w:eastAsia="仿宋_GB2312" w:cs="仿宋_GB2312"/>
                <w:color w:val="auto"/>
                <w:sz w:val="30"/>
                <w:szCs w:val="30"/>
              </w:rPr>
              <w:t>新三板挂牌企业</w:t>
            </w:r>
            <w:r>
              <w:rPr>
                <w:rFonts w:hint="eastAsia" w:ascii="仿宋_GB2312" w:hAnsi="仿宋_GB2312" w:eastAsia="仿宋_GB2312" w:cs="仿宋_GB2312"/>
                <w:color w:val="auto"/>
                <w:sz w:val="30"/>
                <w:szCs w:val="30"/>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jc w:val="center"/>
        </w:trPr>
        <w:tc>
          <w:tcPr>
            <w:tcW w:w="19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用地面积（亩）</w:t>
            </w:r>
          </w:p>
        </w:tc>
        <w:tc>
          <w:tcPr>
            <w:tcW w:w="2304"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合计：</w:t>
            </w: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自有（亩）</w:t>
            </w:r>
          </w:p>
        </w:tc>
        <w:tc>
          <w:tcPr>
            <w:tcW w:w="44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jc w:val="center"/>
        </w:trPr>
        <w:tc>
          <w:tcPr>
            <w:tcW w:w="19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230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1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租用（亩）</w:t>
            </w:r>
          </w:p>
        </w:tc>
        <w:tc>
          <w:tcPr>
            <w:tcW w:w="44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99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0"/>
                <w:szCs w:val="30"/>
                <w:u w:val="none"/>
              </w:rPr>
            </w:pPr>
            <w:r>
              <w:rPr>
                <w:rFonts w:hint="eastAsia" w:ascii="黑体" w:hAnsi="黑体" w:eastAsia="黑体" w:cs="黑体"/>
                <w:i w:val="0"/>
                <w:iCs w:val="0"/>
                <w:color w:val="000000"/>
                <w:kern w:val="0"/>
                <w:sz w:val="30"/>
                <w:szCs w:val="30"/>
                <w:u w:val="none"/>
                <w:lang w:val="en-US" w:eastAsia="zh-CN" w:bidi="ar"/>
              </w:rPr>
              <w:t>二、发展情况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主要指标</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（在潮纳统）</w:t>
            </w:r>
          </w:p>
        </w:tc>
        <w:tc>
          <w:tcPr>
            <w:tcW w:w="30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20**年度</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20**年度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营业收入（万元）</w:t>
            </w:r>
          </w:p>
        </w:tc>
        <w:tc>
          <w:tcPr>
            <w:tcW w:w="30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净入库税额（万元）</w:t>
            </w:r>
          </w:p>
        </w:tc>
        <w:tc>
          <w:tcPr>
            <w:tcW w:w="30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jc w:val="center"/>
        </w:trPr>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利润总额（万元）</w:t>
            </w:r>
          </w:p>
        </w:tc>
        <w:tc>
          <w:tcPr>
            <w:tcW w:w="30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研发费用（万元）</w:t>
            </w:r>
          </w:p>
        </w:tc>
        <w:tc>
          <w:tcPr>
            <w:tcW w:w="30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jc w:val="center"/>
        </w:trPr>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工业投资（万元）</w:t>
            </w:r>
          </w:p>
        </w:tc>
        <w:tc>
          <w:tcPr>
            <w:tcW w:w="30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 w:hRule="atLeast"/>
          <w:jc w:val="center"/>
        </w:trPr>
        <w:tc>
          <w:tcPr>
            <w:tcW w:w="99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0"/>
                <w:szCs w:val="30"/>
                <w:u w:val="none"/>
              </w:rPr>
            </w:pPr>
            <w:r>
              <w:rPr>
                <w:rFonts w:hint="eastAsia" w:ascii="黑体" w:hAnsi="黑体" w:eastAsia="黑体" w:cs="黑体"/>
                <w:i w:val="0"/>
                <w:iCs w:val="0"/>
                <w:color w:val="000000"/>
                <w:kern w:val="0"/>
                <w:sz w:val="30"/>
                <w:szCs w:val="30"/>
                <w:u w:val="none"/>
                <w:lang w:val="en-US" w:eastAsia="zh-CN" w:bidi="ar"/>
              </w:rPr>
              <w:t>三、需支持或协调解决事项（请根据企业实际情况，选择最重要的类型，可多选，不多于3个。并在选择类型的后面阐述具体情况）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类型</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说明</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具体情况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科技创新</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有研发意向、计划，希望在科技研发获得支持的企业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技术改造</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希望加大技术改造支持的企业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数字化转型</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希望获得数字化转型方面的服务、技术等支持</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融资上市</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有融资、上市等金融支持方面的需求的企业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兼并重组</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希望开展兼并重组的企业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增资扩产</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有增资扩产计划或增资扩产项目实施过程中遇到问题的企业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新增用地</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有新增建设用地需求或申请用地过程中遇到问题的企业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降低生产成本</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在用气用水用电等方面成本较高，需政府层面解决的企业</w:t>
            </w: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2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r>
              <w:rPr>
                <w:rFonts w:hint="eastAsia" w:ascii="仿宋_GB2312" w:hAnsi="仿宋_GB2312" w:eastAsia="仿宋_GB2312" w:cs="仿宋_GB2312"/>
                <w:i w:val="0"/>
                <w:iCs w:val="0"/>
                <w:color w:val="000000"/>
                <w:sz w:val="30"/>
                <w:szCs w:val="30"/>
                <w:u w:val="none"/>
                <w:lang w:eastAsia="zh-CN"/>
              </w:rPr>
              <w:t>其他</w:t>
            </w:r>
          </w:p>
        </w:tc>
        <w:tc>
          <w:tcPr>
            <w:tcW w:w="4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c>
          <w:tcPr>
            <w:tcW w:w="35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40" w:lineRule="exact"/>
              <w:jc w:val="left"/>
              <w:rPr>
                <w:rFonts w:hint="eastAsia" w:ascii="仿宋_GB2312" w:hAnsi="仿宋_GB2312" w:eastAsia="仿宋_GB2312" w:cs="仿宋_GB2312"/>
                <w:i w:val="0"/>
                <w:iCs w:val="0"/>
                <w:color w:val="000000"/>
                <w:sz w:val="30"/>
                <w:szCs w:val="30"/>
                <w:u w:val="none"/>
                <w:lang w:eastAsia="zh-CN"/>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sz w:val="32"/>
          <w:szCs w:val="32"/>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44"/>
          <w:sz w:val="32"/>
          <w:szCs w:val="32"/>
          <w:lang w:val="en-US" w:eastAsia="zh-CN" w:bidi="ar-SA"/>
        </w:rPr>
      </w:pPr>
      <w:r>
        <w:rPr>
          <w:rFonts w:hint="eastAsia" w:ascii="方正小标宋简体" w:hAnsi="方正小标宋简体" w:eastAsia="方正小标宋简体" w:cs="方正小标宋简体"/>
          <w:kern w:val="44"/>
          <w:sz w:val="44"/>
          <w:szCs w:val="44"/>
          <w:lang w:val="en-US" w:eastAsia="zh-CN" w:bidi="ar-SA"/>
        </w:rPr>
        <w:t>企业承诺书</w:t>
      </w:r>
    </w:p>
    <w:p>
      <w:pPr>
        <w:pStyle w:val="2"/>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kern w:val="44"/>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本公司自愿加入</w:t>
      </w:r>
      <w:r>
        <w:rPr>
          <w:rFonts w:hint="eastAsia" w:ascii="仿宋_GB2312" w:hAnsi="仿宋_GB2312" w:eastAsia="仿宋_GB2312" w:cs="仿宋_GB2312"/>
          <w:color w:val="auto"/>
          <w:sz w:val="32"/>
          <w:szCs w:val="32"/>
          <w:lang w:eastAsia="zh-CN"/>
        </w:rPr>
        <w:t>潮州</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优大强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企业培育库</w:t>
      </w:r>
      <w:r>
        <w:rPr>
          <w:rFonts w:hint="eastAsia" w:ascii="仿宋_GB2312" w:hAnsi="仿宋_GB2312" w:eastAsia="仿宋_GB2312" w:cs="仿宋_GB2312"/>
          <w:color w:val="auto"/>
          <w:sz w:val="32"/>
          <w:szCs w:val="32"/>
        </w:rPr>
        <w:t>，承诺依法使用有关扶持政策，所提交的申报材料真实、合法。如有不实之处，愿负相应法律责任，并承担由此产生的一切后果。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特此声明！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单位法定代表人（签章）：        企业名称（盖章）：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pStyle w:val="2"/>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kern w:val="44"/>
          <w:sz w:val="32"/>
          <w:szCs w:val="32"/>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2"/>
          <w:szCs w:val="32"/>
        </w:rPr>
        <w:t xml:space="preserve">                             年    月    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仿宋_GB2312"/>
          <w:sz w:val="32"/>
          <w:szCs w:val="32"/>
          <w:lang w:val="en-US" w:eastAsia="zh-CN"/>
        </w:rPr>
      </w:pPr>
      <w:r>
        <w:rPr>
          <w:rFonts w:hint="eastAsia" w:ascii="方正小标宋简体" w:hAnsi="方正小标宋简体" w:eastAsia="方正小标宋简体" w:cs="方正小标宋简体"/>
          <w:sz w:val="44"/>
          <w:szCs w:val="44"/>
          <w:lang w:val="en-US" w:eastAsia="zh-CN"/>
        </w:rPr>
        <w:t>潮州市“优大强”企业高质量研判指标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p>
    <w:tbl>
      <w:tblPr>
        <w:tblStyle w:val="5"/>
        <w:tblW w:w="145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3"/>
        <w:gridCol w:w="1007"/>
        <w:gridCol w:w="2580"/>
        <w:gridCol w:w="5290"/>
        <w:gridCol w:w="1016"/>
        <w:gridCol w:w="29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2" w:hRule="atLeast"/>
          <w:jc w:val="center"/>
        </w:trPr>
        <w:tc>
          <w:tcPr>
            <w:tcW w:w="17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类型</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序号</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指标内容</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指标计算公式及说明</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权重（%）</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监测单位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基本指标（100分）</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上年度营业收入</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指企业上年度营业收入绝对值。</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15</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7" w:hRule="atLeast"/>
          <w:jc w:val="center"/>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上年度营业收入增长率</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计算公式：上年度营业收入增长率=（上年度营业收入-前年度营业收入）/前年度营业收入×100%。</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20</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jc w:val="center"/>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3</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上年度税收贡献</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指企业上年度实缴税款及免抵申报税款绝对值。</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3" w:hRule="atLeast"/>
          <w:jc w:val="center"/>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4</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上年度税收贡献增长率</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上年度税收贡献增长率=（上年度税收贡献-前年度税收贡献）/前年度税收贡献×100%。</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25</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jc w:val="center"/>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5</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上年度利润总额</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指企业上年度利润总额绝对值。</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20</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2" w:hRule="atLeast"/>
          <w:jc w:val="center"/>
        </w:trPr>
        <w:tc>
          <w:tcPr>
            <w:tcW w:w="17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加分项</w:t>
            </w:r>
          </w:p>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（20分）</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6</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上年度工业投资总额</w:t>
            </w:r>
          </w:p>
        </w:tc>
        <w:tc>
          <w:tcPr>
            <w:tcW w:w="6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上年度纳统工业投资总额10000万元（含）以上的，得5分；上年度纳统工业投资总额在5000万元（含）至10000万元之间的，得2分；上年度工业投资总额在2000万元（含）至5000万元之间的，得1分。</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市工业和信息化局、市统计局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2" w:hRule="atLeast"/>
          <w:jc w:val="center"/>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7</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有效发明专利</w:t>
            </w:r>
          </w:p>
        </w:tc>
        <w:tc>
          <w:tcPr>
            <w:tcW w:w="6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上年度企业每新增1项发明专利授权得1分，最高5分。</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jc w:val="center"/>
        </w:trPr>
        <w:tc>
          <w:tcPr>
            <w:tcW w:w="1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32"/>
                <w:szCs w:val="32"/>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8</w:t>
            </w:r>
          </w:p>
        </w:tc>
        <w:tc>
          <w:tcPr>
            <w:tcW w:w="25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荣誉称号</w:t>
            </w:r>
          </w:p>
        </w:tc>
        <w:tc>
          <w:tcPr>
            <w:tcW w:w="63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获得国家级荣誉称号，得10分；获得省级荣誉称号，得5分。该项最高得10分。</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市工业和信息化局</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sectPr>
          <w:pgSz w:w="16838" w:h="11906" w:orient="landscape"/>
          <w:pgMar w:top="1800" w:right="1440" w:bottom="1800"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eastAsia="仿宋_GB2312"/>
          <w:b/>
          <w:bCs/>
          <w:sz w:val="32"/>
          <w:szCs w:val="32"/>
          <w:lang w:val="en-US" w:eastAsia="zh-CN"/>
        </w:rPr>
      </w:pPr>
      <w:r>
        <w:rPr>
          <w:rFonts w:hint="eastAsia" w:eastAsia="仿宋_GB2312"/>
          <w:b/>
          <w:bCs/>
          <w:sz w:val="32"/>
          <w:szCs w:val="32"/>
          <w:lang w:val="en-US" w:eastAsia="zh-CN"/>
        </w:rPr>
        <w:t>得分说明：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default" w:eastAsia="仿宋_GB2312"/>
          <w:sz w:val="32"/>
          <w:szCs w:val="32"/>
          <w:lang w:val="en-US" w:eastAsia="zh-CN"/>
        </w:rPr>
        <w:t>企业总得分=∑各</w:t>
      </w:r>
      <w:r>
        <w:rPr>
          <w:rFonts w:hint="eastAsia" w:eastAsia="仿宋_GB2312"/>
          <w:sz w:val="32"/>
          <w:szCs w:val="32"/>
          <w:lang w:val="en-US" w:eastAsia="zh-CN"/>
        </w:rPr>
        <w:t>基础</w:t>
      </w:r>
      <w:r>
        <w:rPr>
          <w:rFonts w:hint="default" w:eastAsia="仿宋_GB2312"/>
          <w:sz w:val="32"/>
          <w:szCs w:val="32"/>
          <w:lang w:val="en-US" w:eastAsia="zh-CN"/>
        </w:rPr>
        <w:t>指标得分+加分</w:t>
      </w:r>
      <w:r>
        <w:rPr>
          <w:rFonts w:hint="eastAsia" w:eastAsia="仿宋_GB2312"/>
          <w:sz w:val="32"/>
          <w:szCs w:val="32"/>
          <w:lang w:val="en-US" w:eastAsia="zh-CN"/>
        </w:rPr>
        <w:t>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default" w:eastAsia="仿宋_GB2312"/>
          <w:sz w:val="32"/>
          <w:szCs w:val="32"/>
          <w:lang w:val="en-US" w:eastAsia="zh-CN"/>
        </w:rPr>
        <w:t>各</w:t>
      </w:r>
      <w:r>
        <w:rPr>
          <w:rFonts w:hint="eastAsia" w:eastAsia="仿宋_GB2312"/>
          <w:sz w:val="32"/>
          <w:szCs w:val="32"/>
          <w:lang w:val="en-US" w:eastAsia="zh-CN"/>
        </w:rPr>
        <w:t>基础</w:t>
      </w:r>
      <w:r>
        <w:rPr>
          <w:rFonts w:hint="default" w:eastAsia="仿宋_GB2312"/>
          <w:sz w:val="32"/>
          <w:szCs w:val="32"/>
          <w:lang w:val="en-US" w:eastAsia="zh-CN"/>
        </w:rPr>
        <w:t>指标得分</w:t>
      </w:r>
      <w:r>
        <w:rPr>
          <w:rFonts w:hint="eastAsia" w:eastAsia="仿宋_GB2312"/>
          <w:sz w:val="32"/>
          <w:szCs w:val="32"/>
          <w:lang w:val="en-US" w:eastAsia="zh-CN"/>
        </w:rPr>
        <w:t>指标得分=</w:t>
      </w:r>
      <w:r>
        <w:rPr>
          <w:rFonts w:hint="default" w:eastAsia="仿宋_GB2312"/>
          <w:sz w:val="32"/>
          <w:szCs w:val="32"/>
          <w:lang w:val="en-US" w:eastAsia="zh-CN"/>
        </w:rPr>
        <w:t>∑</w:t>
      </w:r>
      <w:r>
        <w:rPr>
          <w:rFonts w:hint="eastAsia" w:eastAsia="仿宋_GB2312"/>
          <w:sz w:val="32"/>
          <w:szCs w:val="32"/>
          <w:lang w:val="en-US" w:eastAsia="zh-CN"/>
        </w:rPr>
        <w:t>（</w:t>
      </w:r>
      <w:r>
        <w:rPr>
          <w:rFonts w:hint="default" w:eastAsia="仿宋_GB2312"/>
          <w:sz w:val="32"/>
          <w:szCs w:val="32"/>
          <w:lang w:val="en-US" w:eastAsia="zh-CN"/>
        </w:rPr>
        <w:t>各</w:t>
      </w:r>
      <w:r>
        <w:rPr>
          <w:rFonts w:hint="eastAsia" w:eastAsia="仿宋_GB2312"/>
          <w:sz w:val="32"/>
          <w:szCs w:val="32"/>
          <w:lang w:val="en-US" w:eastAsia="zh-CN"/>
        </w:rPr>
        <w:t>基础指标数值*相应指标权重）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default" w:eastAsia="仿宋_GB2312"/>
          <w:sz w:val="32"/>
          <w:szCs w:val="32"/>
          <w:lang w:val="en-US" w:eastAsia="zh-CN"/>
        </w:rPr>
        <w:t>各</w:t>
      </w:r>
      <w:r>
        <w:rPr>
          <w:rFonts w:hint="eastAsia" w:eastAsia="仿宋_GB2312"/>
          <w:sz w:val="32"/>
          <w:szCs w:val="32"/>
          <w:lang w:val="en-US" w:eastAsia="zh-CN"/>
        </w:rPr>
        <w:t>基础指标数值=（X</w:t>
      </w:r>
      <w:r>
        <w:rPr>
          <w:rFonts w:hint="eastAsia" w:eastAsia="仿宋_GB2312"/>
          <w:sz w:val="32"/>
          <w:szCs w:val="32"/>
          <w:vertAlign w:val="subscript"/>
          <w:lang w:val="en-US" w:eastAsia="zh-CN"/>
        </w:rPr>
        <w:t>i</w:t>
      </w:r>
      <w:r>
        <w:rPr>
          <w:rFonts w:hint="eastAsia" w:eastAsia="仿宋_GB2312"/>
          <w:sz w:val="32"/>
          <w:szCs w:val="32"/>
          <w:lang w:val="en-US" w:eastAsia="zh-CN"/>
        </w:rPr>
        <w:t>-minX</w:t>
      </w:r>
      <w:r>
        <w:rPr>
          <w:rFonts w:hint="eastAsia" w:eastAsia="仿宋_GB2312"/>
          <w:sz w:val="32"/>
          <w:szCs w:val="32"/>
          <w:vertAlign w:val="subscript"/>
          <w:lang w:val="en-US" w:eastAsia="zh-CN"/>
        </w:rPr>
        <w:t>i</w:t>
      </w:r>
      <w:r>
        <w:rPr>
          <w:rFonts w:hint="eastAsia" w:eastAsia="仿宋_GB2312"/>
          <w:sz w:val="32"/>
          <w:szCs w:val="32"/>
          <w:lang w:val="en-US" w:eastAsia="zh-CN"/>
        </w:rPr>
        <w:t>）/（maxX</w:t>
      </w:r>
      <w:r>
        <w:rPr>
          <w:rFonts w:hint="eastAsia" w:eastAsia="仿宋_GB2312"/>
          <w:sz w:val="32"/>
          <w:szCs w:val="32"/>
          <w:vertAlign w:val="subscript"/>
          <w:lang w:val="en-US" w:eastAsia="zh-CN"/>
        </w:rPr>
        <w:t>i</w:t>
      </w:r>
      <w:r>
        <w:rPr>
          <w:rFonts w:hint="eastAsia" w:eastAsia="仿宋_GB2312"/>
          <w:sz w:val="32"/>
          <w:szCs w:val="32"/>
          <w:lang w:val="en-US" w:eastAsia="zh-CN"/>
        </w:rPr>
        <w:t>-minX</w:t>
      </w:r>
      <w:r>
        <w:rPr>
          <w:rFonts w:hint="eastAsia" w:eastAsia="仿宋_GB2312"/>
          <w:sz w:val="32"/>
          <w:szCs w:val="32"/>
          <w:vertAlign w:val="subscript"/>
          <w:lang w:val="en-US" w:eastAsia="zh-CN"/>
        </w:rPr>
        <w:t>i</w:t>
      </w:r>
      <w:r>
        <w:rPr>
          <w:rFonts w:hint="eastAsia" w:eastAsia="仿宋_GB2312"/>
          <w:sz w:val="32"/>
          <w:szCs w:val="32"/>
          <w:lang w:val="en-US" w:eastAsia="zh-CN"/>
        </w:rPr>
        <w:t>）*40%+60%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其中，X</w:t>
      </w:r>
      <w:r>
        <w:rPr>
          <w:rFonts w:hint="eastAsia" w:eastAsia="仿宋_GB2312"/>
          <w:sz w:val="32"/>
          <w:szCs w:val="32"/>
          <w:vertAlign w:val="subscript"/>
          <w:lang w:val="en-US" w:eastAsia="zh-CN"/>
        </w:rPr>
        <w:t>i</w:t>
      </w:r>
      <w:r>
        <w:rPr>
          <w:rFonts w:hint="eastAsia" w:eastAsia="仿宋_GB2312"/>
          <w:sz w:val="32"/>
          <w:szCs w:val="32"/>
          <w:vertAlign w:val="baseline"/>
          <w:lang w:val="en-US" w:eastAsia="zh-CN"/>
        </w:rPr>
        <w:t>为企业第i个指标的原始数值，</w:t>
      </w:r>
      <w:r>
        <w:rPr>
          <w:rFonts w:hint="eastAsia" w:eastAsia="仿宋_GB2312"/>
          <w:sz w:val="32"/>
          <w:szCs w:val="32"/>
          <w:lang w:val="en-US" w:eastAsia="zh-CN"/>
        </w:rPr>
        <w:t>minX</w:t>
      </w:r>
      <w:r>
        <w:rPr>
          <w:rFonts w:hint="eastAsia" w:eastAsia="仿宋_GB2312"/>
          <w:sz w:val="32"/>
          <w:szCs w:val="32"/>
          <w:vertAlign w:val="subscript"/>
          <w:lang w:val="en-US" w:eastAsia="zh-CN"/>
        </w:rPr>
        <w:t>i</w:t>
      </w:r>
      <w:r>
        <w:rPr>
          <w:rFonts w:hint="eastAsia" w:eastAsia="仿宋_GB2312"/>
          <w:sz w:val="32"/>
          <w:szCs w:val="32"/>
          <w:vertAlign w:val="baseline"/>
          <w:lang w:val="en-US" w:eastAsia="zh-CN"/>
        </w:rPr>
        <w:t>为该指标在所有参与研判企业中的最小值，</w:t>
      </w:r>
      <w:r>
        <w:rPr>
          <w:rFonts w:hint="eastAsia" w:eastAsia="仿宋_GB2312"/>
          <w:sz w:val="32"/>
          <w:szCs w:val="32"/>
          <w:lang w:val="en-US" w:eastAsia="zh-CN"/>
        </w:rPr>
        <w:t>maxX</w:t>
      </w:r>
      <w:r>
        <w:rPr>
          <w:rFonts w:hint="eastAsia" w:eastAsia="仿宋_GB2312"/>
          <w:sz w:val="32"/>
          <w:szCs w:val="32"/>
          <w:vertAlign w:val="subscript"/>
          <w:lang w:val="en-US" w:eastAsia="zh-CN"/>
        </w:rPr>
        <w:t>i</w:t>
      </w:r>
      <w:r>
        <w:rPr>
          <w:rFonts w:hint="eastAsia" w:eastAsia="仿宋_GB2312"/>
          <w:sz w:val="32"/>
          <w:szCs w:val="32"/>
          <w:vertAlign w:val="baseline"/>
          <w:lang w:val="en-US" w:eastAsia="zh-CN"/>
        </w:rPr>
        <w:t>为该指标在所有参与研判企业中的最大值。</w:t>
      </w:r>
      <w:r>
        <w:rPr>
          <w:rFonts w:hint="eastAsia" w:eastAsia="仿宋_GB2312"/>
          <w:sz w:val="32"/>
          <w:szCs w:val="32"/>
          <w:lang w:val="en-US" w:eastAsia="zh-CN"/>
        </w:rPr>
        <w:t>计算结果精确到小数点后两位。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szCs w:val="32"/>
          <w:lang w:val="en-US" w:eastAsia="zh-CN"/>
        </w:rPr>
      </w:pPr>
      <w:r>
        <w:rPr>
          <w:rFonts w:hint="default" w:eastAsia="仿宋_GB2312"/>
          <w:sz w:val="32"/>
          <w:szCs w:val="32"/>
          <w:lang w:val="en-US" w:eastAsia="zh-CN"/>
        </w:rPr>
        <w:t>各指标调查时点为</w:t>
      </w:r>
      <w:r>
        <w:rPr>
          <w:rFonts w:hint="eastAsia" w:eastAsia="仿宋_GB2312"/>
          <w:sz w:val="32"/>
          <w:szCs w:val="32"/>
          <w:lang w:val="en-US" w:eastAsia="zh-CN"/>
        </w:rPr>
        <w:t>上</w:t>
      </w:r>
      <w:r>
        <w:rPr>
          <w:rFonts w:hint="default" w:eastAsia="仿宋_GB2312"/>
          <w:sz w:val="32"/>
          <w:szCs w:val="32"/>
          <w:lang w:val="en-US" w:eastAsia="zh-CN"/>
        </w:rPr>
        <w:t>年</w:t>
      </w:r>
      <w:r>
        <w:rPr>
          <w:rFonts w:hint="eastAsia" w:eastAsia="仿宋_GB2312"/>
          <w:sz w:val="32"/>
          <w:szCs w:val="32"/>
          <w:lang w:val="en-US" w:eastAsia="zh-CN"/>
        </w:rPr>
        <w:t>度</w:t>
      </w:r>
      <w:r>
        <w:rPr>
          <w:rFonts w:hint="default" w:eastAsia="仿宋_GB2312"/>
          <w:sz w:val="32"/>
          <w:szCs w:val="32"/>
          <w:lang w:val="en-US" w:eastAsia="zh-CN"/>
        </w:rPr>
        <w:t>12月31日，调查时期为</w:t>
      </w:r>
      <w:r>
        <w:rPr>
          <w:rFonts w:hint="eastAsia" w:eastAsia="仿宋_GB2312"/>
          <w:sz w:val="32"/>
          <w:szCs w:val="32"/>
          <w:lang w:val="en-US" w:eastAsia="zh-CN"/>
        </w:rPr>
        <w:t>上</w:t>
      </w:r>
      <w:r>
        <w:rPr>
          <w:rFonts w:hint="default" w:eastAsia="仿宋_GB2312"/>
          <w:sz w:val="32"/>
          <w:szCs w:val="32"/>
          <w:lang w:val="en-US" w:eastAsia="zh-CN"/>
        </w:rPr>
        <w:t>年</w:t>
      </w:r>
      <w:r>
        <w:rPr>
          <w:rFonts w:hint="eastAsia" w:eastAsia="仿宋_GB2312"/>
          <w:sz w:val="32"/>
          <w:szCs w:val="32"/>
          <w:lang w:val="en-US" w:eastAsia="zh-CN"/>
        </w:rPr>
        <w:t>度</w:t>
      </w:r>
      <w:r>
        <w:rPr>
          <w:rFonts w:hint="default" w:eastAsia="仿宋_GB2312"/>
          <w:sz w:val="32"/>
          <w:szCs w:val="32"/>
          <w:lang w:val="en-US" w:eastAsia="zh-CN"/>
        </w:rPr>
        <w:t>1月1日至12月31日</w:t>
      </w:r>
      <w:r>
        <w:rPr>
          <w:rFonts w:hint="eastAsia"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br w:type="textWrapp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A43C86"/>
    <w:rsid w:val="08713341"/>
    <w:rsid w:val="0DC91EAE"/>
    <w:rsid w:val="0E5D1C63"/>
    <w:rsid w:val="13154088"/>
    <w:rsid w:val="21644AD8"/>
    <w:rsid w:val="22B503CF"/>
    <w:rsid w:val="22DC2BA4"/>
    <w:rsid w:val="271F10C0"/>
    <w:rsid w:val="27CD49BA"/>
    <w:rsid w:val="36BC445A"/>
    <w:rsid w:val="38A547BD"/>
    <w:rsid w:val="39CA51D3"/>
    <w:rsid w:val="4336759B"/>
    <w:rsid w:val="498B5A38"/>
    <w:rsid w:val="4B6B4B80"/>
    <w:rsid w:val="53BC636D"/>
    <w:rsid w:val="55BB0D24"/>
    <w:rsid w:val="5B0532B8"/>
    <w:rsid w:val="5D54174E"/>
    <w:rsid w:val="5FF14274"/>
    <w:rsid w:val="62A43C86"/>
    <w:rsid w:val="64312FEF"/>
    <w:rsid w:val="69114EF8"/>
    <w:rsid w:val="6AB14817"/>
    <w:rsid w:val="6B9E58B4"/>
    <w:rsid w:val="6C78130E"/>
    <w:rsid w:val="6D33797F"/>
    <w:rsid w:val="6E8E38F8"/>
    <w:rsid w:val="73A02439"/>
    <w:rsid w:val="7A8F139B"/>
    <w:rsid w:val="7DC75C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spacing w:beforeLines="0" w:beforeAutospacing="0" w:afterLines="0" w:afterAutospacing="0"/>
      <w:ind w:firstLine="560" w:firstLineChars="200"/>
      <w:jc w:val="both"/>
      <w:outlineLvl w:val="9"/>
    </w:pPr>
    <w:rPr>
      <w:rFonts w:ascii="Times New Roman" w:hAnsi="Times New Roman" w:cs="Times New Roma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1</Pages>
  <Words>0</Words>
  <Characters>0</Characters>
  <Lines>0</Lines>
  <Paragraphs>0</Paragraphs>
  <TotalTime>257</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2024-03-14T02:00:00Z</dcterms:created>
  <dc:creator>joker跃</dc:creator>
  <cp:lastModifiedBy>joker跃</cp:lastModifiedBy>
  <dcterms:modified xsi:type="dcterms:W3CDTF">2024-04-03T06:42:16Z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E3A77EA2AAC14EDA97940EA0D87F44C1</vt:lpwstr>
  </property>
</Properties>
</file>