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072E7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left"/>
        <w:textAlignment w:val="auto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"/>
        </w:rPr>
        <w:t>附件</w:t>
      </w:r>
    </w:p>
    <w:p w14:paraId="547CD5D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lang w:val="en-US" w:eastAsia="zh-CN" w:bidi="ar"/>
        </w:rPr>
      </w:pPr>
    </w:p>
    <w:p w14:paraId="771E43B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lang w:val="en-US" w:eastAsia="zh-CN" w:bidi="ar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lang w:val="en-US" w:eastAsia="zh-CN" w:bidi="ar"/>
        </w:rPr>
        <w:t>关于建立稳商扩资工作机制的工作举措</w:t>
      </w:r>
    </w:p>
    <w:bookmarkEnd w:id="0"/>
    <w:p w14:paraId="64841A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6" w:firstLineChars="200"/>
        <w:jc w:val="center"/>
        <w:textAlignment w:val="auto"/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（征求意见稿）</w:t>
      </w:r>
    </w:p>
    <w:p w14:paraId="624686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6" w:firstLineChars="200"/>
        <w:jc w:val="left"/>
        <w:textAlignment w:val="auto"/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</w:pPr>
    </w:p>
    <w:p w14:paraId="35586E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6" w:firstLineChars="200"/>
        <w:jc w:val="left"/>
        <w:textAlignment w:val="auto"/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为贯彻落实“人人勇挑担、全员拼实绩”实干争先活动部署，全面激活存量工业企业增资扩产内生动力，高效盘活闲置低效工业空间，持续扩大工业有效投资、优化产业结构、夯实工业经济底盘，精准推动企业“原地升级、原地扩能、原地增效”，特制定本工作举措。</w:t>
      </w:r>
    </w:p>
    <w:p w14:paraId="1A8A8A9E"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/>
        <w:jc w:val="left"/>
        <w:textAlignment w:val="auto"/>
        <w:rPr>
          <w:rStyle w:val="7"/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Style w:val="7"/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"/>
        </w:rPr>
        <w:t xml:space="preserve">    一、锚定目标任务，分类精准攻坚</w:t>
      </w:r>
    </w:p>
    <w:p w14:paraId="35BC5F6D"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6"/>
        <w:jc w:val="left"/>
        <w:textAlignment w:val="auto"/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立足我市工业发展实际，围绕稳商扩资重点任务，细化攻坚举措、量化考核目标，实行精准化推进、指标化管控。</w:t>
      </w:r>
    </w:p>
    <w:p w14:paraId="1E52DC38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 xml:space="preserve">   </w:t>
      </w:r>
      <w:r>
        <w:rPr>
          <w:rFonts w:hint="eastAsia" w:ascii="楷体" w:hAnsi="楷体" w:eastAsia="楷体" w:cs="楷体"/>
          <w:b/>
          <w:bCs/>
          <w:kern w:val="0"/>
          <w:sz w:val="32"/>
          <w:szCs w:val="32"/>
          <w:lang w:val="en-US" w:eastAsia="zh-CN" w:bidi="ar"/>
        </w:rPr>
        <w:t xml:space="preserve"> （一）年度目标。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2026年全市稳商扩资项目总数力争达106个，其中新增用地项目39个、零地厂房扩建项目26个、新增设备项目41个，</w:t>
      </w:r>
      <w:r>
        <w:rPr>
          <w:rStyle w:val="7"/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总投</w:t>
      </w:r>
      <w:r>
        <w:rPr>
          <w:rStyle w:val="7"/>
          <w:rFonts w:hint="default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资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strike w:val="0"/>
          <w:dstrike w:val="0"/>
          <w:color w:val="000000"/>
          <w:kern w:val="0"/>
          <w:sz w:val="32"/>
          <w:szCs w:val="32"/>
          <w:lang w:val="en-US" w:eastAsia="zh-CN" w:bidi="ar"/>
        </w:rPr>
        <w:t>134.5</w:t>
      </w:r>
      <w:r>
        <w:rPr>
          <w:rStyle w:val="7"/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亿元，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年度投资额</w:t>
      </w:r>
      <w:r>
        <w:rPr>
          <w:rStyle w:val="7"/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21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.5亿元。目标分解下达至各县（区）、功能区。</w:t>
      </w:r>
    </w:p>
    <w:p w14:paraId="2809EDE7"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 w:rightChars="0"/>
        <w:jc w:val="left"/>
        <w:textAlignment w:val="auto"/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 xml:space="preserve"> </w:t>
      </w:r>
      <w:r>
        <w:rPr>
          <w:rFonts w:hint="eastAsia" w:ascii="楷体" w:hAnsi="楷体" w:eastAsia="楷体" w:cs="楷体"/>
          <w:b/>
          <w:bCs/>
          <w:kern w:val="0"/>
          <w:sz w:val="32"/>
          <w:szCs w:val="32"/>
          <w:lang w:val="en-US" w:eastAsia="zh-CN" w:bidi="ar"/>
        </w:rPr>
        <w:t xml:space="preserve">   （二）分类攻坚举措。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紧盯三类核心项目，坚持一类型一策略，靶向施策、精准赋能。</w:t>
      </w:r>
    </w:p>
    <w:p w14:paraId="52C29356">
      <w:pPr>
        <w:pStyle w:val="3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 xml:space="preserve"> 1.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新增用地建厂项目。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聚焦存量企业扩产刚需，动态摸排用地、用能等需求，建立项目需求清单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、要素保障清单，形成“摸排一批、储备一批、开工一批、投产一批”的梯次推进格局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18F795BB">
      <w:pPr>
        <w:pStyle w:val="3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 xml:space="preserve"> 2.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零地厂房改扩建项目。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引导企业通过厂房翻建、楼层加层、布局优化、闲置空间盘活等方式开展零地技改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推动企业向内挖潜、向上扩容，提升工业用地节约集约利用水平。</w:t>
      </w:r>
    </w:p>
    <w:p w14:paraId="7FACE97B">
      <w:pPr>
        <w:pStyle w:val="3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 xml:space="preserve"> 3.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设备技改升级项目。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聚焦石化新材料、船舶修造、水产加工、汽船配、塑机螺杆等重点产业，引导企业淘汰老旧低效设备与落后工艺，加大智能装备、节能环保设备投入。</w:t>
      </w:r>
    </w:p>
    <w:p w14:paraId="4D91D1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Style w:val="7"/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Style w:val="7"/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"/>
        </w:rPr>
        <w:t xml:space="preserve">    二、健全闭环机制，压茬推进落实</w:t>
      </w:r>
    </w:p>
    <w:p w14:paraId="2443A0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6" w:firstLineChars="200"/>
        <w:jc w:val="left"/>
        <w:textAlignment w:val="auto"/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（一）建立项目动态摸排、建库更新闭环机制。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建立“年末全面兜底摸排、季度滚动动态更新”常态化工作制度。每年年底由市经信局牵头组织全市规上工业企业、单宗用地3亩以上重点企业全覆盖摸排，全面归集项目名称、计划总投资、用地需求、建设年限、新增厂房面积、新增设备投资、年度推进计划等关键信息。统一建立全市稳商扩资专项项目库，对三类项目实行分类建库、动态更新、清单管控、闭环推进。各县（区）、功能区每季度末常态化梳理辖区企业投资意向、项目推进进度、存在问题，精准掌握企业增资扩产潜力底数，为精准施策、靶向服务提供数据支撑。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（责任单位：市经信局，各县（区）、功能区）</w:t>
      </w:r>
    </w:p>
    <w:p w14:paraId="5EB750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6" w:firstLineChars="200"/>
        <w:jc w:val="left"/>
        <w:textAlignment w:val="auto"/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（二）建立企业精准帮扶机制。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坚持零地技改提质与新增用地扩产双向发力、一体推进。充分挖掘零地技改潜力，全面落实加强自然资源要素保障支持工业用地提质增效的相关要求，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在符合规划、安全环保等刚性前提下，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优化用地管控标准，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通过增加建筑密度、降低绿地率等方式提升容积率、挖掘产能空间。全力推进设备更新升级，聚焦重点行业短板弱项，引导企业迭代更新核心生产装备，同步推进智能化、数字化、绿色化改造，赋能传统产业转型升级。靠前保障新增用地及厂房项目，对确需扩产新建厂房的企业，实行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highlight w:val="none"/>
          <w:lang w:val="en-US" w:eastAsia="zh-CN" w:bidi="ar"/>
        </w:rPr>
        <w:t>定制化提升方案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，落实项目全生命周期管理，靠前协调破解规划、审批、建设等堵点难点，推动项目早开工、快建设、早达产，以优质增量带动存量优化。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（责任单位：市经信局、市资源规划局、市发改委、市生态环境局，各县（区）、功能区）</w:t>
      </w:r>
    </w:p>
    <w:p w14:paraId="2601A2A1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 xml:space="preserve">    （三）建立全流程推进机制。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健全“年初定目标、季度抓调度、年度强考核”闭环推进体系，年初量化下达各区块稳商扩资年度目标，纳入各县（区）、功能区年度目标责任考核。</w:t>
      </w:r>
      <w:r>
        <w:rPr>
          <w:rStyle w:val="7"/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 w:bidi="ar"/>
        </w:rPr>
        <w:t>建立经信、投促联动机制，统筹招商引资与稳商扩资工作，每季度复盘研判各区块工作进展、项目推进、投资完成情况，定期专题呈报市政府。</w:t>
      </w:r>
      <w:r>
        <w:rPr>
          <w:rStyle w:val="7"/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市经信局会同市府办、市投促中心开展专项督导服务，实地研判工作质效、逐项梳理堵点难点，对推进滞后的单位指导帮扶、协同破解梗阻，推动项目落地见效、任务闭环落实。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（责任单位：市经信局、市投促中心，各县（区）、功能区）</w:t>
      </w:r>
    </w:p>
    <w:p w14:paraId="4C5DDB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6" w:firstLineChars="200"/>
        <w:jc w:val="left"/>
        <w:textAlignment w:val="auto"/>
        <w:rPr>
          <w:rStyle w:val="7"/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Style w:val="7"/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"/>
        </w:rPr>
        <w:t>三、强化多元要素保障，筑牢落地坚实支撑</w:t>
      </w:r>
    </w:p>
    <w:p w14:paraId="206F2E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 xml:space="preserve">    （一）强化全域要素精准保障。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坚持“资源跟着项目走、要素围着落地转”，支持稳商扩资重点项目建设，开通审批绿色通道。强化金融精准赋能，引导金融机构创新推广“技改贷”“设备更新贷”等专属金融产品，降低企业融资成本。积极争取国家超长期特别国债、设备更新贷款财政贴息等上级政策红利，撬动社会资本广泛参与产业技改和增资扩产。统筹用好市级工业发展专项资金，重点向设备更新、技术改造项目倾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highlight w:val="none"/>
          <w:lang w:val="en-US" w:eastAsia="zh-CN" w:bidi="ar"/>
        </w:rPr>
        <w:t>斜，鼓励各县（区）、功能区因地制宜出台配套扶持政策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，构建多级联动、叠加赋能的政策保障体系。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（责任单位：市经信局、市发改委、市资源规划局、市生态环境局、市府办（金融）、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u w:val="none"/>
          <w:lang w:val="en-US" w:eastAsia="zh-CN"/>
        </w:rPr>
        <w:t>人行舟山市分行、舟山金融监管分局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，各县（区）、功能区）</w:t>
      </w:r>
    </w:p>
    <w:p w14:paraId="3D5BF7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6" w:firstLineChars="200"/>
        <w:jc w:val="left"/>
        <w:textAlignment w:val="auto"/>
        <w:rPr>
          <w:rFonts w:hint="eastAsia" w:ascii="仿宋_GB2312" w:eastAsia="仿宋_GB2312"/>
          <w:color w:val="000000"/>
          <w:spacing w:val="-23"/>
          <w:w w:val="100"/>
          <w:kern w:val="0"/>
          <w:sz w:val="32"/>
          <w:szCs w:val="32"/>
          <w:shd w:val="clear" w:color="auto" w:fill="FFFFFF"/>
        </w:rPr>
        <w:sectPr>
          <w:footerReference r:id="rId3" w:type="default"/>
          <w:pgSz w:w="11906" w:h="16838"/>
          <w:pgMar w:top="1440" w:right="1797" w:bottom="1440" w:left="1797" w:header="851" w:footer="992" w:gutter="0"/>
          <w:pgNumType w:fmt="numberInDash"/>
          <w:cols w:space="720" w:num="1"/>
          <w:rtlGutter w:val="0"/>
          <w:docGrid w:type="linesAndChars" w:linePitch="312" w:charSpace="640"/>
        </w:sect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（二）优化零地技改专项扶持政策。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紧扣存量提质、零地增效核心导向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，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strike w:val="0"/>
          <w:dstrike w:val="0"/>
          <w:color w:val="000000"/>
          <w:kern w:val="0"/>
          <w:sz w:val="32"/>
          <w:szCs w:val="32"/>
          <w:lang w:val="en-US" w:eastAsia="zh-CN" w:bidi="ar"/>
        </w:rPr>
        <w:t>修订完善相关扶持政策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，聚焦设备更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新迭代、智改数转赋能、绿色低碳改造、中小微企业技改扩能、水产加工自动化产线升级等扶持赛道，进一步降低企业申报门槛、提高补助比例、拓宽政策覆盖范围。创新推行容积率提档机制，化工新材料、船舶修造行业可适当降低容积率标准，充分调动企业零地扩能、提质增效的积极性。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（责任单位：市经信局、市财政局、市资源规划局）</w:t>
      </w:r>
      <w:r>
        <w:rPr>
          <w:rFonts w:hint="eastAsia" w:ascii="仿宋_GB2312" w:eastAsia="仿宋_GB2312"/>
          <w:color w:val="000000"/>
          <w:kern w:val="0"/>
          <w:sz w:val="32"/>
          <w:szCs w:val="32"/>
          <w:shd w:val="clear" w:color="auto" w:fill="FFFFFF"/>
          <w:lang w:val="en-US" w:eastAsia="zh-CN"/>
        </w:rPr>
        <w:t xml:space="preserve">  </w:t>
      </w:r>
    </w:p>
    <w:p w14:paraId="30A8D84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99E071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CDF7B4B">
                          <w:pPr>
                            <w:pStyle w:val="4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6pebnPAAAABQEAAA8AAAAAAAAAAQAgAAAAIgAAAGRycy9kb3ducmV2&#10;LnhtbFBLAQIUABQAAAAIAIdO4kAXSZTlzAEAAKcDAAAOAAAAAAAAAAEAIAAAAB4BAABkcnMvZTJv&#10;RG9jLnhtbFBLBQYAAAAABgAGAFkBAABc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CDF7B4B">
                    <w:pPr>
                      <w:pStyle w:val="4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C0287D"/>
    <w:rsid w:val="7DC0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99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Calibri" w:hAnsi="Calibri" w:eastAsia="宋体" w:cs="Times New Roman"/>
    </w:rPr>
  </w:style>
  <w:style w:type="paragraph" w:styleId="3">
    <w:name w:val="Subtitle"/>
    <w:basedOn w:val="1"/>
    <w:next w:val="1"/>
    <w:qFormat/>
    <w:uiPriority w:val="99"/>
    <w:pPr>
      <w:wordWrap w:val="0"/>
      <w:spacing w:after="60"/>
      <w:jc w:val="center"/>
    </w:pPr>
    <w:rPr>
      <w:rFonts w:ascii="Times New Roman" w:hAnsi="Times New Roman" w:eastAsia="仿宋_GB2312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2026-09-15T06:53:00Z</dcterms:created>
  <dc:creator>无她毁心</dc:creator>
  <cp:lastModifiedBy>无她毁心</cp:lastModifiedBy>
  <dcterms:modified xsi:type="dcterms:W3CDTF">2026-09-15T06:53:52Z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4AEFECDA8F0147A385F416EAA1BF9B9A_11</vt:lpwstr>
  </property>
  <property fmtid="{D5CDD505-2E9C-101B-9397-08002B2CF9AE}" pid="4" name="KSOTemplateDocerSaveRecord">
    <vt:lpwstr>eyJoZGlkIjoiYzAzYzg2ZjMxZmUxNmQxZjJjZTYzOThlZmRkOGUzYjciLCJ1c2VySWQiOiI1Njc2ODUwMDIifQ==</vt:lpwstr>
  </property>
</Properties>
</file>