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default" w:ascii="Times New Roman" w:hAnsi="Times New Roman" w:eastAsia="方正小标宋简体" w:cs="Times New Roman"/>
          <w:color w:val="000000" w:themeColor="text1"/>
          <w:sz w:val="44"/>
          <w:szCs w:val="44"/>
          <w:highlight w:val="none"/>
          <w:u w:val="none"/>
          <w14:textFill>
            <w14:solidFill>
              <w14:schemeClr w14:val="tx1"/>
            </w14:solidFill>
          </w14:textFill>
        </w:rPr>
      </w:pPr>
    </w:p>
    <w:p>
      <w:pPr>
        <w:spacing w:line="600" w:lineRule="exact"/>
        <w:jc w:val="center"/>
        <w:outlineLvl w:val="0"/>
        <w:rPr>
          <w:rFonts w:hint="default" w:ascii="Times New Roman" w:hAnsi="Times New Roman" w:eastAsia="方正小标宋简体" w:cs="Times New Roman"/>
          <w:color w:val="000000" w:themeColor="text1"/>
          <w:sz w:val="44"/>
          <w:szCs w:val="44"/>
          <w:highlight w:val="none"/>
          <w:u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u w:val="none"/>
          <w14:textFill>
            <w14:solidFill>
              <w14:schemeClr w14:val="tx1"/>
            </w14:solidFill>
          </w14:textFill>
        </w:rPr>
        <w:t>肇庆市202</w:t>
      </w:r>
      <w:r>
        <w:rPr>
          <w:rFonts w:hint="default" w:ascii="Times New Roman" w:hAnsi="Times New Roman" w:eastAsia="方正小标宋简体" w:cs="Times New Roman"/>
          <w:color w:val="000000" w:themeColor="text1"/>
          <w:sz w:val="44"/>
          <w:szCs w:val="44"/>
          <w:highlight w:val="none"/>
          <w:u w:val="none"/>
          <w:lang w:val="en-US" w:eastAsia="zh-CN"/>
          <w14:textFill>
            <w14:solidFill>
              <w14:schemeClr w14:val="tx1"/>
            </w14:solidFill>
          </w14:textFill>
        </w:rPr>
        <w:t>5</w:t>
      </w:r>
      <w:r>
        <w:rPr>
          <w:rFonts w:hint="default" w:ascii="Times New Roman" w:hAnsi="Times New Roman" w:eastAsia="方正小标宋简体" w:cs="Times New Roman"/>
          <w:color w:val="000000" w:themeColor="text1"/>
          <w:sz w:val="44"/>
          <w:szCs w:val="44"/>
          <w:highlight w:val="none"/>
          <w:u w:val="none"/>
          <w14:textFill>
            <w14:solidFill>
              <w14:schemeClr w14:val="tx1"/>
            </w14:solidFill>
          </w14:textFill>
        </w:rPr>
        <w:t>年省级促进产业有序转移</w:t>
      </w:r>
    </w:p>
    <w:p>
      <w:pPr>
        <w:spacing w:line="600" w:lineRule="exact"/>
        <w:jc w:val="center"/>
        <w:outlineLvl w:val="0"/>
        <w:rPr>
          <w:rFonts w:ascii="Times New Roman" w:hAnsi="Times New Roman" w:eastAsia="宋体" w:cs="Times New Roman"/>
          <w:b/>
          <w:bCs/>
          <w:color w:val="000000" w:themeColor="text1"/>
          <w:sz w:val="44"/>
          <w:szCs w:val="44"/>
          <w:highlight w:val="none"/>
          <w:u w:val="none"/>
          <w14:textFill>
            <w14:solidFill>
              <w14:schemeClr w14:val="tx1"/>
            </w14:solidFill>
          </w14:textFill>
        </w:rPr>
      </w:pPr>
      <w:r>
        <w:rPr>
          <w:rFonts w:hint="default" w:ascii="Times New Roman" w:hAnsi="Times New Roman" w:eastAsia="方正小标宋简体" w:cs="Times New Roman"/>
          <w:color w:val="000000" w:themeColor="text1"/>
          <w:sz w:val="44"/>
          <w:szCs w:val="44"/>
          <w:highlight w:val="none"/>
          <w:u w:val="none"/>
          <w14:textFill>
            <w14:solidFill>
              <w14:schemeClr w14:val="tx1"/>
            </w14:solidFill>
          </w14:textFill>
        </w:rPr>
        <w:t>专项资金项目申报入库</w:t>
      </w:r>
      <w:r>
        <w:rPr>
          <w:rFonts w:hint="default" w:ascii="Times New Roman" w:hAnsi="Times New Roman" w:eastAsia="方正小标宋简体" w:cs="Times New Roman"/>
          <w:color w:val="000000" w:themeColor="text1"/>
          <w:sz w:val="44"/>
          <w:szCs w:val="44"/>
          <w:highlight w:val="none"/>
          <w:u w:val="none"/>
          <w:lang w:eastAsia="zh-CN"/>
          <w14:textFill>
            <w14:solidFill>
              <w14:schemeClr w14:val="tx1"/>
            </w14:solidFill>
          </w14:textFill>
        </w:rPr>
        <w:t>评审</w:t>
      </w:r>
      <w:r>
        <w:rPr>
          <w:rFonts w:hint="default" w:ascii="Times New Roman" w:hAnsi="Times New Roman" w:eastAsia="方正小标宋简体" w:cs="Times New Roman"/>
          <w:color w:val="000000" w:themeColor="text1"/>
          <w:sz w:val="44"/>
          <w:szCs w:val="44"/>
          <w:highlight w:val="none"/>
          <w:u w:val="none"/>
          <w14:textFill>
            <w14:solidFill>
              <w14:schemeClr w14:val="tx1"/>
            </w14:solidFill>
          </w14:textFill>
        </w:rPr>
        <w:t>工作细则</w:t>
      </w:r>
    </w:p>
    <w:p>
      <w:pPr>
        <w:spacing w:line="600" w:lineRule="exact"/>
        <w:jc w:val="cente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pPr>
    </w:p>
    <w:p>
      <w:pPr>
        <w:spacing w:line="600" w:lineRule="exact"/>
        <w:ind w:firstLine="640" w:firstLineChars="200"/>
        <w:rPr>
          <w:rFonts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根据《广东省工业和信息化厅关于</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2025</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年省级促进产业有序转移专项资金项目入库的通知》</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有关</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要求，为做好202</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年省级促进产业有序转移专项资金项目入库工作，</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根据促进产业有序转移相关政策，</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制定本工作细则。</w:t>
      </w:r>
    </w:p>
    <w:p>
      <w:pPr>
        <w:spacing w:line="600" w:lineRule="exact"/>
        <w:ind w:firstLine="640" w:firstLineChars="200"/>
        <w:outlineLvl w:val="0"/>
        <w:rPr>
          <w:rFonts w:ascii="Times New Roman" w:hAnsi="Times New Roman" w:eastAsia="黑体" w:cs="Times New Roman"/>
          <w:color w:val="000000" w:themeColor="text1"/>
          <w:sz w:val="32"/>
          <w:szCs w:val="32"/>
          <w:highlight w:val="none"/>
          <w:u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u w:val="none"/>
          <w14:textFill>
            <w14:solidFill>
              <w14:schemeClr w14:val="tx1"/>
            </w14:solidFill>
          </w14:textFill>
        </w:rPr>
        <w:t>一、政策内容</w:t>
      </w:r>
    </w:p>
    <w:p>
      <w:pPr>
        <w:spacing w:line="600" w:lineRule="exact"/>
        <w:ind w:firstLine="640" w:firstLineChars="200"/>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pPr>
      <w:r>
        <w:rPr>
          <w:rFonts w:hint="default" w:ascii="Times New Roman" w:hAnsi="Times New Roman" w:eastAsia="楷体_GB2312" w:cs="Times New Roman"/>
          <w:color w:val="000000" w:themeColor="text1"/>
          <w:sz w:val="32"/>
          <w:szCs w:val="32"/>
          <w:highlight w:val="none"/>
          <w:u w:val="none"/>
          <w:lang w:eastAsia="zh-CN"/>
          <w14:textFill>
            <w14:solidFill>
              <w14:schemeClr w14:val="tx1"/>
            </w14:solidFill>
          </w14:textFill>
        </w:rPr>
        <w:t>（一）政策介绍。</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通过对主平台向金融机构融资用于支持主平台园区基础设施建设和产业发展、主平台园区开发公司新建或扩建标准厂房和符合产业转移条件的、产业承接地区以外的符合产业政策的制造业项目（企业）向产业承接地区转移予以支持，进一步支持优化产业布局，高水平谋划推进现代化产业体系建设，提升地区产业承载能力，推动制造业项目引进建设，促进产业转型升级和区域协调发展。</w:t>
      </w:r>
    </w:p>
    <w:p>
      <w:pPr>
        <w:numPr>
          <w:ilvl w:val="-1"/>
          <w:numId w:val="0"/>
        </w:numPr>
        <w:spacing w:line="600" w:lineRule="exact"/>
        <w:ind w:firstLine="640" w:firstLineChars="200"/>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楷体_GB2312" w:cs="Times New Roman"/>
          <w:color w:val="000000" w:themeColor="text1"/>
          <w:sz w:val="32"/>
          <w:szCs w:val="32"/>
          <w:highlight w:val="none"/>
          <w:u w:val="none"/>
          <w:lang w:val="en-US" w:eastAsia="zh-CN"/>
          <w14:textFill>
            <w14:solidFill>
              <w14:schemeClr w14:val="tx1"/>
            </w14:solidFill>
          </w14:textFill>
        </w:rPr>
        <w:t>二</w:t>
      </w:r>
      <w:r>
        <w:rPr>
          <w:rFonts w:hint="default" w:ascii="Times New Roman" w:hAnsi="Times New Roman" w:eastAsia="楷体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楷体_GB2312" w:cs="Times New Roman"/>
          <w:color w:val="000000" w:themeColor="text1"/>
          <w:sz w:val="32"/>
          <w:szCs w:val="32"/>
          <w:highlight w:val="none"/>
          <w:u w:val="none"/>
          <w14:textFill>
            <w14:solidFill>
              <w14:schemeClr w14:val="tx1"/>
            </w14:solidFill>
          </w14:textFill>
        </w:rPr>
        <w:t>政策依据。</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根据《广东省财政厅 广东省发展和改革委员会 广东省工业和信息化厅关于印发〈促进产业有序转移财政支持方案（试行）〉的通知》（粤财工〔</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2023</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13</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号）</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等有关政策文件要求，结合《广东省省级财政资金项目库管理办法（试行）》（粤财预〔2018〕263号）、《广东省省级财政专项资金管理办法（修订）》（粤府〔2023〕34号）等政策要求。</w:t>
      </w:r>
    </w:p>
    <w:p>
      <w:pPr>
        <w:numPr>
          <w:ilvl w:val="-1"/>
          <w:numId w:val="0"/>
        </w:numPr>
        <w:spacing w:line="600" w:lineRule="exact"/>
        <w:ind w:firstLine="640" w:firstLineChars="200"/>
        <w:outlineLvl w:val="1"/>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highlight w:val="none"/>
          <w:u w:val="none"/>
          <w:lang w:val="en-US" w:eastAsia="zh-CN"/>
          <w14:textFill>
            <w14:solidFill>
              <w14:schemeClr w14:val="tx1"/>
            </w14:solidFill>
          </w14:textFill>
        </w:rPr>
        <w:t>（三）政策适用范围。</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2025年省级促进产业有序转移资金项目入库包括：对主平台予以融资奖励、对主平台标准厂房建设予以奖励、支持产业承接地区产业项目建设投产3个方向。</w:t>
      </w:r>
    </w:p>
    <w:p>
      <w:pPr>
        <w:numPr>
          <w:ilvl w:val="-1"/>
          <w:numId w:val="0"/>
        </w:numPr>
        <w:spacing w:line="600" w:lineRule="exact"/>
        <w:ind w:firstLine="640" w:firstLineChars="200"/>
        <w:outlineLvl w:val="2"/>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1.对主平台予以融资奖励方向：</w:t>
      </w:r>
    </w:p>
    <w:p>
      <w:pPr>
        <w:numPr>
          <w:ilvl w:val="-1"/>
          <w:numId w:val="0"/>
        </w:numPr>
        <w:spacing w:line="600" w:lineRule="exact"/>
        <w:ind w:firstLine="640" w:firstLineChars="200"/>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推动金融机构针对主平台的园区基础设施建设定制专门的信贷（金融）产品，为主平台开发建设提供大额、长期、低息金融资本。支持主平台园区开发公司或主平台各片区所在地园区开发公司从金融机构获取金融资金用于主平台园区基础设施建设和产业发展，主平台各片区所在地园区开发公司以省工信厅公布清单为准。在此基础上，省财政根据主平台基础设施建设的实际情况，参考地级市融资与使用情况，对地级市政府予以奖励，奖励资金由市政府统筹用于支持主平台园区基础设施建设。</w:t>
      </w:r>
    </w:p>
    <w:p>
      <w:pPr>
        <w:numPr>
          <w:ilvl w:val="-1"/>
          <w:numId w:val="0"/>
        </w:numPr>
        <w:spacing w:line="600" w:lineRule="exact"/>
        <w:ind w:firstLine="640" w:firstLineChars="200"/>
        <w:outlineLvl w:val="2"/>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2.对主平台标准厂房建设予以奖励方向：</w:t>
      </w:r>
    </w:p>
    <w:p>
      <w:pPr>
        <w:numPr>
          <w:ilvl w:val="-1"/>
          <w:numId w:val="0"/>
        </w:numPr>
        <w:spacing w:line="600" w:lineRule="exact"/>
        <w:ind w:firstLine="640" w:firstLineChars="200"/>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支持产业有序转移主平台园区开发公司（主平台各片区所在地园区开发公司待省财政支持方案修订完善后再予纳入）新建或扩建标准厂房。省财政结合标准厂房建成面积及企业入驻率等因素对主平台园区开发公司予以奖励，奖励资金由园区开发公司统筹用于支持主平台基础设施建设和产业发展等。</w:t>
      </w:r>
    </w:p>
    <w:p>
      <w:pPr>
        <w:numPr>
          <w:ilvl w:val="-1"/>
          <w:numId w:val="0"/>
        </w:numPr>
        <w:spacing w:line="600" w:lineRule="exact"/>
        <w:ind w:firstLine="640" w:firstLineChars="200"/>
        <w:outlineLvl w:val="2"/>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3.支持产业承接地区产业项目建设投产方向：</w:t>
      </w:r>
    </w:p>
    <w:p>
      <w:pPr>
        <w:numPr>
          <w:ilvl w:val="-1"/>
          <w:numId w:val="0"/>
        </w:numPr>
        <w:spacing w:line="600" w:lineRule="exact"/>
        <w:ind w:firstLine="640" w:firstLineChars="200"/>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支持符合产业转移条件、产业承接地区以外、符合产业政策的项目（企业）向我市承接产业有序转移主平台或省产业转移工业园转移，省财政对新建成投产的制造业项目（企业）予以事后奖补。其中，本政策</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所指产业承接地区包括：粤东粤西粤北地区，具体为汕头、韶关、河源、梅州、汕尾、阳江、湛江、茂名、清远、潮州、揭阳、云浮等12个地级市；江门、肇庆、惠州市的12个县（市），具体为惠州市博罗县、惠东县、龙门县，江门市台山市、开平市、恩平市、鹤山市，肇庆市广宁县、怀集县、德庆县、封开县、四会市。</w:t>
      </w:r>
    </w:p>
    <w:p>
      <w:pPr>
        <w:numPr>
          <w:ilvl w:val="0"/>
          <w:numId w:val="1"/>
        </w:numPr>
        <w:spacing w:line="600" w:lineRule="exact"/>
        <w:ind w:firstLine="640" w:firstLineChars="200"/>
        <w:outlineLvl w:val="0"/>
        <w:rPr>
          <w:rFonts w:hint="default" w:ascii="Times New Roman" w:hAnsi="Times New Roman" w:eastAsia="黑体" w:cs="Times New Roman"/>
          <w:color w:val="000000" w:themeColor="text1"/>
          <w:sz w:val="32"/>
          <w:szCs w:val="32"/>
          <w:highlight w:val="none"/>
          <w:u w:val="none"/>
          <w:lang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u w:val="none"/>
          <w:lang w:eastAsia="zh-CN"/>
          <w14:textFill>
            <w14:solidFill>
              <w14:schemeClr w14:val="tx1"/>
            </w14:solidFill>
          </w14:textFill>
        </w:rPr>
        <w:t>入库要求</w:t>
      </w:r>
    </w:p>
    <w:p>
      <w:pPr>
        <w:spacing w:line="600" w:lineRule="exact"/>
        <w:ind w:firstLine="640" w:firstLineChars="200"/>
        <w:rPr>
          <w:rFonts w:hint="default" w:ascii="Times New Roman" w:hAnsi="Times New Roman" w:eastAsia="楷体" w:cs="Times New Roman"/>
          <w:color w:val="000000" w:themeColor="text1"/>
          <w:sz w:val="32"/>
          <w:szCs w:val="32"/>
          <w:highlight w:val="none"/>
          <w:u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申请专项资金的项目（企业）需同时符合以下条件：</w:t>
      </w:r>
    </w:p>
    <w:p>
      <w:pPr>
        <w:spacing w:line="600" w:lineRule="exact"/>
        <w:ind w:firstLine="640" w:firstLineChars="200"/>
        <w:outlineLvl w:val="1"/>
        <w:rPr>
          <w:rFonts w:hint="default" w:ascii="Times New Roman" w:hAnsi="Times New Roman" w:eastAsia="楷体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highlight w:val="none"/>
          <w:u w:val="none"/>
          <w:lang w:eastAsia="zh-CN"/>
          <w14:textFill>
            <w14:solidFill>
              <w14:schemeClr w14:val="tx1"/>
            </w14:solidFill>
          </w14:textFill>
        </w:rPr>
        <w:t>（一）</w:t>
      </w:r>
      <w:r>
        <w:rPr>
          <w:rFonts w:hint="default" w:ascii="Times New Roman" w:hAnsi="Times New Roman" w:eastAsia="楷体_GB2312" w:cs="Times New Roman"/>
          <w:color w:val="000000" w:themeColor="text1"/>
          <w:sz w:val="32"/>
          <w:szCs w:val="32"/>
          <w:highlight w:val="none"/>
          <w:u w:val="none"/>
          <w:lang w:val="en-US" w:eastAsia="zh-CN"/>
          <w14:textFill>
            <w14:solidFill>
              <w14:schemeClr w14:val="tx1"/>
            </w14:solidFill>
          </w14:textFill>
        </w:rPr>
        <w:t>对主平台予以融资奖励方向</w:t>
      </w:r>
    </w:p>
    <w:p>
      <w:pPr>
        <w:spacing w:line="600" w:lineRule="exact"/>
        <w:ind w:firstLine="640" w:firstLineChars="200"/>
        <w:rPr>
          <w:rFonts w:hint="default" w:ascii="Times New Roman" w:hAnsi="Times New Roman" w:cs="Times New Roman"/>
          <w:lang w:val="en-US" w:eastAsia="zh-CN"/>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使用固定资产贷款资金的基础设施应整体位于主平台范围内，主要包括道路、给水、排水、电力、网络、燃气、公共交通、供热/蒸气、污水、生活垃圾处理设施、消防站等。上述不完全位于主平台范围内，但实际为主平台进行配套服务的项目亦可纳入扶持范围。</w:t>
      </w:r>
    </w:p>
    <w:p>
      <w:pPr>
        <w:spacing w:line="600" w:lineRule="exact"/>
        <w:ind w:firstLine="640" w:firstLineChars="200"/>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2.中长期固定资产贷款是指主平台园区开发公司或主平台各片区所在地园区开发公司从银行业金融机构获得一年（不含）以上的贷款。</w:t>
      </w:r>
    </w:p>
    <w:p>
      <w:pPr>
        <w:spacing w:line="600" w:lineRule="exact"/>
        <w:ind w:firstLine="640" w:firstLineChars="200"/>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3.固定资产贷款来源主要包括政策性银行、国有商业银行、股份制商业银行等金融机构。</w:t>
      </w:r>
    </w:p>
    <w:p>
      <w:pPr>
        <w:spacing w:line="600" w:lineRule="exact"/>
        <w:ind w:firstLine="640" w:firstLineChars="200"/>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4.奖补基数为主平台开展基础设施建设过程中向金融机构申请的中长期固定资产贷款（不含专项债），并在2023年1月1日至2023年12月31日期间实际用于主平台基础设施建设的额度（以发票（含税）为准，并提供对应支付凭证）。符合条件的项目仅限申报一次，不得拆分申报。</w:t>
      </w:r>
    </w:p>
    <w:p>
      <w:pPr>
        <w:spacing w:line="600" w:lineRule="exact"/>
        <w:ind w:firstLine="640" w:firstLineChars="200"/>
        <w:outlineLvl w:val="1"/>
        <w:rPr>
          <w:rFonts w:hint="default" w:ascii="Times New Roman" w:hAnsi="Times New Roman" w:eastAsia="楷体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highlight w:val="none"/>
          <w:u w:val="none"/>
          <w:lang w:eastAsia="zh-CN"/>
          <w14:textFill>
            <w14:solidFill>
              <w14:schemeClr w14:val="tx1"/>
            </w14:solidFill>
          </w14:textFill>
        </w:rPr>
        <w:t>（二）</w:t>
      </w:r>
      <w:r>
        <w:rPr>
          <w:rFonts w:hint="default" w:ascii="Times New Roman" w:hAnsi="Times New Roman" w:eastAsia="楷体_GB2312" w:cs="Times New Roman"/>
          <w:color w:val="000000" w:themeColor="text1"/>
          <w:sz w:val="32"/>
          <w:szCs w:val="32"/>
          <w:highlight w:val="none"/>
          <w:u w:val="none"/>
          <w:lang w:val="en-US" w:eastAsia="zh-CN"/>
          <w14:textFill>
            <w14:solidFill>
              <w14:schemeClr w14:val="tx1"/>
            </w14:solidFill>
          </w14:textFill>
        </w:rPr>
        <w:t>对主平台标准厂房建设予以奖励方向</w:t>
      </w:r>
    </w:p>
    <w:p>
      <w:pPr>
        <w:spacing w:line="600" w:lineRule="exact"/>
        <w:ind w:firstLine="640" w:firstLineChars="200"/>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1.标准厂房是指主平台园区开发公司（或其下属全资子公司，下同）采取自建、代建、共建等模式，围绕主平台产业发展和企业需求，按照国家通用标准及行业要求，在主平台范围内进行统一规划、集中建设、功能配套、达到建设规模要求，符合安全、消防、环保、质量等相关技术要求的通用或专用厂房。</w:t>
      </w:r>
    </w:p>
    <w:p>
      <w:pPr>
        <w:spacing w:line="600" w:lineRule="exact"/>
        <w:ind w:firstLine="640" w:firstLineChars="200"/>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2.建设标准厂房应依法使用规划用途为工业的国有建设用地，应于2023年1月1日至2023年12月31日期间竣工验收并投入使用。标准厂房容积率原则上不低于1.6。单个工业标准厂房集中区域的计容建筑面积应不少于50000平方米。</w:t>
      </w:r>
    </w:p>
    <w:p>
      <w:pPr>
        <w:pStyle w:val="4"/>
        <w:spacing w:before="180" w:line="600" w:lineRule="exact"/>
        <w:ind w:left="23" w:firstLine="601"/>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3.</w:t>
      </w:r>
      <w:r>
        <w:rPr>
          <w:rFonts w:hint="default" w:ascii="Times New Roman" w:hAnsi="Times New Roman" w:eastAsia="仿宋_GB2312" w:cs="Times New Roman"/>
          <w:spacing w:val="17"/>
          <w:sz w:val="32"/>
          <w:szCs w:val="32"/>
        </w:rPr>
        <w:t>标准厂房建成后主要用于出租给企业从事工业生产经营</w:t>
      </w:r>
      <w:r>
        <w:rPr>
          <w:rFonts w:hint="default" w:ascii="Times New Roman" w:hAnsi="Times New Roman" w:eastAsia="仿宋_GB2312" w:cs="Times New Roman"/>
          <w:spacing w:val="2"/>
          <w:sz w:val="32"/>
          <w:szCs w:val="32"/>
        </w:rPr>
        <w:t>等，产业定位要与所在主平台的主导产业相衔接。应有道路、电</w:t>
      </w:r>
      <w:r>
        <w:rPr>
          <w:rFonts w:hint="default" w:ascii="Times New Roman" w:hAnsi="Times New Roman" w:eastAsia="仿宋_GB2312" w:cs="Times New Roman"/>
          <w:spacing w:val="6"/>
          <w:sz w:val="32"/>
          <w:szCs w:val="32"/>
        </w:rPr>
        <w:t>力、通讯、给排水及污水处理等功能配套。</w:t>
      </w:r>
    </w:p>
    <w:p>
      <w:pPr>
        <w:spacing w:line="600" w:lineRule="exact"/>
        <w:ind w:firstLine="640" w:firstLineChars="200"/>
        <w:rPr>
          <w:rFonts w:hint="default" w:ascii="Times New Roman" w:hAnsi="Times New Roman" w:eastAsia="仿宋_GB2312" w:cs="Times New Roman"/>
          <w:sz w:val="32"/>
          <w:szCs w:val="32"/>
          <w:u w:val="none"/>
          <w:lang w:val="en-US" w:eastAsia="zh-CN"/>
        </w:rPr>
      </w:pPr>
      <w:r>
        <w:rPr>
          <w:rFonts w:hint="default" w:ascii="Times New Roman" w:hAnsi="Times New Roman" w:eastAsia="仿宋_GB2312" w:cs="Times New Roman"/>
          <w:sz w:val="32"/>
          <w:szCs w:val="32"/>
          <w:u w:val="none"/>
          <w:lang w:val="en-US" w:eastAsia="zh-CN"/>
        </w:rPr>
        <w:t>4.可以栋、座等界限分明的区域进行申报，单次申报面积不少于5000平方米。申报区域企业入住率不得低于60%，以企业（项目）签订租约合同等为准，并附企业交租发票（如处于免租期，则提供免租合同和水电费发票）。</w:t>
      </w:r>
    </w:p>
    <w:p>
      <w:pPr>
        <w:spacing w:line="600" w:lineRule="exact"/>
        <w:ind w:firstLine="640" w:firstLineChars="200"/>
        <w:rPr>
          <w:rFonts w:hint="default" w:ascii="Times New Roman" w:hAnsi="Times New Roman" w:eastAsia="黑体" w:cs="Times New Roman"/>
          <w:color w:val="000000" w:themeColor="text1"/>
          <w:sz w:val="24"/>
          <w:szCs w:val="24"/>
          <w:highlight w:val="none"/>
          <w:u w:val="none"/>
          <w:lang w:eastAsia="zh-CN"/>
          <w14:textFill>
            <w14:solidFill>
              <w14:schemeClr w14:val="tx1"/>
            </w14:solidFill>
          </w14:textFill>
        </w:rPr>
      </w:pPr>
      <w:r>
        <w:rPr>
          <w:rFonts w:hint="default" w:ascii="Times New Roman" w:hAnsi="Times New Roman" w:eastAsia="仿宋_GB2312" w:cs="Times New Roman"/>
          <w:sz w:val="32"/>
          <w:szCs w:val="32"/>
          <w:u w:val="none"/>
          <w:lang w:val="en-US" w:eastAsia="zh-CN"/>
        </w:rPr>
        <w:t>5.</w:t>
      </w:r>
      <w:r>
        <w:rPr>
          <w:rFonts w:hint="default" w:ascii="Times New Roman" w:hAnsi="Times New Roman" w:eastAsia="仿宋_GB2312" w:cs="Times New Roman"/>
          <w:sz w:val="32"/>
          <w:szCs w:val="32"/>
        </w:rPr>
        <w:t>省财政按照标准厂房产权实际归属于主平台园区开发公司的比例或持股比例进行奖补。获得省财政资金支持的标准厂房需自持5年（含）以上，自通过竣工验收之日开始计算，自持期间不得通过出售、转让、划拨等任何形式变更标准厂房权属，如违反有关要求的收回其获得的奖补资金。</w:t>
      </w:r>
    </w:p>
    <w:p>
      <w:pPr>
        <w:spacing w:line="600" w:lineRule="exact"/>
        <w:ind w:firstLine="640" w:firstLineChars="200"/>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申报省级财政奖补资金的标准厂房还需提供建设成本的审计报告，以及其他合法证明文件或相关佐证材料（不含土地购置成本）。</w:t>
      </w:r>
    </w:p>
    <w:p>
      <w:pPr>
        <w:spacing w:line="600" w:lineRule="exact"/>
        <w:ind w:firstLine="640" w:firstLineChars="200"/>
        <w:outlineLvl w:val="1"/>
        <w:rPr>
          <w:rFonts w:hint="default" w:ascii="Times New Roman" w:hAnsi="Times New Roman" w:eastAsia="楷体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highlight w:val="none"/>
          <w:u w:val="none"/>
          <w:lang w:eastAsia="zh-CN"/>
          <w14:textFill>
            <w14:solidFill>
              <w14:schemeClr w14:val="tx1"/>
            </w14:solidFill>
          </w14:textFill>
        </w:rPr>
        <w:t>（三）</w:t>
      </w:r>
      <w:r>
        <w:rPr>
          <w:rFonts w:hint="default" w:ascii="Times New Roman" w:hAnsi="Times New Roman" w:eastAsia="楷体_GB2312" w:cs="Times New Roman"/>
          <w:color w:val="000000" w:themeColor="text1"/>
          <w:sz w:val="32"/>
          <w:szCs w:val="32"/>
          <w:highlight w:val="none"/>
          <w:u w:val="none"/>
          <w:lang w:val="en-US" w:eastAsia="zh-CN"/>
          <w14:textFill>
            <w14:solidFill>
              <w14:schemeClr w14:val="tx1"/>
            </w14:solidFill>
          </w14:textFill>
        </w:rPr>
        <w:t>支持产业承接地区产业项目建设投产方向</w:t>
      </w:r>
    </w:p>
    <w:p>
      <w:pPr>
        <w:spacing w:line="600" w:lineRule="exact"/>
        <w:ind w:firstLine="640" w:firstLineChars="200"/>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产业项目需符合“十四五”时期全省制造业总体空间布局的产业集群方向，具体按照《广东省人民政府关于印发广东省制造业高质量发展“十四五”规划的通知》</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粤府〔2021〕53号</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执行</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，不得支持淘汰类和落后产能项目。</w:t>
      </w:r>
    </w:p>
    <w:p>
      <w:pPr>
        <w:spacing w:line="600" w:lineRule="exact"/>
        <w:ind w:firstLine="640" w:firstLineChars="200"/>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产业项目须在</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产业承接地区</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主平台或省级以上工业园区内落户，省级以上工业园区范围按照《关于推动工业园区高质量发展的实施方案》</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粤工信园区〔2020〕83号</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执行。</w:t>
      </w:r>
    </w:p>
    <w:p>
      <w:pPr>
        <w:spacing w:line="600" w:lineRule="exact"/>
        <w:ind w:firstLine="640" w:firstLineChars="200"/>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项目单位是在产业承接地区登记注册的独立法人资格工业企业或符合条件的自然人投资项目。</w:t>
      </w:r>
    </w:p>
    <w:p>
      <w:pPr>
        <w:keepNext w:val="0"/>
        <w:keepLines w:val="0"/>
        <w:pageBreakBefore w:val="0"/>
        <w:widowControl w:val="0"/>
        <w:numPr>
          <w:ilvl w:val="-1"/>
          <w:numId w:val="0"/>
        </w:numPr>
        <w:kinsoku/>
        <w:wordWrap/>
        <w:overflowPunct/>
        <w:topLinePunct w:val="0"/>
        <w:autoSpaceDE/>
        <w:autoSpaceDN/>
        <w:bidi w:val="0"/>
        <w:adjustRightInd/>
        <w:snapToGrid/>
        <w:spacing w:before="0" w:beforeLines="0" w:after="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u w:val="none" w:color="auto"/>
          <w:lang w:val="en-US" w:eastAsia="zh-CN"/>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4.</w:t>
      </w:r>
      <w:r>
        <w:rPr>
          <w:rFonts w:hint="default" w:ascii="Times New Roman" w:hAnsi="Times New Roman" w:eastAsia="仿宋_GB2312" w:cs="Times New Roman"/>
          <w:b w:val="0"/>
          <w:bCs w:val="0"/>
          <w:color w:val="auto"/>
          <w:sz w:val="32"/>
          <w:szCs w:val="32"/>
          <w:highlight w:val="none"/>
          <w:u w:val="none" w:color="auto"/>
          <w:lang w:val="en-US" w:eastAsia="zh-CN"/>
        </w:rPr>
        <w:t>新建制造业项目（企业）总投资（不含土地购置成本和税，下同）不低于2000万元，且新设备购置总额（不含税，下同）不低于500万元。</w:t>
      </w:r>
    </w:p>
    <w:p>
      <w:pPr>
        <w:keepNext w:val="0"/>
        <w:keepLines w:val="0"/>
        <w:pageBreakBefore w:val="0"/>
        <w:widowControl w:val="0"/>
        <w:numPr>
          <w:ilvl w:val="-1"/>
          <w:numId w:val="0"/>
        </w:numPr>
        <w:kinsoku/>
        <w:wordWrap/>
        <w:overflowPunct/>
        <w:topLinePunct w:val="0"/>
        <w:autoSpaceDE/>
        <w:autoSpaceDN/>
        <w:bidi w:val="0"/>
        <w:adjustRightInd/>
        <w:snapToGrid/>
        <w:spacing w:before="0" w:beforeLines="0" w:after="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u w:val="none" w:color="auto"/>
          <w:lang w:val="en-US" w:eastAsia="zh-CN"/>
        </w:rPr>
      </w:pPr>
      <w:r>
        <w:rPr>
          <w:rFonts w:hint="default" w:ascii="Times New Roman" w:hAnsi="Times New Roman" w:eastAsia="仿宋_GB2312" w:cs="Times New Roman"/>
          <w:b w:val="0"/>
          <w:bCs w:val="0"/>
          <w:color w:val="auto"/>
          <w:sz w:val="32"/>
          <w:szCs w:val="32"/>
          <w:highlight w:val="none"/>
          <w:u w:val="none" w:color="auto"/>
          <w:lang w:val="en-US" w:eastAsia="zh-CN"/>
        </w:rPr>
        <w:t>5.申报奖补资金的项目自建厂房、购置设备等固定资产投资均已按规定完成转固，纳入所在地固定资产投资统计。</w:t>
      </w:r>
    </w:p>
    <w:p>
      <w:pPr>
        <w:keepNext w:val="0"/>
        <w:keepLines w:val="0"/>
        <w:pageBreakBefore w:val="0"/>
        <w:widowControl w:val="0"/>
        <w:numPr>
          <w:ilvl w:val="-1"/>
          <w:numId w:val="0"/>
        </w:numPr>
        <w:kinsoku/>
        <w:wordWrap/>
        <w:overflowPunct/>
        <w:topLinePunct w:val="0"/>
        <w:autoSpaceDE/>
        <w:autoSpaceDN/>
        <w:bidi w:val="0"/>
        <w:adjustRightInd/>
        <w:snapToGrid/>
        <w:spacing w:before="0" w:beforeLines="0" w:after="0" w:afterLines="0" w:line="600" w:lineRule="exact"/>
        <w:ind w:left="0" w:leftChars="0" w:right="0" w:rightChars="0" w:firstLine="640" w:firstLineChars="200"/>
        <w:jc w:val="both"/>
        <w:textAlignment w:val="auto"/>
        <w:outlineLvl w:val="9"/>
        <w:rPr>
          <w:rFonts w:hint="default" w:ascii="Times New Roman" w:hAnsi="Times New Roman" w:eastAsia="仿宋_GB2312" w:cs="Times New Roman"/>
          <w:b w:val="0"/>
          <w:bCs w:val="0"/>
          <w:color w:val="auto"/>
          <w:sz w:val="32"/>
          <w:szCs w:val="32"/>
          <w:highlight w:val="none"/>
          <w:u w:val="none" w:color="auto"/>
          <w:lang w:val="en-US" w:eastAsia="zh-CN"/>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6.</w:t>
      </w:r>
      <w:r>
        <w:rPr>
          <w:rFonts w:hint="default" w:ascii="Times New Roman" w:hAnsi="Times New Roman" w:eastAsia="仿宋_GB2312" w:cs="Times New Roman"/>
          <w:b w:val="0"/>
          <w:bCs w:val="0"/>
          <w:color w:val="auto"/>
          <w:sz w:val="32"/>
          <w:szCs w:val="32"/>
          <w:highlight w:val="none"/>
          <w:u w:val="none" w:color="auto"/>
          <w:lang w:val="en-US" w:eastAsia="zh-CN"/>
        </w:rPr>
        <w:t>申报项目及申报奖励的设备投资应未获得过重大先进制造业投资奖励、普惠性制造业投资奖励、企业技术改造奖励等省级财政资金的支持。</w:t>
      </w:r>
    </w:p>
    <w:p>
      <w:pPr>
        <w:spacing w:line="600" w:lineRule="exact"/>
        <w:ind w:firstLine="640" w:firstLineChars="200"/>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7.</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对于应办理节能审查而未进行节能审查或节能审查未获通过或未落实节能审查意见的项目不予支持；项目申报至公示期满，环保信用评价为“环保不良企业”“信用中国（广东）”网站（https://credit.gd.gov.cn）联合惩戒对象与广东黑名单的企业不予支持。</w:t>
      </w:r>
    </w:p>
    <w:p>
      <w:pPr>
        <w:spacing w:line="600" w:lineRule="exact"/>
        <w:ind w:firstLine="640" w:firstLineChars="200"/>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8.</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项目（企业）不存在违反省、市产业有序转移与财政专项资金管理文件规定的情况。</w:t>
      </w:r>
    </w:p>
    <w:p>
      <w:pPr>
        <w:spacing w:line="600" w:lineRule="exact"/>
        <w:ind w:firstLine="640" w:firstLineChars="200"/>
        <w:outlineLvl w:val="0"/>
        <w:rPr>
          <w:rFonts w:hint="default" w:ascii="Times New Roman" w:hAnsi="Times New Roman" w:eastAsia="黑体" w:cs="Times New Roman"/>
          <w:color w:val="000000" w:themeColor="text1"/>
          <w:sz w:val="32"/>
          <w:szCs w:val="32"/>
          <w:highlight w:val="none"/>
          <w:u w:val="none"/>
          <w14:textFill>
            <w14:solidFill>
              <w14:schemeClr w14:val="tx1"/>
            </w14:solidFill>
          </w14:textFill>
        </w:rPr>
      </w:pPr>
      <w:bookmarkStart w:id="0" w:name="bookmark7"/>
      <w:bookmarkEnd w:id="0"/>
      <w:bookmarkStart w:id="1" w:name="bookmark8"/>
      <w:bookmarkEnd w:id="1"/>
      <w:r>
        <w:rPr>
          <w:rFonts w:hint="default" w:ascii="Times New Roman" w:hAnsi="Times New Roman" w:eastAsia="黑体" w:cs="Times New Roman"/>
          <w:color w:val="000000" w:themeColor="text1"/>
          <w:sz w:val="32"/>
          <w:szCs w:val="32"/>
          <w:highlight w:val="none"/>
          <w:u w:val="none"/>
          <w:lang w:val="en-US" w:eastAsia="zh-CN"/>
          <w14:textFill>
            <w14:solidFill>
              <w14:schemeClr w14:val="tx1"/>
            </w14:solidFill>
          </w14:textFill>
        </w:rPr>
        <w:t>三、支持标准和计算方式</w:t>
      </w:r>
    </w:p>
    <w:p>
      <w:pPr>
        <w:numPr>
          <w:ilvl w:val="255"/>
          <w:numId w:val="0"/>
        </w:numPr>
        <w:spacing w:line="600" w:lineRule="exact"/>
        <w:ind w:firstLine="640" w:firstLineChars="200"/>
        <w:rPr>
          <w:rFonts w:hint="default" w:ascii="Times New Roman" w:hAnsi="Times New Roman" w:eastAsia="楷体" w:cs="Times New Roman"/>
          <w:color w:val="000000" w:themeColor="text1"/>
          <w:sz w:val="32"/>
          <w:szCs w:val="32"/>
          <w:highlight w:val="none"/>
          <w:u w:val="none"/>
          <w:lang w:eastAsia="zh-CN"/>
          <w14:textFill>
            <w14:solidFill>
              <w14:schemeClr w14:val="tx1"/>
            </w14:solidFill>
          </w14:textFill>
        </w:rPr>
      </w:pPr>
      <w:r>
        <w:rPr>
          <w:rFonts w:hint="default" w:ascii="Times New Roman" w:hAnsi="Times New Roman" w:eastAsia="楷体_GB2312" w:cs="Times New Roman"/>
          <w:color w:val="000000" w:themeColor="text1"/>
          <w:sz w:val="32"/>
          <w:szCs w:val="32"/>
          <w:highlight w:val="none"/>
          <w:u w:val="none"/>
          <w:lang w:eastAsia="zh-CN"/>
          <w14:textFill>
            <w14:solidFill>
              <w14:schemeClr w14:val="tx1"/>
            </w14:solidFill>
          </w14:textFill>
        </w:rPr>
        <w:t>（一）支持标准。</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省财政资金实行总额控制，择优遴选项目予以支持</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，入库项目不等同于最终省级财政资金给予支持的项目。</w:t>
      </w:r>
    </w:p>
    <w:p>
      <w:pPr>
        <w:numPr>
          <w:ilvl w:val="255"/>
          <w:numId w:val="0"/>
        </w:numPr>
        <w:spacing w:line="600" w:lineRule="exact"/>
        <w:ind w:firstLine="640" w:firstLineChars="200"/>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1.对</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主平台予以融资奖励方向：省财政</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根据主平台基础设施建设的实际情况，</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按照</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实际使用的中长期固定资产贷款的一定比例予以奖励</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按不超过1.5%予以奖励</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肇庆市按上述支持标准的75%执行。</w:t>
      </w:r>
    </w:p>
    <w:p>
      <w:pPr>
        <w:numPr>
          <w:ilvl w:val="255"/>
          <w:numId w:val="0"/>
        </w:numPr>
        <w:spacing w:line="600" w:lineRule="exact"/>
        <w:ind w:firstLine="640" w:firstLineChars="200"/>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2.对</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主平台标准厂房建设予以奖励方向：</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对主平台园区开发公司在2023年新建成或扩建的标准厂房，</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按</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不超过500元/平方米，且不超过当地标准厂房建设成本（不含土地购置成本）1/4的标准予以奖励</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肇庆市按上述支持标准的75%执行。</w:t>
      </w:r>
    </w:p>
    <w:p>
      <w:pPr>
        <w:numPr>
          <w:ilvl w:val="255"/>
          <w:numId w:val="0"/>
        </w:numPr>
        <w:shd w:val="clear" w:color="auto" w:fill="auto"/>
        <w:spacing w:after="0" w:line="600" w:lineRule="exact"/>
        <w:ind w:firstLine="640" w:firstLineChars="200"/>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产业承接地区产业项目建设投产</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支持标准</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：本次项目入库</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优先支持符合“十四五”时期全省制造业总体空间布局图中带★的产业集群方向的项目</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企业</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符合本工作细则支持对象的项目（</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企业</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按设备购置额（不含税）及自建厂房(不含</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税且不含</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土地购置成本</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固定资产投资额的不超过10%予以一次性奖励，每个项目</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企业</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累计最高不超过2000万元。肇庆市按上述支持标准的75%执行。</w:t>
      </w:r>
    </w:p>
    <w:p>
      <w:pPr>
        <w:numPr>
          <w:ilvl w:val="-1"/>
          <w:numId w:val="0"/>
        </w:numPr>
        <w:spacing w:line="600" w:lineRule="exact"/>
        <w:ind w:left="630" w:leftChars="0" w:firstLine="0" w:firstLineChars="0"/>
        <w:outlineLvl w:val="1"/>
        <w:rPr>
          <w:rFonts w:hint="default" w:ascii="Times New Roman" w:hAnsi="Times New Roman" w:eastAsia="楷体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楷体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楷体_GB2312" w:cs="Times New Roman"/>
          <w:color w:val="000000" w:themeColor="text1"/>
          <w:sz w:val="32"/>
          <w:szCs w:val="32"/>
          <w:highlight w:val="none"/>
          <w:u w:val="none"/>
          <w:lang w:val="en-US" w:eastAsia="zh-CN"/>
          <w14:textFill>
            <w14:solidFill>
              <w14:schemeClr w14:val="tx1"/>
            </w14:solidFill>
          </w14:textFill>
        </w:rPr>
        <w:t>二</w:t>
      </w:r>
      <w:r>
        <w:rPr>
          <w:rFonts w:hint="default" w:ascii="Times New Roman" w:hAnsi="Times New Roman" w:eastAsia="楷体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楷体_GB2312" w:cs="Times New Roman"/>
          <w:color w:val="000000" w:themeColor="text1"/>
          <w:sz w:val="32"/>
          <w:szCs w:val="32"/>
          <w:highlight w:val="none"/>
          <w:u w:val="none"/>
          <w14:textFill>
            <w14:solidFill>
              <w14:schemeClr w14:val="tx1"/>
            </w14:solidFill>
          </w14:textFill>
        </w:rPr>
        <w:t>计算方式</w:t>
      </w:r>
      <w:r>
        <w:rPr>
          <w:rFonts w:hint="default" w:ascii="Times New Roman" w:hAnsi="Times New Roman" w:eastAsia="楷体_GB2312" w:cs="Times New Roman"/>
          <w:color w:val="000000" w:themeColor="text1"/>
          <w:sz w:val="32"/>
          <w:szCs w:val="32"/>
          <w:highlight w:val="none"/>
          <w:u w:val="none"/>
          <w:lang w:eastAsia="zh-CN"/>
          <w14:textFill>
            <w14:solidFill>
              <w14:schemeClr w14:val="tx1"/>
            </w14:solidFill>
          </w14:textFill>
        </w:rPr>
        <w:t>。</w:t>
      </w:r>
      <w:bookmarkStart w:id="2" w:name="_GoBack"/>
      <w:bookmarkEnd w:id="2"/>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kern w:val="2"/>
          <w:sz w:val="32"/>
          <w:szCs w:val="32"/>
          <w:highlight w:val="none"/>
          <w:u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u w:val="none"/>
          <w:lang w:val="en-US" w:eastAsia="zh-CN" w:bidi="ar-SA"/>
          <w14:textFill>
            <w14:solidFill>
              <w14:schemeClr w14:val="tx1"/>
            </w14:solidFill>
          </w14:textFill>
        </w:rPr>
        <w:t>1.</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主平台融资</w:t>
      </w:r>
      <w:r>
        <w:rPr>
          <w:rFonts w:hint="default" w:ascii="Times New Roman" w:hAnsi="Times New Roman" w:eastAsia="仿宋_GB2312" w:cs="Times New Roman"/>
          <w:color w:val="000000" w:themeColor="text1"/>
          <w:kern w:val="2"/>
          <w:sz w:val="32"/>
          <w:szCs w:val="32"/>
          <w:highlight w:val="none"/>
          <w:u w:val="none"/>
          <w:lang w:val="en-US" w:eastAsia="zh-CN" w:bidi="ar-SA"/>
          <w14:textFill>
            <w14:solidFill>
              <w14:schemeClr w14:val="tx1"/>
            </w14:solidFill>
          </w14:textFill>
        </w:rPr>
        <w:t>计算方式：从银行业金融机构获得一年（不含）以上中长期固定资产贷款（需以肇庆市政府报备清单为准），并在2023年1月1日至2023年12月31日期间实际用于主平台基础设施建设的额度。符合条件的项目仅限申报一次，不得拆分申报。</w:t>
      </w:r>
    </w:p>
    <w:p>
      <w:pPr>
        <w:keepNext w:val="0"/>
        <w:keepLines w:val="0"/>
        <w:pageBreakBefore w:val="0"/>
        <w:widowControl/>
        <w:numPr>
          <w:ilvl w:val="-1"/>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kern w:val="2"/>
          <w:sz w:val="32"/>
          <w:szCs w:val="32"/>
          <w:highlight w:val="none"/>
          <w:u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u w:val="none"/>
          <w:lang w:val="en-US" w:eastAsia="zh-CN" w:bidi="ar-SA"/>
          <w14:textFill>
            <w14:solidFill>
              <w14:schemeClr w14:val="tx1"/>
            </w14:solidFill>
          </w14:textFill>
        </w:rPr>
        <w:t>2.</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主平台园区开发公司建设标准厂房</w:t>
      </w:r>
      <w:r>
        <w:rPr>
          <w:rFonts w:hint="default" w:ascii="Times New Roman" w:hAnsi="Times New Roman" w:eastAsia="仿宋_GB2312" w:cs="Times New Roman"/>
          <w:color w:val="000000" w:themeColor="text1"/>
          <w:kern w:val="2"/>
          <w:sz w:val="32"/>
          <w:szCs w:val="32"/>
          <w:highlight w:val="none"/>
          <w:u w:val="none"/>
          <w:lang w:val="en-US" w:eastAsia="zh-CN" w:bidi="ar-SA"/>
          <w14:textFill>
            <w14:solidFill>
              <w14:schemeClr w14:val="tx1"/>
            </w14:solidFill>
          </w14:textFill>
        </w:rPr>
        <w:t>计算方式：本次建设标准厂房应于</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2023年1月1日至2023年12月31日期间竣工验收并投入使用。标准厂房容积率原则上不低于1.6。单个工业标准厂房集中区域的计容建筑面积应不少于50000平方米。</w:t>
      </w:r>
    </w:p>
    <w:p>
      <w:pPr>
        <w:spacing w:line="600" w:lineRule="exact"/>
        <w:ind w:firstLine="640" w:firstLineChars="200"/>
        <w:outlineLvl w:val="0"/>
        <w:rPr>
          <w:rFonts w:hint="default" w:ascii="Times New Roman" w:hAnsi="Times New Roman" w:eastAsia="仿宋_GB2312" w:cs="Times New Roman"/>
          <w:color w:val="000000" w:themeColor="text1"/>
          <w:kern w:val="2"/>
          <w:sz w:val="32"/>
          <w:szCs w:val="32"/>
          <w:highlight w:val="none"/>
          <w:u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u w:val="none"/>
          <w:lang w:val="en-US" w:eastAsia="zh-CN" w:bidi="ar-SA"/>
          <w14:textFill>
            <w14:solidFill>
              <w14:schemeClr w14:val="tx1"/>
            </w14:solidFill>
          </w14:textFill>
        </w:rPr>
        <w:t xml:space="preserve">3.产业承接地区产业项目建设投产计算方式：总投资和新设备购置额是指自项目（企业）获得施工许可证或项目备案证（租赁厂房项目（企业））之日（含）起（如获得施工许可证或项目备案证（租赁厂房项目（企业）） 时间在 2022 年 1 月 1 日之前，则以 2022 年 1 月 1 日（含）开始 </w:t>
      </w:r>
    </w:p>
    <w:p>
      <w:pPr>
        <w:spacing w:line="600" w:lineRule="exact"/>
        <w:ind w:firstLine="0" w:firstLineChars="0"/>
        <w:outlineLvl w:val="0"/>
        <w:rPr>
          <w:rFonts w:hint="default" w:ascii="Times New Roman" w:hAnsi="Times New Roman" w:eastAsia="仿宋_GB2312" w:cs="Times New Roman"/>
          <w:color w:val="000000" w:themeColor="text1"/>
          <w:kern w:val="2"/>
          <w:sz w:val="32"/>
          <w:szCs w:val="32"/>
          <w:highlight w:val="none"/>
          <w:u w:val="none"/>
          <w:lang w:val="en-US" w:eastAsia="zh-CN" w:bidi="ar-SA"/>
          <w14:textFill>
            <w14:solidFill>
              <w14:schemeClr w14:val="tx1"/>
            </w14:solidFill>
          </w14:textFill>
        </w:rPr>
      </w:pPr>
      <w:r>
        <w:rPr>
          <w:rFonts w:hint="default" w:ascii="Times New Roman" w:hAnsi="Times New Roman" w:eastAsia="仿宋_GB2312" w:cs="Times New Roman"/>
          <w:color w:val="000000" w:themeColor="text1"/>
          <w:kern w:val="2"/>
          <w:sz w:val="32"/>
          <w:szCs w:val="32"/>
          <w:highlight w:val="none"/>
          <w:u w:val="none"/>
          <w:lang w:val="en-US" w:eastAsia="zh-CN" w:bidi="ar-SA"/>
          <w14:textFill>
            <w14:solidFill>
              <w14:schemeClr w14:val="tx1"/>
            </w14:solidFill>
          </w14:textFill>
        </w:rPr>
        <w:t xml:space="preserve">计算），至项目建成投产之日（含）止，在此期间实际完成的总 投资和新设备购置额（以发票为准，并提供对应支付凭证）。通过购买厂房、收购并购等形式非自建厂房的企业（项目），其购买厂房、收购并购等形成的固定资产投资不予纳入奖补基数。 </w:t>
      </w:r>
    </w:p>
    <w:p>
      <w:pPr>
        <w:spacing w:line="600" w:lineRule="exact"/>
        <w:ind w:firstLine="640" w:firstLineChars="200"/>
        <w:outlineLvl w:val="0"/>
        <w:rPr>
          <w:rFonts w:hint="default" w:ascii="Times New Roman" w:hAnsi="Times New Roman" w:eastAsia="黑体" w:cs="Times New Roman"/>
          <w:color w:val="000000" w:themeColor="text1"/>
          <w:sz w:val="32"/>
          <w:szCs w:val="32"/>
          <w:highlight w:val="none"/>
          <w:u w:val="none"/>
          <w:lang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u w:val="none"/>
          <w:lang w:eastAsia="zh-CN"/>
          <w14:textFill>
            <w14:solidFill>
              <w14:schemeClr w14:val="tx1"/>
            </w14:solidFill>
          </w14:textFill>
        </w:rPr>
        <w:t>四</w:t>
      </w:r>
      <w:r>
        <w:rPr>
          <w:rFonts w:hint="default" w:ascii="Times New Roman" w:hAnsi="Times New Roman" w:eastAsia="黑体" w:cs="Times New Roman"/>
          <w:color w:val="000000" w:themeColor="text1"/>
          <w:sz w:val="32"/>
          <w:szCs w:val="32"/>
          <w:highlight w:val="none"/>
          <w:u w:val="none"/>
          <w14:textFill>
            <w14:solidFill>
              <w14:schemeClr w14:val="tx1"/>
            </w14:solidFill>
          </w14:textFill>
        </w:rPr>
        <w:t>、项目</w:t>
      </w:r>
      <w:r>
        <w:rPr>
          <w:rFonts w:hint="default" w:ascii="Times New Roman" w:hAnsi="Times New Roman" w:eastAsia="黑体" w:cs="Times New Roman"/>
          <w:color w:val="000000" w:themeColor="text1"/>
          <w:sz w:val="32"/>
          <w:szCs w:val="32"/>
          <w:highlight w:val="none"/>
          <w:u w:val="none"/>
          <w:lang w:eastAsia="zh-CN"/>
          <w14:textFill>
            <w14:solidFill>
              <w14:schemeClr w14:val="tx1"/>
            </w14:solidFill>
          </w14:textFill>
        </w:rPr>
        <w:t>工作要求、支持方式和资金使用方式</w:t>
      </w:r>
    </w:p>
    <w:p>
      <w:pPr>
        <w:numPr>
          <w:ilvl w:val="255"/>
          <w:numId w:val="0"/>
        </w:numPr>
        <w:spacing w:line="600" w:lineRule="exact"/>
        <w:ind w:firstLine="640" w:firstLineChars="200"/>
        <w:outlineLvl w:val="1"/>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楷体_GB2312" w:cs="Times New Roman"/>
          <w:color w:val="000000" w:themeColor="text1"/>
          <w:sz w:val="32"/>
          <w:szCs w:val="32"/>
          <w:highlight w:val="none"/>
          <w:u w:val="none"/>
          <w14:textFill>
            <w14:solidFill>
              <w14:schemeClr w14:val="tx1"/>
            </w14:solidFill>
          </w14:textFill>
        </w:rPr>
        <w:t>（</w:t>
      </w:r>
      <w:r>
        <w:rPr>
          <w:rFonts w:hint="default" w:ascii="Times New Roman" w:hAnsi="Times New Roman" w:eastAsia="楷体_GB2312" w:cs="Times New Roman"/>
          <w:color w:val="000000" w:themeColor="text1"/>
          <w:sz w:val="32"/>
          <w:szCs w:val="32"/>
          <w:highlight w:val="none"/>
          <w:u w:val="none"/>
          <w:lang w:eastAsia="zh-CN"/>
          <w14:textFill>
            <w14:solidFill>
              <w14:schemeClr w14:val="tx1"/>
            </w14:solidFill>
          </w14:textFill>
        </w:rPr>
        <w:t>一</w:t>
      </w:r>
      <w:r>
        <w:rPr>
          <w:rFonts w:hint="default" w:ascii="Times New Roman" w:hAnsi="Times New Roman" w:eastAsia="楷体_GB2312" w:cs="Times New Roman"/>
          <w:color w:val="000000" w:themeColor="text1"/>
          <w:sz w:val="32"/>
          <w:szCs w:val="32"/>
          <w:highlight w:val="none"/>
          <w:u w:val="none"/>
          <w14:textFill>
            <w14:solidFill>
              <w14:schemeClr w14:val="tx1"/>
            </w14:solidFill>
          </w14:textFill>
        </w:rPr>
        <w:t>）项目</w:t>
      </w:r>
      <w:r>
        <w:rPr>
          <w:rFonts w:hint="default" w:ascii="Times New Roman" w:hAnsi="Times New Roman" w:eastAsia="楷体_GB2312" w:cs="Times New Roman"/>
          <w:color w:val="000000" w:themeColor="text1"/>
          <w:sz w:val="32"/>
          <w:szCs w:val="32"/>
          <w:highlight w:val="none"/>
          <w:u w:val="none"/>
          <w:lang w:eastAsia="zh-CN"/>
          <w14:textFill>
            <w14:solidFill>
              <w14:schemeClr w14:val="tx1"/>
            </w14:solidFill>
          </w14:textFill>
        </w:rPr>
        <w:t>工作要求。</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严格按照《广东省工业和信息化厅关于进一步规范专项资金项目管理的通知》(粤工信财审函〔2020〕993号</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的要求开展项目入库评审，</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并</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对评审通过的项目全部进行实地核查，确保入库项目质量，并对项目的真实性和符合性</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进行核查</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，以及对项目后续</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进行</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跟踪、监督管理、绩效评价、</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审</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计。在财政资金下达的下一年度，</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按照企业申报书《项目绩效目标申报表》的内容，</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对企业使用资金和项目的全过程开展绩效评价。</w:t>
      </w:r>
    </w:p>
    <w:p>
      <w:pPr>
        <w:numPr>
          <w:ilvl w:val="0"/>
          <w:numId w:val="0"/>
        </w:numPr>
        <w:spacing w:line="600" w:lineRule="exact"/>
        <w:ind w:leftChars="0" w:firstLine="640" w:firstLineChars="200"/>
        <w:outlineLvl w:val="1"/>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highlight w:val="none"/>
          <w:u w:val="none"/>
          <w14:textFill>
            <w14:solidFill>
              <w14:schemeClr w14:val="tx1"/>
            </w14:solidFill>
          </w14:textFill>
        </w:rPr>
        <w:t>（</w:t>
      </w:r>
      <w:r>
        <w:rPr>
          <w:rFonts w:hint="default" w:ascii="Times New Roman" w:hAnsi="Times New Roman" w:eastAsia="楷体_GB2312" w:cs="Times New Roman"/>
          <w:color w:val="000000" w:themeColor="text1"/>
          <w:sz w:val="32"/>
          <w:szCs w:val="32"/>
          <w:highlight w:val="none"/>
          <w:u w:val="none"/>
          <w:lang w:eastAsia="zh-CN"/>
          <w14:textFill>
            <w14:solidFill>
              <w14:schemeClr w14:val="tx1"/>
            </w14:solidFill>
          </w14:textFill>
        </w:rPr>
        <w:t>二</w:t>
      </w:r>
      <w:r>
        <w:rPr>
          <w:rFonts w:hint="default" w:ascii="Times New Roman" w:hAnsi="Times New Roman" w:eastAsia="楷体_GB2312" w:cs="Times New Roman"/>
          <w:color w:val="000000" w:themeColor="text1"/>
          <w:sz w:val="32"/>
          <w:szCs w:val="32"/>
          <w:highlight w:val="none"/>
          <w:u w:val="none"/>
          <w14:textFill>
            <w14:solidFill>
              <w14:schemeClr w14:val="tx1"/>
            </w14:solidFill>
          </w14:textFill>
        </w:rPr>
        <w:t>）</w:t>
      </w:r>
      <w:r>
        <w:rPr>
          <w:rFonts w:hint="default" w:ascii="Times New Roman" w:hAnsi="Times New Roman" w:eastAsia="楷体_GB2312" w:cs="Times New Roman"/>
          <w:color w:val="000000" w:themeColor="text1"/>
          <w:sz w:val="32"/>
          <w:szCs w:val="32"/>
          <w:highlight w:val="none"/>
          <w:u w:val="none"/>
          <w:lang w:eastAsia="zh-CN"/>
          <w14:textFill>
            <w14:solidFill>
              <w14:schemeClr w14:val="tx1"/>
            </w14:solidFill>
          </w14:textFill>
        </w:rPr>
        <w:t>支持方式。</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对</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主平台予以融资奖励、对主平台标准厂房建设予以奖励</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及</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以事后奖补方式支持产业承接地区产业项目建设投产3个</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支持方式</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p>
    <w:p>
      <w:pPr>
        <w:numPr>
          <w:ilvl w:val="0"/>
          <w:numId w:val="0"/>
        </w:numPr>
        <w:spacing w:line="600" w:lineRule="exact"/>
        <w:ind w:firstLine="640" w:firstLineChars="200"/>
        <w:outlineLvl w:val="1"/>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highlight w:val="none"/>
          <w:u w:val="none"/>
          <w:lang w:eastAsia="zh-CN"/>
          <w14:textFill>
            <w14:solidFill>
              <w14:schemeClr w14:val="tx1"/>
            </w14:solidFill>
          </w14:textFill>
        </w:rPr>
        <w:t>（三）资金使用方向。</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严格按照《广东省人民政府关于印发广东省省级财政专项资金管理办法（试行）的通知》（粤府〔2018〕120号）、《关于印发省工业和信息化厅经管专项资金管理办法的通知》（粤财工〔2019〕115号）、《广东省工业和信息化厅关于进一步规范专项资金项目管理的通知》（粤工信财审函〔2020〕993号）要求使用资金。</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应用于企业发展、生产经营等开支，不得用于工资福利、接待费、差旅费、会议费等。</w:t>
      </w:r>
    </w:p>
    <w:p>
      <w:pPr>
        <w:spacing w:line="600" w:lineRule="exact"/>
        <w:ind w:firstLine="640" w:firstLineChars="200"/>
        <w:outlineLvl w:val="0"/>
        <w:rPr>
          <w:rFonts w:ascii="Times New Roman" w:hAnsi="Times New Roman" w:eastAsia="黑体" w:cs="Times New Roman"/>
          <w:color w:val="000000" w:themeColor="text1"/>
          <w:sz w:val="32"/>
          <w:szCs w:val="32"/>
          <w:highlight w:val="none"/>
          <w:u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u w:val="none"/>
          <w:lang w:eastAsia="zh-CN"/>
          <w14:textFill>
            <w14:solidFill>
              <w14:schemeClr w14:val="tx1"/>
            </w14:solidFill>
          </w14:textFill>
        </w:rPr>
        <w:t>五</w:t>
      </w:r>
      <w:r>
        <w:rPr>
          <w:rFonts w:hint="default" w:ascii="Times New Roman" w:hAnsi="Times New Roman" w:eastAsia="黑体" w:cs="Times New Roman"/>
          <w:color w:val="000000" w:themeColor="text1"/>
          <w:sz w:val="32"/>
          <w:szCs w:val="32"/>
          <w:highlight w:val="none"/>
          <w:u w:val="none"/>
          <w14:textFill>
            <w14:solidFill>
              <w14:schemeClr w14:val="tx1"/>
            </w14:solidFill>
          </w14:textFill>
        </w:rPr>
        <w:t>、申报材料</w:t>
      </w:r>
    </w:p>
    <w:p>
      <w:pPr>
        <w:pStyle w:val="24"/>
        <w:spacing w:line="600" w:lineRule="exact"/>
        <w:ind w:firstLine="640"/>
        <w:rPr>
          <w:rFonts w:hint="default" w:ascii="Times New Roman" w:hAnsi="Times New Roman" w:eastAsia="楷体_GB2312" w:cs="Times New Roman"/>
          <w:color w:val="000000" w:themeColor="text1"/>
          <w:sz w:val="32"/>
          <w:szCs w:val="32"/>
          <w:highlight w:val="none"/>
          <w:u w:val="none"/>
          <w:lang w:eastAsia="zh-CN"/>
          <w14:textFill>
            <w14:solidFill>
              <w14:schemeClr w14:val="tx1"/>
            </w14:solidFill>
          </w14:textFill>
        </w:rPr>
      </w:pPr>
      <w:r>
        <w:rPr>
          <w:rFonts w:hint="default" w:ascii="Times New Roman" w:hAnsi="Times New Roman" w:eastAsia="仿宋_GB2312" w:cs="Times New Roman"/>
          <w:b w:val="0"/>
          <w:bCs w:val="0"/>
          <w:color w:val="auto"/>
          <w:kern w:val="2"/>
          <w:sz w:val="32"/>
          <w:szCs w:val="32"/>
          <w:highlight w:val="none"/>
          <w:u w:val="none" w:color="auto"/>
          <w:lang w:val="en-US" w:eastAsia="zh-CN" w:bidi="ar-SA"/>
        </w:rPr>
        <w:t>项目入库申报材料应包括以下内容：</w:t>
      </w:r>
    </w:p>
    <w:p>
      <w:pPr>
        <w:spacing w:line="600" w:lineRule="exact"/>
        <w:ind w:firstLine="640" w:firstLineChars="200"/>
        <w:outlineLvl w:val="1"/>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highlight w:val="none"/>
          <w:u w:val="none"/>
          <w:lang w:eastAsia="zh-CN"/>
          <w14:textFill>
            <w14:solidFill>
              <w14:schemeClr w14:val="tx1"/>
            </w14:solidFill>
          </w14:textFill>
        </w:rPr>
        <w:t>（一）</w:t>
      </w:r>
      <w:r>
        <w:rPr>
          <w:rFonts w:hint="default" w:ascii="Times New Roman" w:hAnsi="Times New Roman" w:eastAsia="楷体_GB2312" w:cs="Times New Roman"/>
          <w:color w:val="000000" w:themeColor="text1"/>
          <w:sz w:val="32"/>
          <w:szCs w:val="32"/>
          <w:highlight w:val="none"/>
          <w:u w:val="none"/>
          <w:lang w:val="en-US" w:eastAsia="zh-CN"/>
          <w14:textFill>
            <w14:solidFill>
              <w14:schemeClr w14:val="tx1"/>
            </w14:solidFill>
          </w14:textFill>
        </w:rPr>
        <w:t>对主平台予以融资奖励方向。</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省级促进产业有序转移专项资金申报表（主平台融资奖励）（附件1-1）、2025年促进产业有序转移专项资金项目绩效目标申报表（附件3）、申报材料真实性承诺函（附件4）、促进产业有序转移资金（主平台融资奖励）项目汇总表（附件7-1）。同时附上佐证材料，包括但不限于：</w:t>
      </w:r>
    </w:p>
    <w:p>
      <w:pPr>
        <w:spacing w:line="600" w:lineRule="exact"/>
        <w:ind w:firstLine="640" w:firstLineChars="200"/>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1.园区开发公司营业执照、公司法人身份证、公司章程、财务报表；</w:t>
      </w:r>
    </w:p>
    <w:p>
      <w:pPr>
        <w:spacing w:line="600" w:lineRule="exact"/>
        <w:ind w:firstLine="640" w:firstLineChars="200"/>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2.银行授信合同、贷款支用和银行放款相关证明；</w:t>
      </w:r>
    </w:p>
    <w:p>
      <w:pPr>
        <w:spacing w:line="600" w:lineRule="exact"/>
        <w:ind w:firstLine="640" w:firstLineChars="200"/>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3.项目整体位于主平台范围或实际为主平台服务的相关材料；</w:t>
      </w:r>
    </w:p>
    <w:p>
      <w:pPr>
        <w:spacing w:line="600" w:lineRule="exact"/>
        <w:ind w:firstLine="640" w:firstLineChars="200"/>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4.项目工程进度有关材料、2023年度实际用于主平台基础设施建设的贷款资金额的佐证材料等。</w:t>
      </w:r>
    </w:p>
    <w:p>
      <w:pPr>
        <w:spacing w:line="600" w:lineRule="exact"/>
        <w:ind w:firstLine="640" w:firstLineChars="200"/>
        <w:outlineLvl w:val="1"/>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highlight w:val="none"/>
          <w:u w:val="none"/>
          <w:lang w:eastAsia="zh-CN"/>
          <w14:textFill>
            <w14:solidFill>
              <w14:schemeClr w14:val="tx1"/>
            </w14:solidFill>
          </w14:textFill>
        </w:rPr>
        <w:t>（二）</w:t>
      </w:r>
      <w:r>
        <w:rPr>
          <w:rFonts w:hint="default" w:ascii="Times New Roman" w:hAnsi="Times New Roman" w:eastAsia="楷体_GB2312" w:cs="Times New Roman"/>
          <w:b w:val="0"/>
          <w:bCs w:val="0"/>
          <w:color w:val="auto"/>
          <w:kern w:val="2"/>
          <w:sz w:val="32"/>
          <w:szCs w:val="32"/>
          <w:highlight w:val="none"/>
          <w:u w:val="none" w:color="auto"/>
          <w:lang w:val="en-US" w:eastAsia="zh-CN" w:bidi="ar-SA"/>
        </w:rPr>
        <w:t>对主平台标准厂房建设予以奖励方向。</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省级促进产业有序转移专项资金申报表（主平台标准厂房建设奖励）（附件1-2）、2025年促进产业有序转移专项资金项目绩效目标申报表（附件3）、申报材料真实性承诺函（附件4）、促进产业有序转移资金（主平台标准厂房建设奖励）项目汇总表及入驻企业清单（附件7-2）、标准厂房建设成本的审计报告（不含土地购置成本）。同时附上佐证材料，包括但不限于：</w:t>
      </w:r>
    </w:p>
    <w:p>
      <w:pPr>
        <w:spacing w:line="600" w:lineRule="exact"/>
        <w:ind w:firstLine="640" w:firstLineChars="200"/>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1.营业执照副本或组织机构代码证</w:t>
      </w:r>
    </w:p>
    <w:p>
      <w:pPr>
        <w:spacing w:line="600" w:lineRule="exact"/>
        <w:ind w:firstLine="640" w:firstLineChars="200"/>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2.项目立项审批文件；</w:t>
      </w:r>
    </w:p>
    <w:p>
      <w:pPr>
        <w:spacing w:line="600" w:lineRule="exact"/>
        <w:ind w:firstLine="640" w:firstLineChars="200"/>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3.土地出让合同及规划条件；</w:t>
      </w:r>
    </w:p>
    <w:p>
      <w:pPr>
        <w:spacing w:line="600" w:lineRule="exact"/>
        <w:ind w:firstLine="640" w:firstLineChars="200"/>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4.不动产权证或《土地使用权证》或其他合法权属证明；</w:t>
      </w:r>
    </w:p>
    <w:p>
      <w:pPr>
        <w:spacing w:line="600" w:lineRule="exact"/>
        <w:ind w:firstLine="640" w:firstLineChars="200"/>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5.建筑工程施工许可证；</w:t>
      </w:r>
    </w:p>
    <w:p>
      <w:pPr>
        <w:spacing w:line="600" w:lineRule="exact"/>
        <w:ind w:firstLine="640" w:firstLineChars="200"/>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6.标准厂房规划图及具有相应资质的施工单位出具的每栋标准厂房每层面积数证明；</w:t>
      </w:r>
    </w:p>
    <w:p>
      <w:pPr>
        <w:spacing w:line="600" w:lineRule="exact"/>
        <w:ind w:firstLine="640" w:firstLineChars="200"/>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7.厂房完工证明；</w:t>
      </w:r>
    </w:p>
    <w:p>
      <w:pPr>
        <w:spacing w:line="600" w:lineRule="exact"/>
        <w:ind w:firstLine="640" w:firstLineChars="200"/>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8.出租合同或协议并附交租发票（或免租合同和水电费发票）；</w:t>
      </w:r>
    </w:p>
    <w:p>
      <w:pPr>
        <w:spacing w:line="600" w:lineRule="exact"/>
        <w:ind w:firstLine="640" w:firstLineChars="200"/>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9.入驻企业营业执照等。</w:t>
      </w:r>
    </w:p>
    <w:p>
      <w:pPr>
        <w:numPr>
          <w:ilvl w:val="-1"/>
          <w:numId w:val="0"/>
        </w:numPr>
        <w:spacing w:line="600" w:lineRule="exact"/>
        <w:ind w:firstLine="640" w:firstLineChars="200"/>
        <w:outlineLvl w:val="1"/>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highlight w:val="none"/>
          <w:u w:val="none"/>
          <w:lang w:eastAsia="zh-CN"/>
          <w14:textFill>
            <w14:solidFill>
              <w14:schemeClr w14:val="tx1"/>
            </w14:solidFill>
          </w14:textFill>
        </w:rPr>
        <w:t>（三）</w:t>
      </w:r>
      <w:r>
        <w:rPr>
          <w:rFonts w:hint="default" w:ascii="Times New Roman" w:hAnsi="Times New Roman" w:eastAsia="楷体_GB2312" w:cs="Times New Roman"/>
          <w:b w:val="0"/>
          <w:bCs w:val="0"/>
          <w:color w:val="auto"/>
          <w:kern w:val="2"/>
          <w:sz w:val="32"/>
          <w:szCs w:val="32"/>
          <w:highlight w:val="none"/>
          <w:u w:val="none" w:color="auto"/>
          <w:lang w:val="en-US" w:eastAsia="zh-CN" w:bidi="ar-SA"/>
        </w:rPr>
        <w:t>支持产业承接地区产业项目建设投产方向。</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省级促进产业有序转移专项资金申报表（产业项目建设投产）（附件1-3）、2025年促进产业有序转移专项资金项目绩效目标申报表（附件3）、申报材料真实性承诺函（附件4）、促进产业有序转移资金（产业项目建设投产）项目汇总表（附件7-3）、项目固定资产（设备）购置明细表（附件8）、项目固定资产（自建厂房）投资明细表（附件9）、</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申报条件</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相应</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情况报告</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阐述企业和项目基本情况，重点阐明企业的登记注册</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、建设</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、生产、经营、纳税和资质</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、总投资、设备购置额</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等符合政策条件的情况</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包含与申报条件逐条对应的情况介绍</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，可以相应</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表格</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形式表示；</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以</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文字说明佐证材料包括</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与申报条件有关的财务报表、资金投入明细、审计报告、第三方检测报告等，明确提出申请奖补含计算过程的资金额）</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同时附上佐证材料，包括但不限于：</w:t>
      </w:r>
    </w:p>
    <w:p>
      <w:pPr>
        <w:numPr>
          <w:ilvl w:val="0"/>
          <w:numId w:val="0"/>
        </w:numPr>
        <w:spacing w:line="600" w:lineRule="exact"/>
        <w:ind w:firstLine="640" w:firstLineChars="200"/>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1.身份证明材料包含经办人身份证、法定代表人（负责人）证明文件（当经办人为法定代表人时）或者法定代表人（负责人）授权委托书（当经办人为非法定代表人时）等、企业有关资质认定的文件资料或公开发布的权威信息资料；</w:t>
      </w:r>
    </w:p>
    <w:p>
      <w:pPr>
        <w:spacing w:line="600" w:lineRule="exact"/>
        <w:ind w:firstLine="640" w:firstLineChars="200"/>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企业项目基本情况简介（包含采用工艺、技术，建设厂房、增加设备、配套设施，产品方案和生产能力规模等内容，企业和项目突出的亮点）</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p>
    <w:p>
      <w:pPr>
        <w:spacing w:line="600" w:lineRule="exact"/>
        <w:ind w:firstLine="640" w:firstLineChars="200"/>
        <w:outlineLvl w:val="2"/>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3.项目现状照片、生产线照片、产品照片、设备清单和照片，</w:t>
      </w:r>
      <w:r>
        <w:rPr>
          <w:rFonts w:hint="default" w:ascii="Times New Roman" w:hAnsi="Times New Roman" w:eastAsia="仿宋_GB2312" w:cs="Times New Roman"/>
          <w:color w:val="auto"/>
          <w:sz w:val="32"/>
          <w:szCs w:val="32"/>
          <w:lang w:eastAsia="zh-CN"/>
        </w:rPr>
        <w:t>项目（企业）所在地的纳税凭证等；</w:t>
      </w:r>
    </w:p>
    <w:p>
      <w:pPr>
        <w:numPr>
          <w:ilvl w:val="-1"/>
          <w:numId w:val="0"/>
        </w:numPr>
        <w:spacing w:line="600" w:lineRule="exact"/>
        <w:ind w:firstLine="640" w:firstLineChars="200"/>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企业与</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产业承接地</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签订的投资合同及投资备案、核准、审批证明文件；营业执照副本；法人身份证复印件、公司章程</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p>
    <w:p>
      <w:pPr>
        <w:spacing w:line="600" w:lineRule="exact"/>
        <w:ind w:firstLine="640" w:firstLineChars="200"/>
        <w:outlineLvl w:val="2"/>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企业项目环评批</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复</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文件</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节能审查材料；</w:t>
      </w:r>
    </w:p>
    <w:p>
      <w:pPr>
        <w:spacing w:line="600" w:lineRule="exact"/>
        <w:ind w:firstLine="640" w:firstLineChars="200"/>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项目建筑施工许可证、不动产权证书、国有土地使用证或者签订2年以上的房屋租赁合同复印件</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p>
    <w:p>
      <w:pPr>
        <w:spacing w:line="600" w:lineRule="exact"/>
        <w:ind w:firstLine="640" w:firstLineChars="200"/>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7.</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排污许可证、消防验收文件复印件，</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根据安全生产法规定实行安全生产许可制度的企业</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需同时提供安全生产许可证复印件</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p>
    <w:p>
      <w:pPr>
        <w:widowControl/>
        <w:spacing w:beforeLines="0" w:afterLines="0" w:line="600" w:lineRule="exact"/>
        <w:ind w:firstLine="640" w:firstLineChars="200"/>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8.</w:t>
      </w:r>
      <w:r>
        <w:rPr>
          <w:rFonts w:hint="default" w:ascii="Times New Roman" w:hAnsi="Times New Roman" w:eastAsia="仿宋_GB2312" w:cs="Times New Roman"/>
          <w:color w:val="000000" w:themeColor="text1"/>
          <w:sz w:val="32"/>
          <w:szCs w:val="32"/>
          <w:highlight w:val="none"/>
          <w:u w:val="none"/>
          <w:lang w:bidi="ar"/>
          <w14:textFill>
            <w14:solidFill>
              <w14:schemeClr w14:val="tx1"/>
            </w14:solidFill>
          </w14:textFill>
        </w:rPr>
        <w:t>肇庆市202</w:t>
      </w:r>
      <w:r>
        <w:rPr>
          <w:rFonts w:hint="default" w:ascii="Times New Roman" w:hAnsi="Times New Roman" w:eastAsia="仿宋_GB2312" w:cs="Times New Roman"/>
          <w:color w:val="000000" w:themeColor="text1"/>
          <w:sz w:val="32"/>
          <w:szCs w:val="32"/>
          <w:highlight w:val="none"/>
          <w:u w:val="none"/>
          <w:lang w:val="en-US" w:eastAsia="zh-CN" w:bidi="ar"/>
          <w14:textFill>
            <w14:solidFill>
              <w14:schemeClr w14:val="tx1"/>
            </w14:solidFill>
          </w14:textFill>
        </w:rPr>
        <w:t>5</w:t>
      </w:r>
      <w:r>
        <w:rPr>
          <w:rFonts w:hint="default" w:ascii="Times New Roman" w:hAnsi="Times New Roman" w:eastAsia="仿宋_GB2312" w:cs="Times New Roman"/>
          <w:color w:val="000000" w:themeColor="text1"/>
          <w:sz w:val="32"/>
          <w:szCs w:val="32"/>
          <w:highlight w:val="none"/>
          <w:u w:val="none"/>
          <w:lang w:bidi="ar"/>
          <w14:textFill>
            <w14:solidFill>
              <w14:schemeClr w14:val="tx1"/>
            </w14:solidFill>
          </w14:textFill>
        </w:rPr>
        <w:t>年省级促进产业有序转移专项资金项目入库项目专项审计报告（附件</w:t>
      </w:r>
      <w:r>
        <w:rPr>
          <w:rFonts w:hint="default" w:ascii="Times New Roman" w:hAnsi="Times New Roman" w:eastAsia="仿宋_GB2312" w:cs="Times New Roman"/>
          <w:color w:val="000000" w:themeColor="text1"/>
          <w:sz w:val="32"/>
          <w:szCs w:val="32"/>
          <w:highlight w:val="none"/>
          <w:u w:val="none"/>
          <w:lang w:val="en-US" w:eastAsia="zh-CN" w:bidi="ar"/>
          <w14:textFill>
            <w14:solidFill>
              <w14:schemeClr w14:val="tx1"/>
            </w14:solidFill>
          </w14:textFill>
        </w:rPr>
        <w:t>6</w:t>
      </w:r>
      <w:r>
        <w:rPr>
          <w:rFonts w:hint="default" w:ascii="Times New Roman" w:hAnsi="Times New Roman" w:eastAsia="仿宋_GB2312" w:cs="Times New Roman"/>
          <w:color w:val="000000" w:themeColor="text1"/>
          <w:sz w:val="32"/>
          <w:szCs w:val="32"/>
          <w:highlight w:val="none"/>
          <w:u w:val="none"/>
          <w:lang w:bidi="ar"/>
          <w14:textFill>
            <w14:solidFill>
              <w14:schemeClr w14:val="tx1"/>
            </w14:solidFill>
          </w14:textFill>
        </w:rPr>
        <w:t>）。审计报告须包括项目总投资、项目资金总体使用情况、</w:t>
      </w:r>
      <w:r>
        <w:rPr>
          <w:rFonts w:hint="default" w:ascii="Times New Roman" w:hAnsi="Times New Roman" w:eastAsia="仿宋_GB2312" w:cs="Times New Roman"/>
          <w:color w:val="000000" w:themeColor="text1"/>
          <w:sz w:val="32"/>
          <w:szCs w:val="32"/>
          <w:highlight w:val="none"/>
          <w:u w:val="none"/>
          <w:lang w:eastAsia="zh-CN" w:bidi="ar"/>
          <w14:textFill>
            <w14:solidFill>
              <w14:schemeClr w14:val="tx1"/>
            </w14:solidFill>
          </w14:textFill>
        </w:rPr>
        <w:t>固定资产投资情况</w:t>
      </w:r>
      <w:r>
        <w:rPr>
          <w:rFonts w:hint="default" w:ascii="Times New Roman" w:hAnsi="Times New Roman" w:eastAsia="仿宋_GB2312" w:cs="Times New Roman"/>
          <w:color w:val="000000" w:themeColor="text1"/>
          <w:sz w:val="32"/>
          <w:szCs w:val="32"/>
          <w:highlight w:val="none"/>
          <w:u w:val="none"/>
          <w:lang w:val="en-US" w:eastAsia="zh-CN" w:bidi="ar"/>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bidi="ar"/>
          <w14:textFill>
            <w14:solidFill>
              <w14:schemeClr w14:val="tx1"/>
            </w14:solidFill>
          </w14:textFill>
        </w:rPr>
        <w:t>设备购置情况</w:t>
      </w:r>
      <w:r>
        <w:rPr>
          <w:rFonts w:hint="default" w:ascii="Times New Roman" w:hAnsi="Times New Roman" w:eastAsia="仿宋_GB2312" w:cs="Times New Roman"/>
          <w:color w:val="000000" w:themeColor="text1"/>
          <w:sz w:val="32"/>
          <w:szCs w:val="32"/>
          <w:highlight w:val="none"/>
          <w:u w:val="none"/>
          <w:lang w:eastAsia="zh-CN" w:bidi="ar"/>
          <w14:textFill>
            <w14:solidFill>
              <w14:schemeClr w14:val="tx1"/>
            </w14:solidFill>
          </w14:textFill>
        </w:rPr>
        <w:t>、自建厂房（不含土地购置成本）投资情况</w:t>
      </w:r>
      <w:r>
        <w:rPr>
          <w:rFonts w:hint="default" w:ascii="Times New Roman" w:hAnsi="Times New Roman" w:eastAsia="仿宋_GB2312" w:cs="Times New Roman"/>
          <w:color w:val="000000" w:themeColor="text1"/>
          <w:sz w:val="32"/>
          <w:szCs w:val="32"/>
          <w:highlight w:val="none"/>
          <w:u w:val="none"/>
          <w:lang w:val="en-US" w:eastAsia="zh-CN" w:bidi="ar"/>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eastAsia="zh-CN" w:bidi="ar"/>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bidi="ar"/>
          <w14:textFill>
            <w14:solidFill>
              <w14:schemeClr w14:val="tx1"/>
            </w14:solidFill>
          </w14:textFill>
        </w:rPr>
        <w:t>项目完成情况和项目各项经济指标</w:t>
      </w:r>
      <w:r>
        <w:rPr>
          <w:rFonts w:hint="default" w:ascii="Times New Roman" w:hAnsi="Times New Roman" w:eastAsia="仿宋_GB2312" w:cs="Times New Roman"/>
          <w:color w:val="000000" w:themeColor="text1"/>
          <w:sz w:val="32"/>
          <w:szCs w:val="32"/>
          <w:highlight w:val="none"/>
          <w:u w:val="none"/>
          <w:lang w:eastAsia="zh-CN" w:bidi="ar"/>
          <w14:textFill>
            <w14:solidFill>
              <w14:schemeClr w14:val="tx1"/>
            </w14:solidFill>
          </w14:textFill>
        </w:rPr>
        <w:t>实现</w:t>
      </w:r>
      <w:r>
        <w:rPr>
          <w:rFonts w:hint="default" w:ascii="Times New Roman" w:hAnsi="Times New Roman" w:eastAsia="仿宋_GB2312" w:cs="Times New Roman"/>
          <w:color w:val="000000" w:themeColor="text1"/>
          <w:sz w:val="32"/>
          <w:szCs w:val="32"/>
          <w:highlight w:val="none"/>
          <w:u w:val="none"/>
          <w:lang w:bidi="ar"/>
          <w14:textFill>
            <w14:solidFill>
              <w14:schemeClr w14:val="tx1"/>
            </w14:solidFill>
          </w14:textFill>
        </w:rPr>
        <w:t>情况（如项目未产生经济效益，进行预期经济效益分析）等内容要点；</w:t>
      </w:r>
    </w:p>
    <w:p>
      <w:pPr>
        <w:numPr>
          <w:ilvl w:val="0"/>
          <w:numId w:val="0"/>
        </w:numPr>
        <w:spacing w:line="600" w:lineRule="exact"/>
        <w:ind w:firstLine="640" w:firstLineChars="200"/>
        <w:rPr>
          <w:rFonts w:hint="default" w:ascii="Times New Roman" w:hAnsi="Times New Roman" w:cs="Times New Roman"/>
          <w:lang w:val="en-US" w:eastAsia="zh-CN"/>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9.</w:t>
      </w:r>
      <w:r>
        <w:rPr>
          <w:rFonts w:hint="default" w:ascii="Times New Roman" w:hAnsi="Times New Roman" w:eastAsia="仿宋_GB2312" w:cs="Times New Roman"/>
          <w:color w:val="000000" w:themeColor="text1"/>
          <w:sz w:val="32"/>
          <w:szCs w:val="32"/>
          <w:highlight w:val="none"/>
          <w:u w:val="none"/>
          <w:lang w:eastAsia="zh-CN" w:bidi="ar"/>
          <w14:textFill>
            <w14:solidFill>
              <w14:schemeClr w14:val="tx1"/>
            </w14:solidFill>
          </w14:textFill>
        </w:rPr>
        <w:t>经会计师事务所盖章的</w:t>
      </w:r>
      <w:r>
        <w:rPr>
          <w:rFonts w:hint="default" w:ascii="Times New Roman" w:hAnsi="Times New Roman" w:eastAsia="仿宋_GB2312" w:cs="Times New Roman"/>
          <w:color w:val="000000" w:themeColor="text1"/>
          <w:sz w:val="32"/>
          <w:szCs w:val="32"/>
          <w:highlight w:val="none"/>
          <w:u w:val="none"/>
          <w:lang w:bidi="ar"/>
          <w14:textFill>
            <w14:solidFill>
              <w14:schemeClr w14:val="tx1"/>
            </w14:solidFill>
          </w14:textFill>
        </w:rPr>
        <w:t>项目资金支出清单</w:t>
      </w:r>
      <w:r>
        <w:rPr>
          <w:rFonts w:hint="default" w:ascii="Times New Roman" w:hAnsi="Times New Roman" w:eastAsia="仿宋_GB2312" w:cs="Times New Roman"/>
          <w:color w:val="000000" w:themeColor="text1"/>
          <w:sz w:val="32"/>
          <w:szCs w:val="32"/>
          <w:highlight w:val="none"/>
          <w:u w:val="none"/>
          <w:lang w:eastAsia="zh-CN" w:bidi="ar"/>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bidi="ar"/>
          <w14:textFill>
            <w14:solidFill>
              <w14:schemeClr w14:val="tx1"/>
            </w14:solidFill>
          </w14:textFill>
        </w:rPr>
        <w:t>包括项目建设工程、设备购置清单</w:t>
      </w:r>
      <w:r>
        <w:rPr>
          <w:rFonts w:hint="default" w:ascii="Times New Roman" w:hAnsi="Times New Roman" w:eastAsia="仿宋_GB2312" w:cs="Times New Roman"/>
          <w:color w:val="000000" w:themeColor="text1"/>
          <w:sz w:val="32"/>
          <w:szCs w:val="32"/>
          <w:highlight w:val="none"/>
          <w:u w:val="none"/>
          <w:lang w:eastAsia="zh-CN" w:bidi="ar"/>
          <w14:textFill>
            <w14:solidFill>
              <w14:schemeClr w14:val="tx1"/>
            </w14:solidFill>
          </w14:textFill>
        </w:rPr>
        <w:t>、转固凭证</w:t>
      </w:r>
      <w:r>
        <w:rPr>
          <w:rFonts w:hint="default" w:ascii="Times New Roman" w:hAnsi="Times New Roman" w:eastAsia="仿宋_GB2312" w:cs="Times New Roman"/>
          <w:color w:val="000000" w:themeColor="text1"/>
          <w:sz w:val="32"/>
          <w:szCs w:val="32"/>
          <w:highlight w:val="none"/>
          <w:u w:val="none"/>
          <w:lang w:bidi="ar"/>
          <w14:textFill>
            <w14:solidFill>
              <w14:schemeClr w14:val="tx1"/>
            </w14:solidFill>
          </w14:textFill>
        </w:rPr>
        <w:t>和主要票据资料；其中，设备购置主要票据资料包括合同、发票、付款凭证、设备和铭牌照片；自建厂房（不含土地购置成本）</w:t>
      </w:r>
      <w:r>
        <w:rPr>
          <w:rFonts w:hint="default" w:ascii="Times New Roman" w:hAnsi="Times New Roman" w:eastAsia="仿宋_GB2312" w:cs="Times New Roman"/>
          <w:color w:val="000000" w:themeColor="text1"/>
          <w:sz w:val="32"/>
          <w:szCs w:val="32"/>
          <w:highlight w:val="none"/>
          <w:u w:val="none"/>
          <w:lang w:eastAsia="zh-CN" w:bidi="ar"/>
          <w14:textFill>
            <w14:solidFill>
              <w14:schemeClr w14:val="tx1"/>
            </w14:solidFill>
          </w14:textFill>
        </w:rPr>
        <w:t>投资的主要票据资料包括合同、发票、付款凭证、照片等。</w:t>
      </w:r>
      <w:r>
        <w:rPr>
          <w:rFonts w:hint="default" w:ascii="Times New Roman" w:hAnsi="Times New Roman" w:eastAsia="仿宋_GB2312" w:cs="Times New Roman"/>
          <w:b w:val="0"/>
          <w:bCs w:val="0"/>
          <w:color w:val="auto"/>
          <w:sz w:val="32"/>
          <w:szCs w:val="32"/>
          <w:lang w:eastAsia="zh-CN"/>
        </w:rPr>
        <w:t>购置设备、自建厂房等固定资产投资汇总表（含设备清单列表、发票清单列表）；</w:t>
      </w:r>
    </w:p>
    <w:p>
      <w:pPr>
        <w:numPr>
          <w:ilvl w:val="-1"/>
          <w:numId w:val="0"/>
        </w:numPr>
        <w:spacing w:line="600" w:lineRule="exact"/>
        <w:ind w:firstLine="640" w:firstLineChars="200"/>
        <w:outlineLvl w:val="2"/>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10.</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企业</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近三年</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审计报告</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p>
    <w:p>
      <w:pPr>
        <w:spacing w:line="600" w:lineRule="exact"/>
        <w:ind w:firstLine="640" w:firstLineChars="200"/>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11.</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园区所在地工业和信息化、园区主管部门认为必要的其他辅证材料</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p>
    <w:p>
      <w:pPr>
        <w:pStyle w:val="25"/>
        <w:keepNext w:val="0"/>
        <w:keepLines w:val="0"/>
        <w:pageBreakBefore w:val="0"/>
        <w:widowControl w:val="0"/>
        <w:numPr>
          <w:ilvl w:val="-1"/>
          <w:numId w:val="0"/>
        </w:numPr>
        <w:kinsoku/>
        <w:wordWrap/>
        <w:overflowPunct/>
        <w:topLinePunct w:val="0"/>
        <w:autoSpaceDE/>
        <w:autoSpaceDN/>
        <w:bidi w:val="0"/>
        <w:adjustRightInd/>
        <w:snapToGrid/>
        <w:spacing w:before="0" w:beforeLines="0" w:after="0" w:afterLines="0" w:line="600" w:lineRule="exact"/>
        <w:ind w:right="0" w:rightChars="0" w:firstLine="640" w:firstLineChars="200"/>
        <w:jc w:val="both"/>
        <w:textAlignment w:val="auto"/>
        <w:rPr>
          <w:rFonts w:hint="default" w:ascii="Times New Roman" w:hAnsi="Times New Roman" w:eastAsia="仿宋_GB2312" w:cs="Times New Roman"/>
          <w:color w:val="auto"/>
          <w:sz w:val="32"/>
          <w:lang w:val="en-US" w:eastAsia="zh-CN"/>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12.</w:t>
      </w:r>
      <w:r>
        <w:rPr>
          <w:rFonts w:hint="default" w:ascii="Times New Roman" w:hAnsi="Times New Roman" w:eastAsia="仿宋_GB2312" w:cs="Times New Roman"/>
          <w:color w:val="auto"/>
          <w:sz w:val="32"/>
          <w:lang w:val="en-US" w:eastAsia="zh-CN"/>
        </w:rPr>
        <w:t>信用中国网站下载的企业信用报告。</w:t>
      </w:r>
    </w:p>
    <w:p>
      <w:pPr>
        <w:spacing w:line="600" w:lineRule="exact"/>
        <w:ind w:firstLine="640" w:firstLineChars="200"/>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（备注：除注明原件以外，以上材料均要求提供复印件加盖企业公章</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，并注明与原件一致</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。如个别材料确无法提供，应提供其他书面证明或说明）</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p>
    <w:p>
      <w:pPr>
        <w:spacing w:line="600" w:lineRule="exact"/>
        <w:ind w:firstLine="640" w:firstLineChars="200"/>
        <w:outlineLvl w:val="0"/>
        <w:rPr>
          <w:rFonts w:hint="default" w:ascii="Times New Roman" w:hAnsi="Times New Roman" w:eastAsia="黑体" w:cs="Times New Roman"/>
          <w:color w:val="000000" w:themeColor="text1"/>
          <w:sz w:val="32"/>
          <w:szCs w:val="32"/>
          <w:highlight w:val="none"/>
          <w:u w:val="none"/>
          <w:lang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u w:val="none"/>
          <w:lang w:eastAsia="zh-CN"/>
          <w14:textFill>
            <w14:solidFill>
              <w14:schemeClr w14:val="tx1"/>
            </w14:solidFill>
          </w14:textFill>
        </w:rPr>
        <w:t>六</w:t>
      </w:r>
      <w:r>
        <w:rPr>
          <w:rFonts w:hint="default" w:ascii="Times New Roman" w:hAnsi="Times New Roman" w:eastAsia="黑体" w:cs="Times New Roman"/>
          <w:color w:val="000000" w:themeColor="text1"/>
          <w:sz w:val="32"/>
          <w:szCs w:val="32"/>
          <w:highlight w:val="none"/>
          <w:u w:val="none"/>
          <w14:textFill>
            <w14:solidFill>
              <w14:schemeClr w14:val="tx1"/>
            </w14:solidFill>
          </w14:textFill>
        </w:rPr>
        <w:t>、申报程序</w:t>
      </w:r>
      <w:r>
        <w:rPr>
          <w:rFonts w:hint="default" w:ascii="Times New Roman" w:hAnsi="Times New Roman" w:eastAsia="黑体" w:cs="Times New Roman"/>
          <w:color w:val="000000" w:themeColor="text1"/>
          <w:sz w:val="32"/>
          <w:szCs w:val="32"/>
          <w:highlight w:val="none"/>
          <w:u w:val="none"/>
          <w:lang w:eastAsia="zh-CN"/>
          <w14:textFill>
            <w14:solidFill>
              <w14:schemeClr w14:val="tx1"/>
            </w14:solidFill>
          </w14:textFill>
        </w:rPr>
        <w:t>及</w:t>
      </w:r>
      <w:r>
        <w:rPr>
          <w:rFonts w:hint="default" w:ascii="Times New Roman" w:hAnsi="Times New Roman" w:eastAsia="黑体" w:cs="Times New Roman"/>
          <w:color w:val="000000" w:themeColor="text1"/>
          <w:sz w:val="32"/>
          <w:szCs w:val="32"/>
          <w:highlight w:val="none"/>
          <w:u w:val="none"/>
          <w14:textFill>
            <w14:solidFill>
              <w14:schemeClr w14:val="tx1"/>
            </w14:solidFill>
          </w14:textFill>
        </w:rPr>
        <w:t>评审入库</w:t>
      </w:r>
    </w:p>
    <w:p>
      <w:pPr>
        <w:spacing w:line="600" w:lineRule="exact"/>
        <w:ind w:firstLine="640" w:firstLineChars="200"/>
        <w:outlineLvl w:val="1"/>
        <w:rPr>
          <w:rFonts w:ascii="Times New Roman" w:hAnsi="Times New Roman" w:eastAsia="仿宋_GB2312" w:cs="Times New Roman"/>
          <w:color w:val="000000" w:themeColor="text1"/>
          <w:sz w:val="32"/>
          <w:szCs w:val="32"/>
          <w:highlight w:val="none"/>
          <w:u w:val="none"/>
          <w:shd w:val="clear" w:color="auto" w:fill="FFFFFF"/>
          <w14:textFill>
            <w14:solidFill>
              <w14:schemeClr w14:val="tx1"/>
            </w14:solidFill>
          </w14:textFill>
        </w:rPr>
      </w:pPr>
      <w:r>
        <w:rPr>
          <w:rFonts w:hint="default" w:ascii="Times New Roman" w:hAnsi="Times New Roman" w:eastAsia="楷体_GB2312" w:cs="Times New Roman"/>
          <w:b w:val="0"/>
          <w:bCs w:val="0"/>
          <w:color w:val="000000" w:themeColor="text1"/>
          <w:sz w:val="32"/>
          <w:szCs w:val="32"/>
          <w:highlight w:val="none"/>
          <w:u w:val="none"/>
          <w:lang w:eastAsia="zh-CN"/>
          <w14:textFill>
            <w14:solidFill>
              <w14:schemeClr w14:val="tx1"/>
            </w14:solidFill>
          </w14:textFill>
        </w:rPr>
        <w:t>（一）项目申报。</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请</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各地</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工信部门</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会同园区主管部门</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组织本地区项目单位积极申报。项目单位申报材料送属地工信主管部门</w:t>
      </w:r>
      <w:r>
        <w:rPr>
          <w:rFonts w:hint="default" w:ascii="Times New Roman" w:hAnsi="Times New Roman" w:eastAsia="仿宋_GB2312" w:cs="Times New Roman"/>
          <w:color w:val="000000" w:themeColor="text1"/>
          <w:sz w:val="32"/>
          <w:szCs w:val="32"/>
          <w:highlight w:val="none"/>
          <w:u w:val="none"/>
          <w:shd w:val="clear" w:color="auto" w:fill="FFFFFF"/>
          <w:lang w:eastAsia="zh-CN"/>
          <w14:textFill>
            <w14:solidFill>
              <w14:schemeClr w14:val="tx1"/>
            </w14:solidFill>
          </w14:textFill>
        </w:rPr>
        <w:t>初审</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，同时</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通过</w:t>
      </w:r>
      <w:r>
        <w:rPr>
          <w:rFonts w:hint="default" w:ascii="Times New Roman" w:hAnsi="Times New Roman" w:eastAsia="仿宋_GB2312" w:cs="Times New Roman"/>
          <w:color w:val="000000" w:themeColor="text1"/>
          <w:sz w:val="32"/>
          <w:szCs w:val="32"/>
          <w:highlight w:val="none"/>
          <w:u w:val="none"/>
          <w:shd w:val="clear" w:color="auto" w:fill="FFFFFF"/>
          <w:lang w:eastAsia="zh-CN"/>
          <w14:textFill>
            <w14:solidFill>
              <w14:schemeClr w14:val="tx1"/>
            </w14:solidFill>
          </w14:textFill>
        </w:rPr>
        <w:t>“数字工信”平台（http://210.76.8</w:t>
      </w:r>
      <w:r>
        <w:rPr>
          <w:rFonts w:hint="default" w:ascii="Times New Roman" w:hAnsi="Times New Roman" w:eastAsia="仿宋_GB2312" w:cs="Times New Roman"/>
          <w:color w:val="000000" w:themeColor="text1"/>
          <w:sz w:val="32"/>
          <w:szCs w:val="32"/>
          <w:highlight w:val="none"/>
          <w:u w:val="none"/>
          <w:shd w:val="clear" w:color="auto" w:fill="FFFFFF"/>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highlight w:val="none"/>
          <w:u w:val="none"/>
          <w:shd w:val="clear" w:color="auto" w:fill="FFFFFF"/>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shd w:val="clear" w:color="auto" w:fill="FFFFFF"/>
          <w:lang w:val="en-US" w:eastAsia="zh-CN"/>
          <w14:textFill>
            <w14:solidFill>
              <w14:schemeClr w14:val="tx1"/>
            </w14:solidFill>
          </w14:textFill>
        </w:rPr>
        <w:t>21</w:t>
      </w:r>
      <w:r>
        <w:rPr>
          <w:rFonts w:hint="default" w:ascii="Times New Roman" w:hAnsi="Times New Roman" w:eastAsia="仿宋_GB2312" w:cs="Times New Roman"/>
          <w:color w:val="000000" w:themeColor="text1"/>
          <w:sz w:val="32"/>
          <w:szCs w:val="32"/>
          <w:highlight w:val="none"/>
          <w:u w:val="none"/>
          <w:shd w:val="clear" w:color="auto" w:fill="FFFFFF"/>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shd w:val="clear" w:color="auto" w:fill="FFFFFF"/>
          <w:lang w:val="en-US" w:eastAsia="zh-CN"/>
          <w14:textFill>
            <w14:solidFill>
              <w14:schemeClr w14:val="tx1"/>
            </w14:solidFill>
          </w14:textFill>
        </w:rPr>
        <w:t>ywtb-gzc/cms/index</w:t>
      </w:r>
      <w:r>
        <w:rPr>
          <w:rFonts w:hint="default" w:ascii="Times New Roman" w:hAnsi="Times New Roman" w:eastAsia="仿宋_GB2312" w:cs="Times New Roman"/>
          <w:color w:val="000000" w:themeColor="text1"/>
          <w:sz w:val="32"/>
          <w:szCs w:val="32"/>
          <w:highlight w:val="none"/>
          <w:u w:val="none"/>
          <w:shd w:val="clear" w:color="auto" w:fill="FFFFFF"/>
          <w:lang w:eastAsia="zh-CN"/>
          <w14:textFill>
            <w14:solidFill>
              <w14:schemeClr w14:val="tx1"/>
            </w14:solidFill>
          </w14:textFill>
        </w:rPr>
        <w:t>）进行线上填报，上传盖有公司印章的有关附件证明材料，系统申报截止日期为</w:t>
      </w:r>
      <w:r>
        <w:rPr>
          <w:rFonts w:hint="default" w:ascii="Times New Roman" w:hAnsi="Times New Roman" w:eastAsia="仿宋_GB2312" w:cs="Times New Roman"/>
          <w:color w:val="000000" w:themeColor="text1"/>
          <w:sz w:val="32"/>
          <w:szCs w:val="32"/>
          <w:highlight w:val="none"/>
          <w:u w:val="none"/>
          <w:shd w:val="clear" w:color="auto" w:fill="FFFFFF"/>
          <w:lang w:val="en-US" w:eastAsia="zh-CN"/>
          <w14:textFill>
            <w14:solidFill>
              <w14:schemeClr w14:val="tx1"/>
            </w14:solidFill>
          </w14:textFill>
        </w:rPr>
        <w:t>2024</w:t>
      </w:r>
      <w:r>
        <w:rPr>
          <w:rFonts w:hint="default" w:ascii="Times New Roman" w:hAnsi="Times New Roman" w:eastAsia="仿宋_GB2312" w:cs="Times New Roman"/>
          <w:color w:val="000000" w:themeColor="text1"/>
          <w:sz w:val="32"/>
          <w:szCs w:val="32"/>
          <w:highlight w:val="none"/>
          <w:u w:val="none"/>
          <w:shd w:val="clear" w:color="auto" w:fill="FFFFFF"/>
          <w:lang w:eastAsia="zh-CN"/>
          <w14:textFill>
            <w14:solidFill>
              <w14:schemeClr w14:val="tx1"/>
            </w14:solidFill>
          </w14:textFill>
        </w:rPr>
        <w:t>年</w:t>
      </w:r>
      <w:r>
        <w:rPr>
          <w:rFonts w:hint="default" w:ascii="Times New Roman" w:hAnsi="Times New Roman" w:eastAsia="仿宋_GB2312" w:cs="Times New Roman"/>
          <w:color w:val="000000" w:themeColor="text1"/>
          <w:sz w:val="32"/>
          <w:szCs w:val="32"/>
          <w:highlight w:val="none"/>
          <w:u w:val="none"/>
          <w:shd w:val="clear" w:color="auto" w:fill="FFFFFF"/>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highlight w:val="none"/>
          <w:u w:val="none"/>
          <w:shd w:val="clear" w:color="auto" w:fill="FFFFFF"/>
          <w:lang w:eastAsia="zh-CN"/>
          <w14:textFill>
            <w14:solidFill>
              <w14:schemeClr w14:val="tx1"/>
            </w14:solidFill>
          </w14:textFill>
        </w:rPr>
        <w:t>月</w:t>
      </w:r>
      <w:r>
        <w:rPr>
          <w:rFonts w:hint="default" w:ascii="Times New Roman" w:hAnsi="Times New Roman" w:eastAsia="仿宋_GB2312" w:cs="Times New Roman"/>
          <w:color w:val="000000" w:themeColor="text1"/>
          <w:sz w:val="32"/>
          <w:szCs w:val="32"/>
          <w:highlight w:val="none"/>
          <w:u w:val="none"/>
          <w:shd w:val="clear" w:color="auto" w:fill="FFFFFF"/>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highlight w:val="none"/>
          <w:u w:val="none"/>
          <w:shd w:val="clear" w:color="auto" w:fill="FFFFFF"/>
          <w:lang w:eastAsia="zh-CN"/>
          <w14:textFill>
            <w14:solidFill>
              <w14:schemeClr w14:val="tx1"/>
            </w14:solidFill>
          </w14:textFill>
        </w:rPr>
        <w:t>日，未在规定时间登录平台提交申请资料的项目不得纳入项目库</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属地工信</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会同</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园区主管部门指导企业进行网上申报，</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同时</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属地</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工信对申报项目进行认真审查</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并</w:t>
      </w:r>
      <w:r>
        <w:rPr>
          <w:rFonts w:hint="default" w:ascii="Times New Roman" w:hAnsi="Times New Roman" w:eastAsia="仿宋_GB2312" w:cs="Times New Roman"/>
          <w:color w:val="000000" w:themeColor="text1"/>
          <w:sz w:val="32"/>
          <w:szCs w:val="32"/>
          <w:highlight w:val="none"/>
          <w:u w:val="none"/>
          <w:shd w:val="clear" w:color="auto" w:fill="FFFFFF"/>
          <w14:textFill>
            <w14:solidFill>
              <w14:schemeClr w14:val="tx1"/>
            </w14:solidFill>
          </w14:textFill>
        </w:rPr>
        <w:t>出具推荐意见（加盖公章）（1式2份）</w:t>
      </w:r>
      <w:r>
        <w:rPr>
          <w:rFonts w:hint="default" w:ascii="Times New Roman" w:hAnsi="Times New Roman" w:eastAsia="仿宋_GB2312" w:cs="Times New Roman"/>
          <w:color w:val="000000" w:themeColor="text1"/>
          <w:sz w:val="32"/>
          <w:szCs w:val="32"/>
          <w:highlight w:val="none"/>
          <w:u w:val="none"/>
          <w:shd w:val="clear" w:color="auto" w:fill="FFFFFF"/>
          <w:lang w:eastAsia="zh-CN"/>
          <w14:textFill>
            <w14:solidFill>
              <w14:schemeClr w14:val="tx1"/>
            </w14:solidFill>
          </w14:textFill>
        </w:rPr>
        <w:t>，连同</w:t>
      </w:r>
      <w:r>
        <w:rPr>
          <w:rFonts w:hint="default" w:ascii="Times New Roman" w:hAnsi="Times New Roman" w:eastAsia="仿宋_GB2312" w:cs="Times New Roman"/>
          <w:color w:val="000000" w:themeColor="text1"/>
          <w:sz w:val="32"/>
          <w:szCs w:val="32"/>
          <w:highlight w:val="none"/>
          <w:u w:val="none"/>
          <w:shd w:val="clear" w:color="auto" w:fill="FFFFFF"/>
          <w14:textFill>
            <w14:solidFill>
              <w14:schemeClr w14:val="tx1"/>
            </w14:solidFill>
          </w14:textFill>
        </w:rPr>
        <w:t>推荐企业完整的申报材料</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于</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月</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日前</w:t>
      </w:r>
      <w:r>
        <w:rPr>
          <w:rFonts w:hint="default" w:ascii="Times New Roman" w:hAnsi="Times New Roman" w:eastAsia="仿宋_GB2312" w:cs="Times New Roman"/>
          <w:color w:val="000000" w:themeColor="text1"/>
          <w:sz w:val="32"/>
          <w:szCs w:val="32"/>
          <w:highlight w:val="none"/>
          <w:u w:val="none"/>
          <w:shd w:val="clear" w:color="auto" w:fill="FFFFFF"/>
          <w14:textFill>
            <w14:solidFill>
              <w14:schemeClr w14:val="tx1"/>
            </w14:solidFill>
          </w14:textFill>
        </w:rPr>
        <w:t>报送市工信局。</w:t>
      </w:r>
    </w:p>
    <w:p>
      <w:pPr>
        <w:spacing w:line="600" w:lineRule="exact"/>
        <w:ind w:firstLine="640" w:firstLineChars="200"/>
        <w:outlineLvl w:val="1"/>
        <w:rPr>
          <w:rFonts w:ascii="Times New Roman" w:hAnsi="Times New Roman" w:eastAsia="楷体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楷体_GB2312" w:cs="Times New Roman"/>
          <w:b w:val="0"/>
          <w:bCs w:val="0"/>
          <w:color w:val="000000" w:themeColor="text1"/>
          <w:sz w:val="32"/>
          <w:szCs w:val="32"/>
          <w:highlight w:val="none"/>
          <w:u w:val="none"/>
          <w:lang w:eastAsia="zh-CN"/>
          <w14:textFill>
            <w14:solidFill>
              <w14:schemeClr w14:val="tx1"/>
            </w14:solidFill>
          </w14:textFill>
        </w:rPr>
        <w:t>（二）项目评审入库及公示。</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市</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工信</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局完成受理申报材料后，按要求</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组织</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第三方专业评审机构</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（专家）</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进行评审，</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将入库项目</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按规定</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进行</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综合排序</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，并</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在市工信局网站公示后，</w:t>
      </w:r>
      <w:r>
        <w:rPr>
          <w:rFonts w:hint="default" w:ascii="Times New Roman" w:hAnsi="Times New Roman" w:eastAsia="仿宋_GB2312" w:cs="Times New Roman"/>
          <w:color w:val="000000" w:themeColor="text1"/>
          <w:kern w:val="0"/>
          <w:sz w:val="32"/>
          <w:szCs w:val="32"/>
          <w:highlight w:val="none"/>
          <w:u w:val="none"/>
          <w:shd w:val="clear" w:color="auto" w:fill="FFFFFF"/>
          <w14:textFill>
            <w14:solidFill>
              <w14:schemeClr w14:val="tx1"/>
            </w14:solidFill>
          </w14:textFill>
        </w:rPr>
        <w:t>上报省工信厅入库储备。待省工信厅下达专项资金和任务清单后，</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按照我市项目入库先后制定资金分配方案，在市工信局网站公示无异议后，按规定程序拨付资金。</w:t>
      </w:r>
    </w:p>
    <w:p>
      <w:pPr>
        <w:spacing w:line="600" w:lineRule="exact"/>
        <w:ind w:firstLine="640" w:firstLineChars="200"/>
        <w:outlineLvl w:val="0"/>
        <w:rPr>
          <w:rFonts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黑体" w:cs="Times New Roman"/>
          <w:color w:val="000000" w:themeColor="text1"/>
          <w:sz w:val="32"/>
          <w:szCs w:val="32"/>
          <w:highlight w:val="none"/>
          <w:u w:val="none"/>
          <w:lang w:eastAsia="zh-CN"/>
          <w14:textFill>
            <w14:solidFill>
              <w14:schemeClr w14:val="tx1"/>
            </w14:solidFill>
          </w14:textFill>
        </w:rPr>
        <w:t>七</w:t>
      </w:r>
      <w:r>
        <w:rPr>
          <w:rFonts w:hint="default" w:ascii="Times New Roman" w:hAnsi="Times New Roman" w:eastAsia="黑体" w:cs="Times New Roman"/>
          <w:color w:val="000000" w:themeColor="text1"/>
          <w:sz w:val="32"/>
          <w:szCs w:val="32"/>
          <w:highlight w:val="none"/>
          <w:u w:val="none"/>
          <w14:textFill>
            <w14:solidFill>
              <w14:schemeClr w14:val="tx1"/>
            </w14:solidFill>
          </w14:textFill>
        </w:rPr>
        <w:t>、有关工作要求</w:t>
      </w:r>
    </w:p>
    <w:p>
      <w:pPr>
        <w:widowControl/>
        <w:spacing w:line="600" w:lineRule="exact"/>
        <w:ind w:firstLine="640" w:firstLineChars="200"/>
        <w:rPr>
          <w:rFonts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1、</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各</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地</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工信（园区）主管部门高度重视，加强宣传发动工作，组织</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符合奖补范围内</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的企业按照要求编制申报材料，并对申报材料的完整性、真实性严格把关。</w:t>
      </w:r>
    </w:p>
    <w:p>
      <w:pPr>
        <w:pStyle w:val="13"/>
        <w:widowControl/>
        <w:spacing w:line="600" w:lineRule="exact"/>
        <w:ind w:firstLine="640" w:firstLineChars="200"/>
        <w:rPr>
          <w:rFonts w:ascii="Times New Roman" w:hAnsi="Times New Roman" w:eastAsia="仿宋_GB2312" w:cs="Times New Roman"/>
          <w:color w:val="000000" w:themeColor="text1"/>
          <w:sz w:val="32"/>
          <w:szCs w:val="32"/>
          <w:highlight w:val="none"/>
          <w:u w:val="none"/>
          <w:lang w:bidi="ar-SA"/>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bidi="ar-SA"/>
          <w14:textFill>
            <w14:solidFill>
              <w14:schemeClr w14:val="tx1"/>
            </w14:solidFill>
          </w14:textFill>
        </w:rPr>
        <w:t>2、申报材料提供复印件的均需加盖申报单位公章</w:t>
      </w:r>
      <w:r>
        <w:rPr>
          <w:rFonts w:hint="default" w:ascii="Times New Roman" w:hAnsi="Times New Roman" w:eastAsia="仿宋_GB2312" w:cs="Times New Roman"/>
          <w:color w:val="000000" w:themeColor="text1"/>
          <w:sz w:val="32"/>
          <w:szCs w:val="32"/>
          <w:highlight w:val="none"/>
          <w:u w:val="none"/>
          <w:lang w:eastAsia="zh-CN" w:bidi="ar-SA"/>
          <w14:textFill>
            <w14:solidFill>
              <w14:schemeClr w14:val="tx1"/>
            </w14:solidFill>
          </w14:textFill>
        </w:rPr>
        <w:t>（骑缝章）</w:t>
      </w:r>
      <w:r>
        <w:rPr>
          <w:rFonts w:hint="default" w:ascii="Times New Roman" w:hAnsi="Times New Roman" w:eastAsia="仿宋_GB2312" w:cs="Times New Roman"/>
          <w:color w:val="000000" w:themeColor="text1"/>
          <w:sz w:val="32"/>
          <w:szCs w:val="32"/>
          <w:highlight w:val="none"/>
          <w:u w:val="none"/>
          <w:lang w:bidi="ar-SA"/>
          <w14:textFill>
            <w14:solidFill>
              <w14:schemeClr w14:val="tx1"/>
            </w14:solidFill>
          </w14:textFill>
        </w:rPr>
        <w:t>，并提供原件供属地工信主管部门核对。</w:t>
      </w:r>
    </w:p>
    <w:p>
      <w:pPr>
        <w:pStyle w:val="13"/>
        <w:widowControl/>
        <w:spacing w:line="600" w:lineRule="exact"/>
        <w:ind w:firstLine="640" w:firstLineChars="200"/>
        <w:rPr>
          <w:rFonts w:ascii="Times New Roman" w:hAnsi="Times New Roman" w:eastAsia="仿宋_GB2312" w:cs="Times New Roman"/>
          <w:color w:val="000000" w:themeColor="text1"/>
          <w:sz w:val="32"/>
          <w:szCs w:val="32"/>
          <w:highlight w:val="none"/>
          <w:u w:val="none"/>
          <w:lang w:bidi="ar-SA"/>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bidi="ar-SA"/>
          <w14:textFill>
            <w14:solidFill>
              <w14:schemeClr w14:val="tx1"/>
            </w14:solidFill>
          </w14:textFill>
        </w:rPr>
        <w:t>3、</w:t>
      </w:r>
      <w:r>
        <w:rPr>
          <w:rFonts w:hint="default" w:ascii="Times New Roman" w:hAnsi="Times New Roman" w:eastAsia="仿宋_GB2312" w:cs="Times New Roman"/>
          <w:color w:val="000000" w:themeColor="text1"/>
          <w:sz w:val="32"/>
          <w:szCs w:val="32"/>
          <w:highlight w:val="none"/>
          <w:u w:val="none"/>
          <w:lang w:val="en-US" w:eastAsia="zh-CN" w:bidi="ar-SA"/>
          <w14:textFill>
            <w14:solidFill>
              <w14:schemeClr w14:val="tx1"/>
            </w14:solidFill>
          </w14:textFill>
        </w:rPr>
        <w:t>各地</w:t>
      </w:r>
      <w:r>
        <w:rPr>
          <w:rFonts w:hint="default" w:ascii="Times New Roman" w:hAnsi="Times New Roman" w:eastAsia="仿宋_GB2312" w:cs="Times New Roman"/>
          <w:color w:val="000000" w:themeColor="text1"/>
          <w:sz w:val="32"/>
          <w:szCs w:val="32"/>
          <w:highlight w:val="none"/>
          <w:u w:val="none"/>
          <w:lang w:bidi="ar-SA"/>
          <w14:textFill>
            <w14:solidFill>
              <w14:schemeClr w14:val="tx1"/>
            </w14:solidFill>
          </w14:textFill>
        </w:rPr>
        <w:t>工信（园区）主管部门要认真做好项目材料初审工作，包括：核实申报材料的真实性、准确性、完整性；不予推荐违法违规</w:t>
      </w:r>
      <w:r>
        <w:rPr>
          <w:rFonts w:hint="default" w:ascii="Times New Roman" w:hAnsi="Times New Roman" w:eastAsia="仿宋_GB2312" w:cs="Times New Roman"/>
          <w:color w:val="000000" w:themeColor="text1"/>
          <w:sz w:val="32"/>
          <w:szCs w:val="32"/>
          <w:highlight w:val="none"/>
          <w:u w:val="none"/>
          <w:lang w:eastAsia="zh-CN" w:bidi="ar-SA"/>
          <w14:textFill>
            <w14:solidFill>
              <w14:schemeClr w14:val="tx1"/>
            </w14:solidFill>
          </w14:textFill>
        </w:rPr>
        <w:t>使用财政资金</w:t>
      </w:r>
      <w:r>
        <w:rPr>
          <w:rFonts w:hint="default" w:ascii="Times New Roman" w:hAnsi="Times New Roman" w:eastAsia="仿宋_GB2312" w:cs="Times New Roman"/>
          <w:color w:val="000000" w:themeColor="text1"/>
          <w:sz w:val="32"/>
          <w:szCs w:val="32"/>
          <w:highlight w:val="none"/>
          <w:u w:val="none"/>
          <w:lang w:bidi="ar-SA"/>
          <w14:textFill>
            <w14:solidFill>
              <w14:schemeClr w14:val="tx1"/>
            </w14:solidFill>
          </w14:textFill>
        </w:rPr>
        <w:t>企业；特别做好“查重”工作，</w:t>
      </w:r>
      <w:r>
        <w:rPr>
          <w:rFonts w:hint="default" w:ascii="Times New Roman" w:hAnsi="Times New Roman" w:eastAsia="仿宋_GB2312" w:cs="Times New Roman"/>
          <w:color w:val="000000" w:themeColor="text1"/>
          <w:sz w:val="32"/>
          <w:szCs w:val="32"/>
          <w:highlight w:val="none"/>
          <w:u w:val="none"/>
          <w:lang w:eastAsia="zh-CN" w:bidi="ar-SA"/>
          <w14:textFill>
            <w14:solidFill>
              <w14:schemeClr w14:val="tx1"/>
            </w14:solidFill>
          </w14:textFill>
        </w:rPr>
        <w:t>企业不得重复或多头</w:t>
      </w:r>
      <w:r>
        <w:rPr>
          <w:rFonts w:hint="default" w:ascii="Times New Roman" w:hAnsi="Times New Roman" w:eastAsia="仿宋_GB2312" w:cs="Times New Roman"/>
          <w:color w:val="000000" w:themeColor="text1"/>
          <w:sz w:val="32"/>
          <w:szCs w:val="32"/>
          <w:highlight w:val="none"/>
          <w:u w:val="none"/>
          <w:lang w:bidi="ar-SA"/>
          <w14:textFill>
            <w14:solidFill>
              <w14:schemeClr w14:val="tx1"/>
            </w14:solidFill>
          </w14:textFill>
        </w:rPr>
        <w:t>申报</w:t>
      </w:r>
      <w:r>
        <w:rPr>
          <w:rFonts w:hint="default" w:ascii="Times New Roman" w:hAnsi="Times New Roman" w:eastAsia="仿宋_GB2312" w:cs="Times New Roman"/>
          <w:color w:val="000000" w:themeColor="text1"/>
          <w:sz w:val="32"/>
          <w:szCs w:val="32"/>
          <w:highlight w:val="none"/>
          <w:u w:val="none"/>
          <w:lang w:eastAsia="zh-CN" w:bidi="ar-SA"/>
          <w14:textFill>
            <w14:solidFill>
              <w14:schemeClr w14:val="tx1"/>
            </w14:solidFill>
          </w14:textFill>
        </w:rPr>
        <w:t>省级</w:t>
      </w:r>
      <w:r>
        <w:rPr>
          <w:rFonts w:hint="default" w:ascii="Times New Roman" w:hAnsi="Times New Roman" w:eastAsia="仿宋_GB2312" w:cs="Times New Roman"/>
          <w:color w:val="000000" w:themeColor="text1"/>
          <w:sz w:val="32"/>
          <w:szCs w:val="32"/>
          <w:highlight w:val="none"/>
          <w:u w:val="none"/>
          <w:lang w:bidi="ar-SA"/>
          <w14:textFill>
            <w14:solidFill>
              <w14:schemeClr w14:val="tx1"/>
            </w14:solidFill>
          </w14:textFill>
        </w:rPr>
        <w:t>资金。</w:t>
      </w:r>
    </w:p>
    <w:p>
      <w:pPr>
        <w:spacing w:line="600" w:lineRule="exact"/>
        <w:ind w:firstLine="640" w:firstLineChars="200"/>
        <w:rPr>
          <w:rFonts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4、产业</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有序转移</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资金按“谁审核、谁负责”和“谁使用、谁负责”的原则，实行责任追究机制。对资金审核过程中涉及违法违纪行为的责任人员，一律</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依照</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有关规定予以责任追究，严肃处理。涉嫌犯罪的，依法移交司法机关追究刑事责任。</w:t>
      </w:r>
    </w:p>
    <w:p>
      <w:pPr>
        <w:spacing w:line="600" w:lineRule="exact"/>
        <w:ind w:firstLine="640" w:firstLineChars="200"/>
        <w:rPr>
          <w:rFonts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未尽事宜按照《广东省财政厅 广东省发展和改革委员会 广东省工业和信息化厅关于印发〈促进产业有序转移财政支持方案（试行）〉的通知》（粤财工〔2023〕13号）</w:t>
      </w:r>
      <w:r>
        <w:rPr>
          <w:rFonts w:hint="default" w:ascii="Times New Roman" w:hAnsi="Times New Roman" w:eastAsia="仿宋_GB2312" w:cs="Times New Roman"/>
          <w:color w:val="000000" w:themeColor="text1"/>
          <w:sz w:val="32"/>
          <w:szCs w:val="32"/>
          <w:highlight w:val="none"/>
          <w:u w:val="none"/>
          <w:lang w:eastAsia="zh-CN"/>
          <w14:textFill>
            <w14:solidFill>
              <w14:schemeClr w14:val="tx1"/>
            </w14:solidFill>
          </w14:textFill>
        </w:rPr>
        <w:t>及有关政策</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执行。</w:t>
      </w:r>
    </w:p>
    <w:p>
      <w:pPr>
        <w:spacing w:line="600" w:lineRule="exact"/>
        <w:rPr>
          <w:rFonts w:ascii="Times New Roman" w:hAnsi="Times New Roman" w:eastAsia="仿宋_GB2312" w:cs="Times New Roman"/>
          <w:color w:val="000000" w:themeColor="text1"/>
          <w:sz w:val="32"/>
          <w:szCs w:val="32"/>
          <w:highlight w:val="none"/>
          <w:u w:val="none"/>
          <w14:textFill>
            <w14:solidFill>
              <w14:schemeClr w14:val="tx1"/>
            </w14:solidFill>
          </w14:textFill>
        </w:rPr>
      </w:pPr>
    </w:p>
    <w:p>
      <w:pPr>
        <w:spacing w:line="600" w:lineRule="exact"/>
        <w:ind w:left="1598" w:leftChars="304" w:hanging="960" w:hangingChars="300"/>
        <w:rPr>
          <w:rFonts w:ascii="Times New Roman" w:hAnsi="Times New Roman" w:cs="Times New Roman"/>
        </w:rPr>
      </w:pP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附件：1</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省级促进产业有序转移专项资金申报表（主平台融资奖励）</w:t>
      </w:r>
    </w:p>
    <w:p>
      <w:pPr>
        <w:spacing w:line="600" w:lineRule="exact"/>
        <w:ind w:left="1598" w:leftChars="304" w:hanging="960" w:hangingChars="300"/>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1-2.省级促进产业有序转移专项资金申报表（主平台标准厂房建设奖励）</w:t>
      </w:r>
    </w:p>
    <w:p>
      <w:pPr>
        <w:spacing w:line="600" w:lineRule="exact"/>
        <w:ind w:firstLine="1600" w:firstLineChars="500"/>
        <w:rPr>
          <w:rFonts w:hint="default" w:ascii="Times New Roman" w:hAnsi="Times New Roman" w:eastAsia="仿宋_GB2312" w:cs="Times New Roman"/>
          <w:color w:val="000000" w:themeColor="text1"/>
          <w:spacing w:val="-6"/>
          <w:sz w:val="32"/>
          <w:szCs w:val="32"/>
          <w:highlight w:val="none"/>
          <w:u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1-3.</w:t>
      </w:r>
      <w:r>
        <w:rPr>
          <w:rFonts w:hint="default" w:ascii="Times New Roman" w:hAnsi="Times New Roman" w:eastAsia="仿宋_GB2312" w:cs="Times New Roman"/>
          <w:color w:val="000000" w:themeColor="text1"/>
          <w:spacing w:val="-6"/>
          <w:sz w:val="32"/>
          <w:szCs w:val="32"/>
          <w:highlight w:val="none"/>
          <w:u w:val="none"/>
          <w:lang w:eastAsia="zh-CN"/>
          <w14:textFill>
            <w14:solidFill>
              <w14:schemeClr w14:val="tx1"/>
            </w14:solidFill>
          </w14:textFill>
        </w:rPr>
        <w:t>省级促进产业有序转移专项资金</w:t>
      </w:r>
      <w:r>
        <w:rPr>
          <w:rFonts w:hint="default" w:ascii="Times New Roman" w:hAnsi="Times New Roman" w:eastAsia="仿宋_GB2312" w:cs="Times New Roman"/>
          <w:color w:val="000000" w:themeColor="text1"/>
          <w:spacing w:val="-6"/>
          <w:sz w:val="32"/>
          <w:szCs w:val="32"/>
          <w:highlight w:val="none"/>
          <w:u w:val="none"/>
          <w14:textFill>
            <w14:solidFill>
              <w14:schemeClr w14:val="tx1"/>
            </w14:solidFill>
          </w14:textFill>
        </w:rPr>
        <w:t>申报表</w:t>
      </w:r>
      <w:r>
        <w:rPr>
          <w:rFonts w:hint="default" w:ascii="Times New Roman" w:hAnsi="Times New Roman" w:eastAsia="仿宋_GB2312" w:cs="Times New Roman"/>
          <w:color w:val="000000" w:themeColor="text1"/>
          <w:spacing w:val="-6"/>
          <w:sz w:val="32"/>
          <w:szCs w:val="32"/>
          <w:highlight w:val="none"/>
          <w:u w:val="none"/>
          <w:lang w:eastAsia="zh-CN"/>
          <w14:textFill>
            <w14:solidFill>
              <w14:schemeClr w14:val="tx1"/>
            </w14:solidFill>
          </w14:textFill>
        </w:rPr>
        <w:t>（</w:t>
      </w:r>
      <w:r>
        <w:rPr>
          <w:rFonts w:hint="default" w:ascii="Times New Roman" w:hAnsi="Times New Roman" w:eastAsia="仿宋_GB2312" w:cs="Times New Roman"/>
          <w:color w:val="000000" w:themeColor="text1"/>
          <w:spacing w:val="-6"/>
          <w:sz w:val="32"/>
          <w:szCs w:val="32"/>
          <w:highlight w:val="none"/>
          <w:u w:val="none"/>
          <w14:textFill>
            <w14:solidFill>
              <w14:schemeClr w14:val="tx1"/>
            </w14:solidFill>
          </w14:textFill>
        </w:rPr>
        <w:t>产业</w:t>
      </w:r>
    </w:p>
    <w:p>
      <w:pPr>
        <w:spacing w:line="600" w:lineRule="exact"/>
        <w:ind w:firstLine="1540" w:firstLineChars="500"/>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pacing w:val="-6"/>
          <w:sz w:val="32"/>
          <w:szCs w:val="32"/>
          <w:highlight w:val="none"/>
          <w:u w:val="none"/>
          <w14:textFill>
            <w14:solidFill>
              <w14:schemeClr w14:val="tx1"/>
            </w14:solidFill>
          </w14:textFill>
        </w:rPr>
        <w:t>项目建设投产</w:t>
      </w:r>
      <w:r>
        <w:rPr>
          <w:rFonts w:hint="default" w:ascii="Times New Roman" w:hAnsi="Times New Roman" w:eastAsia="仿宋_GB2312" w:cs="Times New Roman"/>
          <w:color w:val="000000" w:themeColor="text1"/>
          <w:spacing w:val="-6"/>
          <w:sz w:val="32"/>
          <w:szCs w:val="32"/>
          <w:highlight w:val="none"/>
          <w:u w:val="none"/>
          <w:lang w:eastAsia="zh-CN"/>
          <w14:textFill>
            <w14:solidFill>
              <w14:schemeClr w14:val="tx1"/>
            </w14:solidFill>
          </w14:textFill>
        </w:rPr>
        <w:t>）</w:t>
      </w:r>
    </w:p>
    <w:p>
      <w:pPr>
        <w:spacing w:line="600" w:lineRule="exact"/>
        <w:ind w:firstLine="1600" w:firstLineChars="500"/>
        <w:outlineLvl w:val="1"/>
        <w:rPr>
          <w:rFonts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2.申报材料封面版式</w:t>
      </w:r>
    </w:p>
    <w:p>
      <w:pPr>
        <w:spacing w:line="600" w:lineRule="exact"/>
        <w:ind w:left="1918" w:leftChars="304" w:hanging="1280" w:hangingChars="400"/>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 xml:space="preserve">      3.</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2025年促进产业有序转移专项资金项目绩效目</w:t>
      </w:r>
    </w:p>
    <w:p>
      <w:pPr>
        <w:spacing w:line="600" w:lineRule="exact"/>
        <w:ind w:left="0" w:leftChars="0" w:firstLine="1760" w:firstLineChars="550"/>
        <w:rPr>
          <w:rFonts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标申报表</w:t>
      </w:r>
    </w:p>
    <w:p>
      <w:pPr>
        <w:spacing w:line="600" w:lineRule="exact"/>
        <w:ind w:firstLine="640" w:firstLineChars="200"/>
        <w:rPr>
          <w:rFonts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 xml:space="preserve">      4.申报材料真实性承诺函</w:t>
      </w:r>
    </w:p>
    <w:p>
      <w:pPr>
        <w:spacing w:line="600" w:lineRule="exact"/>
        <w:ind w:firstLine="640" w:firstLineChars="200"/>
        <w:jc w:val="left"/>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t>.申报材料装订要求</w:t>
      </w:r>
    </w:p>
    <w:p>
      <w:pPr>
        <w:spacing w:line="600" w:lineRule="exact"/>
        <w:ind w:firstLine="1600" w:firstLineChars="500"/>
        <w:jc w:val="left"/>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6.（参考样式）肇庆市2025年省级促进产业有序</w:t>
      </w:r>
    </w:p>
    <w:p>
      <w:pPr>
        <w:spacing w:line="600" w:lineRule="exact"/>
        <w:ind w:firstLine="1600" w:firstLineChars="500"/>
        <w:jc w:val="left"/>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转移专项资金项目入库项目专项审计报告</w:t>
      </w:r>
    </w:p>
    <w:p>
      <w:pPr>
        <w:spacing w:line="600" w:lineRule="exact"/>
        <w:ind w:left="2236" w:leftChars="760" w:hanging="640" w:hangingChars="200"/>
        <w:jc w:val="left"/>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7-1.促进产业有序转移资金（主平台融资奖励）</w:t>
      </w:r>
    </w:p>
    <w:p>
      <w:pPr>
        <w:spacing w:line="600" w:lineRule="exact"/>
        <w:ind w:left="0" w:leftChars="0" w:firstLine="2240" w:firstLineChars="700"/>
        <w:jc w:val="left"/>
        <w:rPr>
          <w:rFonts w:hint="default" w:ascii="Times New Roman" w:hAnsi="Times New Roman" w:eastAsia="仿宋_GB2312" w:cs="Times New Roman"/>
          <w:color w:val="000000" w:themeColor="text1"/>
          <w:sz w:val="32"/>
          <w:szCs w:val="32"/>
          <w:highlight w:val="none"/>
          <w:u w:val="none"/>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项目汇总表</w:t>
      </w:r>
    </w:p>
    <w:p>
      <w:pPr>
        <w:spacing w:line="600" w:lineRule="exact"/>
        <w:ind w:left="2236" w:leftChars="760" w:hanging="640" w:hangingChars="200"/>
        <w:jc w:val="left"/>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7-2.促进产业有序转移资金（主平台标准厂房建设奖励）项目汇总表、入驻企业清单</w:t>
      </w:r>
    </w:p>
    <w:p>
      <w:pPr>
        <w:spacing w:line="600" w:lineRule="exact"/>
        <w:ind w:left="2236" w:leftChars="760" w:hanging="640" w:hangingChars="200"/>
        <w:jc w:val="left"/>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7-3.促进产业有序转移资金（产业项目建设投产）项目汇总表</w:t>
      </w:r>
    </w:p>
    <w:p>
      <w:pPr>
        <w:spacing w:line="600" w:lineRule="exact"/>
        <w:ind w:firstLine="1600" w:firstLineChars="500"/>
        <w:jc w:val="left"/>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8.项目固定资产（设备）购置明细表</w:t>
      </w:r>
    </w:p>
    <w:p>
      <w:pPr>
        <w:spacing w:line="600" w:lineRule="exact"/>
        <w:ind w:firstLine="1600" w:firstLineChars="500"/>
        <w:jc w:val="left"/>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9.项目固定资产（自建厂房）投资明细表</w:t>
      </w:r>
    </w:p>
    <w:p>
      <w:pPr>
        <w:spacing w:line="600" w:lineRule="exact"/>
        <w:rPr>
          <w:rFonts w:ascii="Times New Roman" w:hAnsi="Times New Roman" w:cs="Times New Roman"/>
          <w:color w:val="000000" w:themeColor="text1"/>
          <w:highlight w:val="none"/>
          <w:u w:val="none"/>
          <w14:textFill>
            <w14:solidFill>
              <w14:schemeClr w14:val="tx1"/>
            </w14:solidFill>
          </w14:textFill>
        </w:rPr>
      </w:pPr>
    </w:p>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TimesNewRomanPSMT">
    <w:altName w:val="Times New Roman"/>
    <w:panose1 w:val="00000000000000000000"/>
    <w:charset w:val="00"/>
    <w:family w:val="auto"/>
    <w:pitch w:val="default"/>
    <w:sig w:usb0="00000000" w:usb1="00000000" w:usb2="00000000" w:usb3="00000000" w:csb0="00000000" w:csb1="00000000"/>
  </w:font>
  <w:font w:name="TimesNewRoman">
    <w:altName w:val="Segoe Print"/>
    <w:panose1 w:val="00000000000000000000"/>
    <w:charset w:val="00"/>
    <w:family w:val="auto"/>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jc w:val="right"/>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sz w:val="18"/>
                            </w:rPr>
                          </w:pPr>
                          <w:r>
                            <w:rPr>
                              <w:rFonts w:hint="eastAsia" w:asciiTheme="minorEastAsia" w:hAnsiTheme="minorEastAsia" w:eastAsiaTheme="minorEastAsia" w:cstheme="minorEastAsia"/>
                              <w:sz w:val="28"/>
                              <w:szCs w:val="44"/>
                            </w:rPr>
                            <w:fldChar w:fldCharType="begin"/>
                          </w:r>
                          <w:r>
                            <w:rPr>
                              <w:rFonts w:hint="eastAsia" w:asciiTheme="minorEastAsia" w:hAnsiTheme="minorEastAsia" w:eastAsiaTheme="minorEastAsia" w:cstheme="minorEastAsia"/>
                              <w:sz w:val="28"/>
                              <w:szCs w:val="44"/>
                            </w:rPr>
                            <w:instrText xml:space="preserve"> PAGE  \* MERGEFORMAT </w:instrText>
                          </w:r>
                          <w:r>
                            <w:rPr>
                              <w:rFonts w:hint="eastAsia" w:asciiTheme="minorEastAsia" w:hAnsiTheme="minorEastAsia" w:eastAsiaTheme="minorEastAsia" w:cstheme="minorEastAsia"/>
                              <w:sz w:val="28"/>
                              <w:szCs w:val="44"/>
                            </w:rPr>
                            <w:fldChar w:fldCharType="separate"/>
                          </w:r>
                          <w:r>
                            <w:rPr>
                              <w:rFonts w:hint="eastAsia" w:asciiTheme="minorEastAsia" w:hAnsiTheme="minorEastAsia" w:eastAsiaTheme="minorEastAsia" w:cstheme="minorEastAsia"/>
                              <w:sz w:val="28"/>
                              <w:szCs w:val="44"/>
                            </w:rPr>
                            <w:t>- 25 -</w:t>
                          </w:r>
                          <w:r>
                            <w:rPr>
                              <w:rFonts w:hint="eastAsia" w:asciiTheme="minorEastAsia" w:hAnsiTheme="minorEastAsia" w:eastAsiaTheme="minorEastAsia" w:cstheme="minorEastAsia"/>
                              <w:sz w:val="28"/>
                              <w:szCs w:val="4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pPr>
                      <w:snapToGrid w:val="0"/>
                      <w:rPr>
                        <w:sz w:val="18"/>
                      </w:rPr>
                    </w:pPr>
                    <w:r>
                      <w:rPr>
                        <w:rFonts w:hint="eastAsia" w:asciiTheme="minorEastAsia" w:hAnsiTheme="minorEastAsia" w:eastAsiaTheme="minorEastAsia" w:cstheme="minorEastAsia"/>
                        <w:sz w:val="28"/>
                        <w:szCs w:val="44"/>
                      </w:rPr>
                      <w:fldChar w:fldCharType="begin"/>
                    </w:r>
                    <w:r>
                      <w:rPr>
                        <w:rFonts w:hint="eastAsia" w:asciiTheme="minorEastAsia" w:hAnsiTheme="minorEastAsia" w:eastAsiaTheme="minorEastAsia" w:cstheme="minorEastAsia"/>
                        <w:sz w:val="28"/>
                        <w:szCs w:val="44"/>
                      </w:rPr>
                      <w:instrText xml:space="preserve"> PAGE  \* MERGEFORMAT </w:instrText>
                    </w:r>
                    <w:r>
                      <w:rPr>
                        <w:rFonts w:hint="eastAsia" w:asciiTheme="minorEastAsia" w:hAnsiTheme="minorEastAsia" w:eastAsiaTheme="minorEastAsia" w:cstheme="minorEastAsia"/>
                        <w:sz w:val="28"/>
                        <w:szCs w:val="44"/>
                      </w:rPr>
                      <w:fldChar w:fldCharType="separate"/>
                    </w:r>
                    <w:r>
                      <w:rPr>
                        <w:rFonts w:hint="eastAsia" w:asciiTheme="minorEastAsia" w:hAnsiTheme="minorEastAsia" w:eastAsiaTheme="minorEastAsia" w:cstheme="minorEastAsia"/>
                        <w:sz w:val="28"/>
                        <w:szCs w:val="44"/>
                      </w:rPr>
                      <w:t>- 25 -</w:t>
                    </w:r>
                    <w:r>
                      <w:rPr>
                        <w:rFonts w:hint="eastAsia" w:asciiTheme="minorEastAsia" w:hAnsiTheme="minorEastAsia" w:eastAsiaTheme="minorEastAsia" w:cstheme="minorEastAsia"/>
                        <w:sz w:val="28"/>
                        <w:szCs w:val="4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9730F4"/>
    <w:multiLevelType w:val="singleLevel"/>
    <w:tmpl w:val="CD9730F4"/>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MzNDZkYmM1MDc4YWJiN2VhZmM5MjMzNGRiMzg4OGMifQ=="/>
  </w:docVars>
  <w:rsids>
    <w:rsidRoot w:val="673A413F"/>
    <w:rsid w:val="00026BAA"/>
    <w:rsid w:val="000316B2"/>
    <w:rsid w:val="00044F44"/>
    <w:rsid w:val="00084D9B"/>
    <w:rsid w:val="000C2D02"/>
    <w:rsid w:val="000C5D92"/>
    <w:rsid w:val="000C60FE"/>
    <w:rsid w:val="0011572E"/>
    <w:rsid w:val="00144684"/>
    <w:rsid w:val="001A2DE6"/>
    <w:rsid w:val="001C478F"/>
    <w:rsid w:val="001C6937"/>
    <w:rsid w:val="001D4C22"/>
    <w:rsid w:val="0026691F"/>
    <w:rsid w:val="002964E6"/>
    <w:rsid w:val="002B07F9"/>
    <w:rsid w:val="002D6921"/>
    <w:rsid w:val="00310692"/>
    <w:rsid w:val="00332CDC"/>
    <w:rsid w:val="003712EF"/>
    <w:rsid w:val="00434610"/>
    <w:rsid w:val="00436329"/>
    <w:rsid w:val="00503984"/>
    <w:rsid w:val="005044B9"/>
    <w:rsid w:val="00522502"/>
    <w:rsid w:val="005332A4"/>
    <w:rsid w:val="00552F1F"/>
    <w:rsid w:val="00553AD7"/>
    <w:rsid w:val="00564D91"/>
    <w:rsid w:val="005956A8"/>
    <w:rsid w:val="005C1CF3"/>
    <w:rsid w:val="005F77CC"/>
    <w:rsid w:val="00604B00"/>
    <w:rsid w:val="00666903"/>
    <w:rsid w:val="006829E8"/>
    <w:rsid w:val="007113EF"/>
    <w:rsid w:val="0077118E"/>
    <w:rsid w:val="007B1229"/>
    <w:rsid w:val="007E30EC"/>
    <w:rsid w:val="007F5C48"/>
    <w:rsid w:val="0080795B"/>
    <w:rsid w:val="00825320"/>
    <w:rsid w:val="008D26FF"/>
    <w:rsid w:val="008F0CBE"/>
    <w:rsid w:val="00920D3E"/>
    <w:rsid w:val="00953666"/>
    <w:rsid w:val="009919A6"/>
    <w:rsid w:val="009960B6"/>
    <w:rsid w:val="00A026F2"/>
    <w:rsid w:val="00A6701D"/>
    <w:rsid w:val="00A806E6"/>
    <w:rsid w:val="00A85396"/>
    <w:rsid w:val="00A9783F"/>
    <w:rsid w:val="00AA2C8C"/>
    <w:rsid w:val="00AC3455"/>
    <w:rsid w:val="00AE6CE6"/>
    <w:rsid w:val="00B12876"/>
    <w:rsid w:val="00B377B1"/>
    <w:rsid w:val="00B75FDE"/>
    <w:rsid w:val="00B76FF3"/>
    <w:rsid w:val="00BD3157"/>
    <w:rsid w:val="00C039B9"/>
    <w:rsid w:val="00C15CE0"/>
    <w:rsid w:val="00C5594F"/>
    <w:rsid w:val="00C57887"/>
    <w:rsid w:val="00CA083F"/>
    <w:rsid w:val="00CA2E31"/>
    <w:rsid w:val="00D57493"/>
    <w:rsid w:val="00D76D51"/>
    <w:rsid w:val="00DC7E25"/>
    <w:rsid w:val="00DE7B83"/>
    <w:rsid w:val="00E12089"/>
    <w:rsid w:val="00E15E6D"/>
    <w:rsid w:val="00E25B8B"/>
    <w:rsid w:val="00E25CC1"/>
    <w:rsid w:val="00E51561"/>
    <w:rsid w:val="00E54BC0"/>
    <w:rsid w:val="00E65C01"/>
    <w:rsid w:val="00E70FBA"/>
    <w:rsid w:val="00E82CC6"/>
    <w:rsid w:val="00E83C7B"/>
    <w:rsid w:val="00EC09BA"/>
    <w:rsid w:val="00EC0DB0"/>
    <w:rsid w:val="00F56A0A"/>
    <w:rsid w:val="00F847E5"/>
    <w:rsid w:val="00FC52CD"/>
    <w:rsid w:val="00FE3A9F"/>
    <w:rsid w:val="011E4FAC"/>
    <w:rsid w:val="01443BEC"/>
    <w:rsid w:val="01514682"/>
    <w:rsid w:val="01735D39"/>
    <w:rsid w:val="018873A4"/>
    <w:rsid w:val="01926274"/>
    <w:rsid w:val="01C86AE6"/>
    <w:rsid w:val="01CE1911"/>
    <w:rsid w:val="01DA23AF"/>
    <w:rsid w:val="01DB40A0"/>
    <w:rsid w:val="01EF5FCF"/>
    <w:rsid w:val="02083FAD"/>
    <w:rsid w:val="020D42D1"/>
    <w:rsid w:val="025A2705"/>
    <w:rsid w:val="02F278F8"/>
    <w:rsid w:val="02F6716B"/>
    <w:rsid w:val="031762F7"/>
    <w:rsid w:val="032D1AC8"/>
    <w:rsid w:val="035528DC"/>
    <w:rsid w:val="035717B4"/>
    <w:rsid w:val="03736164"/>
    <w:rsid w:val="03D353C1"/>
    <w:rsid w:val="03F85595"/>
    <w:rsid w:val="04000DDF"/>
    <w:rsid w:val="044E121B"/>
    <w:rsid w:val="04731FE7"/>
    <w:rsid w:val="04777ED0"/>
    <w:rsid w:val="04C22F2D"/>
    <w:rsid w:val="04EC24A7"/>
    <w:rsid w:val="05250C36"/>
    <w:rsid w:val="052E481F"/>
    <w:rsid w:val="056B7488"/>
    <w:rsid w:val="05774631"/>
    <w:rsid w:val="057E71BC"/>
    <w:rsid w:val="0586220A"/>
    <w:rsid w:val="05933500"/>
    <w:rsid w:val="05F46EC2"/>
    <w:rsid w:val="0670444A"/>
    <w:rsid w:val="06CC7BBD"/>
    <w:rsid w:val="06D35376"/>
    <w:rsid w:val="06F32714"/>
    <w:rsid w:val="070F6265"/>
    <w:rsid w:val="0739767A"/>
    <w:rsid w:val="077F270C"/>
    <w:rsid w:val="07A029E4"/>
    <w:rsid w:val="07A7734B"/>
    <w:rsid w:val="07E0708E"/>
    <w:rsid w:val="081E111D"/>
    <w:rsid w:val="0842317A"/>
    <w:rsid w:val="087A5869"/>
    <w:rsid w:val="088263A6"/>
    <w:rsid w:val="088E48EA"/>
    <w:rsid w:val="08AA149D"/>
    <w:rsid w:val="08AD0205"/>
    <w:rsid w:val="08C741B9"/>
    <w:rsid w:val="08E338FD"/>
    <w:rsid w:val="09090E48"/>
    <w:rsid w:val="090E47D5"/>
    <w:rsid w:val="0924775D"/>
    <w:rsid w:val="099D39DB"/>
    <w:rsid w:val="09B8268C"/>
    <w:rsid w:val="0A1F5D3E"/>
    <w:rsid w:val="0A326391"/>
    <w:rsid w:val="0A4A32C6"/>
    <w:rsid w:val="0A711681"/>
    <w:rsid w:val="0A845C34"/>
    <w:rsid w:val="0AAB743A"/>
    <w:rsid w:val="0AC25833"/>
    <w:rsid w:val="0ACF7F5C"/>
    <w:rsid w:val="0ADA48DF"/>
    <w:rsid w:val="0AFC5EC5"/>
    <w:rsid w:val="0B0116CA"/>
    <w:rsid w:val="0B5B1188"/>
    <w:rsid w:val="0B6D55AB"/>
    <w:rsid w:val="0BC83836"/>
    <w:rsid w:val="0BDA43F2"/>
    <w:rsid w:val="0BDC5415"/>
    <w:rsid w:val="0C2279EF"/>
    <w:rsid w:val="0C66217B"/>
    <w:rsid w:val="0C7015F6"/>
    <w:rsid w:val="0C8A0303"/>
    <w:rsid w:val="0CD755E7"/>
    <w:rsid w:val="0CE535F8"/>
    <w:rsid w:val="0CE80BCF"/>
    <w:rsid w:val="0D4936EF"/>
    <w:rsid w:val="0D573E72"/>
    <w:rsid w:val="0DB2134F"/>
    <w:rsid w:val="0DC9283D"/>
    <w:rsid w:val="0DE516F0"/>
    <w:rsid w:val="0DEF5E26"/>
    <w:rsid w:val="0E176B38"/>
    <w:rsid w:val="0E693864"/>
    <w:rsid w:val="0E980D39"/>
    <w:rsid w:val="0EC317CE"/>
    <w:rsid w:val="0ED979D2"/>
    <w:rsid w:val="0F1974BD"/>
    <w:rsid w:val="0F281C90"/>
    <w:rsid w:val="0F4E7866"/>
    <w:rsid w:val="0F836024"/>
    <w:rsid w:val="0FBA017A"/>
    <w:rsid w:val="0FC43512"/>
    <w:rsid w:val="0FC7241D"/>
    <w:rsid w:val="101747F3"/>
    <w:rsid w:val="102761DA"/>
    <w:rsid w:val="104305B7"/>
    <w:rsid w:val="107077F9"/>
    <w:rsid w:val="10AA2635"/>
    <w:rsid w:val="10E35D4E"/>
    <w:rsid w:val="10FF28F6"/>
    <w:rsid w:val="1103575C"/>
    <w:rsid w:val="113C764A"/>
    <w:rsid w:val="114C28EB"/>
    <w:rsid w:val="115815D0"/>
    <w:rsid w:val="115819A7"/>
    <w:rsid w:val="11993FE3"/>
    <w:rsid w:val="120556CF"/>
    <w:rsid w:val="12313DA3"/>
    <w:rsid w:val="12650C90"/>
    <w:rsid w:val="127D0DDE"/>
    <w:rsid w:val="128C7F51"/>
    <w:rsid w:val="1297722E"/>
    <w:rsid w:val="13144400"/>
    <w:rsid w:val="13187EEF"/>
    <w:rsid w:val="135C4D3A"/>
    <w:rsid w:val="137366FB"/>
    <w:rsid w:val="13DD7883"/>
    <w:rsid w:val="145D53CA"/>
    <w:rsid w:val="147426C1"/>
    <w:rsid w:val="148E37BA"/>
    <w:rsid w:val="14A85DF4"/>
    <w:rsid w:val="14B47C78"/>
    <w:rsid w:val="14CE38F7"/>
    <w:rsid w:val="14E74A73"/>
    <w:rsid w:val="15280026"/>
    <w:rsid w:val="156459A3"/>
    <w:rsid w:val="157D1FE1"/>
    <w:rsid w:val="158B4F91"/>
    <w:rsid w:val="15AA7A9E"/>
    <w:rsid w:val="15AC1686"/>
    <w:rsid w:val="15AC5FB7"/>
    <w:rsid w:val="15B34236"/>
    <w:rsid w:val="15DA7795"/>
    <w:rsid w:val="15F21286"/>
    <w:rsid w:val="16232251"/>
    <w:rsid w:val="163B0721"/>
    <w:rsid w:val="167E632D"/>
    <w:rsid w:val="176D73C9"/>
    <w:rsid w:val="17AE6F8C"/>
    <w:rsid w:val="17E31D83"/>
    <w:rsid w:val="17EA53B3"/>
    <w:rsid w:val="17F67667"/>
    <w:rsid w:val="17FB3911"/>
    <w:rsid w:val="17FC2723"/>
    <w:rsid w:val="17FE33EF"/>
    <w:rsid w:val="180700F7"/>
    <w:rsid w:val="188514E4"/>
    <w:rsid w:val="18D44158"/>
    <w:rsid w:val="18DB2D44"/>
    <w:rsid w:val="19301371"/>
    <w:rsid w:val="194365C3"/>
    <w:rsid w:val="1984681B"/>
    <w:rsid w:val="1A175FB9"/>
    <w:rsid w:val="1A3C321C"/>
    <w:rsid w:val="1A3E6330"/>
    <w:rsid w:val="1A4B0595"/>
    <w:rsid w:val="1A5070D4"/>
    <w:rsid w:val="1A6C7EDC"/>
    <w:rsid w:val="1A8F285C"/>
    <w:rsid w:val="1AAA57B1"/>
    <w:rsid w:val="1AC61A48"/>
    <w:rsid w:val="1B0F422F"/>
    <w:rsid w:val="1B1C5502"/>
    <w:rsid w:val="1B3D6049"/>
    <w:rsid w:val="1B471F39"/>
    <w:rsid w:val="1B48583C"/>
    <w:rsid w:val="1B654E21"/>
    <w:rsid w:val="1B696E73"/>
    <w:rsid w:val="1B704852"/>
    <w:rsid w:val="1B9355B6"/>
    <w:rsid w:val="1BAB5EA8"/>
    <w:rsid w:val="1BCD255C"/>
    <w:rsid w:val="1C0D6EBC"/>
    <w:rsid w:val="1C284F9A"/>
    <w:rsid w:val="1C386A25"/>
    <w:rsid w:val="1CA0790E"/>
    <w:rsid w:val="1D084F2E"/>
    <w:rsid w:val="1D297496"/>
    <w:rsid w:val="1D31624F"/>
    <w:rsid w:val="1D417D0E"/>
    <w:rsid w:val="1D6C19D4"/>
    <w:rsid w:val="1DAE1BD2"/>
    <w:rsid w:val="1DC46CA4"/>
    <w:rsid w:val="1DC95466"/>
    <w:rsid w:val="1DCE7C4E"/>
    <w:rsid w:val="1DED1988"/>
    <w:rsid w:val="1E3005B9"/>
    <w:rsid w:val="1E885624"/>
    <w:rsid w:val="1ED33546"/>
    <w:rsid w:val="1EF11F0A"/>
    <w:rsid w:val="1EFF0795"/>
    <w:rsid w:val="1F021E7A"/>
    <w:rsid w:val="1F1B1E8C"/>
    <w:rsid w:val="1F414274"/>
    <w:rsid w:val="1F420A60"/>
    <w:rsid w:val="1F580174"/>
    <w:rsid w:val="1F5A1C21"/>
    <w:rsid w:val="1F5F65B2"/>
    <w:rsid w:val="1FBD5E93"/>
    <w:rsid w:val="1FE731D6"/>
    <w:rsid w:val="1FEF1EC9"/>
    <w:rsid w:val="204E35C8"/>
    <w:rsid w:val="20650E33"/>
    <w:rsid w:val="206B2E71"/>
    <w:rsid w:val="20BC7CE8"/>
    <w:rsid w:val="20E066E0"/>
    <w:rsid w:val="2104190B"/>
    <w:rsid w:val="210C1C5F"/>
    <w:rsid w:val="211330C3"/>
    <w:rsid w:val="215641D8"/>
    <w:rsid w:val="21572E41"/>
    <w:rsid w:val="21620D6C"/>
    <w:rsid w:val="216970B3"/>
    <w:rsid w:val="21713CA4"/>
    <w:rsid w:val="21883B74"/>
    <w:rsid w:val="218E36B9"/>
    <w:rsid w:val="21B57EF4"/>
    <w:rsid w:val="21D6151D"/>
    <w:rsid w:val="21F347F7"/>
    <w:rsid w:val="22197BD3"/>
    <w:rsid w:val="223921F3"/>
    <w:rsid w:val="22412191"/>
    <w:rsid w:val="2243049B"/>
    <w:rsid w:val="224A5588"/>
    <w:rsid w:val="22517A03"/>
    <w:rsid w:val="22871CCD"/>
    <w:rsid w:val="22A16DA0"/>
    <w:rsid w:val="22B31A3E"/>
    <w:rsid w:val="22CD1E96"/>
    <w:rsid w:val="22E32041"/>
    <w:rsid w:val="230C02C8"/>
    <w:rsid w:val="237E7EAD"/>
    <w:rsid w:val="23871030"/>
    <w:rsid w:val="239B0ECA"/>
    <w:rsid w:val="240E617D"/>
    <w:rsid w:val="24572D00"/>
    <w:rsid w:val="24793AEA"/>
    <w:rsid w:val="24917C6A"/>
    <w:rsid w:val="24C24456"/>
    <w:rsid w:val="24D944FB"/>
    <w:rsid w:val="250C6BC5"/>
    <w:rsid w:val="250F044F"/>
    <w:rsid w:val="25163698"/>
    <w:rsid w:val="251B3A9E"/>
    <w:rsid w:val="257208DB"/>
    <w:rsid w:val="258B409F"/>
    <w:rsid w:val="258E11F1"/>
    <w:rsid w:val="25C82D8D"/>
    <w:rsid w:val="25F129B3"/>
    <w:rsid w:val="25F90192"/>
    <w:rsid w:val="26150AEA"/>
    <w:rsid w:val="26720DEE"/>
    <w:rsid w:val="269C2A50"/>
    <w:rsid w:val="269F23DD"/>
    <w:rsid w:val="26E56A30"/>
    <w:rsid w:val="26E95D8B"/>
    <w:rsid w:val="271D3055"/>
    <w:rsid w:val="273313DD"/>
    <w:rsid w:val="279F52C2"/>
    <w:rsid w:val="27E05D9C"/>
    <w:rsid w:val="27E522DE"/>
    <w:rsid w:val="27EA6011"/>
    <w:rsid w:val="2875098E"/>
    <w:rsid w:val="29407D09"/>
    <w:rsid w:val="29532272"/>
    <w:rsid w:val="299503BE"/>
    <w:rsid w:val="29B439E2"/>
    <w:rsid w:val="29E14D8B"/>
    <w:rsid w:val="29FA1523"/>
    <w:rsid w:val="2A252F2D"/>
    <w:rsid w:val="2A38517E"/>
    <w:rsid w:val="2A3F2B81"/>
    <w:rsid w:val="2A4A33BB"/>
    <w:rsid w:val="2A5C5421"/>
    <w:rsid w:val="2A82657C"/>
    <w:rsid w:val="2ABD4243"/>
    <w:rsid w:val="2AE2512B"/>
    <w:rsid w:val="2B050613"/>
    <w:rsid w:val="2B4E70AD"/>
    <w:rsid w:val="2B5D2E8D"/>
    <w:rsid w:val="2B6944EA"/>
    <w:rsid w:val="2BAA496B"/>
    <w:rsid w:val="2BDD3757"/>
    <w:rsid w:val="2BE737E2"/>
    <w:rsid w:val="2BFC64CE"/>
    <w:rsid w:val="2BFD0642"/>
    <w:rsid w:val="2C31277E"/>
    <w:rsid w:val="2C4974BF"/>
    <w:rsid w:val="2C5475ED"/>
    <w:rsid w:val="2C56589D"/>
    <w:rsid w:val="2CC52D40"/>
    <w:rsid w:val="2CF2055A"/>
    <w:rsid w:val="2D041B50"/>
    <w:rsid w:val="2D1279C5"/>
    <w:rsid w:val="2D225496"/>
    <w:rsid w:val="2D2F2A90"/>
    <w:rsid w:val="2D380DDB"/>
    <w:rsid w:val="2D3A51D9"/>
    <w:rsid w:val="2DA64C44"/>
    <w:rsid w:val="2DD74B39"/>
    <w:rsid w:val="2DF01037"/>
    <w:rsid w:val="2E397324"/>
    <w:rsid w:val="2E6D437E"/>
    <w:rsid w:val="2F1C44AA"/>
    <w:rsid w:val="2F2A6AE4"/>
    <w:rsid w:val="2F30071F"/>
    <w:rsid w:val="2F310D2C"/>
    <w:rsid w:val="2F361CA7"/>
    <w:rsid w:val="2F3B59AD"/>
    <w:rsid w:val="2F864022"/>
    <w:rsid w:val="2F866F9A"/>
    <w:rsid w:val="2F8C77A4"/>
    <w:rsid w:val="2FF30C43"/>
    <w:rsid w:val="300354A4"/>
    <w:rsid w:val="301D5829"/>
    <w:rsid w:val="303D7942"/>
    <w:rsid w:val="30404050"/>
    <w:rsid w:val="30521AED"/>
    <w:rsid w:val="30526E4A"/>
    <w:rsid w:val="307B36B7"/>
    <w:rsid w:val="314D29A2"/>
    <w:rsid w:val="314E3550"/>
    <w:rsid w:val="31574F3E"/>
    <w:rsid w:val="3162056F"/>
    <w:rsid w:val="317E25C9"/>
    <w:rsid w:val="31A30DC9"/>
    <w:rsid w:val="31AC3799"/>
    <w:rsid w:val="3295724D"/>
    <w:rsid w:val="32FC50E6"/>
    <w:rsid w:val="33017661"/>
    <w:rsid w:val="334503DC"/>
    <w:rsid w:val="33580BDA"/>
    <w:rsid w:val="33626806"/>
    <w:rsid w:val="336F7812"/>
    <w:rsid w:val="338D32C8"/>
    <w:rsid w:val="33E6446F"/>
    <w:rsid w:val="33F2410C"/>
    <w:rsid w:val="341D3750"/>
    <w:rsid w:val="34356C5A"/>
    <w:rsid w:val="347F3827"/>
    <w:rsid w:val="349E5D3E"/>
    <w:rsid w:val="34CF7756"/>
    <w:rsid w:val="34F84DCD"/>
    <w:rsid w:val="350608FB"/>
    <w:rsid w:val="351132B9"/>
    <w:rsid w:val="358F5121"/>
    <w:rsid w:val="35BF7503"/>
    <w:rsid w:val="360574B4"/>
    <w:rsid w:val="360E2E5E"/>
    <w:rsid w:val="365376A4"/>
    <w:rsid w:val="366A7ED3"/>
    <w:rsid w:val="36766D71"/>
    <w:rsid w:val="36DD453B"/>
    <w:rsid w:val="37374953"/>
    <w:rsid w:val="373C3C35"/>
    <w:rsid w:val="37811CF6"/>
    <w:rsid w:val="378D694B"/>
    <w:rsid w:val="37B078A5"/>
    <w:rsid w:val="37F74ECD"/>
    <w:rsid w:val="381865A5"/>
    <w:rsid w:val="386826A9"/>
    <w:rsid w:val="38DD304B"/>
    <w:rsid w:val="390667A8"/>
    <w:rsid w:val="390C417E"/>
    <w:rsid w:val="394F5FB9"/>
    <w:rsid w:val="398616B1"/>
    <w:rsid w:val="39954325"/>
    <w:rsid w:val="39F5155B"/>
    <w:rsid w:val="3A2C5A2A"/>
    <w:rsid w:val="3A3E721D"/>
    <w:rsid w:val="3A6551FE"/>
    <w:rsid w:val="3A750F93"/>
    <w:rsid w:val="3AB8153C"/>
    <w:rsid w:val="3AEE2BBB"/>
    <w:rsid w:val="3B8D2AC4"/>
    <w:rsid w:val="3B974A99"/>
    <w:rsid w:val="3B9A55A4"/>
    <w:rsid w:val="3BFB03F9"/>
    <w:rsid w:val="3C041B8D"/>
    <w:rsid w:val="3C2959C0"/>
    <w:rsid w:val="3C463A1F"/>
    <w:rsid w:val="3C6D5A76"/>
    <w:rsid w:val="3C7542A5"/>
    <w:rsid w:val="3CB011EC"/>
    <w:rsid w:val="3CED689D"/>
    <w:rsid w:val="3DA84554"/>
    <w:rsid w:val="3DE93140"/>
    <w:rsid w:val="3E0D5FDE"/>
    <w:rsid w:val="3E221893"/>
    <w:rsid w:val="3EB72930"/>
    <w:rsid w:val="3EBB4966"/>
    <w:rsid w:val="3ECF4555"/>
    <w:rsid w:val="3F1E3CB2"/>
    <w:rsid w:val="3F204482"/>
    <w:rsid w:val="3F233944"/>
    <w:rsid w:val="3F8F0BAC"/>
    <w:rsid w:val="3F94710C"/>
    <w:rsid w:val="3FDF74F8"/>
    <w:rsid w:val="3FE04DAD"/>
    <w:rsid w:val="3FF43FD3"/>
    <w:rsid w:val="40122FE0"/>
    <w:rsid w:val="402121D8"/>
    <w:rsid w:val="40515BE6"/>
    <w:rsid w:val="40524017"/>
    <w:rsid w:val="40936F4C"/>
    <w:rsid w:val="40F66998"/>
    <w:rsid w:val="41793CBC"/>
    <w:rsid w:val="4190515A"/>
    <w:rsid w:val="41971B3E"/>
    <w:rsid w:val="4197224F"/>
    <w:rsid w:val="42010A6B"/>
    <w:rsid w:val="4210264D"/>
    <w:rsid w:val="424957C7"/>
    <w:rsid w:val="424D4998"/>
    <w:rsid w:val="426F5166"/>
    <w:rsid w:val="42713F80"/>
    <w:rsid w:val="4285742F"/>
    <w:rsid w:val="42B424CB"/>
    <w:rsid w:val="42C83AD0"/>
    <w:rsid w:val="42EA018D"/>
    <w:rsid w:val="42EC4756"/>
    <w:rsid w:val="430F768E"/>
    <w:rsid w:val="43136336"/>
    <w:rsid w:val="435A27C2"/>
    <w:rsid w:val="43BA6F01"/>
    <w:rsid w:val="43F345BE"/>
    <w:rsid w:val="43F83900"/>
    <w:rsid w:val="44226A82"/>
    <w:rsid w:val="44260652"/>
    <w:rsid w:val="44304466"/>
    <w:rsid w:val="44352B28"/>
    <w:rsid w:val="445D7F84"/>
    <w:rsid w:val="447F7167"/>
    <w:rsid w:val="448163B9"/>
    <w:rsid w:val="44921A4A"/>
    <w:rsid w:val="44B353FA"/>
    <w:rsid w:val="44B752C1"/>
    <w:rsid w:val="44B95653"/>
    <w:rsid w:val="450324DD"/>
    <w:rsid w:val="4505107B"/>
    <w:rsid w:val="450D6673"/>
    <w:rsid w:val="45217235"/>
    <w:rsid w:val="45A06129"/>
    <w:rsid w:val="45C32B40"/>
    <w:rsid w:val="45E642D3"/>
    <w:rsid w:val="46162C4C"/>
    <w:rsid w:val="461D4CE7"/>
    <w:rsid w:val="462D07DB"/>
    <w:rsid w:val="463C2B29"/>
    <w:rsid w:val="46530FBD"/>
    <w:rsid w:val="466878C7"/>
    <w:rsid w:val="466F147E"/>
    <w:rsid w:val="467D3171"/>
    <w:rsid w:val="46994282"/>
    <w:rsid w:val="46CE7722"/>
    <w:rsid w:val="476746CA"/>
    <w:rsid w:val="47A714F2"/>
    <w:rsid w:val="47B674EF"/>
    <w:rsid w:val="47C534BC"/>
    <w:rsid w:val="47EC5F8C"/>
    <w:rsid w:val="4837682D"/>
    <w:rsid w:val="488E747E"/>
    <w:rsid w:val="48DF05E4"/>
    <w:rsid w:val="48EB1A37"/>
    <w:rsid w:val="48EE6EE8"/>
    <w:rsid w:val="4917078B"/>
    <w:rsid w:val="49491C59"/>
    <w:rsid w:val="4980395D"/>
    <w:rsid w:val="499210BB"/>
    <w:rsid w:val="49A84B07"/>
    <w:rsid w:val="49BC33BB"/>
    <w:rsid w:val="49C6738F"/>
    <w:rsid w:val="4A191F6B"/>
    <w:rsid w:val="4A1A0610"/>
    <w:rsid w:val="4A50247E"/>
    <w:rsid w:val="4A671C82"/>
    <w:rsid w:val="4B201641"/>
    <w:rsid w:val="4B40608F"/>
    <w:rsid w:val="4B630349"/>
    <w:rsid w:val="4BE97B3F"/>
    <w:rsid w:val="4BF45402"/>
    <w:rsid w:val="4C2A7CE0"/>
    <w:rsid w:val="4C386259"/>
    <w:rsid w:val="4C69588A"/>
    <w:rsid w:val="4C830A0E"/>
    <w:rsid w:val="4CA11F0F"/>
    <w:rsid w:val="4CF400AF"/>
    <w:rsid w:val="4CFD7647"/>
    <w:rsid w:val="4D0B7B57"/>
    <w:rsid w:val="4D0F7C9C"/>
    <w:rsid w:val="4D166B0F"/>
    <w:rsid w:val="4D5A5B31"/>
    <w:rsid w:val="4D8B6D06"/>
    <w:rsid w:val="4DA2557F"/>
    <w:rsid w:val="4DD73E50"/>
    <w:rsid w:val="4DD92712"/>
    <w:rsid w:val="4DDA22B3"/>
    <w:rsid w:val="4DF869D0"/>
    <w:rsid w:val="4E570835"/>
    <w:rsid w:val="4E742BE3"/>
    <w:rsid w:val="4E783407"/>
    <w:rsid w:val="4EC66CA8"/>
    <w:rsid w:val="4F3D4124"/>
    <w:rsid w:val="4F9014CE"/>
    <w:rsid w:val="4FD37E8C"/>
    <w:rsid w:val="4FEC66D9"/>
    <w:rsid w:val="4FF515BD"/>
    <w:rsid w:val="4FFA18A3"/>
    <w:rsid w:val="50382997"/>
    <w:rsid w:val="50851DBF"/>
    <w:rsid w:val="509B5518"/>
    <w:rsid w:val="50F5625B"/>
    <w:rsid w:val="51073FF0"/>
    <w:rsid w:val="512B1B70"/>
    <w:rsid w:val="51452AAF"/>
    <w:rsid w:val="515634ED"/>
    <w:rsid w:val="517513C1"/>
    <w:rsid w:val="5178481D"/>
    <w:rsid w:val="518E06DC"/>
    <w:rsid w:val="51B32DE6"/>
    <w:rsid w:val="51F03BFE"/>
    <w:rsid w:val="521865F6"/>
    <w:rsid w:val="522A0EF5"/>
    <w:rsid w:val="522E4287"/>
    <w:rsid w:val="523A51E8"/>
    <w:rsid w:val="524F4FC1"/>
    <w:rsid w:val="525B23C9"/>
    <w:rsid w:val="52B935DE"/>
    <w:rsid w:val="52F033DF"/>
    <w:rsid w:val="5321680D"/>
    <w:rsid w:val="538F47A5"/>
    <w:rsid w:val="53CD54BE"/>
    <w:rsid w:val="53CF14B3"/>
    <w:rsid w:val="53DE1E86"/>
    <w:rsid w:val="54033599"/>
    <w:rsid w:val="542A2D40"/>
    <w:rsid w:val="544F753A"/>
    <w:rsid w:val="5458652C"/>
    <w:rsid w:val="54737157"/>
    <w:rsid w:val="54A131C6"/>
    <w:rsid w:val="54B23A40"/>
    <w:rsid w:val="54BC3D11"/>
    <w:rsid w:val="54F32E7A"/>
    <w:rsid w:val="55C01803"/>
    <w:rsid w:val="55D56F43"/>
    <w:rsid w:val="55D944E9"/>
    <w:rsid w:val="55E8293E"/>
    <w:rsid w:val="562A734F"/>
    <w:rsid w:val="562B6F07"/>
    <w:rsid w:val="56362AC7"/>
    <w:rsid w:val="564C494E"/>
    <w:rsid w:val="564C747F"/>
    <w:rsid w:val="564E63DC"/>
    <w:rsid w:val="57456DF8"/>
    <w:rsid w:val="5789388B"/>
    <w:rsid w:val="57E124EA"/>
    <w:rsid w:val="580B2106"/>
    <w:rsid w:val="58114E49"/>
    <w:rsid w:val="581B690B"/>
    <w:rsid w:val="58717625"/>
    <w:rsid w:val="589F5D23"/>
    <w:rsid w:val="58A7645B"/>
    <w:rsid w:val="58AC557E"/>
    <w:rsid w:val="58C70B60"/>
    <w:rsid w:val="59551953"/>
    <w:rsid w:val="59DB75FC"/>
    <w:rsid w:val="59FD208C"/>
    <w:rsid w:val="5A2B2C3C"/>
    <w:rsid w:val="5A9E2527"/>
    <w:rsid w:val="5AA10BD0"/>
    <w:rsid w:val="5AA947E3"/>
    <w:rsid w:val="5AAB4229"/>
    <w:rsid w:val="5AB0253E"/>
    <w:rsid w:val="5AB97132"/>
    <w:rsid w:val="5AEA595B"/>
    <w:rsid w:val="5AF431BF"/>
    <w:rsid w:val="5AFA01F9"/>
    <w:rsid w:val="5B076B33"/>
    <w:rsid w:val="5B162495"/>
    <w:rsid w:val="5B2825A1"/>
    <w:rsid w:val="5B4B7E7D"/>
    <w:rsid w:val="5BCC1E84"/>
    <w:rsid w:val="5C080A12"/>
    <w:rsid w:val="5C254AD8"/>
    <w:rsid w:val="5C6730EF"/>
    <w:rsid w:val="5CCC3979"/>
    <w:rsid w:val="5CD25672"/>
    <w:rsid w:val="5CE0444B"/>
    <w:rsid w:val="5CFB0B4E"/>
    <w:rsid w:val="5D1B2726"/>
    <w:rsid w:val="5D2A006D"/>
    <w:rsid w:val="5D944623"/>
    <w:rsid w:val="5DEA13E9"/>
    <w:rsid w:val="5E4D785C"/>
    <w:rsid w:val="5E4E4EC8"/>
    <w:rsid w:val="5E5B5DC7"/>
    <w:rsid w:val="5E79719E"/>
    <w:rsid w:val="5EC06CB8"/>
    <w:rsid w:val="5ED44DA1"/>
    <w:rsid w:val="5F1D148F"/>
    <w:rsid w:val="5F2365D7"/>
    <w:rsid w:val="5F415282"/>
    <w:rsid w:val="5F6115E4"/>
    <w:rsid w:val="5F7177E7"/>
    <w:rsid w:val="5F724286"/>
    <w:rsid w:val="5F94702F"/>
    <w:rsid w:val="5FB96D6B"/>
    <w:rsid w:val="5FCA6B2B"/>
    <w:rsid w:val="5FED4A11"/>
    <w:rsid w:val="600B0E6B"/>
    <w:rsid w:val="60157AEC"/>
    <w:rsid w:val="60370A8A"/>
    <w:rsid w:val="605206CA"/>
    <w:rsid w:val="60AF2600"/>
    <w:rsid w:val="60B923BC"/>
    <w:rsid w:val="60D610A1"/>
    <w:rsid w:val="60E63BA8"/>
    <w:rsid w:val="61277575"/>
    <w:rsid w:val="613E5D6B"/>
    <w:rsid w:val="61632E12"/>
    <w:rsid w:val="617A41B4"/>
    <w:rsid w:val="6180047A"/>
    <w:rsid w:val="61A47EC3"/>
    <w:rsid w:val="61DE2EC8"/>
    <w:rsid w:val="62220CBD"/>
    <w:rsid w:val="62962588"/>
    <w:rsid w:val="62BD63DE"/>
    <w:rsid w:val="62DF36C0"/>
    <w:rsid w:val="62E12FF3"/>
    <w:rsid w:val="62EC23A7"/>
    <w:rsid w:val="63240761"/>
    <w:rsid w:val="633F24DB"/>
    <w:rsid w:val="634222D5"/>
    <w:rsid w:val="634657D2"/>
    <w:rsid w:val="63A45745"/>
    <w:rsid w:val="63A5643E"/>
    <w:rsid w:val="63CF2D3A"/>
    <w:rsid w:val="63D72728"/>
    <w:rsid w:val="64322705"/>
    <w:rsid w:val="64560375"/>
    <w:rsid w:val="645B5C00"/>
    <w:rsid w:val="64640747"/>
    <w:rsid w:val="64DF7EB4"/>
    <w:rsid w:val="6507732F"/>
    <w:rsid w:val="653334F3"/>
    <w:rsid w:val="65563F6B"/>
    <w:rsid w:val="656301F1"/>
    <w:rsid w:val="656C752D"/>
    <w:rsid w:val="657D7EEB"/>
    <w:rsid w:val="65A32D42"/>
    <w:rsid w:val="65B43F9B"/>
    <w:rsid w:val="65C028F8"/>
    <w:rsid w:val="65D24B27"/>
    <w:rsid w:val="65E86B9B"/>
    <w:rsid w:val="6621042E"/>
    <w:rsid w:val="6642438A"/>
    <w:rsid w:val="66441EB7"/>
    <w:rsid w:val="667D5577"/>
    <w:rsid w:val="670B302D"/>
    <w:rsid w:val="67135820"/>
    <w:rsid w:val="671D6F7E"/>
    <w:rsid w:val="673A413F"/>
    <w:rsid w:val="67435C2A"/>
    <w:rsid w:val="677D5241"/>
    <w:rsid w:val="678F2AF8"/>
    <w:rsid w:val="678F5E74"/>
    <w:rsid w:val="67985180"/>
    <w:rsid w:val="67CD696F"/>
    <w:rsid w:val="67E33327"/>
    <w:rsid w:val="67ED2ED0"/>
    <w:rsid w:val="681D0589"/>
    <w:rsid w:val="6830540A"/>
    <w:rsid w:val="6838208E"/>
    <w:rsid w:val="683B47EB"/>
    <w:rsid w:val="68B041AA"/>
    <w:rsid w:val="68B63B95"/>
    <w:rsid w:val="68BC7AF8"/>
    <w:rsid w:val="68CB06BC"/>
    <w:rsid w:val="691C4AAB"/>
    <w:rsid w:val="69653E4F"/>
    <w:rsid w:val="698461AB"/>
    <w:rsid w:val="698B345B"/>
    <w:rsid w:val="69B11B5E"/>
    <w:rsid w:val="69E0453E"/>
    <w:rsid w:val="69F520AC"/>
    <w:rsid w:val="6A4129ED"/>
    <w:rsid w:val="6A4C7DEB"/>
    <w:rsid w:val="6A507BD9"/>
    <w:rsid w:val="6A7C1E84"/>
    <w:rsid w:val="6AA30DF7"/>
    <w:rsid w:val="6AA363E9"/>
    <w:rsid w:val="6AC03805"/>
    <w:rsid w:val="6BA15F38"/>
    <w:rsid w:val="6BBE0C57"/>
    <w:rsid w:val="6BD06EFE"/>
    <w:rsid w:val="6BD93089"/>
    <w:rsid w:val="6BE804CA"/>
    <w:rsid w:val="6C725101"/>
    <w:rsid w:val="6C7C0334"/>
    <w:rsid w:val="6CE25ED7"/>
    <w:rsid w:val="6DB527D6"/>
    <w:rsid w:val="6DCC37B0"/>
    <w:rsid w:val="6DE01AC7"/>
    <w:rsid w:val="6DEF2F3F"/>
    <w:rsid w:val="6DF85CB0"/>
    <w:rsid w:val="6E0814AF"/>
    <w:rsid w:val="6E3258A4"/>
    <w:rsid w:val="6E3907FB"/>
    <w:rsid w:val="6E3E4FFA"/>
    <w:rsid w:val="6E490B5E"/>
    <w:rsid w:val="6E747F81"/>
    <w:rsid w:val="6E753757"/>
    <w:rsid w:val="6E935777"/>
    <w:rsid w:val="6E954479"/>
    <w:rsid w:val="6E971144"/>
    <w:rsid w:val="6EB760D5"/>
    <w:rsid w:val="6ECA3C2A"/>
    <w:rsid w:val="6F046CCC"/>
    <w:rsid w:val="6F4C29A7"/>
    <w:rsid w:val="6F603EB4"/>
    <w:rsid w:val="6F640D7E"/>
    <w:rsid w:val="6F750B24"/>
    <w:rsid w:val="6F85483C"/>
    <w:rsid w:val="6FB65AD5"/>
    <w:rsid w:val="6FDB3510"/>
    <w:rsid w:val="6FE4076A"/>
    <w:rsid w:val="6FE57DFE"/>
    <w:rsid w:val="6FED5DF3"/>
    <w:rsid w:val="6FF364DF"/>
    <w:rsid w:val="6FF77480"/>
    <w:rsid w:val="70025250"/>
    <w:rsid w:val="700364BA"/>
    <w:rsid w:val="702565BC"/>
    <w:rsid w:val="7054516E"/>
    <w:rsid w:val="70636524"/>
    <w:rsid w:val="7086662B"/>
    <w:rsid w:val="70AA06EB"/>
    <w:rsid w:val="70BF41EF"/>
    <w:rsid w:val="70EF3E56"/>
    <w:rsid w:val="710F0BA2"/>
    <w:rsid w:val="7155560B"/>
    <w:rsid w:val="716E05BD"/>
    <w:rsid w:val="7173583E"/>
    <w:rsid w:val="71C2060B"/>
    <w:rsid w:val="71CE60A3"/>
    <w:rsid w:val="71F12951"/>
    <w:rsid w:val="71F65DF6"/>
    <w:rsid w:val="72545766"/>
    <w:rsid w:val="726A605C"/>
    <w:rsid w:val="727C2143"/>
    <w:rsid w:val="729F1C01"/>
    <w:rsid w:val="72B75E3B"/>
    <w:rsid w:val="731A52FF"/>
    <w:rsid w:val="737B076E"/>
    <w:rsid w:val="73AB1B34"/>
    <w:rsid w:val="73C14D06"/>
    <w:rsid w:val="74171C50"/>
    <w:rsid w:val="74CF51E1"/>
    <w:rsid w:val="74E5534B"/>
    <w:rsid w:val="74E720E1"/>
    <w:rsid w:val="74E87464"/>
    <w:rsid w:val="75131E78"/>
    <w:rsid w:val="75647FAD"/>
    <w:rsid w:val="75F35E3D"/>
    <w:rsid w:val="75F66D5F"/>
    <w:rsid w:val="766632E7"/>
    <w:rsid w:val="76876983"/>
    <w:rsid w:val="76896E38"/>
    <w:rsid w:val="7717131E"/>
    <w:rsid w:val="771E6A78"/>
    <w:rsid w:val="774F5309"/>
    <w:rsid w:val="7803657A"/>
    <w:rsid w:val="781E371F"/>
    <w:rsid w:val="784E5681"/>
    <w:rsid w:val="78545B14"/>
    <w:rsid w:val="785A77FF"/>
    <w:rsid w:val="78925CE8"/>
    <w:rsid w:val="78AF07F9"/>
    <w:rsid w:val="78D77A42"/>
    <w:rsid w:val="79193BD9"/>
    <w:rsid w:val="792C62D9"/>
    <w:rsid w:val="796017C1"/>
    <w:rsid w:val="79620872"/>
    <w:rsid w:val="79805522"/>
    <w:rsid w:val="799B77B1"/>
    <w:rsid w:val="79F46C70"/>
    <w:rsid w:val="7A36630D"/>
    <w:rsid w:val="7A5D371E"/>
    <w:rsid w:val="7A6A6883"/>
    <w:rsid w:val="7A8844AF"/>
    <w:rsid w:val="7A970DE8"/>
    <w:rsid w:val="7A9C4C3C"/>
    <w:rsid w:val="7AA6190C"/>
    <w:rsid w:val="7AB8037C"/>
    <w:rsid w:val="7B0B034B"/>
    <w:rsid w:val="7B0F57A0"/>
    <w:rsid w:val="7B392833"/>
    <w:rsid w:val="7B516F41"/>
    <w:rsid w:val="7B84331F"/>
    <w:rsid w:val="7B880617"/>
    <w:rsid w:val="7B8E7470"/>
    <w:rsid w:val="7BDA07F3"/>
    <w:rsid w:val="7C1920B8"/>
    <w:rsid w:val="7C3551F2"/>
    <w:rsid w:val="7C3F724F"/>
    <w:rsid w:val="7C431A41"/>
    <w:rsid w:val="7C600BEB"/>
    <w:rsid w:val="7C6C7751"/>
    <w:rsid w:val="7C937471"/>
    <w:rsid w:val="7D1D332B"/>
    <w:rsid w:val="7D411003"/>
    <w:rsid w:val="7D6B5363"/>
    <w:rsid w:val="7DD03E99"/>
    <w:rsid w:val="7DFE3074"/>
    <w:rsid w:val="7E317701"/>
    <w:rsid w:val="7E356242"/>
    <w:rsid w:val="7E3A151A"/>
    <w:rsid w:val="7E6305E6"/>
    <w:rsid w:val="7E800F49"/>
    <w:rsid w:val="7ED01654"/>
    <w:rsid w:val="7EE94DBE"/>
    <w:rsid w:val="7EF24F94"/>
    <w:rsid w:val="7EF264E6"/>
    <w:rsid w:val="7EF6696E"/>
    <w:rsid w:val="7EF67F9F"/>
    <w:rsid w:val="7EF7149F"/>
    <w:rsid w:val="7F091B00"/>
    <w:rsid w:val="7F2C1422"/>
    <w:rsid w:val="7F602A87"/>
    <w:rsid w:val="7F9B7DC6"/>
    <w:rsid w:val="7FCD071E"/>
    <w:rsid w:val="7FFC7FFE"/>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6"/>
    <w:basedOn w:val="1"/>
    <w:next w:val="1"/>
    <w:autoRedefine/>
    <w:unhideWhenUsed/>
    <w:qFormat/>
    <w:uiPriority w:val="9"/>
    <w:pPr>
      <w:keepNext/>
      <w:keepLines/>
      <w:spacing w:before="240" w:beforeLines="0" w:after="64" w:afterLines="0" w:line="317" w:lineRule="auto"/>
      <w:outlineLvl w:val="5"/>
    </w:pPr>
    <w:rPr>
      <w:rFonts w:ascii="Arial" w:hAnsi="Arial" w:eastAsia="黑体" w:cs="Times New Roman"/>
      <w:b/>
      <w:bCs/>
      <w:sz w:val="24"/>
      <w:szCs w:val="24"/>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customStyle="1" w:styleId="2">
    <w:name w:val="Normal Indent"/>
    <w:basedOn w:val="1"/>
    <w:autoRedefine/>
    <w:qFormat/>
    <w:uiPriority w:val="0"/>
    <w:pPr>
      <w:ind w:firstLine="200" w:firstLineChars="200"/>
    </w:pPr>
    <w:rPr>
      <w:rFonts w:ascii="Calibri" w:hAnsi="Calibri" w:eastAsia="宋体" w:cs="Times New Roman"/>
      <w:sz w:val="33"/>
      <w:szCs w:val="33"/>
    </w:rPr>
  </w:style>
  <w:style w:type="paragraph" w:styleId="4">
    <w:name w:val="Body Text"/>
    <w:basedOn w:val="1"/>
    <w:autoRedefine/>
    <w:semiHidden/>
    <w:qFormat/>
    <w:uiPriority w:val="0"/>
    <w:rPr>
      <w:rFonts w:ascii="仿宋" w:hAnsi="仿宋" w:eastAsia="仿宋" w:cs="仿宋"/>
      <w:sz w:val="30"/>
      <w:szCs w:val="30"/>
      <w:lang w:val="en-US" w:eastAsia="en-US" w:bidi="ar-SA"/>
    </w:rPr>
  </w:style>
  <w:style w:type="paragraph" w:styleId="5">
    <w:name w:val="footer"/>
    <w:basedOn w:val="1"/>
    <w:autoRedefine/>
    <w:qFormat/>
    <w:uiPriority w:val="0"/>
    <w:pPr>
      <w:tabs>
        <w:tab w:val="center" w:pos="4153"/>
        <w:tab w:val="right" w:pos="8306"/>
      </w:tabs>
      <w:snapToGrid w:val="0"/>
      <w:jc w:val="left"/>
    </w:pPr>
    <w:rPr>
      <w:sz w:val="18"/>
      <w:szCs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autoRedefine/>
    <w:qFormat/>
    <w:uiPriority w:val="0"/>
    <w:pPr>
      <w:widowControl/>
      <w:spacing w:beforeAutospacing="1" w:afterAutospacing="1"/>
      <w:jc w:val="left"/>
    </w:pPr>
    <w:rPr>
      <w:kern w:val="0"/>
      <w:sz w:val="24"/>
    </w:r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autoRedefine/>
    <w:qFormat/>
    <w:uiPriority w:val="0"/>
  </w:style>
  <w:style w:type="character" w:styleId="12">
    <w:name w:val="Hyperlink"/>
    <w:basedOn w:val="10"/>
    <w:autoRedefine/>
    <w:qFormat/>
    <w:uiPriority w:val="0"/>
    <w:rPr>
      <w:color w:val="0000FF"/>
      <w:u w:val="single"/>
    </w:rPr>
  </w:style>
  <w:style w:type="paragraph" w:customStyle="1" w:styleId="13">
    <w:name w:val="正文 New"/>
    <w:basedOn w:val="1"/>
    <w:autoRedefine/>
    <w:qFormat/>
    <w:uiPriority w:val="0"/>
    <w:rPr>
      <w:rFonts w:ascii="Times New Roman" w:hAnsi="Times New Roman"/>
      <w:lang w:bidi="mn-Mong-CN"/>
    </w:rPr>
  </w:style>
  <w:style w:type="character" w:customStyle="1" w:styleId="14">
    <w:name w:val="15"/>
    <w:basedOn w:val="10"/>
    <w:autoRedefine/>
    <w:qFormat/>
    <w:uiPriority w:val="0"/>
    <w:rPr>
      <w:rFonts w:hint="default" w:ascii="Calibri" w:hAnsi="Calibri" w:cs="Calibri"/>
      <w:color w:val="0000FF"/>
      <w:u w:val="single"/>
    </w:rPr>
  </w:style>
  <w:style w:type="character" w:customStyle="1" w:styleId="15">
    <w:name w:val="fontstyle01"/>
    <w:basedOn w:val="10"/>
    <w:autoRedefine/>
    <w:qFormat/>
    <w:uiPriority w:val="0"/>
    <w:rPr>
      <w:rFonts w:ascii="仿宋_GB2312" w:hAnsi="仿宋_GB2312" w:eastAsia="仿宋_GB2312" w:cs="仿宋_GB2312"/>
      <w:color w:val="000000"/>
      <w:sz w:val="32"/>
      <w:szCs w:val="32"/>
    </w:rPr>
  </w:style>
  <w:style w:type="character" w:customStyle="1" w:styleId="16">
    <w:name w:val="fontstyle21"/>
    <w:basedOn w:val="10"/>
    <w:autoRedefine/>
    <w:qFormat/>
    <w:uiPriority w:val="0"/>
    <w:rPr>
      <w:rFonts w:ascii="TimesNewRomanPSMT" w:hAnsi="TimesNewRomanPSMT" w:eastAsia="TimesNewRomanPSMT" w:cs="TimesNewRomanPSMT"/>
      <w:color w:val="000000"/>
      <w:sz w:val="32"/>
      <w:szCs w:val="32"/>
    </w:rPr>
  </w:style>
  <w:style w:type="character" w:customStyle="1" w:styleId="17">
    <w:name w:val="fontstyle11"/>
    <w:basedOn w:val="10"/>
    <w:autoRedefine/>
    <w:qFormat/>
    <w:uiPriority w:val="0"/>
    <w:rPr>
      <w:rFonts w:ascii="仿宋_GB2312" w:eastAsia="仿宋_GB2312" w:cs="仿宋_GB2312"/>
      <w:color w:val="000000"/>
      <w:sz w:val="32"/>
      <w:szCs w:val="32"/>
    </w:rPr>
  </w:style>
  <w:style w:type="character" w:customStyle="1" w:styleId="18">
    <w:name w:val="fontstyle31"/>
    <w:basedOn w:val="10"/>
    <w:autoRedefine/>
    <w:qFormat/>
    <w:uiPriority w:val="0"/>
    <w:rPr>
      <w:rFonts w:ascii="TimesNewRoman" w:hAnsi="TimesNewRoman" w:eastAsia="TimesNewRoman" w:cs="TimesNewRoman"/>
      <w:color w:val="000000"/>
      <w:sz w:val="32"/>
      <w:szCs w:val="32"/>
    </w:rPr>
  </w:style>
  <w:style w:type="paragraph" w:customStyle="1" w:styleId="19">
    <w:name w:val="Body text|1"/>
    <w:basedOn w:val="1"/>
    <w:autoRedefine/>
    <w:qFormat/>
    <w:uiPriority w:val="0"/>
    <w:pPr>
      <w:widowControl w:val="0"/>
      <w:shd w:val="clear" w:color="auto" w:fill="auto"/>
      <w:spacing w:line="480" w:lineRule="auto"/>
      <w:ind w:firstLine="400"/>
    </w:pPr>
    <w:rPr>
      <w:rFonts w:ascii="宋体" w:hAnsi="宋体" w:eastAsia="宋体" w:cs="宋体"/>
      <w:sz w:val="26"/>
      <w:szCs w:val="26"/>
      <w:u w:val="none"/>
      <w:shd w:val="clear" w:color="auto" w:fill="auto"/>
      <w:lang w:val="zh-TW" w:eastAsia="zh-TW" w:bidi="zh-TW"/>
    </w:rPr>
  </w:style>
  <w:style w:type="character" w:customStyle="1" w:styleId="20">
    <w:name w:val="font21"/>
    <w:basedOn w:val="10"/>
    <w:autoRedefine/>
    <w:qFormat/>
    <w:uiPriority w:val="0"/>
    <w:rPr>
      <w:rFonts w:ascii="方正小标宋简体" w:hAnsi="方正小标宋简体" w:eastAsia="方正小标宋简体" w:cs="方正小标宋简体"/>
      <w:color w:val="000000"/>
      <w:sz w:val="28"/>
      <w:szCs w:val="28"/>
      <w:u w:val="none"/>
    </w:rPr>
  </w:style>
  <w:style w:type="character" w:customStyle="1" w:styleId="21">
    <w:name w:val="font51"/>
    <w:basedOn w:val="10"/>
    <w:autoRedefine/>
    <w:qFormat/>
    <w:uiPriority w:val="0"/>
    <w:rPr>
      <w:rFonts w:ascii="仿宋_GB2312" w:eastAsia="仿宋_GB2312" w:cs="仿宋_GB2312"/>
      <w:color w:val="000000"/>
      <w:sz w:val="24"/>
      <w:szCs w:val="24"/>
      <w:u w:val="none"/>
    </w:rPr>
  </w:style>
  <w:style w:type="character" w:customStyle="1" w:styleId="22">
    <w:name w:val="font31"/>
    <w:basedOn w:val="10"/>
    <w:autoRedefine/>
    <w:qFormat/>
    <w:uiPriority w:val="0"/>
    <w:rPr>
      <w:rFonts w:hint="default" w:ascii="Times New Roman" w:hAnsi="Times New Roman" w:cs="Times New Roman"/>
      <w:color w:val="000000"/>
      <w:sz w:val="24"/>
      <w:szCs w:val="24"/>
      <w:u w:val="none"/>
    </w:rPr>
  </w:style>
  <w:style w:type="character" w:customStyle="1" w:styleId="23">
    <w:name w:val="font11"/>
    <w:basedOn w:val="10"/>
    <w:autoRedefine/>
    <w:qFormat/>
    <w:uiPriority w:val="0"/>
    <w:rPr>
      <w:rFonts w:hint="eastAsia" w:ascii="宋体" w:hAnsi="宋体" w:eastAsia="宋体" w:cs="宋体"/>
      <w:b/>
      <w:color w:val="000000"/>
      <w:sz w:val="24"/>
      <w:szCs w:val="24"/>
      <w:u w:val="none"/>
    </w:rPr>
  </w:style>
  <w:style w:type="paragraph" w:styleId="24">
    <w:name w:val="List Paragraph"/>
    <w:basedOn w:val="1"/>
    <w:autoRedefine/>
    <w:qFormat/>
    <w:uiPriority w:val="34"/>
    <w:pPr>
      <w:ind w:firstLine="420" w:firstLineChars="200"/>
    </w:pPr>
  </w:style>
  <w:style w:type="paragraph" w:customStyle="1" w:styleId="25">
    <w:name w:val="Normal"/>
    <w:autoRedefine/>
    <w:qFormat/>
    <w:uiPriority w:val="0"/>
    <w:pPr>
      <w:jc w:val="both"/>
    </w:pPr>
    <w:rPr>
      <w:rFonts w:ascii="Times New Roman" w:hAnsi="Times New Roman" w:eastAsia="宋体" w:cs="Times New Roman"/>
      <w:kern w:val="2"/>
      <w:sz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487C9CE-B610-4539-9AFC-7C21D6473AD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36</Pages>
  <Words>3897</Words>
  <Characters>22216</Characters>
  <Lines>185</Lines>
  <Paragraphs>52</Paragraphs>
  <TotalTime>18</TotalTime>
  <ScaleCrop>false</ScaleCrop>
  <LinksUpToDate>false</LinksUpToDate>
  <CharactersWithSpaces>26061</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2019-04-08T01:36:00Z</dcterms:created>
  <dc:creator>utuy</dc:creator>
  <cp:lastModifiedBy>传入的名字</cp:lastModifiedBy>
  <cp:lastPrinted>2024-04-17T00:45:07Z</cp:lastPrinted>
  <dcterms:modified xsi:type="dcterms:W3CDTF">2024-04-17T00:49:27Z</dcterms:modified>
  <cp:revision>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FB7B6073C3AE4A7DA18D5E97746A5695</vt:lpwstr>
  </property>
</Properties>
</file>