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6A864F">
      <w:pPr>
        <w:wordWrap w:val="0"/>
        <w:adjustRightInd w:val="0"/>
        <w:snapToGrid w:val="0"/>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p>
    <w:p w14:paraId="101793FE">
      <w:pPr>
        <w:wordWrap w:val="0"/>
        <w:adjustRightInd w:val="0"/>
        <w:snapToGrid w:val="0"/>
        <w:spacing w:line="580" w:lineRule="exact"/>
        <w:rPr>
          <w:rFonts w:ascii="Times New Roman" w:hAnsi="Times New Roman" w:eastAsia="仿宋_GB2312"/>
          <w:sz w:val="32"/>
          <w:szCs w:val="32"/>
        </w:rPr>
      </w:pPr>
    </w:p>
    <w:p w14:paraId="484BB92B">
      <w:pPr>
        <w:adjustRightInd w:val="0"/>
        <w:snapToGrid w:val="0"/>
        <w:spacing w:line="580" w:lineRule="exact"/>
        <w:jc w:val="center"/>
        <w:outlineLvl w:val="0"/>
        <w:rPr>
          <w:rFonts w:ascii="Times New Roman" w:hAnsi="Times New Roman" w:eastAsia="方正小标宋简体"/>
          <w:sz w:val="44"/>
          <w:szCs w:val="44"/>
        </w:rPr>
      </w:pPr>
      <w:r>
        <w:rPr>
          <w:rFonts w:ascii="Times New Roman" w:hAnsi="Times New Roman" w:eastAsia="方正小标宋简体"/>
          <w:sz w:val="44"/>
          <w:szCs w:val="44"/>
        </w:rPr>
        <w:t>肇庆市省级中小企业数字化转型城市试点产业链供应链数字化转型行业平台</w:t>
      </w:r>
    </w:p>
    <w:p w14:paraId="7406DC51">
      <w:pPr>
        <w:adjustRightInd w:val="0"/>
        <w:snapToGrid w:val="0"/>
        <w:spacing w:line="580" w:lineRule="exact"/>
        <w:jc w:val="center"/>
        <w:outlineLvl w:val="0"/>
        <w:rPr>
          <w:rFonts w:ascii="Times New Roman" w:hAnsi="Times New Roman" w:eastAsia="方正小标宋简体"/>
          <w:sz w:val="44"/>
          <w:szCs w:val="44"/>
        </w:rPr>
      </w:pPr>
      <w:r>
        <w:rPr>
          <w:rFonts w:hint="eastAsia" w:ascii="Times New Roman" w:hAnsi="Times New Roman" w:eastAsia="方正小标宋简体"/>
          <w:sz w:val="44"/>
          <w:szCs w:val="44"/>
        </w:rPr>
        <w:t>（第二批）</w:t>
      </w:r>
      <w:r>
        <w:rPr>
          <w:rFonts w:ascii="Times New Roman" w:hAnsi="Times New Roman" w:eastAsia="方正小标宋简体"/>
          <w:sz w:val="44"/>
          <w:szCs w:val="44"/>
        </w:rPr>
        <w:t>遴选申报指南</w:t>
      </w:r>
    </w:p>
    <w:p w14:paraId="001373C8">
      <w:pPr>
        <w:adjustRightInd w:val="0"/>
        <w:snapToGrid w:val="0"/>
        <w:spacing w:line="580" w:lineRule="exact"/>
        <w:rPr>
          <w:rFonts w:ascii="Times New Roman" w:hAnsi="Times New Roman" w:eastAsia="仿宋_GB2312"/>
          <w:sz w:val="32"/>
          <w:szCs w:val="32"/>
        </w:rPr>
      </w:pPr>
    </w:p>
    <w:p w14:paraId="096E4CF5">
      <w:pPr>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根据《广东省工业和信息化厅广东省财政厅关于做好省级中小企业数字化转型城市试点专项资金管理工作的通知》（粤工信工业互联网函〔2024〕57号）等文件要求，围绕城市试点</w:t>
      </w:r>
      <w:r>
        <w:rPr>
          <w:rFonts w:hint="eastAsia" w:ascii="Times New Roman" w:hAnsi="Times New Roman" w:eastAsia="仿宋_GB2312"/>
          <w:sz w:val="32"/>
          <w:szCs w:val="32"/>
        </w:rPr>
        <w:t>确定的</w:t>
      </w:r>
      <w:r>
        <w:rPr>
          <w:rFonts w:ascii="Times New Roman" w:hAnsi="Times New Roman" w:eastAsia="仿宋_GB2312"/>
          <w:sz w:val="32"/>
          <w:szCs w:val="32"/>
        </w:rPr>
        <w:t>新能源汽车（含新型储能）、电子信息、金属加工、绿色建材4个细分行业，每个行业择优遴选</w:t>
      </w:r>
      <w:r>
        <w:rPr>
          <w:rFonts w:hint="eastAsia" w:ascii="Times New Roman" w:hAnsi="Times New Roman" w:eastAsia="仿宋_GB2312"/>
          <w:sz w:val="32"/>
          <w:szCs w:val="32"/>
        </w:rPr>
        <w:t>1</w:t>
      </w:r>
      <w:r>
        <w:rPr>
          <w:rFonts w:ascii="Times New Roman" w:hAnsi="Times New Roman" w:eastAsia="仿宋_GB2312"/>
          <w:sz w:val="32"/>
          <w:szCs w:val="32"/>
        </w:rPr>
        <w:t>家数字化牵引单位建设产业链供应链数字化转型行业平台</w:t>
      </w:r>
      <w:r>
        <w:rPr>
          <w:rFonts w:hint="eastAsia" w:ascii="Times New Roman" w:hAnsi="Times New Roman" w:eastAsia="仿宋_GB2312"/>
          <w:sz w:val="32"/>
          <w:szCs w:val="32"/>
        </w:rPr>
        <w:t>（以下简称“行业平台”），</w:t>
      </w:r>
      <w:r>
        <w:rPr>
          <w:rFonts w:ascii="Times New Roman" w:hAnsi="Times New Roman" w:eastAsia="仿宋_GB2312"/>
          <w:sz w:val="32"/>
          <w:szCs w:val="32"/>
        </w:rPr>
        <w:t>为</w:t>
      </w:r>
      <w:r>
        <w:rPr>
          <w:rFonts w:hint="eastAsia" w:ascii="Times New Roman" w:hAnsi="Times New Roman" w:eastAsia="仿宋_GB2312"/>
          <w:sz w:val="32"/>
          <w:szCs w:val="32"/>
        </w:rPr>
        <w:t>确保行业</w:t>
      </w:r>
      <w:r>
        <w:rPr>
          <w:rFonts w:ascii="Times New Roman" w:hAnsi="Times New Roman" w:eastAsia="仿宋_GB2312"/>
          <w:sz w:val="32"/>
          <w:szCs w:val="32"/>
        </w:rPr>
        <w:t>平台遴选工作顺利开展，特制定本申报指南。</w:t>
      </w:r>
    </w:p>
    <w:p w14:paraId="78BFAF90">
      <w:pPr>
        <w:adjustRightInd w:val="0"/>
        <w:snapToGrid w:val="0"/>
        <w:spacing w:line="580" w:lineRule="exact"/>
        <w:ind w:firstLine="640" w:firstLineChars="200"/>
        <w:outlineLvl w:val="1"/>
        <w:rPr>
          <w:rFonts w:ascii="Times New Roman" w:hAnsi="Times New Roman" w:eastAsia="黑体"/>
          <w:sz w:val="32"/>
          <w:szCs w:val="32"/>
        </w:rPr>
      </w:pPr>
      <w:r>
        <w:rPr>
          <w:rFonts w:ascii="Times New Roman" w:hAnsi="Times New Roman" w:eastAsia="黑体"/>
          <w:sz w:val="32"/>
          <w:szCs w:val="32"/>
        </w:rPr>
        <w:t>一、遴选条件</w:t>
      </w:r>
    </w:p>
    <w:p w14:paraId="1F23DA6D">
      <w:pPr>
        <w:adjustRightInd w:val="0"/>
        <w:snapToGrid w:val="0"/>
        <w:spacing w:line="58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（一）基础条件</w:t>
      </w:r>
    </w:p>
    <w:p w14:paraId="5BB637BC">
      <w:pPr>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申报单位</w:t>
      </w:r>
      <w:r>
        <w:rPr>
          <w:rFonts w:hint="eastAsia" w:ascii="Times New Roman" w:hAnsi="Times New Roman" w:eastAsia="仿宋_GB2312"/>
          <w:sz w:val="32"/>
          <w:szCs w:val="32"/>
        </w:rPr>
        <w:t>为已在肇庆市内开展了生产经营并完成登记注册（含全资或控股分支机构）的</w:t>
      </w:r>
      <w:r>
        <w:rPr>
          <w:rFonts w:ascii="Times New Roman" w:hAnsi="Times New Roman" w:eastAsia="仿宋_GB2312"/>
          <w:sz w:val="32"/>
          <w:szCs w:val="32"/>
        </w:rPr>
        <w:t>肇庆市中小企业数字化转型城市试点数字化牵引单位</w:t>
      </w:r>
      <w:r>
        <w:rPr>
          <w:rFonts w:hint="eastAsia" w:ascii="Times New Roman" w:hAnsi="Times New Roman" w:eastAsia="仿宋_GB2312"/>
          <w:sz w:val="32"/>
          <w:szCs w:val="32"/>
        </w:rPr>
        <w:t>（以下简称“</w:t>
      </w:r>
      <w:r>
        <w:rPr>
          <w:rFonts w:ascii="Times New Roman" w:hAnsi="Times New Roman" w:eastAsia="仿宋_GB2312"/>
          <w:sz w:val="32"/>
          <w:szCs w:val="32"/>
        </w:rPr>
        <w:t>数字化牵引单位</w:t>
      </w:r>
      <w:r>
        <w:rPr>
          <w:rFonts w:hint="eastAsia" w:ascii="Times New Roman" w:hAnsi="Times New Roman" w:eastAsia="仿宋_GB2312"/>
          <w:sz w:val="32"/>
          <w:szCs w:val="32"/>
        </w:rPr>
        <w:t>”，</w:t>
      </w:r>
      <w:r>
        <w:rPr>
          <w:rFonts w:ascii="Times New Roman" w:hAnsi="Times New Roman" w:eastAsia="仿宋_GB2312"/>
          <w:sz w:val="32"/>
          <w:szCs w:val="32"/>
        </w:rPr>
        <w:t>数字化牵引单位名单以</w:t>
      </w:r>
      <w:r>
        <w:rPr>
          <w:rFonts w:hint="eastAsia" w:ascii="Times New Roman" w:hAnsi="Times New Roman" w:eastAsia="仿宋_GB2312"/>
          <w:sz w:val="32"/>
          <w:szCs w:val="32"/>
        </w:rPr>
        <w:t>肇庆</w:t>
      </w:r>
      <w:r>
        <w:rPr>
          <w:rFonts w:ascii="Times New Roman" w:hAnsi="Times New Roman" w:eastAsia="仿宋_GB2312"/>
          <w:sz w:val="32"/>
          <w:szCs w:val="32"/>
        </w:rPr>
        <w:t>市工业和信息化局最新公布为准</w:t>
      </w:r>
      <w:r>
        <w:rPr>
          <w:rFonts w:hint="eastAsia" w:ascii="Times New Roman" w:hAnsi="Times New Roman" w:eastAsia="仿宋_GB2312"/>
          <w:sz w:val="32"/>
          <w:szCs w:val="32"/>
        </w:rPr>
        <w:t>），</w:t>
      </w:r>
      <w:r>
        <w:rPr>
          <w:rFonts w:ascii="Times New Roman" w:hAnsi="Times New Roman" w:eastAsia="仿宋_GB2312"/>
          <w:sz w:val="32"/>
          <w:szCs w:val="32"/>
        </w:rPr>
        <w:t>申报单位</w:t>
      </w:r>
      <w:r>
        <w:rPr>
          <w:rFonts w:hint="eastAsia" w:ascii="Times New Roman" w:hAnsi="Times New Roman" w:eastAsia="仿宋_GB2312"/>
          <w:sz w:val="32"/>
          <w:szCs w:val="32"/>
        </w:rPr>
        <w:t>需</w:t>
      </w:r>
      <w:r>
        <w:rPr>
          <w:rFonts w:ascii="Times New Roman" w:hAnsi="Times New Roman" w:eastAsia="仿宋_GB2312"/>
          <w:sz w:val="32"/>
          <w:szCs w:val="32"/>
        </w:rPr>
        <w:t>诚信经营，依法纳税，未被纳入失信惩戒主体名单、经营异常名录或其他失信主体名单</w:t>
      </w:r>
      <w:r>
        <w:rPr>
          <w:rFonts w:hint="eastAsia" w:ascii="Times New Roman" w:hAnsi="Times New Roman" w:eastAsia="仿宋_GB2312"/>
          <w:sz w:val="32"/>
          <w:szCs w:val="32"/>
        </w:rPr>
        <w:t>（可提供中国信用网相关查询记录作为佐证）</w:t>
      </w:r>
      <w:r>
        <w:rPr>
          <w:rFonts w:ascii="Times New Roman" w:hAnsi="Times New Roman" w:eastAsia="仿宋_GB2312"/>
          <w:sz w:val="32"/>
          <w:szCs w:val="32"/>
        </w:rPr>
        <w:t>；申报单位近三年在专项审计、绩效评价、监督检查等方面未出现严重违法违规情况</w:t>
      </w:r>
      <w:r>
        <w:rPr>
          <w:rFonts w:hint="eastAsia" w:ascii="Times New Roman" w:hAnsi="Times New Roman" w:eastAsia="仿宋_GB2312"/>
          <w:sz w:val="32"/>
          <w:szCs w:val="32"/>
        </w:rPr>
        <w:t>（需在附件承诺函中对上述事项予以承诺）。</w:t>
      </w:r>
    </w:p>
    <w:p w14:paraId="3571AAD2">
      <w:pPr>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申报</w:t>
      </w:r>
      <w:r>
        <w:rPr>
          <w:rFonts w:hint="eastAsia" w:ascii="Times New Roman" w:hAnsi="Times New Roman" w:eastAsia="仿宋_GB2312"/>
          <w:sz w:val="32"/>
          <w:szCs w:val="32"/>
        </w:rPr>
        <w:t>的</w:t>
      </w:r>
      <w:r>
        <w:rPr>
          <w:rFonts w:ascii="Times New Roman" w:hAnsi="Times New Roman" w:eastAsia="仿宋_GB2312"/>
          <w:sz w:val="32"/>
          <w:szCs w:val="32"/>
        </w:rPr>
        <w:t>行业平台项目在</w:t>
      </w:r>
      <w:r>
        <w:rPr>
          <w:rFonts w:hint="eastAsia" w:ascii="Times New Roman" w:hAnsi="Times New Roman" w:eastAsia="仿宋_GB2312"/>
          <w:sz w:val="32"/>
          <w:szCs w:val="32"/>
        </w:rPr>
        <w:t>肇庆市</w:t>
      </w:r>
      <w:r>
        <w:rPr>
          <w:rFonts w:ascii="Times New Roman" w:hAnsi="Times New Roman" w:eastAsia="仿宋_GB2312"/>
          <w:sz w:val="32"/>
          <w:szCs w:val="32"/>
        </w:rPr>
        <w:t>内实施，应符合国家和省产业政策</w:t>
      </w:r>
      <w:r>
        <w:rPr>
          <w:rFonts w:hint="eastAsia" w:ascii="Times New Roman" w:hAnsi="Times New Roman" w:eastAsia="仿宋_GB2312"/>
          <w:sz w:val="32"/>
          <w:szCs w:val="32"/>
        </w:rPr>
        <w:t>；</w:t>
      </w:r>
      <w:r>
        <w:rPr>
          <w:rFonts w:ascii="Times New Roman" w:hAnsi="Times New Roman" w:eastAsia="仿宋_GB2312"/>
          <w:sz w:val="32"/>
          <w:szCs w:val="32"/>
        </w:rPr>
        <w:t>申报</w:t>
      </w:r>
      <w:r>
        <w:rPr>
          <w:rFonts w:hint="eastAsia" w:ascii="Times New Roman" w:hAnsi="Times New Roman" w:eastAsia="仿宋_GB2312"/>
          <w:sz w:val="32"/>
          <w:szCs w:val="32"/>
        </w:rPr>
        <w:t>的</w:t>
      </w:r>
      <w:r>
        <w:rPr>
          <w:rFonts w:ascii="Times New Roman" w:hAnsi="Times New Roman" w:eastAsia="仿宋_GB2312"/>
          <w:sz w:val="32"/>
          <w:szCs w:val="32"/>
        </w:rPr>
        <w:t>行业平台项目</w:t>
      </w:r>
      <w:r>
        <w:rPr>
          <w:rFonts w:hint="eastAsia" w:ascii="Times New Roman" w:hAnsi="Times New Roman" w:eastAsia="仿宋_GB2312"/>
          <w:sz w:val="32"/>
          <w:szCs w:val="32"/>
        </w:rPr>
        <w:t>及其投入费用</w:t>
      </w:r>
      <w:r>
        <w:rPr>
          <w:rFonts w:ascii="Times New Roman" w:hAnsi="Times New Roman" w:eastAsia="仿宋_GB2312"/>
          <w:sz w:val="32"/>
          <w:szCs w:val="32"/>
        </w:rPr>
        <w:t>未获得过省级财政资金支持</w:t>
      </w:r>
      <w:r>
        <w:rPr>
          <w:rFonts w:hint="eastAsia" w:ascii="Times New Roman" w:hAnsi="Times New Roman" w:eastAsia="仿宋_GB2312"/>
          <w:sz w:val="32"/>
          <w:szCs w:val="32"/>
        </w:rPr>
        <w:t>。</w:t>
      </w:r>
    </w:p>
    <w:p w14:paraId="5AB3F26E">
      <w:pPr>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项目启动时间不早于2023年1月1日，并在2025年12月31日前完工；合同签订时间、发票开具时间、付款凭证时间均在此时间段内</w:t>
      </w:r>
      <w:r>
        <w:rPr>
          <w:rFonts w:hint="eastAsia" w:ascii="Times New Roman" w:hAnsi="Times New Roman" w:eastAsia="仿宋_GB2312"/>
          <w:sz w:val="32"/>
          <w:szCs w:val="32"/>
        </w:rPr>
        <w:t>。</w:t>
      </w:r>
    </w:p>
    <w:p w14:paraId="43D90885">
      <w:pPr>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核定的项目投入费用包括与行业平台项目建设相关的信息化设备、材料、产品、软件、云资源及网络费用、调试安装费用等支出，以及与行业平台项目建设相关的咨询、设计、检测、评价等支出，不含税；按照合同、不含税发票额、付款凭证三单最小核定项目投入费用</w:t>
      </w:r>
      <w:r>
        <w:rPr>
          <w:rFonts w:hint="eastAsia" w:ascii="Times New Roman" w:hAnsi="Times New Roman" w:eastAsia="仿宋_GB2312"/>
          <w:sz w:val="32"/>
          <w:szCs w:val="32"/>
        </w:rPr>
        <w:t>。</w:t>
      </w:r>
    </w:p>
    <w:p w14:paraId="28A41535">
      <w:pPr>
        <w:adjustRightInd w:val="0"/>
        <w:snapToGrid w:val="0"/>
        <w:spacing w:line="58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（二）择优条件</w:t>
      </w:r>
    </w:p>
    <w:p w14:paraId="0B8CA66D">
      <w:pPr>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申报的</w:t>
      </w:r>
      <w:r>
        <w:rPr>
          <w:rFonts w:hint="eastAsia" w:ascii="Times New Roman" w:hAnsi="Times New Roman" w:eastAsia="仿宋_GB2312"/>
          <w:sz w:val="32"/>
          <w:szCs w:val="32"/>
        </w:rPr>
        <w:t>行业</w:t>
      </w:r>
      <w:r>
        <w:rPr>
          <w:rFonts w:ascii="Times New Roman" w:hAnsi="Times New Roman" w:eastAsia="仿宋_GB2312"/>
          <w:sz w:val="32"/>
          <w:szCs w:val="32"/>
        </w:rPr>
        <w:t>平台能够为本行业中小企业提供一站式数字化转型服务，</w:t>
      </w:r>
      <w:r>
        <w:rPr>
          <w:rFonts w:hint="eastAsia" w:ascii="Times New Roman" w:hAnsi="Times New Roman" w:eastAsia="仿宋_GB2312"/>
          <w:sz w:val="32"/>
          <w:szCs w:val="32"/>
        </w:rPr>
        <w:t>包括平台基础功能和行业特色功能两部分。平台基础功能</w:t>
      </w:r>
      <w:r>
        <w:rPr>
          <w:rFonts w:ascii="Times New Roman" w:hAnsi="Times New Roman" w:eastAsia="仿宋_GB2312"/>
          <w:sz w:val="32"/>
          <w:szCs w:val="32"/>
        </w:rPr>
        <w:t>包括但不限于行业门户、产业政策汇集及动态更新、企业数字化水平在线诊断、企业认证、一企一档、行业服务产品资源池、SaaS化轻量产品云化部署、企业工作台、服务商工作台、人才培训、金融服务、行业情报及资讯窗口、平台</w:t>
      </w:r>
      <w:r>
        <w:rPr>
          <w:rFonts w:hint="eastAsia" w:ascii="Times New Roman" w:hAnsi="Times New Roman" w:eastAsia="仿宋_GB2312"/>
          <w:sz w:val="32"/>
          <w:szCs w:val="32"/>
        </w:rPr>
        <w:t>运营</w:t>
      </w:r>
      <w:r>
        <w:rPr>
          <w:rFonts w:ascii="Times New Roman" w:hAnsi="Times New Roman" w:eastAsia="仿宋_GB2312"/>
          <w:sz w:val="32"/>
          <w:szCs w:val="32"/>
        </w:rPr>
        <w:t>等</w:t>
      </w:r>
      <w:r>
        <w:rPr>
          <w:rFonts w:hint="eastAsia" w:ascii="Times New Roman" w:hAnsi="Times New Roman" w:eastAsia="仿宋_GB2312"/>
          <w:sz w:val="32"/>
          <w:szCs w:val="32"/>
        </w:rPr>
        <w:t>，行业特色功能根据行业发展痛点或需求场景进行开发。行业</w:t>
      </w:r>
      <w:r>
        <w:rPr>
          <w:rFonts w:ascii="Times New Roman" w:hAnsi="Times New Roman" w:eastAsia="仿宋_GB2312"/>
          <w:sz w:val="32"/>
          <w:szCs w:val="32"/>
        </w:rPr>
        <w:t>平台</w:t>
      </w:r>
      <w:r>
        <w:rPr>
          <w:rFonts w:hint="eastAsia" w:ascii="Times New Roman" w:hAnsi="Times New Roman" w:eastAsia="仿宋_GB2312"/>
          <w:sz w:val="32"/>
          <w:szCs w:val="32"/>
        </w:rPr>
        <w:t>系统需预留数据接口，可向市一级总体统筹类平台推送或汇聚数据</w:t>
      </w:r>
      <w:r>
        <w:rPr>
          <w:rFonts w:ascii="Times New Roman" w:hAnsi="Times New Roman" w:eastAsia="仿宋_GB2312"/>
          <w:sz w:val="32"/>
          <w:szCs w:val="32"/>
        </w:rPr>
        <w:t>。（</w:t>
      </w:r>
      <w:r>
        <w:rPr>
          <w:rFonts w:hint="eastAsia" w:ascii="Times New Roman" w:hAnsi="Times New Roman" w:eastAsia="仿宋_GB2312"/>
          <w:sz w:val="32"/>
          <w:szCs w:val="32"/>
        </w:rPr>
        <w:t>平台基础功能</w:t>
      </w:r>
      <w:r>
        <w:rPr>
          <w:rFonts w:ascii="Times New Roman" w:hAnsi="Times New Roman" w:eastAsia="仿宋_GB2312"/>
          <w:sz w:val="32"/>
          <w:szCs w:val="32"/>
        </w:rPr>
        <w:t>详见附件</w:t>
      </w:r>
      <w:r>
        <w:rPr>
          <w:rFonts w:hint="eastAsia" w:ascii="Times New Roman" w:hAnsi="Times New Roman" w:eastAsia="仿宋_GB2312"/>
          <w:sz w:val="32"/>
          <w:szCs w:val="32"/>
        </w:rPr>
        <w:t>2</w:t>
      </w:r>
      <w:r>
        <w:rPr>
          <w:rFonts w:ascii="Times New Roman" w:hAnsi="Times New Roman" w:eastAsia="仿宋_GB2312"/>
          <w:sz w:val="32"/>
          <w:szCs w:val="32"/>
        </w:rPr>
        <w:t>）</w:t>
      </w:r>
    </w:p>
    <w:p w14:paraId="54219D78">
      <w:pPr>
        <w:adjustRightInd w:val="0"/>
        <w:snapToGrid w:val="0"/>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申报的行业</w:t>
      </w:r>
      <w:r>
        <w:rPr>
          <w:rFonts w:ascii="Times New Roman" w:hAnsi="Times New Roman" w:eastAsia="仿宋_GB2312"/>
          <w:sz w:val="32"/>
          <w:szCs w:val="32"/>
        </w:rPr>
        <w:t>平台</w:t>
      </w:r>
      <w:r>
        <w:rPr>
          <w:rFonts w:hint="eastAsia" w:ascii="Times New Roman" w:hAnsi="Times New Roman" w:eastAsia="仿宋_GB2312"/>
          <w:sz w:val="32"/>
          <w:szCs w:val="32"/>
        </w:rPr>
        <w:t>需</w:t>
      </w:r>
      <w:r>
        <w:rPr>
          <w:rFonts w:ascii="Times New Roman" w:hAnsi="Times New Roman" w:eastAsia="仿宋_GB2312"/>
          <w:sz w:val="32"/>
          <w:szCs w:val="32"/>
        </w:rPr>
        <w:t>有明晰的商业模式，</w:t>
      </w:r>
      <w:r>
        <w:rPr>
          <w:rFonts w:hint="eastAsia" w:ascii="Times New Roman" w:hAnsi="Times New Roman" w:eastAsia="仿宋_GB2312"/>
          <w:sz w:val="32"/>
          <w:szCs w:val="32"/>
        </w:rPr>
        <w:t>且</w:t>
      </w:r>
      <w:r>
        <w:rPr>
          <w:rFonts w:ascii="Times New Roman" w:hAnsi="Times New Roman" w:eastAsia="仿宋_GB2312"/>
          <w:sz w:val="32"/>
          <w:szCs w:val="32"/>
        </w:rPr>
        <w:t>平台</w:t>
      </w:r>
      <w:r>
        <w:rPr>
          <w:rFonts w:hint="eastAsia" w:ascii="Times New Roman" w:hAnsi="Times New Roman" w:eastAsia="仿宋_GB2312"/>
          <w:sz w:val="32"/>
          <w:szCs w:val="32"/>
        </w:rPr>
        <w:t>后续的</w:t>
      </w:r>
      <w:r>
        <w:rPr>
          <w:rFonts w:ascii="Times New Roman" w:hAnsi="Times New Roman" w:eastAsia="仿宋_GB2312"/>
          <w:sz w:val="32"/>
          <w:szCs w:val="32"/>
        </w:rPr>
        <w:t>持续运营</w:t>
      </w:r>
      <w:r>
        <w:rPr>
          <w:rFonts w:hint="eastAsia" w:ascii="Times New Roman" w:hAnsi="Times New Roman" w:eastAsia="仿宋_GB2312"/>
          <w:sz w:val="32"/>
          <w:szCs w:val="32"/>
        </w:rPr>
        <w:t>需做好</w:t>
      </w:r>
      <w:r>
        <w:rPr>
          <w:rFonts w:ascii="Times New Roman" w:hAnsi="Times New Roman" w:eastAsia="仿宋_GB2312"/>
          <w:sz w:val="32"/>
          <w:szCs w:val="32"/>
        </w:rPr>
        <w:t>科学的规划。</w:t>
      </w:r>
    </w:p>
    <w:p w14:paraId="7D19FFB1">
      <w:pPr>
        <w:adjustRightInd w:val="0"/>
        <w:snapToGrid w:val="0"/>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行业</w:t>
      </w:r>
      <w:r>
        <w:rPr>
          <w:rFonts w:ascii="Times New Roman" w:hAnsi="Times New Roman" w:eastAsia="仿宋_GB2312"/>
          <w:sz w:val="32"/>
          <w:szCs w:val="32"/>
        </w:rPr>
        <w:t>平台</w:t>
      </w:r>
      <w:r>
        <w:rPr>
          <w:rFonts w:hint="eastAsia" w:ascii="Times New Roman" w:hAnsi="Times New Roman" w:eastAsia="仿宋_GB2312"/>
          <w:sz w:val="32"/>
          <w:szCs w:val="32"/>
        </w:rPr>
        <w:t>的申报单位需已明确行业平台承建单位（提供相应的协议或合同类的佐证材料），且行业平台需有健全稳定及专业服务能力强的运营服务团队，运营服务团队应</w:t>
      </w:r>
      <w:r>
        <w:rPr>
          <w:rFonts w:ascii="Times New Roman" w:hAnsi="Times New Roman" w:eastAsia="仿宋_GB2312"/>
          <w:sz w:val="32"/>
          <w:szCs w:val="32"/>
        </w:rPr>
        <w:t>具备完善的售前服务和售后实施交付能力。</w:t>
      </w:r>
    </w:p>
    <w:p w14:paraId="7F570700">
      <w:pPr>
        <w:adjustRightInd w:val="0"/>
        <w:snapToGrid w:val="0"/>
        <w:spacing w:line="580" w:lineRule="exact"/>
        <w:ind w:firstLine="640" w:firstLineChars="200"/>
        <w:rPr>
          <w:rFonts w:ascii="Times New Roman" w:hAnsi="Times New Roman" w:eastAsia="黑体"/>
          <w:sz w:val="32"/>
          <w:szCs w:val="32"/>
        </w:rPr>
      </w:pPr>
      <w:r>
        <w:rPr>
          <w:rFonts w:ascii="Times New Roman" w:hAnsi="Times New Roman" w:eastAsia="黑体"/>
          <w:sz w:val="32"/>
          <w:szCs w:val="32"/>
        </w:rPr>
        <w:t>二、申报材料</w:t>
      </w:r>
    </w:p>
    <w:p w14:paraId="29E90706">
      <w:pPr>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肇庆市省级中小企业数字化转型城市试点产业链供应链数字化转型行业平台申报书</w:t>
      </w:r>
      <w:r>
        <w:rPr>
          <w:rFonts w:hint="eastAsia" w:ascii="Times New Roman" w:hAnsi="Times New Roman" w:eastAsia="仿宋_GB2312"/>
          <w:sz w:val="32"/>
          <w:szCs w:val="32"/>
        </w:rPr>
        <w:t>（第二批，详见附件1）；</w:t>
      </w:r>
    </w:p>
    <w:p w14:paraId="5EA5EE50">
      <w:pPr>
        <w:adjustRightInd w:val="0"/>
        <w:snapToGrid w:val="0"/>
        <w:spacing w:line="580" w:lineRule="exact"/>
        <w:ind w:firstLine="640" w:firstLineChars="200"/>
        <w:outlineLvl w:val="1"/>
        <w:rPr>
          <w:rFonts w:ascii="Times New Roman" w:hAnsi="Times New Roman" w:eastAsia="黑体"/>
          <w:sz w:val="32"/>
          <w:szCs w:val="32"/>
        </w:rPr>
      </w:pPr>
      <w:r>
        <w:rPr>
          <w:rFonts w:ascii="Times New Roman" w:hAnsi="Times New Roman" w:eastAsia="黑体"/>
          <w:sz w:val="32"/>
          <w:szCs w:val="32"/>
        </w:rPr>
        <w:t>三、工作流程</w:t>
      </w:r>
    </w:p>
    <w:p w14:paraId="3737E5CD">
      <w:pPr>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行业平台遴选申报遵循自愿申报、公开公正</w:t>
      </w:r>
      <w:r>
        <w:rPr>
          <w:rFonts w:hint="eastAsia" w:ascii="Times New Roman" w:hAnsi="Times New Roman" w:eastAsia="仿宋_GB2312"/>
          <w:sz w:val="32"/>
          <w:szCs w:val="32"/>
        </w:rPr>
        <w:t>、</w:t>
      </w:r>
      <w:r>
        <w:rPr>
          <w:rFonts w:ascii="Times New Roman" w:hAnsi="Times New Roman" w:eastAsia="仿宋_GB2312"/>
          <w:sz w:val="32"/>
          <w:szCs w:val="32"/>
        </w:rPr>
        <w:t>择优</w:t>
      </w:r>
      <w:r>
        <w:rPr>
          <w:rFonts w:hint="eastAsia" w:ascii="Times New Roman" w:hAnsi="Times New Roman" w:eastAsia="仿宋_GB2312"/>
          <w:sz w:val="32"/>
          <w:szCs w:val="32"/>
        </w:rPr>
        <w:t>选取</w:t>
      </w:r>
      <w:r>
        <w:rPr>
          <w:rFonts w:ascii="Times New Roman" w:hAnsi="Times New Roman" w:eastAsia="仿宋_GB2312"/>
          <w:sz w:val="32"/>
          <w:szCs w:val="32"/>
        </w:rPr>
        <w:t>的原则</w:t>
      </w:r>
      <w:r>
        <w:rPr>
          <w:rFonts w:hint="eastAsia" w:ascii="Times New Roman" w:hAnsi="Times New Roman" w:eastAsia="仿宋_GB2312"/>
          <w:sz w:val="32"/>
          <w:szCs w:val="32"/>
        </w:rPr>
        <w:t>，</w:t>
      </w:r>
      <w:r>
        <w:rPr>
          <w:rFonts w:ascii="Times New Roman" w:hAnsi="Times New Roman" w:eastAsia="仿宋_GB2312"/>
          <w:sz w:val="32"/>
          <w:szCs w:val="32"/>
        </w:rPr>
        <w:t>具体流程如下</w:t>
      </w:r>
      <w:r>
        <w:rPr>
          <w:rFonts w:hint="eastAsia" w:ascii="Times New Roman" w:hAnsi="Times New Roman" w:eastAsia="仿宋_GB2312"/>
          <w:sz w:val="32"/>
          <w:szCs w:val="32"/>
        </w:rPr>
        <w:t>：</w:t>
      </w:r>
    </w:p>
    <w:p w14:paraId="36483D4E">
      <w:pPr>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楷体_GB2312"/>
          <w:sz w:val="32"/>
          <w:szCs w:val="32"/>
        </w:rPr>
        <w:t>（一）组织申报。</w:t>
      </w:r>
      <w:r>
        <w:rPr>
          <w:rFonts w:ascii="Times New Roman" w:hAnsi="Times New Roman" w:eastAsia="仿宋_GB2312"/>
          <w:sz w:val="32"/>
          <w:szCs w:val="32"/>
        </w:rPr>
        <w:t>申报单位将申报材料汇编成册（A4纸张双面打印、胶装），加盖</w:t>
      </w:r>
      <w:r>
        <w:rPr>
          <w:rFonts w:hint="eastAsia" w:ascii="Times New Roman" w:hAnsi="Times New Roman" w:eastAsia="仿宋_GB2312"/>
          <w:sz w:val="32"/>
          <w:szCs w:val="32"/>
        </w:rPr>
        <w:t>公章和</w:t>
      </w:r>
      <w:r>
        <w:rPr>
          <w:rFonts w:ascii="Times New Roman" w:hAnsi="Times New Roman" w:eastAsia="仿宋_GB2312"/>
          <w:sz w:val="32"/>
          <w:szCs w:val="32"/>
        </w:rPr>
        <w:t>骑缝章，一式三份，连同电子文档（含盖章后扫描的PDF版本和可编辑</w:t>
      </w:r>
      <w:r>
        <w:rPr>
          <w:rFonts w:hint="eastAsia" w:ascii="Times New Roman" w:hAnsi="Times New Roman" w:eastAsia="仿宋_GB2312"/>
          <w:sz w:val="32"/>
          <w:szCs w:val="32"/>
        </w:rPr>
        <w:t>电子</w:t>
      </w:r>
      <w:r>
        <w:rPr>
          <w:rFonts w:ascii="Times New Roman" w:hAnsi="Times New Roman" w:eastAsia="仿宋_GB2312"/>
          <w:sz w:val="32"/>
          <w:szCs w:val="32"/>
        </w:rPr>
        <w:t>文档）于2024年</w:t>
      </w:r>
      <w:r>
        <w:rPr>
          <w:rFonts w:hint="eastAsia" w:ascii="Times New Roman" w:hAnsi="Times New Roman" w:eastAsia="仿宋_GB2312"/>
          <w:sz w:val="32"/>
          <w:szCs w:val="32"/>
          <w:lang w:val="en-US" w:eastAsia="zh-CN"/>
        </w:rPr>
        <w:t>12</w:t>
      </w:r>
      <w:bookmarkStart w:id="0" w:name="_GoBack"/>
      <w:bookmarkEnd w:id="0"/>
      <w:r>
        <w:rPr>
          <w:rFonts w:ascii="Times New Roman" w:hAnsi="Times New Roman" w:eastAsia="仿宋_GB2312"/>
          <w:sz w:val="32"/>
          <w:szCs w:val="32"/>
        </w:rPr>
        <w:t>月</w:t>
      </w:r>
      <w:r>
        <w:rPr>
          <w:rFonts w:hint="eastAsia" w:ascii="Times New Roman" w:hAnsi="Times New Roman" w:eastAsia="仿宋_GB2312"/>
          <w:sz w:val="32"/>
          <w:szCs w:val="32"/>
        </w:rPr>
        <w:t>1</w:t>
      </w:r>
      <w:r>
        <w:rPr>
          <w:rFonts w:hint="eastAsia" w:ascii="Times New Roman" w:hAnsi="Times New Roman" w:eastAsia="仿宋_GB2312"/>
          <w:sz w:val="32"/>
          <w:szCs w:val="32"/>
          <w:lang w:val="en-US" w:eastAsia="zh-CN"/>
        </w:rPr>
        <w:t>6</w:t>
      </w:r>
      <w:r>
        <w:rPr>
          <w:rFonts w:ascii="Times New Roman" w:hAnsi="Times New Roman" w:eastAsia="仿宋_GB2312"/>
          <w:sz w:val="32"/>
          <w:szCs w:val="32"/>
        </w:rPr>
        <w:t>日报送至肇庆市工业和信息化局信软科。</w:t>
      </w:r>
    </w:p>
    <w:p w14:paraId="5ED03F36">
      <w:pPr>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楷体_GB2312"/>
          <w:sz w:val="32"/>
          <w:szCs w:val="32"/>
        </w:rPr>
        <w:t>（二）形式审查。</w:t>
      </w:r>
      <w:r>
        <w:rPr>
          <w:rFonts w:ascii="Times New Roman" w:hAnsi="Times New Roman" w:eastAsia="仿宋_GB2312"/>
          <w:sz w:val="32"/>
          <w:szCs w:val="32"/>
        </w:rPr>
        <w:t>肇庆市工业和信息化局对申报材料进行形式审查，项目申报材料在形式审查环节被退回的，申报单位须在5个自然日内按要求完成修改补充并重新提交，逾期按放弃本次申报处理。</w:t>
      </w:r>
    </w:p>
    <w:p w14:paraId="4B600BC5">
      <w:pPr>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楷体_GB2312"/>
          <w:sz w:val="32"/>
          <w:szCs w:val="32"/>
        </w:rPr>
        <w:t>（三）专家评审。</w:t>
      </w:r>
      <w:r>
        <w:rPr>
          <w:rFonts w:ascii="Times New Roman" w:hAnsi="Times New Roman" w:eastAsia="仿宋_GB2312"/>
          <w:sz w:val="32"/>
          <w:szCs w:val="32"/>
        </w:rPr>
        <w:t>按照“公平、公正、公开”的原则，肇庆市工业和信息化局组织专家对行业平台</w:t>
      </w:r>
      <w:r>
        <w:rPr>
          <w:rFonts w:hint="eastAsia" w:ascii="Times New Roman" w:hAnsi="Times New Roman" w:eastAsia="仿宋_GB2312"/>
          <w:sz w:val="32"/>
          <w:szCs w:val="32"/>
        </w:rPr>
        <w:t>项目</w:t>
      </w:r>
      <w:r>
        <w:rPr>
          <w:rFonts w:ascii="Times New Roman" w:hAnsi="Times New Roman" w:eastAsia="仿宋_GB2312"/>
          <w:sz w:val="32"/>
          <w:szCs w:val="32"/>
        </w:rPr>
        <w:t>开展评审和现场答辩（需</w:t>
      </w:r>
      <w:r>
        <w:rPr>
          <w:rFonts w:hint="eastAsia" w:ascii="Times New Roman" w:hAnsi="Times New Roman" w:eastAsia="仿宋_GB2312"/>
          <w:sz w:val="32"/>
          <w:szCs w:val="32"/>
        </w:rPr>
        <w:t>在答辩现场</w:t>
      </w:r>
      <w:r>
        <w:rPr>
          <w:rFonts w:ascii="Times New Roman" w:hAnsi="Times New Roman" w:eastAsia="仿宋_GB2312"/>
          <w:sz w:val="32"/>
          <w:szCs w:val="32"/>
        </w:rPr>
        <w:t>演示</w:t>
      </w:r>
      <w:r>
        <w:rPr>
          <w:rFonts w:hint="eastAsia" w:ascii="Times New Roman" w:hAnsi="Times New Roman" w:eastAsia="仿宋_GB2312"/>
          <w:sz w:val="32"/>
          <w:szCs w:val="32"/>
        </w:rPr>
        <w:t>行业</w:t>
      </w:r>
      <w:r>
        <w:rPr>
          <w:rFonts w:ascii="Times New Roman" w:hAnsi="Times New Roman" w:eastAsia="仿宋_GB2312"/>
          <w:sz w:val="32"/>
          <w:szCs w:val="32"/>
        </w:rPr>
        <w:t>平台方案Demo），根据专家意见形成拟</w:t>
      </w:r>
      <w:r>
        <w:rPr>
          <w:rFonts w:hint="eastAsia" w:ascii="Times New Roman" w:hAnsi="Times New Roman" w:eastAsia="仿宋_GB2312"/>
          <w:sz w:val="32"/>
          <w:szCs w:val="32"/>
        </w:rPr>
        <w:t>入围</w:t>
      </w:r>
      <w:r>
        <w:rPr>
          <w:rFonts w:ascii="Times New Roman" w:hAnsi="Times New Roman" w:eastAsia="仿宋_GB2312"/>
          <w:sz w:val="32"/>
          <w:szCs w:val="32"/>
        </w:rPr>
        <w:t>行业平台</w:t>
      </w:r>
      <w:r>
        <w:rPr>
          <w:rFonts w:hint="eastAsia" w:ascii="Times New Roman" w:hAnsi="Times New Roman" w:eastAsia="仿宋_GB2312"/>
          <w:sz w:val="32"/>
          <w:szCs w:val="32"/>
        </w:rPr>
        <w:t>名单</w:t>
      </w:r>
      <w:r>
        <w:rPr>
          <w:rFonts w:ascii="Times New Roman" w:hAnsi="Times New Roman" w:eastAsia="仿宋_GB2312"/>
          <w:sz w:val="32"/>
          <w:szCs w:val="32"/>
        </w:rPr>
        <w:t>。</w:t>
      </w:r>
    </w:p>
    <w:p w14:paraId="6EDE7D74">
      <w:pPr>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楷体_GB2312"/>
          <w:sz w:val="32"/>
          <w:szCs w:val="32"/>
        </w:rPr>
        <w:t>（四）正式发布。</w:t>
      </w:r>
      <w:r>
        <w:rPr>
          <w:rFonts w:ascii="Times New Roman" w:hAnsi="Times New Roman" w:eastAsia="仿宋_GB2312"/>
          <w:sz w:val="32"/>
          <w:szCs w:val="32"/>
        </w:rPr>
        <w:t>肇庆市工业和信息化局将拟</w:t>
      </w:r>
      <w:r>
        <w:rPr>
          <w:rFonts w:hint="eastAsia" w:ascii="Times New Roman" w:hAnsi="Times New Roman" w:eastAsia="仿宋_GB2312"/>
          <w:sz w:val="32"/>
          <w:szCs w:val="32"/>
        </w:rPr>
        <w:t>入围的</w:t>
      </w:r>
      <w:r>
        <w:rPr>
          <w:rFonts w:ascii="Times New Roman" w:hAnsi="Times New Roman" w:eastAsia="仿宋_GB2312"/>
          <w:sz w:val="32"/>
          <w:szCs w:val="32"/>
        </w:rPr>
        <w:t>行业平台</w:t>
      </w:r>
      <w:r>
        <w:rPr>
          <w:rFonts w:hint="eastAsia" w:ascii="Times New Roman" w:hAnsi="Times New Roman" w:eastAsia="仿宋_GB2312"/>
          <w:sz w:val="32"/>
          <w:szCs w:val="32"/>
        </w:rPr>
        <w:t>名单</w:t>
      </w:r>
      <w:r>
        <w:rPr>
          <w:rFonts w:ascii="Times New Roman" w:hAnsi="Times New Roman" w:eastAsia="仿宋_GB2312"/>
          <w:sz w:val="32"/>
          <w:szCs w:val="32"/>
        </w:rPr>
        <w:t>在肇庆市工业和信息化局政府信息公开平台公示，经公示无异议后，发布正式名单。</w:t>
      </w:r>
    </w:p>
    <w:p w14:paraId="42DFECE6">
      <w:pPr>
        <w:adjustRightInd w:val="0"/>
        <w:snapToGrid w:val="0"/>
        <w:spacing w:line="580" w:lineRule="exact"/>
        <w:ind w:firstLine="640" w:firstLineChars="200"/>
        <w:rPr>
          <w:rFonts w:ascii="Times New Roman" w:hAnsi="Times New Roman" w:eastAsia="仿宋_GB2312"/>
          <w:sz w:val="32"/>
          <w:szCs w:val="32"/>
        </w:rPr>
      </w:pPr>
      <w:r>
        <w:rPr>
          <w:rFonts w:hint="eastAsia" w:ascii="楷体_GB2312" w:hAnsi="楷体_GB2312" w:eastAsia="楷体_GB2312" w:cs="楷体_GB2312"/>
          <w:sz w:val="32"/>
          <w:szCs w:val="32"/>
        </w:rPr>
        <w:t>（五）建设运营。</w:t>
      </w:r>
      <w:r>
        <w:rPr>
          <w:rFonts w:hint="eastAsia" w:ascii="Times New Roman" w:hAnsi="Times New Roman" w:eastAsia="仿宋_GB2312"/>
          <w:sz w:val="32"/>
          <w:szCs w:val="32"/>
        </w:rPr>
        <w:t>已入围的</w:t>
      </w:r>
      <w:r>
        <w:rPr>
          <w:rFonts w:ascii="Times New Roman" w:hAnsi="Times New Roman" w:eastAsia="仿宋_GB2312"/>
          <w:sz w:val="32"/>
          <w:szCs w:val="32"/>
        </w:rPr>
        <w:t>行业平台</w:t>
      </w:r>
      <w:r>
        <w:rPr>
          <w:rFonts w:hint="eastAsia" w:ascii="Times New Roman" w:hAnsi="Times New Roman" w:eastAsia="仿宋_GB2312"/>
          <w:sz w:val="32"/>
          <w:szCs w:val="32"/>
        </w:rPr>
        <w:t>建设单位（数字化牵引单位）按计划完成</w:t>
      </w:r>
      <w:r>
        <w:rPr>
          <w:rFonts w:ascii="Times New Roman" w:hAnsi="Times New Roman" w:eastAsia="仿宋_GB2312"/>
          <w:sz w:val="32"/>
          <w:szCs w:val="32"/>
        </w:rPr>
        <w:t>行业平台</w:t>
      </w:r>
      <w:r>
        <w:rPr>
          <w:rFonts w:hint="eastAsia" w:ascii="Times New Roman" w:hAnsi="Times New Roman" w:eastAsia="仿宋_GB2312"/>
          <w:sz w:val="32"/>
          <w:szCs w:val="32"/>
        </w:rPr>
        <w:t>系统建设，通过</w:t>
      </w:r>
      <w:r>
        <w:rPr>
          <w:rFonts w:ascii="Times New Roman" w:hAnsi="Times New Roman" w:eastAsia="仿宋_GB2312"/>
          <w:sz w:val="32"/>
          <w:szCs w:val="32"/>
        </w:rPr>
        <w:t>行业平台</w:t>
      </w:r>
      <w:r>
        <w:rPr>
          <w:rFonts w:hint="eastAsia" w:ascii="Times New Roman" w:hAnsi="Times New Roman" w:eastAsia="仿宋_GB2312"/>
          <w:sz w:val="32"/>
          <w:szCs w:val="32"/>
        </w:rPr>
        <w:t>为制造业中小企业提供数字化转型相关服务，且行业平台须按要求向市一级总体统筹类平台做好数据衔接与推送。</w:t>
      </w:r>
    </w:p>
    <w:p w14:paraId="4CB00CA0">
      <w:pPr>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楷体_GB2312"/>
          <w:sz w:val="32"/>
          <w:szCs w:val="32"/>
        </w:rPr>
        <w:t>（</w:t>
      </w:r>
      <w:r>
        <w:rPr>
          <w:rFonts w:hint="eastAsia" w:ascii="Times New Roman" w:hAnsi="Times New Roman" w:eastAsia="楷体_GB2312"/>
          <w:sz w:val="32"/>
          <w:szCs w:val="32"/>
        </w:rPr>
        <w:t>六</w:t>
      </w:r>
      <w:r>
        <w:rPr>
          <w:rFonts w:ascii="Times New Roman" w:hAnsi="Times New Roman" w:eastAsia="楷体_GB2312"/>
          <w:sz w:val="32"/>
          <w:szCs w:val="32"/>
        </w:rPr>
        <w:t>）跟踪监督。</w:t>
      </w:r>
      <w:r>
        <w:rPr>
          <w:rFonts w:ascii="Times New Roman" w:hAnsi="Times New Roman" w:eastAsia="仿宋_GB2312"/>
          <w:sz w:val="32"/>
          <w:szCs w:val="32"/>
        </w:rPr>
        <w:t>肇庆市工业和信息化局将定期对牵引单位建设</w:t>
      </w:r>
      <w:r>
        <w:rPr>
          <w:rFonts w:hint="eastAsia" w:ascii="Times New Roman" w:hAnsi="Times New Roman" w:eastAsia="仿宋_GB2312"/>
          <w:sz w:val="32"/>
          <w:szCs w:val="32"/>
        </w:rPr>
        <w:t>行业</w:t>
      </w:r>
      <w:r>
        <w:rPr>
          <w:rFonts w:ascii="Times New Roman" w:hAnsi="Times New Roman" w:eastAsia="仿宋_GB2312"/>
          <w:sz w:val="32"/>
          <w:szCs w:val="32"/>
        </w:rPr>
        <w:t>平台的工作进度和成效进行跟踪，对于不积极开展工作或弄虚作假的牵引单位要求整改或取消资格。</w:t>
      </w:r>
    </w:p>
    <w:p w14:paraId="270A151A">
      <w:pPr>
        <w:adjustRightInd w:val="0"/>
        <w:snapToGrid w:val="0"/>
        <w:spacing w:line="580" w:lineRule="exact"/>
        <w:ind w:firstLine="640" w:firstLineChars="200"/>
        <w:outlineLvl w:val="1"/>
        <w:rPr>
          <w:rFonts w:ascii="Times New Roman" w:hAnsi="Times New Roman" w:eastAsia="黑体"/>
          <w:sz w:val="32"/>
          <w:szCs w:val="32"/>
        </w:rPr>
      </w:pPr>
      <w:r>
        <w:rPr>
          <w:rFonts w:ascii="Times New Roman" w:hAnsi="Times New Roman" w:eastAsia="黑体"/>
          <w:sz w:val="32"/>
          <w:szCs w:val="32"/>
        </w:rPr>
        <w:t>四、</w:t>
      </w:r>
      <w:r>
        <w:rPr>
          <w:rFonts w:hint="eastAsia" w:ascii="Times New Roman" w:hAnsi="Times New Roman" w:eastAsia="黑体"/>
          <w:sz w:val="32"/>
          <w:szCs w:val="32"/>
        </w:rPr>
        <w:t>资金奖补</w:t>
      </w:r>
    </w:p>
    <w:p w14:paraId="0D14E8C7">
      <w:pPr>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根据《广东省工业和信息化厅广东省财政厅关于做好省级中小企业数字化转型城市试点专项资金管理工作的通知》（粤工信工业互联网函〔2024〕57号），</w:t>
      </w:r>
      <w:r>
        <w:rPr>
          <w:rFonts w:hint="eastAsia" w:ascii="Times New Roman" w:hAnsi="Times New Roman" w:eastAsia="仿宋_GB2312"/>
          <w:sz w:val="32"/>
          <w:szCs w:val="32"/>
        </w:rPr>
        <w:t>对符合条件的行业平台项目，按照核定的项目投入费用（不含税）不超过30%比例予以奖补。肇庆市工业和信息化局将结合各行业平台建设运营情况，组织开展行业平台项目资金申报工作，对已完工且服务</w:t>
      </w:r>
      <w:r>
        <w:rPr>
          <w:rFonts w:ascii="Times New Roman" w:hAnsi="Times New Roman" w:eastAsia="仿宋_GB2312"/>
          <w:sz w:val="32"/>
          <w:szCs w:val="32"/>
        </w:rPr>
        <w:t>产业链供应链</w:t>
      </w:r>
      <w:r>
        <w:rPr>
          <w:rFonts w:hint="eastAsia" w:ascii="Times New Roman" w:hAnsi="Times New Roman" w:eastAsia="仿宋_GB2312"/>
          <w:sz w:val="32"/>
          <w:szCs w:val="32"/>
        </w:rPr>
        <w:t>企业数字化改造取得较好成效的行业平台项目择优予以事后奖补，优先支持通过肇庆市工业和信息化局遴选的</w:t>
      </w:r>
      <w:r>
        <w:rPr>
          <w:rFonts w:ascii="Times New Roman" w:hAnsi="Times New Roman" w:eastAsia="仿宋_GB2312"/>
          <w:sz w:val="32"/>
          <w:szCs w:val="32"/>
        </w:rPr>
        <w:t>行业平台</w:t>
      </w:r>
      <w:r>
        <w:rPr>
          <w:rFonts w:hint="eastAsia" w:ascii="Times New Roman" w:hAnsi="Times New Roman" w:eastAsia="仿宋_GB2312"/>
          <w:sz w:val="32"/>
          <w:szCs w:val="32"/>
        </w:rPr>
        <w:t>项目。</w:t>
      </w:r>
    </w:p>
    <w:p w14:paraId="177133DE">
      <w:pPr>
        <w:adjustRightInd w:val="0"/>
        <w:snapToGrid w:val="0"/>
        <w:spacing w:line="580" w:lineRule="exact"/>
        <w:ind w:firstLine="640" w:firstLineChars="200"/>
        <w:outlineLvl w:val="1"/>
        <w:rPr>
          <w:rFonts w:ascii="Times New Roman" w:hAnsi="Times New Roman" w:eastAsia="黑体"/>
          <w:sz w:val="32"/>
          <w:szCs w:val="32"/>
        </w:rPr>
      </w:pPr>
      <w:r>
        <w:rPr>
          <w:rFonts w:ascii="Times New Roman" w:hAnsi="Times New Roman" w:eastAsia="黑体"/>
          <w:sz w:val="32"/>
          <w:szCs w:val="32"/>
        </w:rPr>
        <w:t>五、其他事项</w:t>
      </w:r>
    </w:p>
    <w:p w14:paraId="7E35FD53">
      <w:pPr>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（一）肇庆市省级中小企业数字化转型城市试点产业链供应链数字化转型行业平台功能</w:t>
      </w:r>
      <w:r>
        <w:rPr>
          <w:rFonts w:hint="eastAsia" w:ascii="Times New Roman" w:hAnsi="Times New Roman" w:eastAsia="仿宋_GB2312"/>
          <w:sz w:val="32"/>
          <w:szCs w:val="32"/>
        </w:rPr>
        <w:t>模块</w:t>
      </w:r>
      <w:r>
        <w:rPr>
          <w:rFonts w:ascii="Times New Roman" w:hAnsi="Times New Roman" w:eastAsia="仿宋_GB2312"/>
          <w:sz w:val="32"/>
          <w:szCs w:val="32"/>
        </w:rPr>
        <w:t>实行动态管理，</w:t>
      </w:r>
      <w:r>
        <w:rPr>
          <w:rFonts w:hint="eastAsia" w:ascii="Times New Roman" w:hAnsi="Times New Roman" w:eastAsia="仿宋_GB2312"/>
          <w:sz w:val="32"/>
          <w:szCs w:val="32"/>
        </w:rPr>
        <w:t>由肇庆市工业和信息化局依照省级中小企数字化转型城市试点工作要求具体调整，申报单位在基础服务功能完成的前提下，也可依实际工作推进情况灵活增补特色服务功能模块</w:t>
      </w:r>
      <w:r>
        <w:rPr>
          <w:rFonts w:ascii="Times New Roman" w:hAnsi="Times New Roman" w:eastAsia="仿宋_GB2312"/>
          <w:sz w:val="32"/>
          <w:szCs w:val="32"/>
        </w:rPr>
        <w:t>。</w:t>
      </w:r>
    </w:p>
    <w:p w14:paraId="6A0AF528">
      <w:pPr>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（二）行业平台要做好本地部署，平台</w:t>
      </w:r>
      <w:r>
        <w:rPr>
          <w:rFonts w:hint="eastAsia" w:ascii="Times New Roman" w:hAnsi="Times New Roman" w:eastAsia="仿宋_GB2312"/>
          <w:sz w:val="32"/>
          <w:szCs w:val="32"/>
        </w:rPr>
        <w:t>系统信息</w:t>
      </w:r>
      <w:r>
        <w:rPr>
          <w:rFonts w:ascii="Times New Roman" w:hAnsi="Times New Roman" w:eastAsia="仿宋_GB2312"/>
          <w:sz w:val="32"/>
          <w:szCs w:val="32"/>
        </w:rPr>
        <w:t>安全防护等级</w:t>
      </w:r>
      <w:r>
        <w:rPr>
          <w:rFonts w:hint="eastAsia" w:ascii="Times New Roman" w:hAnsi="Times New Roman" w:eastAsia="仿宋_GB2312"/>
          <w:sz w:val="32"/>
          <w:szCs w:val="32"/>
        </w:rPr>
        <w:t>须</w:t>
      </w:r>
      <w:r>
        <w:rPr>
          <w:rFonts w:ascii="Times New Roman" w:hAnsi="Times New Roman" w:eastAsia="仿宋_GB2312"/>
          <w:sz w:val="32"/>
          <w:szCs w:val="32"/>
        </w:rPr>
        <w:t>达</w:t>
      </w:r>
      <w:r>
        <w:rPr>
          <w:rFonts w:hint="eastAsia" w:ascii="Times New Roman" w:hAnsi="Times New Roman" w:eastAsia="仿宋_GB2312"/>
          <w:sz w:val="32"/>
          <w:szCs w:val="32"/>
        </w:rPr>
        <w:t>到</w:t>
      </w:r>
      <w:r>
        <w:rPr>
          <w:rFonts w:ascii="Times New Roman" w:hAnsi="Times New Roman" w:eastAsia="仿宋_GB2312"/>
          <w:sz w:val="32"/>
          <w:szCs w:val="32"/>
        </w:rPr>
        <w:t>二级</w:t>
      </w:r>
      <w:r>
        <w:rPr>
          <w:rFonts w:hint="eastAsia" w:ascii="Times New Roman" w:hAnsi="Times New Roman" w:eastAsia="仿宋_GB2312"/>
          <w:sz w:val="32"/>
          <w:szCs w:val="32"/>
        </w:rPr>
        <w:t>及</w:t>
      </w:r>
      <w:r>
        <w:rPr>
          <w:rFonts w:ascii="Times New Roman" w:hAnsi="Times New Roman" w:eastAsia="仿宋_GB2312"/>
          <w:sz w:val="32"/>
          <w:szCs w:val="32"/>
        </w:rPr>
        <w:t>以上。</w:t>
      </w:r>
    </w:p>
    <w:p w14:paraId="17CD4B61">
      <w:pPr>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（三）申报单位</w:t>
      </w:r>
      <w:r>
        <w:rPr>
          <w:rFonts w:hint="eastAsia" w:ascii="Times New Roman" w:hAnsi="Times New Roman" w:eastAsia="仿宋_GB2312"/>
          <w:sz w:val="32"/>
          <w:szCs w:val="32"/>
        </w:rPr>
        <w:t>要</w:t>
      </w:r>
      <w:r>
        <w:rPr>
          <w:rFonts w:ascii="Times New Roman" w:hAnsi="Times New Roman" w:eastAsia="仿宋_GB2312"/>
          <w:sz w:val="32"/>
          <w:szCs w:val="32"/>
        </w:rPr>
        <w:t>对提供资料的真实性、准确性和完整性负责，如发现有严重的造假行为，一律取消申报资格，</w:t>
      </w:r>
      <w:r>
        <w:rPr>
          <w:rFonts w:hint="eastAsia" w:ascii="Times New Roman" w:hAnsi="Times New Roman" w:eastAsia="仿宋_GB2312"/>
          <w:sz w:val="32"/>
          <w:szCs w:val="32"/>
        </w:rPr>
        <w:t>因造假造成严重后果的，将</w:t>
      </w:r>
      <w:r>
        <w:rPr>
          <w:rFonts w:ascii="Times New Roman" w:hAnsi="Times New Roman" w:eastAsia="仿宋_GB2312"/>
          <w:sz w:val="32"/>
          <w:szCs w:val="32"/>
        </w:rPr>
        <w:t>依法追究</w:t>
      </w:r>
      <w:r>
        <w:rPr>
          <w:rFonts w:hint="eastAsia" w:ascii="Times New Roman" w:hAnsi="Times New Roman" w:eastAsia="仿宋_GB2312"/>
          <w:sz w:val="32"/>
          <w:szCs w:val="32"/>
        </w:rPr>
        <w:t>法律</w:t>
      </w:r>
      <w:r>
        <w:rPr>
          <w:rFonts w:ascii="Times New Roman" w:hAnsi="Times New Roman" w:eastAsia="仿宋_GB2312"/>
          <w:sz w:val="32"/>
          <w:szCs w:val="32"/>
        </w:rPr>
        <w:t>责任。</w:t>
      </w:r>
    </w:p>
    <w:p w14:paraId="0B50452F">
      <w:pPr>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（四）</w:t>
      </w:r>
      <w:r>
        <w:rPr>
          <w:rFonts w:hint="eastAsia" w:ascii="Times New Roman" w:hAnsi="Times New Roman" w:eastAsia="仿宋_GB2312"/>
          <w:sz w:val="32"/>
          <w:szCs w:val="32"/>
        </w:rPr>
        <w:t>为</w:t>
      </w:r>
      <w:r>
        <w:rPr>
          <w:rFonts w:ascii="Times New Roman" w:hAnsi="Times New Roman" w:eastAsia="仿宋_GB2312"/>
          <w:sz w:val="32"/>
          <w:szCs w:val="32"/>
        </w:rPr>
        <w:t>做好省级中小企业数字化转型城市试点</w:t>
      </w:r>
      <w:r>
        <w:rPr>
          <w:rFonts w:hint="eastAsia" w:ascii="Times New Roman" w:hAnsi="Times New Roman" w:eastAsia="仿宋_GB2312"/>
          <w:sz w:val="32"/>
          <w:szCs w:val="32"/>
        </w:rPr>
        <w:t>工作情况</w:t>
      </w:r>
      <w:r>
        <w:rPr>
          <w:rFonts w:ascii="Times New Roman" w:hAnsi="Times New Roman" w:eastAsia="仿宋_GB2312"/>
          <w:sz w:val="32"/>
          <w:szCs w:val="32"/>
        </w:rPr>
        <w:t>跟踪</w:t>
      </w:r>
      <w:r>
        <w:rPr>
          <w:rFonts w:hint="eastAsia" w:ascii="Times New Roman" w:hAnsi="Times New Roman" w:eastAsia="仿宋_GB2312"/>
          <w:sz w:val="32"/>
          <w:szCs w:val="32"/>
        </w:rPr>
        <w:t>和管理，</w:t>
      </w:r>
      <w:r>
        <w:rPr>
          <w:rFonts w:ascii="Times New Roman" w:hAnsi="Times New Roman" w:eastAsia="仿宋_GB2312"/>
          <w:sz w:val="32"/>
          <w:szCs w:val="32"/>
        </w:rPr>
        <w:t>其他未入围的行业平台建设单位（数字化牵引单位）</w:t>
      </w:r>
      <w:r>
        <w:rPr>
          <w:rFonts w:hint="eastAsia" w:ascii="Times New Roman" w:hAnsi="Times New Roman" w:eastAsia="仿宋_GB2312"/>
          <w:sz w:val="32"/>
          <w:szCs w:val="32"/>
        </w:rPr>
        <w:t>需</w:t>
      </w:r>
      <w:r>
        <w:rPr>
          <w:rFonts w:ascii="Times New Roman" w:hAnsi="Times New Roman" w:eastAsia="仿宋_GB2312"/>
          <w:sz w:val="32"/>
          <w:szCs w:val="32"/>
        </w:rPr>
        <w:t>通过系统对接或手工</w:t>
      </w:r>
      <w:r>
        <w:rPr>
          <w:rFonts w:hint="eastAsia" w:ascii="Times New Roman" w:hAnsi="Times New Roman" w:eastAsia="仿宋_GB2312"/>
          <w:sz w:val="32"/>
          <w:szCs w:val="32"/>
        </w:rPr>
        <w:t>录入等</w:t>
      </w:r>
      <w:r>
        <w:rPr>
          <w:rFonts w:ascii="Times New Roman" w:hAnsi="Times New Roman" w:eastAsia="仿宋_GB2312"/>
          <w:sz w:val="32"/>
          <w:szCs w:val="32"/>
        </w:rPr>
        <w:t>方式按要求向</w:t>
      </w:r>
      <w:r>
        <w:rPr>
          <w:rFonts w:hint="eastAsia" w:ascii="Times New Roman" w:hAnsi="Times New Roman" w:eastAsia="仿宋_GB2312"/>
          <w:sz w:val="32"/>
          <w:szCs w:val="32"/>
        </w:rPr>
        <w:t>市一级总体统筹类平台</w:t>
      </w:r>
      <w:r>
        <w:rPr>
          <w:rFonts w:ascii="Times New Roman" w:hAnsi="Times New Roman" w:eastAsia="仿宋_GB2312"/>
          <w:sz w:val="32"/>
          <w:szCs w:val="32"/>
        </w:rPr>
        <w:t>推送相关数据。</w:t>
      </w:r>
    </w:p>
    <w:p w14:paraId="6A5048FE">
      <w:pPr>
        <w:adjustRightInd w:val="0"/>
        <w:snapToGrid w:val="0"/>
        <w:spacing w:line="580" w:lineRule="exact"/>
        <w:ind w:firstLine="640" w:firstLineChars="200"/>
        <w:rPr>
          <w:rFonts w:ascii="Times New Roman" w:hAnsi="Times New Roman" w:eastAsia="仿宋_GB2312"/>
          <w:sz w:val="32"/>
          <w:szCs w:val="32"/>
        </w:rPr>
      </w:pPr>
    </w:p>
    <w:p w14:paraId="21B6A273">
      <w:pPr>
        <w:adjustRightInd w:val="0"/>
        <w:snapToGrid w:val="0"/>
        <w:spacing w:line="580" w:lineRule="exact"/>
        <w:ind w:left="1918" w:leftChars="304" w:hanging="1280" w:hangingChars="400"/>
        <w:rPr>
          <w:rFonts w:ascii="Times New Roman" w:hAnsi="Times New Roman" w:eastAsia="仿宋_GB2312"/>
          <w:sz w:val="32"/>
          <w:szCs w:val="32"/>
        </w:rPr>
      </w:pPr>
      <w:r>
        <w:rPr>
          <w:rFonts w:hint="eastAsia" w:ascii="Times New Roman" w:hAnsi="Times New Roman" w:eastAsia="仿宋_GB2312"/>
          <w:sz w:val="32"/>
          <w:szCs w:val="32"/>
        </w:rPr>
        <w:t>附件：1.肇庆市省级中小企业数字化转型城市试点产业链供应链数字化转型行业平台申报书（第二批）</w:t>
      </w:r>
    </w:p>
    <w:p w14:paraId="4914C686">
      <w:pPr>
        <w:adjustRightInd w:val="0"/>
        <w:snapToGrid w:val="0"/>
        <w:spacing w:line="580" w:lineRule="exact"/>
        <w:ind w:left="1916" w:leftChars="760" w:hanging="320" w:hangingChars="100"/>
        <w:rPr>
          <w:rFonts w:ascii="Times New Roman" w:hAnsi="Times New Roman" w:eastAsia="仿宋_GB2312"/>
          <w:sz w:val="32"/>
          <w:szCs w:val="32"/>
        </w:rPr>
      </w:pPr>
      <w:r>
        <w:rPr>
          <w:rFonts w:hint="eastAsia" w:ascii="Times New Roman" w:hAnsi="Times New Roman" w:eastAsia="仿宋_GB2312"/>
          <w:sz w:val="32"/>
          <w:szCs w:val="32"/>
        </w:rPr>
        <w:t>2.肇庆市省级中小企业数字化转型城市试点产业链供应链数字化转型行业平台功能清单</w:t>
      </w:r>
    </w:p>
    <w:p w14:paraId="317322CC">
      <w:pPr>
        <w:ind w:firstLine="1600" w:firstLineChars="500"/>
      </w:pPr>
      <w:r>
        <w:rPr>
          <w:rFonts w:hint="eastAsia" w:ascii="Times New Roman" w:hAnsi="Times New Roman" w:eastAsia="仿宋_GB2312"/>
          <w:sz w:val="32"/>
          <w:szCs w:val="32"/>
        </w:rPr>
        <w:t>3.功能开发费用明细表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B2DA456-F1CE-4127-8E0F-1A935E3D6F1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8E79A4A-C8F4-4CF4-A595-164D9E49B58C}"/>
  </w:font>
  <w:font w:name="仿宋_GB2312">
    <w:panose1 w:val="02010609030101010101"/>
    <w:charset w:val="86"/>
    <w:family w:val="modern"/>
    <w:pitch w:val="default"/>
    <w:sig w:usb0="00000001" w:usb1="080E0000" w:usb2="00000000" w:usb3="00000000" w:csb0="00040000" w:csb1="00000000"/>
    <w:embedRegular r:id="rId3" w:fontKey="{EA1A4E43-2B6B-45A0-B0D1-1A6B0D3133D5}"/>
  </w:font>
  <w:font w:name="方正小标宋简体">
    <w:panose1 w:val="02000000000000000000"/>
    <w:charset w:val="86"/>
    <w:family w:val="auto"/>
    <w:pitch w:val="default"/>
    <w:sig w:usb0="00000001" w:usb1="08000000" w:usb2="00000000" w:usb3="00000000" w:csb0="00040000" w:csb1="00000000"/>
    <w:embedRegular r:id="rId4" w:fontKey="{755A7F22-C6D7-4D9D-BDE2-1B0B1E2776FD}"/>
  </w:font>
  <w:font w:name="楷体_GB2312">
    <w:panose1 w:val="02010609030101010101"/>
    <w:charset w:val="86"/>
    <w:family w:val="modern"/>
    <w:pitch w:val="default"/>
    <w:sig w:usb0="00000001" w:usb1="080E0000" w:usb2="00000000" w:usb3="00000000" w:csb0="00040000" w:csb1="00000000"/>
    <w:embedRegular r:id="rId5" w:fontKey="{2D82A3FB-C23E-4A86-9E45-EB535D91E02D}"/>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150B3E"/>
    <w:rsid w:val="002A5532"/>
    <w:rsid w:val="002F5A3D"/>
    <w:rsid w:val="004D410B"/>
    <w:rsid w:val="005A71A3"/>
    <w:rsid w:val="00795EEC"/>
    <w:rsid w:val="009B0BE2"/>
    <w:rsid w:val="00C03451"/>
    <w:rsid w:val="065600BB"/>
    <w:rsid w:val="3B59226A"/>
    <w:rsid w:val="41150B3E"/>
    <w:rsid w:val="480F5247"/>
    <w:rsid w:val="5CC418D6"/>
    <w:rsid w:val="694F5E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uiPriority w:val="0"/>
    <w:pP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Calibri" w:hAnsi="Calibri" w:eastAsia="宋体" w:cs="Times New Roman"/>
      <w:kern w:val="2"/>
      <w:sz w:val="18"/>
      <w:szCs w:val="18"/>
    </w:rPr>
  </w:style>
  <w:style w:type="character" w:customStyle="1" w:styleId="7">
    <w:name w:val="页脚 字符"/>
    <w:basedOn w:val="5"/>
    <w:link w:val="2"/>
    <w:qFormat/>
    <w:uiPriority w:val="0"/>
    <w:rPr>
      <w:rFonts w:ascii="Calibri" w:hAnsi="Calibri" w:eastAsia="宋体" w:cs="Times New Roman"/>
      <w:kern w:val="2"/>
      <w:sz w:val="18"/>
      <w:szCs w:val="18"/>
    </w:rPr>
  </w:style>
  <w:style w:type="paragraph" w:customStyle="1" w:styleId="8">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2417</Words>
  <Characters>2453</Characters>
  <Lines>17</Lines>
  <Paragraphs>4</Paragraphs>
  <TotalTime>14</TotalTime>
  <ScaleCrop>false</ScaleCrop>
  <LinksUpToDate>false</LinksUpToDate>
  <CharactersWithSpaces>2453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2024-12-11T02:00:00Z</dcterms:created>
  <dc:creator>尹彦</dc:creator>
  <cp:lastModifiedBy>尹彦</cp:lastModifiedBy>
  <cp:lastPrinted>2024-12-11T07:34:45Z</cp:lastPrinted>
  <dcterms:modified xsi:type="dcterms:W3CDTF">2024-12-11T07:43:15Z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11E6264B46F74CF1B68F65042013D8EB_13</vt:lpwstr>
  </property>
</Properties>
</file>