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委托调研课题费用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苏州市工业和信息化局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130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130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130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77.39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52.61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52.61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130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77.39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委托调研课题费用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130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77.39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59.53%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调研课题报告数量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&gt;=6篇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6篇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调研课题报告获领导批示数量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&gt;=2篇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2篇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调研课题报告完成时间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11月底前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11月底前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对重点产业规模影响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提升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64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开展调查研究工作，形成高质量调研报告，提供决策参考，为推动全市工业和信息化高质量发展提供有力支撑。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在加快构建现代化产业体系、发展新质生产力、推动制造业高质量发展等方面提出有效路径和解决方案，助力推动苏州新型工业化走在前、做示范。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形成不少于6篇调研课题报告，获领导批示不少于2篇，对重点产业发展规划的参考作用进一步提升。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落实采购、委托程序，形成6篇高质量调研课题报告，其中2篇获领导批示，对重点产业规模影响提升。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6篇调研课题报告坚持问题导向，详细分析发展现状，针对性提出意见建议，明确了下一步重点发展方向。调研成果多渠道上报市委市政府和相关部门，为市领导提供决策参考，其中2篇获领导批示，进一步强化了调研成果应用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无。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