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14D15">
      <w:pPr>
        <w:pStyle w:val="12"/>
        <w:spacing w:line="560" w:lineRule="exact"/>
        <w:ind w:firstLine="0" w:firstLineChars="0"/>
        <w:jc w:val="both"/>
        <w:outlineLvl w:val="0"/>
        <w:rPr>
          <w:rFonts w:hint="eastAsia" w:ascii="黑体" w:hAnsi="黑体" w:eastAsia="黑体" w:cs="黑体"/>
          <w:sz w:val="32"/>
          <w:szCs w:val="32"/>
          <w:highlight w:val="none"/>
          <w:lang w:val="en-US" w:eastAsia="zh-CN"/>
        </w:rPr>
      </w:pPr>
      <w:bookmarkStart w:id="0" w:name="_Toc29649"/>
      <w:bookmarkStart w:id="1" w:name="_Toc29901"/>
      <w:bookmarkStart w:id="2" w:name="_Toc21624"/>
      <w:bookmarkStart w:id="3" w:name="_Toc1881"/>
      <w:bookmarkStart w:id="14" w:name="_GoBack"/>
      <w:r>
        <w:rPr>
          <w:rFonts w:hint="eastAsia" w:ascii="黑体" w:hAnsi="黑体" w:eastAsia="黑体" w:cs="黑体"/>
          <w:sz w:val="32"/>
          <w:szCs w:val="32"/>
          <w:highlight w:val="none"/>
          <w:lang w:val="en-US" w:eastAsia="zh-CN"/>
        </w:rPr>
        <w:t>附件1：</w:t>
      </w:r>
    </w:p>
    <w:p w14:paraId="5FE02886">
      <w:pPr>
        <w:pStyle w:val="11"/>
        <w:keepNext w:val="0"/>
        <w:keepLines w:val="0"/>
        <w:pageBreakBefore w:val="0"/>
        <w:widowControl w:val="0"/>
        <w:kinsoku/>
        <w:wordWrap/>
        <w:overflowPunct/>
        <w:topLinePunct w:val="0"/>
        <w:autoSpaceDE w:val="0"/>
        <w:autoSpaceDN w:val="0"/>
        <w:bidi w:val="0"/>
        <w:adjustRightInd w:val="0"/>
        <w:snapToGrid/>
        <w:spacing w:after="157" w:afterLines="50" w:line="560" w:lineRule="exact"/>
        <w:jc w:val="center"/>
        <w:textAlignment w:val="auto"/>
        <w:outlineLvl w:val="0"/>
        <w:rPr>
          <w:rFonts w:hint="eastAsia" w:ascii="方正小标宋简体" w:hAnsi="方正小标宋简体" w:eastAsia="方正小标宋简体" w:cs="方正小标宋简体"/>
          <w:sz w:val="44"/>
          <w:szCs w:val="44"/>
          <w:highlight w:val="none"/>
          <w:shd w:val="clear" w:color="auto" w:fill="FFFFFF"/>
          <w:lang w:val="en-US" w:eastAsia="zh-CN"/>
        </w:rPr>
      </w:pPr>
      <w:r>
        <w:rPr>
          <w:rFonts w:hint="eastAsia" w:ascii="方正小标宋简体" w:hAnsi="方正小标宋简体" w:eastAsia="方正小标宋简体" w:cs="方正小标宋简体"/>
          <w:sz w:val="44"/>
          <w:szCs w:val="44"/>
          <w:highlight w:val="none"/>
          <w:shd w:val="clear" w:color="auto" w:fill="FFFFFF"/>
        </w:rPr>
        <w:t>贵阳市中小企业数字化转型城市试点</w:t>
      </w:r>
      <w:r>
        <w:rPr>
          <w:rFonts w:hint="eastAsia" w:ascii="方正小标宋简体" w:hAnsi="方正小标宋简体" w:eastAsia="方正小标宋简体" w:cs="方正小标宋简体"/>
          <w:sz w:val="44"/>
          <w:szCs w:val="44"/>
          <w:highlight w:val="none"/>
          <w:shd w:val="clear" w:color="auto" w:fill="FFFFFF"/>
        </w:rPr>
        <w:br w:type="textWrapping"/>
      </w:r>
      <w:r>
        <w:rPr>
          <w:rFonts w:hint="eastAsia" w:ascii="方正小标宋简体" w:hAnsi="方正小标宋简体" w:eastAsia="方正小标宋简体" w:cs="方正小标宋简体"/>
          <w:sz w:val="44"/>
          <w:szCs w:val="44"/>
          <w:highlight w:val="none"/>
          <w:shd w:val="clear" w:color="auto" w:fill="FFFFFF"/>
        </w:rPr>
        <w:t>服务商管理</w:t>
      </w:r>
      <w:bookmarkEnd w:id="0"/>
      <w:bookmarkEnd w:id="1"/>
      <w:bookmarkEnd w:id="2"/>
      <w:bookmarkEnd w:id="3"/>
      <w:r>
        <w:rPr>
          <w:rFonts w:hint="eastAsia" w:ascii="方正小标宋简体" w:hAnsi="方正小标宋简体" w:eastAsia="方正小标宋简体" w:cs="方正小标宋简体"/>
          <w:sz w:val="44"/>
          <w:szCs w:val="44"/>
          <w:highlight w:val="none"/>
          <w:shd w:val="clear" w:color="auto" w:fill="FFFFFF"/>
          <w:lang w:val="en-US" w:eastAsia="zh-CN"/>
        </w:rPr>
        <w:t>细则</w:t>
      </w:r>
    </w:p>
    <w:p w14:paraId="59C18651">
      <w:pPr>
        <w:pStyle w:val="11"/>
        <w:keepNext w:val="0"/>
        <w:keepLines w:val="0"/>
        <w:pageBreakBefore w:val="0"/>
        <w:widowControl w:val="0"/>
        <w:kinsoku/>
        <w:wordWrap/>
        <w:overflowPunct/>
        <w:topLinePunct w:val="0"/>
        <w:autoSpaceDE w:val="0"/>
        <w:autoSpaceDN w:val="0"/>
        <w:bidi w:val="0"/>
        <w:adjustRightInd w:val="0"/>
        <w:snapToGrid/>
        <w:spacing w:line="400" w:lineRule="exact"/>
        <w:jc w:val="center"/>
        <w:textAlignment w:val="auto"/>
        <w:outlineLvl w:val="9"/>
        <w:rPr>
          <w:rFonts w:hint="eastAsia" w:ascii="楷体_GB2312" w:hAnsi="楷体_GB2312" w:eastAsia="楷体_GB2312" w:cs="楷体_GB2312"/>
          <w:sz w:val="32"/>
          <w:szCs w:val="32"/>
          <w:highlight w:val="none"/>
          <w:shd w:val="clear" w:color="auto" w:fill="FFFFFF"/>
          <w:lang w:val="en-US" w:eastAsia="zh-CN"/>
        </w:rPr>
      </w:pPr>
      <w:r>
        <w:rPr>
          <w:rFonts w:hint="eastAsia" w:ascii="楷体_GB2312" w:hAnsi="楷体_GB2312" w:eastAsia="楷体_GB2312" w:cs="楷体_GB2312"/>
          <w:sz w:val="32"/>
          <w:szCs w:val="32"/>
          <w:highlight w:val="none"/>
          <w:shd w:val="clear" w:color="auto" w:fill="FFFFFF"/>
          <w:lang w:val="en-US" w:eastAsia="zh-CN"/>
        </w:rPr>
        <w:t>（征求意见稿）</w:t>
      </w:r>
    </w:p>
    <w:p w14:paraId="30B4E95C">
      <w:pPr>
        <w:widowControl/>
        <w:numPr>
          <w:ilvl w:val="0"/>
          <w:numId w:val="1"/>
        </w:numPr>
        <w:shd w:val="clear" w:color="auto" w:fill="FFFFFF"/>
        <w:adjustRightInd w:val="0"/>
        <w:snapToGrid w:val="0"/>
        <w:spacing w:before="312" w:beforeLines="100" w:after="156" w:afterLines="50" w:line="560" w:lineRule="exact"/>
        <w:ind w:firstLine="0"/>
        <w:jc w:val="center"/>
        <w:outlineLvl w:val="0"/>
        <w:rPr>
          <w:rFonts w:ascii="黑体" w:hAnsi="黑体" w:eastAsia="黑体" w:cs="黑体"/>
          <w:color w:val="333333"/>
          <w:kern w:val="0"/>
          <w:sz w:val="32"/>
          <w:szCs w:val="32"/>
          <w:highlight w:val="none"/>
          <w:shd w:val="clear" w:color="auto" w:fill="FFFFFF"/>
        </w:rPr>
      </w:pPr>
      <w:bookmarkStart w:id="4" w:name="_Toc31297"/>
      <w:r>
        <w:rPr>
          <w:rFonts w:hint="eastAsia" w:ascii="黑体" w:hAnsi="黑体" w:eastAsia="黑体" w:cs="黑体"/>
          <w:color w:val="333333"/>
          <w:kern w:val="0"/>
          <w:sz w:val="32"/>
          <w:szCs w:val="32"/>
          <w:highlight w:val="none"/>
          <w:shd w:val="clear" w:color="auto" w:fill="FFFFFF"/>
        </w:rPr>
        <w:t>总则</w:t>
      </w:r>
      <w:bookmarkEnd w:id="4"/>
    </w:p>
    <w:p w14:paraId="3ED22A3F">
      <w:pPr>
        <w:numPr>
          <w:ilvl w:val="1"/>
          <w:numId w:val="2"/>
        </w:numPr>
        <w:adjustRightInd w:val="0"/>
        <w:snapToGrid w:val="0"/>
        <w:spacing w:line="600" w:lineRule="exact"/>
        <w:ind w:firstLine="640" w:firstLineChars="200"/>
        <w:outlineLvl w:val="1"/>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为贯彻落实《中小企业数字化转型城市试点实施指南》《贵阳市中小企业数字化转型城市试点实施方案》等相关要求，发挥贵阳市中小企业数字化转型服务商作用，规范服务商行为，督导服务商优质高效服务企业，圆满完成中小企业数字化转型城市试点目标，特制定本管理</w:t>
      </w:r>
      <w:r>
        <w:rPr>
          <w:rFonts w:hint="eastAsia" w:ascii="仿宋_GB2312" w:hAnsi="仿宋_GB2312" w:eastAsia="仿宋_GB2312" w:cs="仿宋_GB2312"/>
          <w:sz w:val="32"/>
          <w:szCs w:val="32"/>
          <w:highlight w:val="none"/>
          <w:shd w:val="clear" w:color="auto" w:fill="FFFFFF"/>
          <w:lang w:val="en-US" w:eastAsia="zh-CN"/>
        </w:rPr>
        <w:t>细则</w:t>
      </w:r>
      <w:r>
        <w:rPr>
          <w:rFonts w:hint="eastAsia" w:ascii="仿宋_GB2312" w:hAnsi="仿宋_GB2312" w:eastAsia="仿宋_GB2312" w:cs="仿宋_GB2312"/>
          <w:sz w:val="32"/>
          <w:szCs w:val="32"/>
          <w:highlight w:val="none"/>
          <w:shd w:val="clear" w:color="auto" w:fill="FFFFFF"/>
        </w:rPr>
        <w:t>。</w:t>
      </w:r>
    </w:p>
    <w:p w14:paraId="0E3656B9">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本</w:t>
      </w:r>
      <w:r>
        <w:rPr>
          <w:rFonts w:hint="eastAsia" w:ascii="仿宋_GB2312" w:hAnsi="仿宋_GB2312" w:eastAsia="仿宋_GB2312" w:cs="仿宋_GB2312"/>
          <w:sz w:val="32"/>
          <w:szCs w:val="32"/>
          <w:highlight w:val="none"/>
          <w:shd w:val="clear" w:color="auto" w:fill="FFFFFF"/>
          <w:lang w:val="en-US" w:eastAsia="zh-CN"/>
        </w:rPr>
        <w:t>细则</w:t>
      </w:r>
      <w:r>
        <w:rPr>
          <w:rFonts w:hint="eastAsia" w:ascii="仿宋_GB2312" w:hAnsi="仿宋_GB2312" w:eastAsia="仿宋_GB2312" w:cs="仿宋_GB2312"/>
          <w:sz w:val="32"/>
          <w:szCs w:val="32"/>
          <w:highlight w:val="none"/>
          <w:shd w:val="clear" w:color="auto" w:fill="FFFFFF"/>
        </w:rPr>
        <w:t>所称服务商是指由贵阳市工业和信息化局（以下简称“市工信局”）组织评选，纳入贵阳市中小企业数字化转型城市试点服务商名单内的综合服务商和专业服务商。综合服务商和专业服务商共同形成我市数字化服务商资源池，供试点企业选择。</w:t>
      </w:r>
    </w:p>
    <w:p w14:paraId="6B990145">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bookmarkStart w:id="5" w:name="_Toc6784"/>
      <w:r>
        <w:rPr>
          <w:rFonts w:hint="eastAsia" w:ascii="仿宋_GB2312" w:hAnsi="仿宋_GB2312" w:eastAsia="仿宋_GB2312" w:cs="仿宋_GB2312"/>
          <w:sz w:val="32"/>
          <w:szCs w:val="32"/>
          <w:highlight w:val="none"/>
          <w:shd w:val="clear" w:color="auto" w:fill="FFFFFF"/>
        </w:rPr>
        <w:t>本</w:t>
      </w:r>
      <w:r>
        <w:rPr>
          <w:rFonts w:hint="eastAsia" w:ascii="仿宋_GB2312" w:hAnsi="仿宋_GB2312" w:eastAsia="仿宋_GB2312" w:cs="仿宋_GB2312"/>
          <w:sz w:val="32"/>
          <w:szCs w:val="32"/>
          <w:highlight w:val="none"/>
          <w:shd w:val="clear" w:color="auto" w:fill="FFFFFF"/>
          <w:lang w:eastAsia="zh-CN"/>
        </w:rPr>
        <w:t>细则</w:t>
      </w:r>
      <w:r>
        <w:rPr>
          <w:rFonts w:hint="eastAsia" w:ascii="仿宋_GB2312" w:hAnsi="仿宋_GB2312" w:eastAsia="仿宋_GB2312" w:cs="仿宋_GB2312"/>
          <w:sz w:val="32"/>
          <w:szCs w:val="32"/>
          <w:highlight w:val="none"/>
          <w:shd w:val="clear" w:color="auto" w:fill="FFFFFF"/>
        </w:rPr>
        <w:t>适用于贵阳市中小企业数字化转型城市试点工作</w:t>
      </w:r>
      <w:bookmarkEnd w:id="5"/>
      <w:r>
        <w:rPr>
          <w:rFonts w:hint="eastAsia" w:ascii="仿宋_GB2312" w:hAnsi="仿宋_GB2312" w:eastAsia="仿宋_GB2312" w:cs="仿宋_GB2312"/>
          <w:sz w:val="32"/>
          <w:szCs w:val="32"/>
          <w:highlight w:val="none"/>
          <w:shd w:val="clear" w:color="auto" w:fill="FFFFFF"/>
        </w:rPr>
        <w:t>。市工信局委托第三方数字化服务团队，协助开展服务商管理</w:t>
      </w:r>
      <w:r>
        <w:rPr>
          <w:rFonts w:hint="eastAsia" w:ascii="仿宋_GB2312" w:hAnsi="仿宋_GB2312" w:eastAsia="仿宋_GB2312" w:cs="仿宋_GB2312"/>
          <w:sz w:val="32"/>
          <w:szCs w:val="32"/>
          <w:highlight w:val="none"/>
          <w:shd w:val="clear" w:color="auto" w:fill="FFFFFF"/>
          <w:lang w:val="en-US" w:eastAsia="zh-CN"/>
        </w:rPr>
        <w:t>工作</w:t>
      </w:r>
      <w:r>
        <w:rPr>
          <w:rFonts w:hint="eastAsia" w:ascii="仿宋_GB2312" w:hAnsi="仿宋_GB2312" w:eastAsia="仿宋_GB2312" w:cs="仿宋_GB2312"/>
          <w:sz w:val="32"/>
          <w:szCs w:val="32"/>
          <w:highlight w:val="none"/>
          <w:shd w:val="clear" w:color="auto" w:fill="FFFFFF"/>
        </w:rPr>
        <w:t>。</w:t>
      </w:r>
    </w:p>
    <w:p w14:paraId="63BF5D15">
      <w:pPr>
        <w:keepNext/>
        <w:widowControl/>
        <w:numPr>
          <w:ilvl w:val="0"/>
          <w:numId w:val="1"/>
        </w:numPr>
        <w:shd w:val="clear" w:color="auto" w:fill="FFFFFF"/>
        <w:adjustRightInd w:val="0"/>
        <w:snapToGrid w:val="0"/>
        <w:spacing w:before="312" w:beforeLines="100" w:after="156" w:afterLines="50" w:line="560" w:lineRule="exact"/>
        <w:ind w:firstLine="0"/>
        <w:jc w:val="center"/>
        <w:outlineLvl w:val="0"/>
        <w:rPr>
          <w:rFonts w:ascii="黑体" w:hAnsi="黑体" w:eastAsia="黑体" w:cs="黑体"/>
          <w:color w:val="333333"/>
          <w:kern w:val="0"/>
          <w:sz w:val="32"/>
          <w:szCs w:val="32"/>
          <w:highlight w:val="none"/>
          <w:shd w:val="clear" w:color="auto" w:fill="FFFFFF"/>
        </w:rPr>
      </w:pPr>
      <w:r>
        <w:rPr>
          <w:rFonts w:hint="eastAsia" w:ascii="黑体" w:hAnsi="黑体" w:eastAsia="黑体" w:cs="黑体"/>
          <w:color w:val="333333"/>
          <w:kern w:val="0"/>
          <w:sz w:val="32"/>
          <w:szCs w:val="32"/>
          <w:highlight w:val="none"/>
          <w:shd w:val="clear" w:color="auto" w:fill="FFFFFF"/>
        </w:rPr>
        <w:t>工作职责</w:t>
      </w:r>
    </w:p>
    <w:p w14:paraId="2B433C44">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综合服务商职责：</w:t>
      </w:r>
    </w:p>
    <w:p w14:paraId="21699C08">
      <w:pPr>
        <w:numPr>
          <w:ilvl w:val="0"/>
          <w:numId w:val="3"/>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rPr>
        <w:t>牵头开展</w:t>
      </w:r>
      <w:r>
        <w:rPr>
          <w:rFonts w:hint="eastAsia" w:ascii="仿宋_GB2312" w:hAnsi="仿宋_GB2312" w:eastAsia="仿宋_GB2312" w:cs="仿宋_GB2312"/>
          <w:sz w:val="32"/>
          <w:szCs w:val="32"/>
          <w:highlight w:val="none"/>
          <w:lang w:val="en-US" w:eastAsia="zh-CN"/>
        </w:rPr>
        <w:t>试点</w:t>
      </w:r>
      <w:r>
        <w:rPr>
          <w:rFonts w:hint="eastAsia" w:ascii="仿宋_GB2312" w:hAnsi="仿宋_GB2312" w:eastAsia="仿宋_GB2312" w:cs="仿宋_GB2312"/>
          <w:sz w:val="32"/>
          <w:szCs w:val="32"/>
          <w:highlight w:val="none"/>
        </w:rPr>
        <w:t>行业企业</w:t>
      </w:r>
      <w:r>
        <w:rPr>
          <w:rFonts w:hint="eastAsia" w:ascii="仿宋_GB2312" w:hAnsi="仿宋_GB2312" w:eastAsia="仿宋_GB2312" w:cs="仿宋_GB2312"/>
          <w:sz w:val="32"/>
          <w:szCs w:val="32"/>
          <w:highlight w:val="none"/>
          <w:lang w:val="en-US" w:eastAsia="zh-CN"/>
        </w:rPr>
        <w:t>数字化转型</w:t>
      </w:r>
      <w:r>
        <w:rPr>
          <w:rFonts w:hint="eastAsia" w:ascii="仿宋_GB2312" w:hAnsi="仿宋_GB2312" w:eastAsia="仿宋_GB2312" w:cs="仿宋_GB2312"/>
          <w:sz w:val="32"/>
          <w:szCs w:val="32"/>
          <w:highlight w:val="none"/>
        </w:rPr>
        <w:t>服务</w:t>
      </w:r>
      <w:r>
        <w:rPr>
          <w:rFonts w:hint="eastAsia" w:ascii="仿宋_GB2312" w:hAnsi="仿宋_GB2312" w:eastAsia="仿宋_GB2312" w:cs="仿宋_GB2312"/>
          <w:sz w:val="32"/>
          <w:szCs w:val="32"/>
          <w:highlight w:val="none"/>
          <w:shd w:val="clear" w:color="auto" w:fill="FFFFFF"/>
        </w:rPr>
        <w:t>。</w:t>
      </w:r>
      <w:r>
        <w:rPr>
          <w:rFonts w:hint="eastAsia" w:ascii="仿宋_GB2312" w:hAnsi="仿宋_GB2312" w:eastAsia="仿宋_GB2312" w:cs="仿宋_GB2312"/>
          <w:i w:val="0"/>
          <w:iCs w:val="0"/>
          <w:caps w:val="0"/>
          <w:color w:val="auto"/>
          <w:spacing w:val="0"/>
          <w:sz w:val="32"/>
          <w:szCs w:val="32"/>
          <w:highlight w:val="none"/>
          <w:shd w:val="clear" w:color="auto" w:fill="FFFFFF"/>
        </w:rPr>
        <w:t>由综合服务商牵头，</w:t>
      </w:r>
      <w:r>
        <w:rPr>
          <w:rFonts w:hint="eastAsia" w:ascii="仿宋_GB2312" w:hAnsi="仿宋_GB2312" w:eastAsia="仿宋_GB2312" w:cs="仿宋_GB2312"/>
          <w:i w:val="0"/>
          <w:iCs w:val="0"/>
          <w:caps w:val="0"/>
          <w:spacing w:val="0"/>
          <w:sz w:val="32"/>
          <w:szCs w:val="32"/>
          <w:highlight w:val="none"/>
          <w:shd w:val="clear" w:color="auto" w:fill="FFFFFF"/>
        </w:rPr>
        <w:t>与</w:t>
      </w:r>
      <w:r>
        <w:rPr>
          <w:rFonts w:hint="eastAsia" w:ascii="仿宋_GB2312" w:hAnsi="仿宋_GB2312" w:eastAsia="仿宋_GB2312" w:cs="仿宋_GB2312"/>
          <w:i w:val="0"/>
          <w:iCs w:val="0"/>
          <w:caps w:val="0"/>
          <w:spacing w:val="0"/>
          <w:sz w:val="32"/>
          <w:szCs w:val="32"/>
          <w:highlight w:val="none"/>
          <w:shd w:val="clear" w:color="auto" w:fill="FFFFFF"/>
          <w:lang w:val="en-US" w:eastAsia="zh-CN"/>
        </w:rPr>
        <w:t>试点</w:t>
      </w:r>
      <w:r>
        <w:rPr>
          <w:rFonts w:hint="eastAsia" w:ascii="仿宋_GB2312" w:hAnsi="仿宋_GB2312" w:eastAsia="仿宋_GB2312" w:cs="仿宋_GB2312"/>
          <w:i w:val="0"/>
          <w:iCs w:val="0"/>
          <w:caps w:val="0"/>
          <w:spacing w:val="0"/>
          <w:sz w:val="32"/>
          <w:szCs w:val="32"/>
          <w:highlight w:val="none"/>
          <w:shd w:val="clear" w:color="auto" w:fill="FFFFFF"/>
        </w:rPr>
        <w:t>企业签订</w:t>
      </w:r>
      <w:r>
        <w:rPr>
          <w:rFonts w:hint="eastAsia" w:ascii="仿宋_GB2312" w:hAnsi="仿宋_GB2312" w:eastAsia="仿宋_GB2312" w:cs="仿宋_GB2312"/>
          <w:i w:val="0"/>
          <w:iCs w:val="0"/>
          <w:caps w:val="0"/>
          <w:spacing w:val="0"/>
          <w:sz w:val="32"/>
          <w:szCs w:val="32"/>
          <w:highlight w:val="none"/>
          <w:shd w:val="clear" w:color="auto" w:fill="FFFFFF"/>
          <w:lang w:val="en-US" w:eastAsia="zh-CN"/>
        </w:rPr>
        <w:t>数字化转型合同</w:t>
      </w:r>
      <w:r>
        <w:rPr>
          <w:rFonts w:hint="eastAsia" w:ascii="仿宋_GB2312" w:hAnsi="仿宋_GB2312" w:eastAsia="仿宋_GB2312" w:cs="仿宋_GB2312"/>
          <w:i w:val="0"/>
          <w:iCs w:val="0"/>
          <w:caps w:val="0"/>
          <w:spacing w:val="0"/>
          <w:sz w:val="32"/>
          <w:szCs w:val="32"/>
          <w:highlight w:val="none"/>
          <w:shd w:val="clear" w:color="auto" w:fill="FFFFFF"/>
        </w:rPr>
        <w:t>，</w:t>
      </w:r>
      <w:r>
        <w:rPr>
          <w:rFonts w:hint="eastAsia" w:ascii="仿宋_GB2312" w:hAnsi="仿宋_GB2312" w:eastAsia="仿宋_GB2312" w:cs="仿宋_GB2312"/>
          <w:i w:val="0"/>
          <w:iCs w:val="0"/>
          <w:caps w:val="0"/>
          <w:color w:val="auto"/>
          <w:spacing w:val="0"/>
          <w:sz w:val="32"/>
          <w:szCs w:val="32"/>
          <w:highlight w:val="none"/>
          <w:shd w:val="clear" w:color="auto" w:fill="FFFFFF"/>
        </w:rPr>
        <w:t>组织专业服务商</w:t>
      </w:r>
      <w:r>
        <w:rPr>
          <w:rFonts w:hint="eastAsia" w:ascii="仿宋_GB2312" w:hAnsi="仿宋_GB2312" w:eastAsia="仿宋_GB2312" w:cs="仿宋_GB2312"/>
          <w:i w:val="0"/>
          <w:iCs w:val="0"/>
          <w:caps w:val="0"/>
          <w:spacing w:val="0"/>
          <w:sz w:val="32"/>
          <w:szCs w:val="32"/>
          <w:highlight w:val="none"/>
          <w:shd w:val="clear" w:color="auto" w:fill="FFFFFF"/>
          <w:lang w:val="en-US" w:eastAsia="zh-CN"/>
        </w:rPr>
        <w:t>联动，为试点企业</w:t>
      </w:r>
      <w:r>
        <w:rPr>
          <w:rFonts w:hint="eastAsia" w:ascii="仿宋_GB2312" w:hAnsi="仿宋_GB2312" w:eastAsia="仿宋_GB2312" w:cs="仿宋_GB2312"/>
          <w:i w:val="0"/>
          <w:iCs w:val="0"/>
          <w:caps w:val="0"/>
          <w:color w:val="auto"/>
          <w:spacing w:val="0"/>
          <w:sz w:val="32"/>
          <w:szCs w:val="32"/>
          <w:highlight w:val="none"/>
          <w:shd w:val="clear" w:color="auto" w:fill="FFFFFF"/>
        </w:rPr>
        <w:t>开展数字化</w:t>
      </w:r>
      <w:r>
        <w:rPr>
          <w:rFonts w:hint="eastAsia" w:ascii="仿宋_GB2312" w:hAnsi="仿宋_GB2312" w:eastAsia="仿宋_GB2312" w:cs="仿宋_GB2312"/>
          <w:i w:val="0"/>
          <w:iCs w:val="0"/>
          <w:caps w:val="0"/>
          <w:spacing w:val="0"/>
          <w:sz w:val="32"/>
          <w:szCs w:val="32"/>
          <w:highlight w:val="none"/>
          <w:shd w:val="clear" w:color="auto" w:fill="FFFFFF"/>
          <w:lang w:val="en-US" w:eastAsia="zh-CN"/>
        </w:rPr>
        <w:t>转型相关工作</w:t>
      </w:r>
      <w:r>
        <w:rPr>
          <w:rFonts w:hint="eastAsia" w:ascii="仿宋_GB2312" w:hAnsi="仿宋_GB2312" w:eastAsia="仿宋_GB2312" w:cs="仿宋_GB2312"/>
          <w:i w:val="0"/>
          <w:iCs w:val="0"/>
          <w:caps w:val="0"/>
          <w:color w:val="auto"/>
          <w:spacing w:val="0"/>
          <w:sz w:val="32"/>
          <w:szCs w:val="32"/>
          <w:highlight w:val="none"/>
          <w:shd w:val="clear" w:color="auto" w:fill="FFFFFF"/>
        </w:rPr>
        <w:t>。</w:t>
      </w:r>
    </w:p>
    <w:p w14:paraId="464D1579">
      <w:pPr>
        <w:numPr>
          <w:ilvl w:val="0"/>
          <w:numId w:val="3"/>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rPr>
        <w:t>投入</w:t>
      </w:r>
      <w:r>
        <w:rPr>
          <w:rFonts w:hint="eastAsia" w:ascii="仿宋_GB2312" w:hAnsi="仿宋_GB2312" w:eastAsia="仿宋_GB2312" w:cs="仿宋_GB2312"/>
          <w:sz w:val="32"/>
          <w:szCs w:val="32"/>
          <w:highlight w:val="none"/>
          <w:lang w:val="en-US" w:eastAsia="zh-CN"/>
        </w:rPr>
        <w:t>服务</w:t>
      </w:r>
      <w:r>
        <w:rPr>
          <w:rFonts w:hint="eastAsia" w:ascii="仿宋_GB2312" w:hAnsi="仿宋_GB2312" w:eastAsia="仿宋_GB2312" w:cs="仿宋_GB2312"/>
          <w:sz w:val="32"/>
          <w:szCs w:val="32"/>
          <w:highlight w:val="none"/>
        </w:rPr>
        <w:t>资源。根据推进计划，组建本地服务团队，</w:t>
      </w:r>
      <w:r>
        <w:rPr>
          <w:rFonts w:hint="eastAsia" w:ascii="仿宋_GB2312" w:hAnsi="仿宋_GB2312" w:eastAsia="仿宋_GB2312" w:cs="仿宋_GB2312"/>
          <w:sz w:val="32"/>
          <w:szCs w:val="32"/>
          <w:highlight w:val="none"/>
          <w:lang w:val="en-US" w:eastAsia="zh-CN"/>
        </w:rPr>
        <w:t>围绕行业共性需求、企业个性需求，</w:t>
      </w:r>
      <w:r>
        <w:rPr>
          <w:rFonts w:hint="eastAsia" w:ascii="仿宋_GB2312" w:hAnsi="仿宋_GB2312" w:eastAsia="仿宋_GB2312" w:cs="仿宋_GB2312"/>
          <w:sz w:val="32"/>
          <w:szCs w:val="32"/>
          <w:highlight w:val="none"/>
        </w:rPr>
        <w:t>提供数字化转型产品和解决方案，确保所负责试点行业企业需求及时响应和项目目标达成。</w:t>
      </w:r>
    </w:p>
    <w:p w14:paraId="2F3363B3">
      <w:pPr>
        <w:numPr>
          <w:ilvl w:val="0"/>
          <w:numId w:val="3"/>
        </w:numPr>
        <w:adjustRightInd w:val="0"/>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shd w:val="clear" w:color="auto" w:fill="FFFFFF"/>
          <w:lang w:val="en-US" w:eastAsia="zh-CN"/>
        </w:rPr>
        <w:t>按计划推进项目实施。</w:t>
      </w:r>
      <w:r>
        <w:rPr>
          <w:rFonts w:hint="eastAsia" w:ascii="仿宋_GB2312" w:hAnsi="仿宋_GB2312" w:eastAsia="仿宋_GB2312" w:cs="仿宋_GB2312"/>
          <w:sz w:val="32"/>
          <w:szCs w:val="32"/>
          <w:highlight w:val="none"/>
          <w:shd w:val="clear" w:color="auto" w:fill="FFFFFF"/>
        </w:rPr>
        <w:t>按照与市工信局签订《贵阳市中小企业数字化转型城市试点综合服务商任务书》中的目标，制定</w:t>
      </w:r>
      <w:r>
        <w:rPr>
          <w:rFonts w:hint="eastAsia" w:ascii="仿宋_GB2312" w:hAnsi="仿宋_GB2312" w:eastAsia="仿宋_GB2312" w:cs="仿宋_GB2312"/>
          <w:sz w:val="32"/>
          <w:szCs w:val="32"/>
          <w:highlight w:val="none"/>
          <w:shd w:val="clear" w:color="auto" w:fill="FFFFFF"/>
          <w:lang w:val="en-US" w:eastAsia="zh-CN"/>
        </w:rPr>
        <w:t>年度推进计划、</w:t>
      </w:r>
      <w:r>
        <w:rPr>
          <w:rFonts w:hint="eastAsia" w:ascii="仿宋_GB2312" w:hAnsi="仿宋_GB2312" w:eastAsia="仿宋_GB2312" w:cs="仿宋_GB2312"/>
          <w:sz w:val="32"/>
          <w:szCs w:val="32"/>
          <w:highlight w:val="none"/>
          <w:shd w:val="clear" w:color="auto" w:fill="FFFFFF"/>
        </w:rPr>
        <w:t>月度工作计划，</w:t>
      </w:r>
      <w:r>
        <w:rPr>
          <w:rFonts w:hint="eastAsia" w:ascii="仿宋_GB2312" w:hAnsi="仿宋_GB2312" w:eastAsia="仿宋_GB2312" w:cs="仿宋_GB2312"/>
          <w:sz w:val="32"/>
          <w:szCs w:val="32"/>
          <w:highlight w:val="none"/>
          <w:shd w:val="clear" w:color="auto" w:fill="FFFFFF"/>
          <w:lang w:val="en-US" w:eastAsia="zh-CN"/>
        </w:rPr>
        <w:t>每周提供项目进度报告，配合开展月度绩效考核，确保任务目标按期完成。</w:t>
      </w:r>
    </w:p>
    <w:p w14:paraId="72F8AF9A">
      <w:pPr>
        <w:numPr>
          <w:ilvl w:val="0"/>
          <w:numId w:val="3"/>
        </w:numPr>
        <w:adjustRightInd w:val="0"/>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注重转型实效</w:t>
      </w:r>
      <w:r>
        <w:rPr>
          <w:rFonts w:hint="eastAsia" w:ascii="仿宋_GB2312" w:hAnsi="仿宋_GB2312" w:eastAsia="仿宋_GB2312" w:cs="仿宋_GB2312"/>
          <w:sz w:val="32"/>
          <w:szCs w:val="32"/>
          <w:highlight w:val="none"/>
        </w:rPr>
        <w:t>。围绕最新版《中小企业数字化水平评测指标》从数字化基础、数字化管理、数字化成效、数字化经营等方面</w:t>
      </w:r>
      <w:r>
        <w:rPr>
          <w:rFonts w:hint="eastAsia" w:ascii="仿宋_GB2312" w:hAnsi="仿宋_GB2312" w:eastAsia="仿宋_GB2312" w:cs="仿宋_GB2312"/>
          <w:sz w:val="32"/>
          <w:szCs w:val="32"/>
          <w:highlight w:val="none"/>
          <w:lang w:val="en-US" w:eastAsia="zh-CN"/>
        </w:rPr>
        <w:t>进行</w:t>
      </w:r>
      <w:r>
        <w:rPr>
          <w:rFonts w:hint="eastAsia" w:ascii="仿宋_GB2312" w:hAnsi="仿宋_GB2312" w:eastAsia="仿宋_GB2312" w:cs="仿宋_GB2312"/>
          <w:sz w:val="32"/>
          <w:szCs w:val="32"/>
          <w:highlight w:val="none"/>
        </w:rPr>
        <w:t>提升，并确保试点企业</w:t>
      </w:r>
      <w:r>
        <w:rPr>
          <w:rFonts w:hint="eastAsia" w:ascii="仿宋_GB2312" w:hAnsi="仿宋_GB2312" w:eastAsia="仿宋_GB2312" w:cs="仿宋_GB2312"/>
          <w:sz w:val="32"/>
          <w:szCs w:val="32"/>
          <w:highlight w:val="none"/>
          <w:lang w:val="en-US" w:eastAsia="zh-CN"/>
        </w:rPr>
        <w:t>转型</w:t>
      </w:r>
      <w:r>
        <w:rPr>
          <w:rFonts w:hint="eastAsia" w:ascii="仿宋_GB2312" w:hAnsi="仿宋_GB2312" w:eastAsia="仿宋_GB2312" w:cs="仿宋_GB2312"/>
          <w:sz w:val="32"/>
          <w:szCs w:val="32"/>
          <w:highlight w:val="none"/>
        </w:rPr>
        <w:t>完成后数字化水平达到二级</w:t>
      </w:r>
      <w:r>
        <w:rPr>
          <w:rFonts w:hint="eastAsia" w:ascii="仿宋_GB2312" w:hAnsi="仿宋_GB2312" w:eastAsia="仿宋_GB2312" w:cs="仿宋_GB2312"/>
          <w:sz w:val="32"/>
          <w:szCs w:val="32"/>
          <w:highlight w:val="none"/>
          <w:lang w:val="en-US" w:eastAsia="zh-CN"/>
        </w:rPr>
        <w:t>及</w:t>
      </w:r>
      <w:r>
        <w:rPr>
          <w:rFonts w:hint="eastAsia" w:ascii="仿宋_GB2312" w:hAnsi="仿宋_GB2312" w:eastAsia="仿宋_GB2312" w:cs="仿宋_GB2312"/>
          <w:sz w:val="32"/>
          <w:szCs w:val="32"/>
          <w:highlight w:val="none"/>
        </w:rPr>
        <w:t>以上。</w:t>
      </w:r>
    </w:p>
    <w:p w14:paraId="2A530CC4">
      <w:pPr>
        <w:numPr>
          <w:ilvl w:val="0"/>
          <w:numId w:val="3"/>
        </w:numPr>
        <w:adjustRightInd w:val="0"/>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auto"/>
          <w:spacing w:val="0"/>
          <w:sz w:val="32"/>
          <w:szCs w:val="32"/>
          <w:highlight w:val="none"/>
        </w:rPr>
        <w:t>培育专业服务商。综合服务商应持续吸纳、培育优质专业服务商参与企业数字化</w:t>
      </w:r>
      <w:r>
        <w:rPr>
          <w:rFonts w:hint="eastAsia" w:ascii="仿宋_GB2312" w:hAnsi="仿宋_GB2312" w:eastAsia="仿宋_GB2312" w:cs="仿宋_GB2312"/>
          <w:i w:val="0"/>
          <w:iCs w:val="0"/>
          <w:caps w:val="0"/>
          <w:spacing w:val="0"/>
          <w:sz w:val="32"/>
          <w:szCs w:val="32"/>
          <w:highlight w:val="none"/>
          <w:lang w:val="en-US" w:eastAsia="zh-CN"/>
        </w:rPr>
        <w:t>转型</w:t>
      </w:r>
      <w:r>
        <w:rPr>
          <w:rFonts w:hint="eastAsia" w:ascii="仿宋_GB2312" w:hAnsi="仿宋_GB2312" w:eastAsia="仿宋_GB2312" w:cs="仿宋_GB2312"/>
          <w:i w:val="0"/>
          <w:iCs w:val="0"/>
          <w:caps w:val="0"/>
          <w:color w:val="auto"/>
          <w:spacing w:val="0"/>
          <w:sz w:val="32"/>
          <w:szCs w:val="32"/>
          <w:highlight w:val="none"/>
        </w:rPr>
        <w:t>，建立数字化转型服务生态。综合服务商可推荐优质数字化转型服务商</w:t>
      </w:r>
      <w:r>
        <w:rPr>
          <w:rFonts w:hint="eastAsia" w:ascii="仿宋_GB2312" w:hAnsi="仿宋_GB2312" w:eastAsia="仿宋_GB2312" w:cs="仿宋_GB2312"/>
          <w:i w:val="0"/>
          <w:iCs w:val="0"/>
          <w:caps w:val="0"/>
          <w:color w:val="auto"/>
          <w:spacing w:val="0"/>
          <w:sz w:val="32"/>
          <w:szCs w:val="32"/>
          <w:highlight w:val="none"/>
          <w:lang w:val="en-US" w:eastAsia="zh-CN"/>
        </w:rPr>
        <w:t>参与服务商遴选</w:t>
      </w:r>
      <w:r>
        <w:rPr>
          <w:rFonts w:hint="eastAsia" w:ascii="仿宋_GB2312" w:hAnsi="仿宋_GB2312" w:eastAsia="仿宋_GB2312" w:cs="仿宋_GB2312"/>
          <w:i w:val="0"/>
          <w:iCs w:val="0"/>
          <w:caps w:val="0"/>
          <w:color w:val="auto"/>
          <w:spacing w:val="0"/>
          <w:sz w:val="32"/>
          <w:szCs w:val="32"/>
          <w:highlight w:val="none"/>
        </w:rPr>
        <w:t>，经专家评审通过后，纳入专业服务商</w:t>
      </w:r>
      <w:r>
        <w:rPr>
          <w:rFonts w:hint="eastAsia" w:ascii="仿宋_GB2312" w:hAnsi="仿宋_GB2312" w:eastAsia="仿宋_GB2312" w:cs="仿宋_GB2312"/>
          <w:i w:val="0"/>
          <w:iCs w:val="0"/>
          <w:caps w:val="0"/>
          <w:color w:val="auto"/>
          <w:spacing w:val="0"/>
          <w:sz w:val="32"/>
          <w:szCs w:val="32"/>
          <w:highlight w:val="none"/>
          <w:lang w:val="en-US" w:eastAsia="zh-CN"/>
        </w:rPr>
        <w:t>名单</w:t>
      </w:r>
      <w:r>
        <w:rPr>
          <w:rFonts w:hint="eastAsia" w:ascii="仿宋_GB2312" w:hAnsi="仿宋_GB2312" w:eastAsia="仿宋_GB2312" w:cs="仿宋_GB2312"/>
          <w:i w:val="0"/>
          <w:iCs w:val="0"/>
          <w:caps w:val="0"/>
          <w:color w:val="auto"/>
          <w:spacing w:val="0"/>
          <w:sz w:val="32"/>
          <w:szCs w:val="32"/>
          <w:highlight w:val="none"/>
          <w:lang w:eastAsia="zh-CN"/>
        </w:rPr>
        <w:t>。</w:t>
      </w:r>
    </w:p>
    <w:p w14:paraId="570CF342">
      <w:pPr>
        <w:numPr>
          <w:ilvl w:val="0"/>
          <w:numId w:val="3"/>
        </w:numPr>
        <w:adjustRightInd w:val="0"/>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开展标杆示范推广</w:t>
      </w:r>
      <w:r>
        <w:rPr>
          <w:rFonts w:hint="eastAsia" w:ascii="仿宋_GB2312" w:hAnsi="仿宋_GB2312" w:eastAsia="仿宋_GB2312" w:cs="仿宋_GB2312"/>
          <w:sz w:val="32"/>
          <w:szCs w:val="32"/>
          <w:highlight w:val="none"/>
        </w:rPr>
        <w:t>。综合服务商应配合总结试点企业数字化转型方法路径、业务创新模式，推荐基础条件好、转型效果突出、投入产出比高、可复制性强的试点企业作为转型样板</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协助开展案例分享、经验交流、现场观摩等，加强对样板企业的宣传推广，引导企业“看样学样”。</w:t>
      </w:r>
    </w:p>
    <w:p w14:paraId="6532CCE3">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bookmarkStart w:id="6" w:name="_Toc22486"/>
      <w:r>
        <w:rPr>
          <w:rFonts w:hint="eastAsia" w:ascii="仿宋_GB2312" w:hAnsi="仿宋_GB2312" w:eastAsia="仿宋_GB2312" w:cs="仿宋_GB2312"/>
          <w:sz w:val="32"/>
          <w:szCs w:val="32"/>
          <w:highlight w:val="none"/>
          <w:shd w:val="clear" w:color="auto" w:fill="FFFFFF"/>
        </w:rPr>
        <w:t>专业服务商职责：</w:t>
      </w:r>
    </w:p>
    <w:p w14:paraId="375F6FD1">
      <w:pPr>
        <w:keepNext w:val="0"/>
        <w:keepLines w:val="0"/>
        <w:widowControl/>
        <w:numPr>
          <w:ilvl w:val="-1"/>
          <w:numId w:val="0"/>
        </w:numPr>
        <w:suppressLineNumbers w:val="0"/>
        <w:tabs>
          <w:tab w:val="left" w:pos="0"/>
        </w:tabs>
        <w:adjustRightInd w:val="0"/>
        <w:snapToGrid w:val="0"/>
        <w:spacing w:line="600" w:lineRule="exact"/>
        <w:ind w:left="0" w:leftChars="0" w:firstLine="640" w:firstLineChars="200"/>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spacing w:val="0"/>
          <w:sz w:val="32"/>
          <w:szCs w:val="32"/>
          <w:highlight w:val="none"/>
          <w:lang w:eastAsia="zh-CN"/>
        </w:rPr>
        <w:t>（</w:t>
      </w:r>
      <w:r>
        <w:rPr>
          <w:rFonts w:hint="eastAsia" w:ascii="仿宋_GB2312" w:hAnsi="仿宋_GB2312" w:eastAsia="仿宋_GB2312" w:cs="仿宋_GB2312"/>
          <w:i w:val="0"/>
          <w:iCs w:val="0"/>
          <w:caps w:val="0"/>
          <w:spacing w:val="0"/>
          <w:sz w:val="32"/>
          <w:szCs w:val="32"/>
          <w:highlight w:val="none"/>
          <w:lang w:val="en-US" w:eastAsia="zh-CN"/>
        </w:rPr>
        <w:t>一</w:t>
      </w:r>
      <w:r>
        <w:rPr>
          <w:rFonts w:hint="eastAsia" w:ascii="仿宋_GB2312" w:hAnsi="仿宋_GB2312" w:eastAsia="仿宋_GB2312" w:cs="仿宋_GB2312"/>
          <w:i w:val="0"/>
          <w:iCs w:val="0"/>
          <w:caps w:val="0"/>
          <w:spacing w:val="0"/>
          <w:sz w:val="32"/>
          <w:szCs w:val="32"/>
          <w:highlight w:val="none"/>
          <w:lang w:eastAsia="zh-CN"/>
        </w:rPr>
        <w:t>）</w:t>
      </w:r>
      <w:r>
        <w:rPr>
          <w:rFonts w:hint="eastAsia" w:ascii="仿宋_GB2312" w:hAnsi="仿宋_GB2312" w:eastAsia="仿宋_GB2312" w:cs="仿宋_GB2312"/>
          <w:i w:val="0"/>
          <w:iCs w:val="0"/>
          <w:caps w:val="0"/>
          <w:color w:val="000000"/>
          <w:spacing w:val="0"/>
          <w:sz w:val="32"/>
          <w:szCs w:val="32"/>
          <w:highlight w:val="none"/>
        </w:rPr>
        <w:t>充分发挥专业能力。专业服务商应</w:t>
      </w:r>
      <w:r>
        <w:rPr>
          <w:rFonts w:hint="eastAsia" w:ascii="仿宋_GB2312" w:hAnsi="仿宋_GB2312" w:eastAsia="仿宋_GB2312" w:cs="仿宋_GB2312"/>
          <w:sz w:val="32"/>
          <w:szCs w:val="32"/>
          <w:highlight w:val="none"/>
        </w:rPr>
        <w:t>结合自身业务领域</w:t>
      </w:r>
      <w:r>
        <w:rPr>
          <w:rFonts w:hint="eastAsia" w:ascii="仿宋_GB2312" w:hAnsi="仿宋_GB2312" w:eastAsia="仿宋_GB2312" w:cs="仿宋_GB2312"/>
          <w:i w:val="0"/>
          <w:iCs w:val="0"/>
          <w:caps w:val="0"/>
          <w:color w:val="000000"/>
          <w:spacing w:val="0"/>
          <w:sz w:val="32"/>
          <w:szCs w:val="32"/>
          <w:highlight w:val="none"/>
        </w:rPr>
        <w:t>，为中小企业数字化转型提供</w:t>
      </w:r>
      <w:r>
        <w:rPr>
          <w:rFonts w:hint="eastAsia" w:ascii="仿宋_GB2312" w:hAnsi="仿宋_GB2312" w:eastAsia="仿宋_GB2312" w:cs="仿宋_GB2312"/>
          <w:i w:val="0"/>
          <w:iCs w:val="0"/>
          <w:caps w:val="0"/>
          <w:spacing w:val="0"/>
          <w:sz w:val="32"/>
          <w:szCs w:val="32"/>
          <w:highlight w:val="none"/>
          <w:lang w:val="en-US" w:eastAsia="zh-CN"/>
        </w:rPr>
        <w:t>生产管理、仓储物流、财务管理等</w:t>
      </w:r>
      <w:r>
        <w:rPr>
          <w:rFonts w:hint="eastAsia" w:ascii="仿宋_GB2312" w:hAnsi="仿宋_GB2312" w:eastAsia="仿宋_GB2312" w:cs="仿宋_GB2312"/>
          <w:i w:val="0"/>
          <w:iCs w:val="0"/>
          <w:caps w:val="0"/>
          <w:color w:val="000000"/>
          <w:spacing w:val="0"/>
          <w:sz w:val="32"/>
          <w:szCs w:val="32"/>
          <w:highlight w:val="none"/>
        </w:rPr>
        <w:t>专业服务，配合综合服务商完成城市试点工作目标。</w:t>
      </w:r>
    </w:p>
    <w:p w14:paraId="7FD2F4B1">
      <w:pPr>
        <w:keepNext w:val="0"/>
        <w:keepLines w:val="0"/>
        <w:widowControl/>
        <w:numPr>
          <w:ilvl w:val="-1"/>
          <w:numId w:val="0"/>
        </w:numPr>
        <w:suppressLineNumbers w:val="0"/>
        <w:tabs>
          <w:tab w:val="left" w:pos="0"/>
        </w:tabs>
        <w:adjustRightInd w:val="0"/>
        <w:snapToGrid w:val="0"/>
        <w:spacing w:line="600" w:lineRule="exact"/>
        <w:ind w:left="0" w:leftChars="0" w:firstLine="640" w:firstLineChars="200"/>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sz w:val="32"/>
          <w:szCs w:val="32"/>
          <w:highlight w:val="none"/>
        </w:rPr>
        <w:t>（二）提供专业数字化产品。专业服务商</w:t>
      </w:r>
      <w:r>
        <w:rPr>
          <w:rFonts w:hint="eastAsia" w:ascii="仿宋_GB2312" w:hAnsi="仿宋_GB2312" w:eastAsia="仿宋_GB2312" w:cs="仿宋_GB2312"/>
          <w:i w:val="0"/>
          <w:iCs w:val="0"/>
          <w:caps w:val="0"/>
          <w:spacing w:val="0"/>
          <w:sz w:val="32"/>
          <w:szCs w:val="32"/>
          <w:highlight w:val="none"/>
          <w:lang w:val="en-US" w:eastAsia="zh-CN"/>
        </w:rPr>
        <w:t>围绕行业共性需求和企业个性需求</w:t>
      </w:r>
      <w:r>
        <w:rPr>
          <w:rFonts w:hint="eastAsia" w:ascii="仿宋_GB2312" w:hAnsi="仿宋_GB2312" w:eastAsia="仿宋_GB2312" w:cs="仿宋_GB2312"/>
          <w:i w:val="0"/>
          <w:iCs w:val="0"/>
          <w:caps w:val="0"/>
          <w:color w:val="000000"/>
          <w:spacing w:val="0"/>
          <w:sz w:val="32"/>
          <w:szCs w:val="32"/>
          <w:highlight w:val="none"/>
        </w:rPr>
        <w:t>，提供标准化云基础服务、“小快轻准”</w:t>
      </w:r>
      <w:r>
        <w:rPr>
          <w:rFonts w:hint="eastAsia" w:ascii="仿宋_GB2312" w:hAnsi="仿宋_GB2312" w:eastAsia="仿宋_GB2312" w:cs="仿宋_GB2312"/>
          <w:i w:val="0"/>
          <w:iCs w:val="0"/>
          <w:caps w:val="0"/>
          <w:spacing w:val="0"/>
          <w:sz w:val="32"/>
          <w:szCs w:val="32"/>
          <w:highlight w:val="none"/>
          <w:lang w:val="en-US" w:eastAsia="zh-CN"/>
        </w:rPr>
        <w:t>解决方案</w:t>
      </w:r>
      <w:r>
        <w:rPr>
          <w:rFonts w:hint="eastAsia" w:ascii="仿宋_GB2312" w:hAnsi="仿宋_GB2312" w:eastAsia="仿宋_GB2312" w:cs="仿宋_GB2312"/>
          <w:i w:val="0"/>
          <w:iCs w:val="0"/>
          <w:caps w:val="0"/>
          <w:color w:val="000000"/>
          <w:spacing w:val="0"/>
          <w:sz w:val="32"/>
          <w:szCs w:val="32"/>
          <w:highlight w:val="none"/>
        </w:rPr>
        <w:t>等产品。</w:t>
      </w:r>
    </w:p>
    <w:p w14:paraId="5DC0354E">
      <w:pPr>
        <w:keepNext w:val="0"/>
        <w:keepLines w:val="0"/>
        <w:widowControl/>
        <w:numPr>
          <w:ilvl w:val="-1"/>
          <w:numId w:val="0"/>
        </w:numPr>
        <w:suppressLineNumbers w:val="0"/>
        <w:tabs>
          <w:tab w:val="left" w:pos="0"/>
        </w:tabs>
        <w:adjustRightInd w:val="0"/>
        <w:snapToGrid w:val="0"/>
        <w:spacing w:line="600" w:lineRule="exact"/>
        <w:ind w:left="0" w:leftChars="0" w:firstLine="640" w:firstLineChars="200"/>
        <w:rPr>
          <w:rFonts w:hint="eastAsia" w:ascii="仿宋_GB2312" w:hAnsi="仿宋_GB2312" w:eastAsia="仿宋_GB2312" w:cs="仿宋_GB2312"/>
          <w:i w:val="0"/>
          <w:iCs w:val="0"/>
          <w:caps w:val="0"/>
          <w:color w:val="000000"/>
          <w:spacing w:val="0"/>
          <w:sz w:val="32"/>
          <w:szCs w:val="32"/>
          <w:highlight w:val="none"/>
          <w:lang w:eastAsia="zh-CN"/>
        </w:rPr>
      </w:pPr>
      <w:r>
        <w:rPr>
          <w:rFonts w:hint="eastAsia" w:ascii="仿宋_GB2312" w:hAnsi="仿宋_GB2312" w:eastAsia="仿宋_GB2312" w:cs="仿宋_GB2312"/>
          <w:i w:val="0"/>
          <w:iCs w:val="0"/>
          <w:caps w:val="0"/>
          <w:color w:val="000000"/>
          <w:spacing w:val="0"/>
          <w:sz w:val="32"/>
          <w:szCs w:val="32"/>
          <w:highlight w:val="none"/>
        </w:rPr>
        <w:t>（三）</w:t>
      </w:r>
      <w:r>
        <w:rPr>
          <w:rFonts w:hint="eastAsia" w:ascii="仿宋_GB2312" w:hAnsi="仿宋_GB2312" w:eastAsia="仿宋_GB2312" w:cs="仿宋_GB2312"/>
          <w:sz w:val="32"/>
          <w:szCs w:val="32"/>
          <w:highlight w:val="none"/>
        </w:rPr>
        <w:t>扎实做好</w:t>
      </w:r>
      <w:r>
        <w:rPr>
          <w:rFonts w:hint="eastAsia" w:ascii="仿宋_GB2312" w:hAnsi="仿宋_GB2312" w:eastAsia="仿宋_GB2312" w:cs="仿宋_GB2312"/>
          <w:sz w:val="32"/>
          <w:szCs w:val="32"/>
          <w:highlight w:val="none"/>
          <w:lang w:eastAsia="zh-CN"/>
        </w:rPr>
        <w:t>转型</w:t>
      </w:r>
      <w:r>
        <w:rPr>
          <w:rFonts w:hint="eastAsia" w:ascii="仿宋_GB2312" w:hAnsi="仿宋_GB2312" w:eastAsia="仿宋_GB2312" w:cs="仿宋_GB2312"/>
          <w:sz w:val="32"/>
          <w:szCs w:val="32"/>
          <w:highlight w:val="none"/>
        </w:rPr>
        <w:t>实施</w:t>
      </w:r>
      <w:r>
        <w:rPr>
          <w:rFonts w:hint="eastAsia" w:ascii="仿宋_GB2312" w:hAnsi="仿宋_GB2312" w:eastAsia="仿宋_GB2312" w:cs="仿宋_GB2312"/>
          <w:i w:val="0"/>
          <w:iCs w:val="0"/>
          <w:caps w:val="0"/>
          <w:color w:val="000000"/>
          <w:spacing w:val="0"/>
          <w:sz w:val="32"/>
          <w:szCs w:val="32"/>
          <w:highlight w:val="none"/>
        </w:rPr>
        <w:t>。</w:t>
      </w:r>
      <w:r>
        <w:rPr>
          <w:rFonts w:hint="eastAsia" w:ascii="仿宋_GB2312" w:hAnsi="仿宋_GB2312" w:eastAsia="仿宋_GB2312" w:cs="仿宋_GB2312"/>
          <w:sz w:val="32"/>
          <w:szCs w:val="32"/>
          <w:highlight w:val="none"/>
        </w:rPr>
        <w:t>配合综合服务商和试点企业</w:t>
      </w:r>
      <w:r>
        <w:rPr>
          <w:rFonts w:hint="eastAsia" w:ascii="仿宋_GB2312" w:hAnsi="仿宋_GB2312" w:eastAsia="仿宋_GB2312" w:cs="仿宋_GB2312"/>
          <w:sz w:val="32"/>
          <w:szCs w:val="32"/>
          <w:highlight w:val="none"/>
          <w:lang w:val="en-US" w:eastAsia="zh-CN"/>
        </w:rPr>
        <w:t>开展</w:t>
      </w:r>
      <w:r>
        <w:rPr>
          <w:rFonts w:hint="eastAsia" w:ascii="仿宋_GB2312" w:hAnsi="仿宋_GB2312" w:eastAsia="仿宋_GB2312" w:cs="仿宋_GB2312"/>
          <w:sz w:val="32"/>
          <w:szCs w:val="32"/>
          <w:highlight w:val="none"/>
        </w:rPr>
        <w:t>数字化</w:t>
      </w:r>
      <w:r>
        <w:rPr>
          <w:rFonts w:hint="eastAsia" w:ascii="仿宋_GB2312" w:hAnsi="仿宋_GB2312" w:eastAsia="仿宋_GB2312" w:cs="仿宋_GB2312"/>
          <w:sz w:val="32"/>
          <w:szCs w:val="32"/>
          <w:highlight w:val="none"/>
          <w:lang w:val="en-US" w:eastAsia="zh-CN"/>
        </w:rPr>
        <w:t>转型</w:t>
      </w:r>
      <w:r>
        <w:rPr>
          <w:rFonts w:hint="eastAsia" w:ascii="仿宋_GB2312" w:hAnsi="仿宋_GB2312" w:eastAsia="仿宋_GB2312" w:cs="仿宋_GB2312"/>
          <w:sz w:val="32"/>
          <w:szCs w:val="32"/>
          <w:highlight w:val="none"/>
        </w:rPr>
        <w:t>需求分析、编制</w:t>
      </w:r>
      <w:r>
        <w:rPr>
          <w:rFonts w:hint="eastAsia" w:ascii="仿宋_GB2312" w:hAnsi="仿宋_GB2312" w:eastAsia="仿宋_GB2312" w:cs="仿宋_GB2312"/>
          <w:sz w:val="32"/>
          <w:szCs w:val="32"/>
          <w:highlight w:val="none"/>
          <w:lang w:val="en-US" w:eastAsia="zh-CN"/>
        </w:rPr>
        <w:t>转型</w:t>
      </w:r>
      <w:r>
        <w:rPr>
          <w:rFonts w:hint="eastAsia" w:ascii="仿宋_GB2312" w:hAnsi="仿宋_GB2312" w:eastAsia="仿宋_GB2312" w:cs="仿宋_GB2312"/>
          <w:sz w:val="32"/>
          <w:szCs w:val="32"/>
          <w:highlight w:val="none"/>
        </w:rPr>
        <w:t>方案并配合方案</w:t>
      </w:r>
      <w:r>
        <w:rPr>
          <w:rFonts w:hint="eastAsia" w:ascii="仿宋_GB2312" w:hAnsi="仿宋_GB2312" w:eastAsia="仿宋_GB2312" w:cs="仿宋_GB2312"/>
          <w:sz w:val="32"/>
          <w:szCs w:val="32"/>
          <w:highlight w:val="none"/>
          <w:lang w:val="en-US" w:eastAsia="zh-CN"/>
        </w:rPr>
        <w:t>评审</w:t>
      </w:r>
      <w:r>
        <w:rPr>
          <w:rFonts w:hint="eastAsia" w:ascii="仿宋_GB2312" w:hAnsi="仿宋_GB2312" w:eastAsia="仿宋_GB2312" w:cs="仿宋_GB2312"/>
          <w:sz w:val="32"/>
          <w:szCs w:val="32"/>
          <w:highlight w:val="none"/>
        </w:rPr>
        <w:t>，提供数据应用产品与技术服务，做好数字化项目</w:t>
      </w:r>
      <w:r>
        <w:rPr>
          <w:rFonts w:hint="eastAsia" w:ascii="仿宋_GB2312" w:hAnsi="仿宋_GB2312" w:eastAsia="仿宋_GB2312" w:cs="仿宋_GB2312"/>
          <w:sz w:val="32"/>
          <w:szCs w:val="32"/>
          <w:highlight w:val="none"/>
          <w:lang w:eastAsia="zh-CN"/>
        </w:rPr>
        <w:t>转型</w:t>
      </w:r>
      <w:r>
        <w:rPr>
          <w:rFonts w:hint="eastAsia" w:ascii="仿宋_GB2312" w:hAnsi="仿宋_GB2312" w:eastAsia="仿宋_GB2312" w:cs="仿宋_GB2312"/>
          <w:sz w:val="32"/>
          <w:szCs w:val="32"/>
          <w:highlight w:val="none"/>
        </w:rPr>
        <w:t>实施工作。</w:t>
      </w:r>
      <w:r>
        <w:rPr>
          <w:rFonts w:hint="eastAsia" w:ascii="仿宋_GB2312" w:hAnsi="仿宋_GB2312" w:eastAsia="仿宋_GB2312" w:cs="仿宋_GB2312"/>
          <w:i w:val="0"/>
          <w:iCs w:val="0"/>
          <w:caps w:val="0"/>
          <w:spacing w:val="0"/>
          <w:sz w:val="32"/>
          <w:szCs w:val="32"/>
          <w:highlight w:val="none"/>
        </w:rPr>
        <w:t>提供和推荐数字化转型案例及数字化转型标杆企业</w:t>
      </w:r>
      <w:r>
        <w:rPr>
          <w:rFonts w:hint="eastAsia" w:ascii="仿宋_GB2312" w:hAnsi="仿宋_GB2312" w:eastAsia="仿宋_GB2312" w:cs="仿宋_GB2312"/>
          <w:i w:val="0"/>
          <w:iCs w:val="0"/>
          <w:caps w:val="0"/>
          <w:spacing w:val="0"/>
          <w:sz w:val="32"/>
          <w:szCs w:val="32"/>
          <w:highlight w:val="none"/>
          <w:lang w:eastAsia="zh-CN"/>
        </w:rPr>
        <w:t>。</w:t>
      </w:r>
    </w:p>
    <w:p w14:paraId="0010F8B3">
      <w:pPr>
        <w:keepNext/>
        <w:widowControl/>
        <w:numPr>
          <w:ilvl w:val="0"/>
          <w:numId w:val="1"/>
        </w:numPr>
        <w:shd w:val="clear" w:color="auto" w:fill="FFFFFF"/>
        <w:adjustRightInd w:val="0"/>
        <w:snapToGrid w:val="0"/>
        <w:spacing w:before="312" w:beforeLines="100" w:after="156" w:afterLines="50" w:line="560" w:lineRule="exact"/>
        <w:ind w:firstLine="0"/>
        <w:jc w:val="center"/>
        <w:outlineLvl w:val="0"/>
        <w:rPr>
          <w:rFonts w:ascii="黑体" w:hAnsi="黑体" w:eastAsia="黑体" w:cs="黑体"/>
          <w:color w:val="333333"/>
          <w:kern w:val="0"/>
          <w:sz w:val="32"/>
          <w:szCs w:val="32"/>
          <w:highlight w:val="none"/>
          <w:shd w:val="clear" w:color="auto" w:fill="FFFFFF"/>
        </w:rPr>
      </w:pPr>
      <w:r>
        <w:rPr>
          <w:rFonts w:hint="eastAsia" w:ascii="黑体" w:hAnsi="黑体" w:eastAsia="黑体" w:cs="黑体"/>
          <w:color w:val="333333"/>
          <w:kern w:val="0"/>
          <w:sz w:val="32"/>
          <w:szCs w:val="32"/>
          <w:highlight w:val="none"/>
          <w:shd w:val="clear" w:color="auto" w:fill="FFFFFF"/>
        </w:rPr>
        <w:t>工作要求</w:t>
      </w:r>
    </w:p>
    <w:p w14:paraId="28E50083">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服务商在开展服务时应遵循以下工作要求：</w:t>
      </w:r>
      <w:bookmarkEnd w:id="6"/>
    </w:p>
    <w:p w14:paraId="1880F09A">
      <w:pPr>
        <w:numPr>
          <w:ilvl w:val="0"/>
          <w:numId w:val="4"/>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优化服务。</w:t>
      </w:r>
      <w:r>
        <w:rPr>
          <w:rFonts w:hint="eastAsia" w:ascii="仿宋_GB2312" w:hAnsi="仿宋_GB2312" w:eastAsia="仿宋_GB2312" w:cs="仿宋_GB2312"/>
          <w:sz w:val="32"/>
          <w:szCs w:val="32"/>
          <w:highlight w:val="none"/>
          <w:shd w:val="clear" w:color="auto" w:fill="FFFFFF"/>
        </w:rPr>
        <w:t>服务商应积极宣传政策，动员企业参与试点，响应企业需求，为企业提供数字化产品和解决方案，切实解决试点企业痛点、难点、堵点问题。</w:t>
      </w:r>
    </w:p>
    <w:p w14:paraId="79A0802B">
      <w:pPr>
        <w:numPr>
          <w:ilvl w:val="0"/>
          <w:numId w:val="4"/>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优惠价格。</w:t>
      </w:r>
      <w:r>
        <w:rPr>
          <w:rFonts w:hint="eastAsia" w:ascii="仿宋_GB2312" w:hAnsi="仿宋_GB2312" w:eastAsia="仿宋_GB2312" w:cs="仿宋_GB2312"/>
          <w:sz w:val="32"/>
          <w:szCs w:val="32"/>
          <w:highlight w:val="none"/>
          <w:shd w:val="clear" w:color="auto" w:fill="FFFFFF"/>
        </w:rPr>
        <w:t>按照“企业出一点、服务商让一点、政府补一点”的原则，服务商承诺以优惠价格向试点企业提供数字化产品或服务。</w:t>
      </w:r>
    </w:p>
    <w:p w14:paraId="265F7D6A">
      <w:pPr>
        <w:numPr>
          <w:ilvl w:val="0"/>
          <w:numId w:val="4"/>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专业团队。</w:t>
      </w:r>
      <w:r>
        <w:rPr>
          <w:rFonts w:hint="eastAsia" w:ascii="仿宋_GB2312" w:hAnsi="仿宋_GB2312" w:eastAsia="仿宋_GB2312" w:cs="仿宋_GB2312"/>
          <w:sz w:val="32"/>
          <w:szCs w:val="32"/>
          <w:highlight w:val="none"/>
          <w:shd w:val="clear" w:color="auto" w:fill="FFFFFF"/>
        </w:rPr>
        <w:t>服务商应积极组建满足企业需求、专业能力强的本地工作团队，保证充足的实施资源，合理规划项目进度，帮助试点企业提升生产经营水平，提高企业效益。</w:t>
      </w:r>
    </w:p>
    <w:p w14:paraId="25FC8EA6">
      <w:pPr>
        <w:numPr>
          <w:ilvl w:val="0"/>
          <w:numId w:val="4"/>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长效服务。</w:t>
      </w:r>
      <w:r>
        <w:rPr>
          <w:rFonts w:hint="eastAsia" w:ascii="仿宋_GB2312" w:hAnsi="仿宋_GB2312" w:eastAsia="仿宋_GB2312" w:cs="仿宋_GB2312"/>
          <w:sz w:val="32"/>
          <w:szCs w:val="32"/>
          <w:highlight w:val="none"/>
          <w:shd w:val="clear" w:color="auto" w:fill="FFFFFF"/>
        </w:rPr>
        <w:t>服务商确保提供优质的产品与服务质量、迭代升级与持续运维的能力，保证试点实施期结束后企业数字化转型可持续地推进。</w:t>
      </w:r>
    </w:p>
    <w:p w14:paraId="7FEDAC47">
      <w:pPr>
        <w:keepNext w:val="0"/>
        <w:keepLines w:val="0"/>
        <w:widowControl/>
        <w:numPr>
          <w:ilvl w:val="-1"/>
          <w:numId w:val="0"/>
        </w:numPr>
        <w:suppressLineNumbers w:val="0"/>
        <w:tabs>
          <w:tab w:val="left" w:pos="0"/>
        </w:tabs>
        <w:adjustRightInd w:val="0"/>
        <w:snapToGrid w:val="0"/>
        <w:spacing w:line="600" w:lineRule="exact"/>
        <w:ind w:left="0" w:leftChars="0" w:firstLine="640" w:firstLineChars="200"/>
        <w:rPr>
          <w:rFonts w:hint="eastAsia" w:ascii="仿宋_GB2312" w:hAnsi="仿宋_GB2312" w:eastAsia="仿宋_GB2312" w:cs="仿宋_GB2312"/>
          <w:i w:val="0"/>
          <w:iCs w:val="0"/>
          <w:caps w:val="0"/>
          <w:color w:val="000000"/>
          <w:spacing w:val="0"/>
          <w:sz w:val="32"/>
          <w:szCs w:val="32"/>
          <w:highlight w:val="none"/>
          <w:shd w:val="clear" w:color="auto" w:fill="FFFFFF"/>
        </w:rPr>
      </w:pPr>
      <w:r>
        <w:rPr>
          <w:rFonts w:hint="eastAsia" w:ascii="仿宋_GB2312" w:hAnsi="仿宋_GB2312" w:eastAsia="仿宋_GB2312" w:cs="仿宋_GB2312"/>
          <w:i w:val="0"/>
          <w:iCs w:val="0"/>
          <w:caps w:val="0"/>
          <w:color w:val="000000"/>
          <w:spacing w:val="0"/>
          <w:sz w:val="32"/>
          <w:szCs w:val="32"/>
          <w:highlight w:val="none"/>
          <w:shd w:val="clear" w:color="auto" w:fill="FFFFFF"/>
        </w:rPr>
        <w:t>（五）信息管理。服务商应在中小企业数字化转型</w:t>
      </w:r>
      <w:r>
        <w:rPr>
          <w:rFonts w:hint="eastAsia" w:ascii="仿宋_GB2312" w:hAnsi="仿宋_GB2312" w:eastAsia="仿宋_GB2312" w:cs="仿宋_GB2312"/>
          <w:i w:val="0"/>
          <w:iCs w:val="0"/>
          <w:caps w:val="0"/>
          <w:color w:val="000000"/>
          <w:spacing w:val="0"/>
          <w:sz w:val="32"/>
          <w:szCs w:val="32"/>
          <w:highlight w:val="none"/>
          <w:shd w:val="clear" w:color="auto" w:fill="FFFFFF"/>
          <w:lang w:val="en-US" w:eastAsia="zh-CN"/>
        </w:rPr>
        <w:t>综合</w:t>
      </w:r>
      <w:r>
        <w:rPr>
          <w:rFonts w:hint="eastAsia" w:ascii="仿宋_GB2312" w:hAnsi="仿宋_GB2312" w:eastAsia="仿宋_GB2312" w:cs="仿宋_GB2312"/>
          <w:i w:val="0"/>
          <w:iCs w:val="0"/>
          <w:caps w:val="0"/>
          <w:color w:val="000000"/>
          <w:spacing w:val="0"/>
          <w:sz w:val="32"/>
          <w:szCs w:val="32"/>
          <w:highlight w:val="none"/>
          <w:shd w:val="clear" w:color="auto" w:fill="FFFFFF"/>
        </w:rPr>
        <w:t>服务平台上完成信息上传和管理，录入及报送各阶段的工作开展情况，及时向</w:t>
      </w:r>
      <w:r>
        <w:rPr>
          <w:rFonts w:hint="eastAsia" w:ascii="仿宋_GB2312" w:hAnsi="仿宋_GB2312" w:eastAsia="仿宋_GB2312" w:cs="仿宋_GB2312"/>
          <w:i w:val="0"/>
          <w:iCs w:val="0"/>
          <w:caps w:val="0"/>
          <w:spacing w:val="0"/>
          <w:sz w:val="32"/>
          <w:szCs w:val="32"/>
          <w:highlight w:val="none"/>
          <w:shd w:val="clear" w:color="auto" w:fill="FFFFFF"/>
          <w:lang w:val="en-US" w:eastAsia="zh-CN"/>
        </w:rPr>
        <w:t>市工信局</w:t>
      </w:r>
      <w:r>
        <w:rPr>
          <w:rFonts w:hint="eastAsia" w:ascii="仿宋_GB2312" w:hAnsi="仿宋_GB2312" w:eastAsia="仿宋_GB2312" w:cs="仿宋_GB2312"/>
          <w:i w:val="0"/>
          <w:iCs w:val="0"/>
          <w:caps w:val="0"/>
          <w:color w:val="000000"/>
          <w:spacing w:val="0"/>
          <w:sz w:val="32"/>
          <w:szCs w:val="32"/>
          <w:highlight w:val="none"/>
          <w:shd w:val="clear" w:color="auto" w:fill="FFFFFF"/>
        </w:rPr>
        <w:t>报告项目服务范围内的重大事项，并按要求调整项目进度、整改服务内容、提高服务质量等。</w:t>
      </w:r>
    </w:p>
    <w:p w14:paraId="716C2184">
      <w:pPr>
        <w:keepNext/>
        <w:widowControl/>
        <w:numPr>
          <w:ilvl w:val="0"/>
          <w:numId w:val="1"/>
        </w:numPr>
        <w:shd w:val="clear" w:color="auto" w:fill="FFFFFF"/>
        <w:adjustRightInd w:val="0"/>
        <w:snapToGrid w:val="0"/>
        <w:spacing w:before="312" w:beforeLines="100" w:after="156" w:afterLines="50" w:line="560" w:lineRule="exact"/>
        <w:ind w:firstLine="0"/>
        <w:jc w:val="center"/>
        <w:outlineLvl w:val="0"/>
        <w:rPr>
          <w:rFonts w:ascii="黑体" w:hAnsi="黑体" w:eastAsia="黑体" w:cs="黑体"/>
          <w:color w:val="333333"/>
          <w:kern w:val="0"/>
          <w:sz w:val="32"/>
          <w:szCs w:val="32"/>
          <w:highlight w:val="none"/>
          <w:shd w:val="clear" w:color="auto" w:fill="FFFFFF"/>
        </w:rPr>
      </w:pPr>
      <w:bookmarkStart w:id="7" w:name="_Toc18508"/>
      <w:r>
        <w:rPr>
          <w:rFonts w:hint="eastAsia" w:ascii="黑体" w:hAnsi="黑体" w:eastAsia="黑体" w:cs="黑体"/>
          <w:color w:val="333333"/>
          <w:kern w:val="0"/>
          <w:sz w:val="32"/>
          <w:szCs w:val="32"/>
          <w:highlight w:val="none"/>
          <w:shd w:val="clear" w:color="auto" w:fill="FFFFFF"/>
        </w:rPr>
        <w:t>绩效与监督管理</w:t>
      </w:r>
      <w:bookmarkEnd w:id="7"/>
    </w:p>
    <w:p w14:paraId="4AD79850">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bookmarkStart w:id="8" w:name="_Toc3422"/>
      <w:r>
        <w:rPr>
          <w:rFonts w:hint="eastAsia" w:ascii="仿宋_GB2312" w:hAnsi="仿宋_GB2312" w:eastAsia="仿宋_GB2312" w:cs="仿宋_GB2312"/>
          <w:sz w:val="32"/>
          <w:szCs w:val="32"/>
          <w:highlight w:val="none"/>
          <w:shd w:val="clear" w:color="auto" w:fill="FFFFFF"/>
        </w:rPr>
        <w:t>按照“持续优化、动态调整”的原则，对未按</w:t>
      </w:r>
      <w:r>
        <w:rPr>
          <w:rFonts w:hint="eastAsia" w:ascii="仿宋_GB2312" w:hAnsi="仿宋_GB2312" w:eastAsia="仿宋_GB2312" w:cs="仿宋_GB2312"/>
          <w:sz w:val="32"/>
          <w:szCs w:val="32"/>
          <w:highlight w:val="none"/>
          <w:shd w:val="clear" w:color="auto" w:fill="FFFFFF"/>
          <w:lang w:val="en-US" w:eastAsia="zh-CN"/>
        </w:rPr>
        <w:t>任务书</w:t>
      </w:r>
      <w:r>
        <w:rPr>
          <w:rFonts w:hint="eastAsia" w:ascii="仿宋_GB2312" w:hAnsi="仿宋_GB2312" w:eastAsia="仿宋_GB2312" w:cs="仿宋_GB2312"/>
          <w:sz w:val="32"/>
          <w:szCs w:val="32"/>
          <w:highlight w:val="none"/>
          <w:shd w:val="clear" w:color="auto" w:fill="FFFFFF"/>
        </w:rPr>
        <w:t>约定完成服务事项</w:t>
      </w:r>
      <w:r>
        <w:rPr>
          <w:rFonts w:hint="eastAsia" w:ascii="仿宋_GB2312" w:hAnsi="仿宋_GB2312" w:eastAsia="仿宋_GB2312" w:cs="仿宋_GB2312"/>
          <w:sz w:val="32"/>
          <w:szCs w:val="32"/>
          <w:highlight w:val="none"/>
          <w:shd w:val="clear" w:color="auto" w:fill="FFFFFF"/>
          <w:lang w:val="en-US" w:eastAsia="zh-CN"/>
        </w:rPr>
        <w:t>的</w:t>
      </w:r>
      <w:r>
        <w:rPr>
          <w:rFonts w:hint="eastAsia" w:ascii="仿宋_GB2312" w:hAnsi="仿宋_GB2312" w:eastAsia="仿宋_GB2312" w:cs="仿宋_GB2312"/>
          <w:sz w:val="32"/>
          <w:szCs w:val="32"/>
          <w:highlight w:val="none"/>
          <w:shd w:val="clear" w:color="auto" w:fill="FFFFFF"/>
        </w:rPr>
        <w:t>，根据项目实施需求和考核情况对</w:t>
      </w:r>
      <w:r>
        <w:rPr>
          <w:rFonts w:hint="eastAsia" w:ascii="仿宋_GB2312" w:hAnsi="仿宋_GB2312" w:eastAsia="仿宋_GB2312" w:cs="仿宋_GB2312"/>
          <w:sz w:val="32"/>
          <w:szCs w:val="32"/>
          <w:highlight w:val="none"/>
          <w:shd w:val="clear" w:color="auto" w:fill="FFFFFF"/>
          <w:lang w:val="en-US" w:eastAsia="zh-CN"/>
        </w:rPr>
        <w:t>综合</w:t>
      </w:r>
      <w:r>
        <w:rPr>
          <w:rFonts w:hint="eastAsia" w:ascii="仿宋_GB2312" w:hAnsi="仿宋_GB2312" w:eastAsia="仿宋_GB2312" w:cs="仿宋_GB2312"/>
          <w:sz w:val="32"/>
          <w:szCs w:val="32"/>
          <w:highlight w:val="none"/>
          <w:shd w:val="clear" w:color="auto" w:fill="FFFFFF"/>
        </w:rPr>
        <w:t>服务商进行增补</w:t>
      </w:r>
      <w:r>
        <w:rPr>
          <w:rFonts w:hint="eastAsia" w:ascii="仿宋_GB2312" w:hAnsi="仿宋_GB2312" w:eastAsia="仿宋_GB2312" w:cs="仿宋_GB2312"/>
          <w:sz w:val="32"/>
          <w:szCs w:val="32"/>
          <w:highlight w:val="none"/>
          <w:shd w:val="clear" w:color="auto" w:fill="FFFFFF"/>
          <w:lang w:eastAsia="zh-CN"/>
        </w:rPr>
        <w:t>、</w:t>
      </w:r>
      <w:r>
        <w:rPr>
          <w:rFonts w:hint="eastAsia" w:ascii="仿宋_GB2312" w:hAnsi="仿宋_GB2312" w:eastAsia="仿宋_GB2312" w:cs="仿宋_GB2312"/>
          <w:sz w:val="32"/>
          <w:szCs w:val="32"/>
          <w:highlight w:val="none"/>
          <w:shd w:val="clear" w:color="auto" w:fill="FFFFFF"/>
          <w:lang w:val="en-US" w:eastAsia="zh-CN"/>
        </w:rPr>
        <w:t>调整、</w:t>
      </w:r>
      <w:r>
        <w:rPr>
          <w:rFonts w:hint="eastAsia" w:ascii="仿宋_GB2312" w:hAnsi="仿宋_GB2312" w:eastAsia="仿宋_GB2312" w:cs="仿宋_GB2312"/>
          <w:sz w:val="32"/>
          <w:szCs w:val="32"/>
          <w:highlight w:val="none"/>
          <w:shd w:val="clear" w:color="auto" w:fill="FFFFFF"/>
        </w:rPr>
        <w:t>退出</w:t>
      </w:r>
      <w:bookmarkEnd w:id="8"/>
      <w:r>
        <w:rPr>
          <w:rFonts w:hint="eastAsia" w:ascii="仿宋_GB2312" w:hAnsi="仿宋_GB2312" w:eastAsia="仿宋_GB2312" w:cs="仿宋_GB2312"/>
          <w:sz w:val="32"/>
          <w:szCs w:val="32"/>
          <w:highlight w:val="none"/>
          <w:shd w:val="clear" w:color="auto" w:fill="FFFFFF"/>
        </w:rPr>
        <w:t>。</w:t>
      </w:r>
    </w:p>
    <w:p w14:paraId="595454C2">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根据目标任务完成情况、项目验收情况、企业满意度评价等对综合服务商进行绩效评价，评价优秀的，后续</w:t>
      </w:r>
      <w:r>
        <w:rPr>
          <w:rFonts w:hint="eastAsia" w:ascii="仿宋_GB2312" w:hAnsi="仿宋_GB2312" w:eastAsia="仿宋_GB2312" w:cs="仿宋_GB2312"/>
          <w:sz w:val="32"/>
          <w:szCs w:val="32"/>
          <w:highlight w:val="none"/>
          <w:shd w:val="clear" w:color="auto" w:fill="FFFFFF"/>
          <w:lang w:val="en-US" w:eastAsia="zh-CN"/>
        </w:rPr>
        <w:t>申报国家级、省级相关称号</w:t>
      </w:r>
      <w:r>
        <w:rPr>
          <w:rFonts w:hint="eastAsia" w:ascii="仿宋_GB2312" w:hAnsi="仿宋_GB2312" w:eastAsia="仿宋_GB2312" w:cs="仿宋_GB2312"/>
          <w:sz w:val="32"/>
          <w:szCs w:val="32"/>
          <w:highlight w:val="none"/>
          <w:shd w:val="clear" w:color="auto" w:fill="FFFFFF"/>
        </w:rPr>
        <w:t>时优先考虑。</w:t>
      </w:r>
    </w:p>
    <w:p w14:paraId="6A8E4638">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服务商出现以下情形之一的，将对服务商予以警告并责令限期整改：</w:t>
      </w:r>
    </w:p>
    <w:p w14:paraId="3DB698D0">
      <w:pPr>
        <w:numPr>
          <w:ilvl w:val="0"/>
          <w:numId w:val="5"/>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人员能力不足或团队配置不合理，</w:t>
      </w:r>
      <w:r>
        <w:rPr>
          <w:rFonts w:hint="eastAsia" w:ascii="仿宋_GB2312" w:hAnsi="仿宋_GB2312" w:eastAsia="仿宋_GB2312" w:cs="仿宋_GB2312"/>
          <w:sz w:val="32"/>
          <w:szCs w:val="32"/>
          <w:highlight w:val="none"/>
          <w:shd w:val="clear" w:color="auto" w:fill="FFFFFF"/>
          <w:lang w:val="en-US" w:eastAsia="zh-CN"/>
        </w:rPr>
        <w:t>转型</w:t>
      </w:r>
      <w:r>
        <w:rPr>
          <w:rFonts w:hint="eastAsia" w:ascii="仿宋_GB2312" w:hAnsi="仿宋_GB2312" w:eastAsia="仿宋_GB2312" w:cs="仿宋_GB2312"/>
          <w:sz w:val="32"/>
          <w:szCs w:val="32"/>
          <w:highlight w:val="none"/>
          <w:shd w:val="clear" w:color="auto" w:fill="FFFFFF"/>
        </w:rPr>
        <w:t>服务</w:t>
      </w:r>
      <w:r>
        <w:rPr>
          <w:rFonts w:hint="eastAsia" w:ascii="仿宋_GB2312" w:hAnsi="仿宋_GB2312" w:eastAsia="仿宋_GB2312" w:cs="仿宋_GB2312"/>
          <w:sz w:val="32"/>
          <w:szCs w:val="32"/>
          <w:highlight w:val="none"/>
          <w:shd w:val="clear" w:color="auto" w:fill="FFFFFF"/>
          <w:lang w:val="en-US" w:eastAsia="zh-CN"/>
        </w:rPr>
        <w:t>能力</w:t>
      </w:r>
      <w:r>
        <w:rPr>
          <w:rFonts w:hint="eastAsia" w:ascii="仿宋_GB2312" w:hAnsi="仿宋_GB2312" w:eastAsia="仿宋_GB2312" w:cs="仿宋_GB2312"/>
          <w:sz w:val="32"/>
          <w:szCs w:val="32"/>
          <w:highlight w:val="none"/>
          <w:shd w:val="clear" w:color="auto" w:fill="FFFFFF"/>
        </w:rPr>
        <w:t>不能满足企业需求，造成试点企业投诉或试点企业满意度评价为“不满意”的；</w:t>
      </w:r>
      <w:bookmarkStart w:id="9" w:name="_Toc23580"/>
    </w:p>
    <w:p w14:paraId="0690897E">
      <w:pPr>
        <w:numPr>
          <w:ilvl w:val="0"/>
          <w:numId w:val="5"/>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违背诚信原则，不履行职责的；</w:t>
      </w:r>
    </w:p>
    <w:p w14:paraId="5EE39AA3">
      <w:pPr>
        <w:numPr>
          <w:ilvl w:val="0"/>
          <w:numId w:val="5"/>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月度绩效考核不达标或</w:t>
      </w:r>
      <w:r>
        <w:rPr>
          <w:rFonts w:hint="eastAsia" w:ascii="仿宋_GB2312" w:hAnsi="仿宋_GB2312" w:eastAsia="仿宋_GB2312" w:cs="仿宋_GB2312"/>
          <w:sz w:val="32"/>
          <w:szCs w:val="32"/>
          <w:highlight w:val="none"/>
          <w:shd w:val="clear" w:color="auto" w:fill="FFFFFF"/>
          <w:lang w:val="en-US" w:eastAsia="zh-CN"/>
        </w:rPr>
        <w:t>总体服务转型</w:t>
      </w:r>
      <w:r>
        <w:rPr>
          <w:rFonts w:hint="eastAsia" w:ascii="仿宋_GB2312" w:hAnsi="仿宋_GB2312" w:eastAsia="仿宋_GB2312" w:cs="仿宋_GB2312"/>
          <w:sz w:val="32"/>
          <w:szCs w:val="32"/>
          <w:highlight w:val="none"/>
          <w:shd w:val="clear" w:color="auto" w:fill="FFFFFF"/>
        </w:rPr>
        <w:t>项目进度目标滞后超过20%</w:t>
      </w:r>
      <w:r>
        <w:rPr>
          <w:rFonts w:hint="eastAsia" w:ascii="仿宋_GB2312" w:hAnsi="仿宋_GB2312" w:eastAsia="仿宋_GB2312" w:cs="仿宋_GB2312"/>
          <w:sz w:val="32"/>
          <w:szCs w:val="32"/>
          <w:highlight w:val="none"/>
          <w:shd w:val="clear" w:color="auto" w:fill="FFFFFF"/>
          <w:lang w:val="en-US" w:eastAsia="zh-CN"/>
        </w:rPr>
        <w:t>的</w:t>
      </w:r>
      <w:r>
        <w:rPr>
          <w:rFonts w:hint="eastAsia" w:ascii="仿宋_GB2312" w:hAnsi="仿宋_GB2312" w:eastAsia="仿宋_GB2312" w:cs="仿宋_GB2312"/>
          <w:sz w:val="32"/>
          <w:szCs w:val="32"/>
          <w:highlight w:val="none"/>
          <w:shd w:val="clear" w:color="auto" w:fill="FFFFFF"/>
        </w:rPr>
        <w:t>；</w:t>
      </w:r>
    </w:p>
    <w:p w14:paraId="3F1E314B">
      <w:pPr>
        <w:numPr>
          <w:ilvl w:val="0"/>
          <w:numId w:val="5"/>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资料报送不及时、不完整、不规范的；</w:t>
      </w:r>
      <w:bookmarkEnd w:id="9"/>
    </w:p>
    <w:p w14:paraId="226D2AD6">
      <w:pPr>
        <w:numPr>
          <w:ilvl w:val="0"/>
          <w:numId w:val="5"/>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服务商名称、住所、法定代表人、经营范围以及注册资本等内容发生重大变更，未及时报告说明的；</w:t>
      </w:r>
    </w:p>
    <w:p w14:paraId="4315E0D5">
      <w:pPr>
        <w:numPr>
          <w:ilvl w:val="0"/>
          <w:numId w:val="5"/>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以服务商身份在与中小企业数字化转型试点无关工作中获取不正当利益的</w:t>
      </w:r>
      <w:r>
        <w:rPr>
          <w:rFonts w:hint="eastAsia" w:ascii="仿宋_GB2312" w:hAnsi="仿宋_GB2312" w:eastAsia="仿宋_GB2312" w:cs="仿宋_GB2312"/>
          <w:sz w:val="32"/>
          <w:szCs w:val="32"/>
          <w:highlight w:val="none"/>
          <w:shd w:val="clear" w:color="auto" w:fill="FFFFFF"/>
          <w:lang w:eastAsia="zh-CN"/>
        </w:rPr>
        <w:t>；</w:t>
      </w:r>
    </w:p>
    <w:p w14:paraId="76A4EFBC">
      <w:pPr>
        <w:numPr>
          <w:ilvl w:val="0"/>
          <w:numId w:val="5"/>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其他违反市场公平竞争原则、违背本</w:t>
      </w:r>
      <w:r>
        <w:rPr>
          <w:rFonts w:hint="eastAsia" w:ascii="仿宋_GB2312" w:hAnsi="仿宋_GB2312" w:eastAsia="仿宋_GB2312" w:cs="仿宋_GB2312"/>
          <w:sz w:val="32"/>
          <w:szCs w:val="32"/>
          <w:highlight w:val="none"/>
          <w:shd w:val="clear" w:color="auto" w:fill="FFFFFF"/>
          <w:lang w:eastAsia="zh-CN"/>
        </w:rPr>
        <w:t>细则</w:t>
      </w:r>
      <w:r>
        <w:rPr>
          <w:rFonts w:hint="eastAsia" w:ascii="仿宋_GB2312" w:hAnsi="仿宋_GB2312" w:eastAsia="仿宋_GB2312" w:cs="仿宋_GB2312"/>
          <w:sz w:val="32"/>
          <w:szCs w:val="32"/>
          <w:highlight w:val="none"/>
          <w:shd w:val="clear" w:color="auto" w:fill="FFFFFF"/>
        </w:rPr>
        <w:t>相关条款内容的行为。</w:t>
      </w:r>
    </w:p>
    <w:p w14:paraId="35947BB6">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服务商出现以下情形之一的，将根据实际情况取消服务商资格，并依法追究相关责任：</w:t>
      </w:r>
    </w:p>
    <w:p w14:paraId="2E350049">
      <w:pPr>
        <w:numPr>
          <w:ilvl w:val="0"/>
          <w:numId w:val="6"/>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泄露试点企业商业机密、核心技术或敏感信息，包括但不限于客户数据、产品设计、生产流程等；</w:t>
      </w:r>
      <w:bookmarkStart w:id="10" w:name="_Toc13429"/>
    </w:p>
    <w:p w14:paraId="3B78EA27">
      <w:pPr>
        <w:numPr>
          <w:ilvl w:val="0"/>
          <w:numId w:val="6"/>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恶意诽谤、污蔑中小企业数字化转型工作及相关工作人员，造成严重不良社会影响的；</w:t>
      </w:r>
      <w:bookmarkEnd w:id="10"/>
    </w:p>
    <w:p w14:paraId="78A8E2DC">
      <w:pPr>
        <w:numPr>
          <w:ilvl w:val="0"/>
          <w:numId w:val="6"/>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bookmarkStart w:id="11" w:name="_Toc5875"/>
      <w:r>
        <w:rPr>
          <w:rFonts w:hint="eastAsia" w:ascii="仿宋_GB2312" w:hAnsi="仿宋_GB2312" w:eastAsia="仿宋_GB2312" w:cs="仿宋_GB2312"/>
          <w:sz w:val="32"/>
          <w:szCs w:val="32"/>
          <w:highlight w:val="none"/>
          <w:shd w:val="clear" w:color="auto" w:fill="FFFFFF"/>
        </w:rPr>
        <w:t>虚构企业数字化</w:t>
      </w:r>
      <w:r>
        <w:rPr>
          <w:rFonts w:hint="eastAsia" w:ascii="仿宋_GB2312" w:hAnsi="仿宋_GB2312" w:eastAsia="仿宋_GB2312" w:cs="仿宋_GB2312"/>
          <w:sz w:val="32"/>
          <w:szCs w:val="32"/>
          <w:highlight w:val="none"/>
          <w:shd w:val="clear" w:color="auto" w:fill="FFFFFF"/>
          <w:lang w:eastAsia="zh-CN"/>
        </w:rPr>
        <w:t>转型</w:t>
      </w:r>
      <w:r>
        <w:rPr>
          <w:rFonts w:hint="eastAsia" w:ascii="仿宋_GB2312" w:hAnsi="仿宋_GB2312" w:eastAsia="仿宋_GB2312" w:cs="仿宋_GB2312"/>
          <w:sz w:val="32"/>
          <w:szCs w:val="32"/>
          <w:highlight w:val="none"/>
          <w:shd w:val="clear" w:color="auto" w:fill="FFFFFF"/>
        </w:rPr>
        <w:t>需求</w:t>
      </w:r>
      <w:bookmarkEnd w:id="11"/>
      <w:r>
        <w:rPr>
          <w:rFonts w:hint="eastAsia" w:ascii="仿宋_GB2312" w:hAnsi="仿宋_GB2312" w:eastAsia="仿宋_GB2312" w:cs="仿宋_GB2312"/>
          <w:sz w:val="32"/>
          <w:szCs w:val="32"/>
          <w:highlight w:val="none"/>
          <w:shd w:val="clear" w:color="auto" w:fill="FFFFFF"/>
        </w:rPr>
        <w:t>、与试点企业合作中获取不当利益，以及采取不正当竞争手段、损害试点企业或其他相关参与方利益的；</w:t>
      </w:r>
    </w:p>
    <w:p w14:paraId="27E24DCA">
      <w:pPr>
        <w:numPr>
          <w:ilvl w:val="0"/>
          <w:numId w:val="6"/>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default" w:ascii="仿宋_GB2312" w:hAnsi="仿宋_GB2312" w:eastAsia="仿宋_GB2312" w:cs="仿宋_GB2312"/>
          <w:sz w:val="32"/>
          <w:szCs w:val="32"/>
          <w:highlight w:val="none"/>
          <w:shd w:val="clear" w:color="auto" w:fill="FFFFFF"/>
          <w:lang w:val="en-US" w:eastAsia="zh-CN"/>
        </w:rPr>
        <w:t>服务商会同试点企业弄虚作假、商业欺诈，造成恶劣影响的，收回其相关奖补资金</w:t>
      </w:r>
      <w:r>
        <w:rPr>
          <w:rFonts w:hint="eastAsia" w:ascii="仿宋_GB2312" w:hAnsi="仿宋_GB2312" w:eastAsia="仿宋_GB2312" w:cs="仿宋_GB2312"/>
          <w:sz w:val="32"/>
          <w:szCs w:val="32"/>
          <w:highlight w:val="none"/>
          <w:shd w:val="clear" w:color="auto" w:fill="FFFFFF"/>
          <w:lang w:val="en-US" w:eastAsia="zh-CN"/>
        </w:rPr>
        <w:t>；</w:t>
      </w:r>
    </w:p>
    <w:p w14:paraId="02E4F5C6">
      <w:pPr>
        <w:numPr>
          <w:ilvl w:val="0"/>
          <w:numId w:val="6"/>
        </w:numPr>
        <w:adjustRightInd w:val="0"/>
        <w:snapToGrid w:val="0"/>
        <w:spacing w:line="600" w:lineRule="exact"/>
        <w:ind w:firstLine="640" w:firstLineChars="200"/>
        <w:rPr>
          <w:rFonts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对试点</w:t>
      </w:r>
      <w:r>
        <w:rPr>
          <w:rFonts w:hint="eastAsia" w:ascii="仿宋_GB2312" w:hAnsi="仿宋_GB2312" w:eastAsia="仿宋_GB2312" w:cs="仿宋_GB2312"/>
          <w:sz w:val="32"/>
          <w:szCs w:val="32"/>
          <w:highlight w:val="none"/>
          <w:shd w:val="clear" w:color="auto" w:fill="FFFFFF"/>
          <w:lang w:val="en-US" w:eastAsia="zh-CN"/>
        </w:rPr>
        <w:t>工作</w:t>
      </w:r>
      <w:r>
        <w:rPr>
          <w:rFonts w:hint="eastAsia" w:ascii="仿宋_GB2312" w:hAnsi="仿宋_GB2312" w:eastAsia="仿宋_GB2312" w:cs="仿宋_GB2312"/>
          <w:sz w:val="32"/>
          <w:szCs w:val="32"/>
          <w:highlight w:val="none"/>
          <w:shd w:val="clear" w:color="auto" w:fill="FFFFFF"/>
        </w:rPr>
        <w:t>造成重大损失或恶劣影响的。</w:t>
      </w:r>
    </w:p>
    <w:p w14:paraId="337D333C">
      <w:pPr>
        <w:widowControl/>
        <w:numPr>
          <w:ilvl w:val="0"/>
          <w:numId w:val="1"/>
        </w:numPr>
        <w:shd w:val="clear" w:color="auto" w:fill="FFFFFF"/>
        <w:adjustRightInd w:val="0"/>
        <w:snapToGrid w:val="0"/>
        <w:spacing w:before="312" w:beforeLines="100" w:after="156" w:afterLines="50" w:line="560" w:lineRule="exact"/>
        <w:ind w:firstLine="0"/>
        <w:jc w:val="center"/>
        <w:outlineLvl w:val="0"/>
        <w:rPr>
          <w:rFonts w:ascii="黑体" w:hAnsi="黑体" w:eastAsia="黑体" w:cs="黑体"/>
          <w:color w:val="333333"/>
          <w:kern w:val="0"/>
          <w:sz w:val="32"/>
          <w:szCs w:val="32"/>
          <w:highlight w:val="none"/>
          <w:shd w:val="clear" w:color="auto" w:fill="FFFFFF"/>
        </w:rPr>
      </w:pPr>
      <w:bookmarkStart w:id="12" w:name="_Toc11512"/>
      <w:r>
        <w:rPr>
          <w:rFonts w:hint="eastAsia" w:ascii="黑体" w:hAnsi="黑体" w:eastAsia="黑体" w:cs="黑体"/>
          <w:color w:val="333333"/>
          <w:kern w:val="0"/>
          <w:sz w:val="32"/>
          <w:szCs w:val="32"/>
          <w:highlight w:val="none"/>
          <w:shd w:val="clear" w:color="auto" w:fill="FFFFFF"/>
        </w:rPr>
        <w:t>附则</w:t>
      </w:r>
      <w:bookmarkEnd w:id="12"/>
    </w:p>
    <w:p w14:paraId="4EC08202">
      <w:pPr>
        <w:numPr>
          <w:ilvl w:val="1"/>
          <w:numId w:val="2"/>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本</w:t>
      </w:r>
      <w:r>
        <w:rPr>
          <w:rFonts w:hint="eastAsia" w:ascii="仿宋_GB2312" w:hAnsi="仿宋_GB2312" w:eastAsia="仿宋_GB2312" w:cs="仿宋_GB2312"/>
          <w:sz w:val="32"/>
          <w:szCs w:val="32"/>
          <w:highlight w:val="none"/>
          <w:shd w:val="clear" w:color="auto" w:fill="FFFFFF"/>
          <w:lang w:eastAsia="zh-CN"/>
        </w:rPr>
        <w:t>细则</w:t>
      </w:r>
      <w:r>
        <w:rPr>
          <w:rFonts w:hint="eastAsia" w:ascii="仿宋_GB2312" w:hAnsi="仿宋_GB2312" w:eastAsia="仿宋_GB2312" w:cs="仿宋_GB2312"/>
          <w:sz w:val="32"/>
          <w:szCs w:val="32"/>
          <w:highlight w:val="none"/>
          <w:shd w:val="clear" w:color="auto" w:fill="FFFFFF"/>
        </w:rPr>
        <w:t>由市工信局负责解释。</w:t>
      </w:r>
    </w:p>
    <w:p w14:paraId="20686602">
      <w:pPr>
        <w:widowControl/>
        <w:numPr>
          <w:ilvl w:val="1"/>
          <w:numId w:val="2"/>
        </w:numPr>
        <w:adjustRightInd w:val="0"/>
        <w:snapToGrid w:val="0"/>
        <w:spacing w:line="600" w:lineRule="exact"/>
        <w:ind w:firstLine="640" w:firstLineChars="200"/>
        <w:outlineLvl w:val="1"/>
        <w:rPr>
          <w:highlight w:val="none"/>
        </w:rPr>
      </w:pPr>
      <w:bookmarkStart w:id="13" w:name="_Toc4623"/>
      <w:r>
        <w:rPr>
          <w:rFonts w:hint="eastAsia" w:ascii="仿宋_GB2312" w:hAnsi="仿宋_GB2312" w:eastAsia="仿宋_GB2312" w:cs="仿宋_GB2312"/>
          <w:sz w:val="32"/>
          <w:szCs w:val="32"/>
          <w:highlight w:val="none"/>
          <w:shd w:val="clear" w:color="auto" w:fill="FFFFFF"/>
        </w:rPr>
        <w:t>本</w:t>
      </w:r>
      <w:r>
        <w:rPr>
          <w:rFonts w:hint="eastAsia" w:ascii="仿宋_GB2312" w:hAnsi="仿宋_GB2312" w:eastAsia="仿宋_GB2312" w:cs="仿宋_GB2312"/>
          <w:sz w:val="32"/>
          <w:szCs w:val="32"/>
          <w:highlight w:val="none"/>
          <w:shd w:val="clear" w:color="auto" w:fill="FFFFFF"/>
          <w:lang w:eastAsia="zh-CN"/>
        </w:rPr>
        <w:t>细则</w:t>
      </w:r>
      <w:r>
        <w:rPr>
          <w:rFonts w:hint="eastAsia" w:ascii="仿宋_GB2312" w:hAnsi="仿宋_GB2312" w:eastAsia="仿宋_GB2312" w:cs="仿宋_GB2312"/>
          <w:sz w:val="32"/>
          <w:szCs w:val="32"/>
          <w:highlight w:val="none"/>
          <w:shd w:val="clear" w:color="auto" w:fill="FFFFFF"/>
        </w:rPr>
        <w:t>自发布之日起施行，有效期至试点期结束</w:t>
      </w:r>
      <w:bookmarkEnd w:id="13"/>
      <w:r>
        <w:rPr>
          <w:rFonts w:hint="eastAsia" w:ascii="仿宋_GB2312" w:hAnsi="仿宋_GB2312" w:eastAsia="仿宋_GB2312" w:cs="仿宋_GB2312"/>
          <w:sz w:val="32"/>
          <w:szCs w:val="32"/>
          <w:highlight w:val="none"/>
          <w:shd w:val="clear" w:color="auto" w:fill="FFFFFF"/>
        </w:rPr>
        <w:t>。</w:t>
      </w:r>
      <w:r>
        <w:rPr>
          <w:rFonts w:hint="eastAsia" w:ascii="仿宋_GB2312" w:hAnsi="仿宋_GB2312" w:eastAsia="仿宋_GB2312" w:cs="仿宋_GB2312"/>
          <w:sz w:val="32"/>
          <w:szCs w:val="32"/>
          <w:highlight w:val="none"/>
          <w:shd w:val="clear" w:color="auto" w:fill="FFFFFF"/>
          <w:lang w:eastAsia="zh"/>
        </w:rPr>
        <w:t>本细则自发布之日起施行，有效期至2026年10月31日。如国家和省有关政策发生调整，则按照国家和贵州省有关政策执行。</w:t>
      </w:r>
    </w:p>
    <w:bookmarkEnd w:id="14"/>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简体">
    <w:panose1 w:val="02010601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8EE3F">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B55FF5">
                          <w:pPr>
                            <w:pStyle w:val="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CB55FF5">
                    <w:pPr>
                      <w:pStyle w:val="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47044"/>
    <w:multiLevelType w:val="singleLevel"/>
    <w:tmpl w:val="ADE47044"/>
    <w:lvl w:ilvl="0" w:tentative="0">
      <w:start w:val="1"/>
      <w:numFmt w:val="chineseCounting"/>
      <w:suff w:val="nothing"/>
      <w:lvlText w:val="（%1）"/>
      <w:lvlJc w:val="left"/>
      <w:pPr>
        <w:ind w:left="0" w:firstLine="420"/>
      </w:pPr>
      <w:rPr>
        <w:rFonts w:hint="eastAsia"/>
      </w:rPr>
    </w:lvl>
  </w:abstractNum>
  <w:abstractNum w:abstractNumId="1">
    <w:nsid w:val="E8F9650D"/>
    <w:multiLevelType w:val="singleLevel"/>
    <w:tmpl w:val="E8F9650D"/>
    <w:lvl w:ilvl="0" w:tentative="0">
      <w:start w:val="1"/>
      <w:numFmt w:val="chineseCounting"/>
      <w:suff w:val="nothing"/>
      <w:lvlText w:val="（%1）"/>
      <w:lvlJc w:val="left"/>
      <w:pPr>
        <w:ind w:left="0" w:firstLine="420"/>
      </w:pPr>
      <w:rPr>
        <w:rFonts w:hint="eastAsia"/>
      </w:rPr>
    </w:lvl>
  </w:abstractNum>
  <w:abstractNum w:abstractNumId="2">
    <w:nsid w:val="16318D96"/>
    <w:multiLevelType w:val="singleLevel"/>
    <w:tmpl w:val="16318D96"/>
    <w:lvl w:ilvl="0" w:tentative="0">
      <w:start w:val="1"/>
      <w:numFmt w:val="chineseCounting"/>
      <w:suff w:val="nothing"/>
      <w:lvlText w:val="（%1）"/>
      <w:lvlJc w:val="left"/>
      <w:pPr>
        <w:tabs>
          <w:tab w:val="left" w:pos="0"/>
        </w:tabs>
        <w:ind w:left="0" w:firstLine="40"/>
      </w:pPr>
      <w:rPr>
        <w:rFonts w:hint="eastAsia" w:ascii="楷体_GB2312" w:hAnsi="楷体_GB2312" w:eastAsia="仿宋_GB2312"/>
        <w:sz w:val="32"/>
        <w:szCs w:val="32"/>
      </w:rPr>
    </w:lvl>
  </w:abstractNum>
  <w:abstractNum w:abstractNumId="3">
    <w:nsid w:val="20F623D8"/>
    <w:multiLevelType w:val="multilevel"/>
    <w:tmpl w:val="20F623D8"/>
    <w:lvl w:ilvl="0" w:tentative="0">
      <w:start w:val="1"/>
      <w:numFmt w:val="chineseCounting"/>
      <w:suff w:val="nothing"/>
      <w:lvlText w:val="第%1章　"/>
      <w:lvlJc w:val="left"/>
      <w:pPr>
        <w:tabs>
          <w:tab w:val="left" w:pos="0"/>
        </w:tabs>
        <w:ind w:left="0" w:firstLine="402"/>
      </w:pPr>
      <w:rPr>
        <w:rFonts w:hint="eastAsia" w:ascii="黑体" w:hAnsi="黑体" w:eastAsia="黑体" w:cs="黑体"/>
        <w:sz w:val="32"/>
        <w:szCs w:val="32"/>
      </w:rPr>
    </w:lvl>
    <w:lvl w:ilvl="1" w:tentative="0">
      <w:start w:val="1"/>
      <w:numFmt w:val="chineseCounting"/>
      <w:lvlRestart w:val="0"/>
      <w:suff w:val="nothing"/>
      <w:lvlText w:val="第%2条　"/>
      <w:lvlJc w:val="left"/>
      <w:pPr>
        <w:tabs>
          <w:tab w:val="left" w:pos="0"/>
        </w:tabs>
        <w:ind w:left="0" w:firstLine="402"/>
      </w:pPr>
      <w:rPr>
        <w:rFonts w:hint="eastAsia"/>
        <w:b/>
        <w:bCs w:val="0"/>
      </w:rPr>
    </w:lvl>
    <w:lvl w:ilvl="2" w:tentative="0">
      <w:start w:val="1"/>
      <w:numFmt w:val="none"/>
      <w:suff w:val="nothing"/>
      <w:lvlText w:val=""/>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4">
    <w:nsid w:val="5073E760"/>
    <w:multiLevelType w:val="multilevel"/>
    <w:tmpl w:val="5073E760"/>
    <w:lvl w:ilvl="0" w:tentative="0">
      <w:start w:val="1"/>
      <w:numFmt w:val="chineseCounting"/>
      <w:suff w:val="nothing"/>
      <w:lvlText w:val="第%1章　"/>
      <w:lvlJc w:val="left"/>
      <w:pPr>
        <w:tabs>
          <w:tab w:val="left" w:pos="0"/>
        </w:tabs>
        <w:ind w:left="0" w:firstLine="402"/>
      </w:pPr>
      <w:rPr>
        <w:rFonts w:hint="eastAsia"/>
      </w:rPr>
    </w:lvl>
    <w:lvl w:ilvl="1" w:tentative="0">
      <w:start w:val="1"/>
      <w:numFmt w:val="chineseCounting"/>
      <w:lvlRestart w:val="0"/>
      <w:suff w:val="nothing"/>
      <w:lvlText w:val="第%2条　"/>
      <w:lvlJc w:val="left"/>
      <w:pPr>
        <w:tabs>
          <w:tab w:val="left" w:pos="0"/>
        </w:tabs>
        <w:ind w:left="0" w:firstLine="402"/>
      </w:pPr>
      <w:rPr>
        <w:rFonts w:hint="eastAsia" w:ascii="黑体" w:hAnsi="黑体" w:eastAsia="楷体_GB2312" w:cs="黑体"/>
        <w:b w:val="0"/>
        <w:bCs w:val="0"/>
        <w:sz w:val="32"/>
        <w:szCs w:val="32"/>
      </w:rPr>
    </w:lvl>
    <w:lvl w:ilvl="2" w:tentative="0">
      <w:start w:val="1"/>
      <w:numFmt w:val="none"/>
      <w:suff w:val="nothing"/>
      <w:lvlText w:val=""/>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5">
    <w:nsid w:val="594D5867"/>
    <w:multiLevelType w:val="singleLevel"/>
    <w:tmpl w:val="594D5867"/>
    <w:lvl w:ilvl="0" w:tentative="0">
      <w:start w:val="1"/>
      <w:numFmt w:val="chineseCounting"/>
      <w:suff w:val="nothing"/>
      <w:lvlText w:val="（%1）"/>
      <w:lvlJc w:val="left"/>
      <w:pPr>
        <w:tabs>
          <w:tab w:val="left" w:pos="0"/>
        </w:tabs>
        <w:ind w:left="0" w:firstLine="40"/>
      </w:pPr>
      <w:rPr>
        <w:rFonts w:hint="eastAsia" w:ascii="楷体_GB2312" w:hAnsi="楷体_GB2312" w:eastAsia="仿宋_GB2312"/>
        <w:b w:val="0"/>
        <w:sz w:val="32"/>
        <w:szCs w:val="32"/>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RmYzJlMTkzZmEwZTdhYzA2MzgwYzQ0YTA2YWRhNmMifQ=="/>
  </w:docVars>
  <w:rsids>
    <w:rsidRoot w:val="00172A27"/>
    <w:rsid w:val="001130D1"/>
    <w:rsid w:val="00172A27"/>
    <w:rsid w:val="0018734A"/>
    <w:rsid w:val="00187D14"/>
    <w:rsid w:val="001C18ED"/>
    <w:rsid w:val="002A266D"/>
    <w:rsid w:val="002D498C"/>
    <w:rsid w:val="003720D9"/>
    <w:rsid w:val="003A298C"/>
    <w:rsid w:val="003E0CB7"/>
    <w:rsid w:val="00414F55"/>
    <w:rsid w:val="005D201B"/>
    <w:rsid w:val="005E1FBF"/>
    <w:rsid w:val="006E0E4A"/>
    <w:rsid w:val="00707AAB"/>
    <w:rsid w:val="00733607"/>
    <w:rsid w:val="007F5ADB"/>
    <w:rsid w:val="0080581D"/>
    <w:rsid w:val="009219B0"/>
    <w:rsid w:val="0096705A"/>
    <w:rsid w:val="00977EAD"/>
    <w:rsid w:val="00A339EA"/>
    <w:rsid w:val="00A740CE"/>
    <w:rsid w:val="00AD637D"/>
    <w:rsid w:val="00B1100E"/>
    <w:rsid w:val="00B23EDE"/>
    <w:rsid w:val="00B657D3"/>
    <w:rsid w:val="00B65FE6"/>
    <w:rsid w:val="00B93323"/>
    <w:rsid w:val="00BB3976"/>
    <w:rsid w:val="00BF66CC"/>
    <w:rsid w:val="00C55115"/>
    <w:rsid w:val="00CF5401"/>
    <w:rsid w:val="00DA21E5"/>
    <w:rsid w:val="00DA5D15"/>
    <w:rsid w:val="00E73D1C"/>
    <w:rsid w:val="00EB652A"/>
    <w:rsid w:val="00F52C2E"/>
    <w:rsid w:val="00F91F3A"/>
    <w:rsid w:val="00FC3787"/>
    <w:rsid w:val="00FE4074"/>
    <w:rsid w:val="01420593"/>
    <w:rsid w:val="047945DB"/>
    <w:rsid w:val="07EE658E"/>
    <w:rsid w:val="08AE00F1"/>
    <w:rsid w:val="0B8476A7"/>
    <w:rsid w:val="125C761B"/>
    <w:rsid w:val="167364D6"/>
    <w:rsid w:val="1680118C"/>
    <w:rsid w:val="17B365A9"/>
    <w:rsid w:val="19C21C4E"/>
    <w:rsid w:val="1B210BF7"/>
    <w:rsid w:val="1B3F41DB"/>
    <w:rsid w:val="1BFD611B"/>
    <w:rsid w:val="1EDB6FE4"/>
    <w:rsid w:val="245142FB"/>
    <w:rsid w:val="24BB219E"/>
    <w:rsid w:val="26F121F0"/>
    <w:rsid w:val="27DE7653"/>
    <w:rsid w:val="2C1D5468"/>
    <w:rsid w:val="2C923702"/>
    <w:rsid w:val="2D426ED6"/>
    <w:rsid w:val="2F983C34"/>
    <w:rsid w:val="31AA2B5F"/>
    <w:rsid w:val="32B819E9"/>
    <w:rsid w:val="350D601C"/>
    <w:rsid w:val="35325A82"/>
    <w:rsid w:val="3AFB1ED1"/>
    <w:rsid w:val="3B3A2DAD"/>
    <w:rsid w:val="3FB86ABD"/>
    <w:rsid w:val="4102257F"/>
    <w:rsid w:val="4261747C"/>
    <w:rsid w:val="426A54DE"/>
    <w:rsid w:val="42C52E22"/>
    <w:rsid w:val="43CE1A40"/>
    <w:rsid w:val="443E2049"/>
    <w:rsid w:val="46A47F54"/>
    <w:rsid w:val="4AB510B6"/>
    <w:rsid w:val="4CC37500"/>
    <w:rsid w:val="4CCB317B"/>
    <w:rsid w:val="4DC71B3D"/>
    <w:rsid w:val="4F106BA8"/>
    <w:rsid w:val="4F2E08A8"/>
    <w:rsid w:val="50D707E7"/>
    <w:rsid w:val="513D338D"/>
    <w:rsid w:val="51535F56"/>
    <w:rsid w:val="535C2439"/>
    <w:rsid w:val="54BB6290"/>
    <w:rsid w:val="55AA4038"/>
    <w:rsid w:val="58D56F54"/>
    <w:rsid w:val="593C6F99"/>
    <w:rsid w:val="5A433C79"/>
    <w:rsid w:val="5B976A5A"/>
    <w:rsid w:val="5C057B76"/>
    <w:rsid w:val="5C7D0E1C"/>
    <w:rsid w:val="5E84084D"/>
    <w:rsid w:val="5ED3553E"/>
    <w:rsid w:val="626805D9"/>
    <w:rsid w:val="629C55EE"/>
    <w:rsid w:val="66C00A5C"/>
    <w:rsid w:val="67B82236"/>
    <w:rsid w:val="67C43F42"/>
    <w:rsid w:val="692B7A4B"/>
    <w:rsid w:val="6D1A4906"/>
    <w:rsid w:val="6F03527C"/>
    <w:rsid w:val="701E2184"/>
    <w:rsid w:val="73FB2F08"/>
    <w:rsid w:val="740D49E9"/>
    <w:rsid w:val="75130348"/>
    <w:rsid w:val="75AC171D"/>
    <w:rsid w:val="76051E1C"/>
    <w:rsid w:val="764F753B"/>
    <w:rsid w:val="76A1589A"/>
    <w:rsid w:val="7718418B"/>
    <w:rsid w:val="78FC788A"/>
    <w:rsid w:val="7A2F2301"/>
    <w:rsid w:val="7A9E283F"/>
    <w:rsid w:val="7AA438D7"/>
    <w:rsid w:val="7BFC112E"/>
    <w:rsid w:val="7C3F6160"/>
    <w:rsid w:val="7C46094C"/>
    <w:rsid w:val="7D2241C6"/>
    <w:rsid w:val="7D4A5E28"/>
    <w:rsid w:val="7F390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7"/>
    <w:qFormat/>
    <w:uiPriority w:val="0"/>
    <w:pPr>
      <w:spacing w:line="240" w:lineRule="auto"/>
    </w:pPr>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link w:val="14"/>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annotation subject"/>
    <w:basedOn w:val="2"/>
    <w:next w:val="2"/>
    <w:link w:val="16"/>
    <w:qFormat/>
    <w:uiPriority w:val="0"/>
    <w:rPr>
      <w:b/>
      <w:bCs/>
    </w:rPr>
  </w:style>
  <w:style w:type="character" w:styleId="10">
    <w:name w:val="annotation reference"/>
    <w:basedOn w:val="9"/>
    <w:qFormat/>
    <w:uiPriority w:val="0"/>
    <w:rPr>
      <w:sz w:val="21"/>
      <w:szCs w:val="21"/>
    </w:rPr>
  </w:style>
  <w:style w:type="paragraph" w:customStyle="1" w:styleId="11">
    <w:name w:val="Default"/>
    <w:qFormat/>
    <w:uiPriority w:val="0"/>
    <w:pPr>
      <w:widowControl w:val="0"/>
      <w:autoSpaceDE w:val="0"/>
      <w:autoSpaceDN w:val="0"/>
      <w:adjustRightInd w:val="0"/>
    </w:pPr>
    <w:rPr>
      <w:rFonts w:ascii="Calibri" w:hAnsi="Calibri" w:cs="Calibri" w:eastAsiaTheme="minorEastAsia"/>
      <w:color w:val="000000"/>
      <w:sz w:val="24"/>
      <w:szCs w:val="24"/>
      <w:lang w:val="en-US" w:eastAsia="zh-CN" w:bidi="ar-SA"/>
    </w:rPr>
  </w:style>
  <w:style w:type="paragraph" w:customStyle="1" w:styleId="12">
    <w:name w:val="*正文"/>
    <w:basedOn w:val="1"/>
    <w:qFormat/>
    <w:uiPriority w:val="0"/>
    <w:pPr>
      <w:adjustRightInd w:val="0"/>
      <w:snapToGrid w:val="0"/>
      <w:ind w:firstLine="640" w:firstLineChars="200"/>
    </w:pPr>
    <w:rPr>
      <w:rFonts w:ascii="方正仿宋简体" w:hAnsi="方正仿宋简体" w:eastAsia="方正仿宋简体" w:cs="方正仿宋简体"/>
      <w:sz w:val="32"/>
      <w:szCs w:val="22"/>
    </w:rPr>
  </w:style>
  <w:style w:type="paragraph" w:styleId="13">
    <w:name w:val="List Paragraph"/>
    <w:basedOn w:val="1"/>
    <w:qFormat/>
    <w:uiPriority w:val="99"/>
    <w:pPr>
      <w:ind w:firstLine="420" w:firstLineChars="200"/>
    </w:pPr>
  </w:style>
  <w:style w:type="character" w:customStyle="1" w:styleId="14">
    <w:name w:val="页眉 字符"/>
    <w:basedOn w:val="9"/>
    <w:link w:val="5"/>
    <w:qFormat/>
    <w:uiPriority w:val="0"/>
    <w:rPr>
      <w:rFonts w:ascii="Times New Roman" w:hAnsi="Times New Roman" w:eastAsia="宋体" w:cs="Times New Roman"/>
      <w:kern w:val="2"/>
      <w:sz w:val="18"/>
      <w:szCs w:val="18"/>
    </w:rPr>
  </w:style>
  <w:style w:type="character" w:customStyle="1" w:styleId="15">
    <w:name w:val="批注文字 字符"/>
    <w:basedOn w:val="9"/>
    <w:link w:val="2"/>
    <w:qFormat/>
    <w:uiPriority w:val="0"/>
    <w:rPr>
      <w:kern w:val="2"/>
      <w:sz w:val="24"/>
      <w:szCs w:val="24"/>
    </w:rPr>
  </w:style>
  <w:style w:type="character" w:customStyle="1" w:styleId="16">
    <w:name w:val="批注主题 字符"/>
    <w:basedOn w:val="15"/>
    <w:link w:val="7"/>
    <w:qFormat/>
    <w:uiPriority w:val="0"/>
    <w:rPr>
      <w:b/>
      <w:bCs/>
      <w:kern w:val="2"/>
      <w:sz w:val="24"/>
      <w:szCs w:val="24"/>
    </w:rPr>
  </w:style>
  <w:style w:type="character" w:customStyle="1" w:styleId="17">
    <w:name w:val="批注框文本 字符"/>
    <w:basedOn w:val="9"/>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2220</Words>
  <Characters>2227</Characters>
  <Lines>13</Lines>
  <Paragraphs>3</Paragraphs>
  <TotalTime>4</TotalTime>
  <ScaleCrop>false</ScaleCrop>
  <LinksUpToDate>false</LinksUpToDate>
  <CharactersWithSpaces>2227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2024-05-07T09:07:00Z</dcterms:created>
  <dc:creator>Koala</dc:creator>
  <cp:lastModifiedBy>8198308463</cp:lastModifiedBy>
  <dcterms:modified xsi:type="dcterms:W3CDTF">2024-11-26T05:45:19Z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313FE829F62C413BB10C2FF0E0516A48_13</vt:lpwstr>
  </property>
</Properties>
</file>