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工业和信息化高质量发展工作经费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苏州市工业和信息化局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125.9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125.9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125.9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107.29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18.61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18.61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125.9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107.29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工业和信息化高质量发展工作经费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125.9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107.29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85.22%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2.09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会议场次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&gt;=30场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24场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公务租车框架协议采购率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公务差旅请示率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经费标准执行率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任务完成及时性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对单位履职、促进工信事业发展的影响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61.09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保障全局职能工作开展所需的差旅、交通、会议、培训等工作经费支出。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保障全局职能工作开展，有力推进全市工业和信息化高质量发展。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保障全局职能工作开展所需的差旅、交通、会议、培训等工作经费支出，促进全市工业和信息化高质量发展。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根据项目管理要求和经费支出规定，有效保障各类工作开展。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根据项目管理要求和经费支出规定，有效保障各类工作开展。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因使用内部会议场地，会议费支出较预期减少，费用支出对应的会议场次减少。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进一步细化预算安排、绩效目标设置。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