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D2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</w:pPr>
    </w:p>
    <w:p w14:paraId="79E3E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  <w:t>“人工智能+制造”镇江行动方案</w:t>
      </w:r>
    </w:p>
    <w:p w14:paraId="2824F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rPr>
          <w:rStyle w:val="12"/>
          <w:rFonts w:hint="default" w:ascii="Times New Roman" w:hAnsi="Times New Roman" w:eastAsia="方正小标宋_GBK" w:cs="Times New Roman"/>
          <w:b w:val="0"/>
          <w:bCs/>
          <w:sz w:val="44"/>
          <w:szCs w:val="44"/>
          <w:highlight w:val="none"/>
        </w:rPr>
      </w:pPr>
      <w:r>
        <w:rPr>
          <w:rStyle w:val="12"/>
          <w:rFonts w:hint="default" w:ascii="Times New Roman" w:hAnsi="Times New Roman" w:eastAsia="方正小标宋_GBK" w:cs="Times New Roman"/>
          <w:b w:val="0"/>
          <w:bCs/>
          <w:sz w:val="44"/>
          <w:szCs w:val="44"/>
          <w:highlight w:val="none"/>
        </w:rPr>
        <w:t>（2026—202</w:t>
      </w:r>
      <w:r>
        <w:rPr>
          <w:rStyle w:val="12"/>
          <w:rFonts w:hint="default" w:ascii="Times New Roman" w:hAnsi="Times New Roman" w:eastAsia="方正小标宋_GBK" w:cs="Times New Roman"/>
          <w:b w:val="0"/>
          <w:bCs/>
          <w:sz w:val="44"/>
          <w:szCs w:val="44"/>
          <w:highlight w:val="none"/>
          <w:lang w:val="en-US" w:eastAsia="zh-CN"/>
        </w:rPr>
        <w:t>8</w:t>
      </w:r>
      <w:r>
        <w:rPr>
          <w:rStyle w:val="12"/>
          <w:rFonts w:hint="default" w:ascii="Times New Roman" w:hAnsi="Times New Roman" w:eastAsia="方正小标宋_GBK" w:cs="Times New Roman"/>
          <w:b w:val="0"/>
          <w:bCs/>
          <w:sz w:val="44"/>
          <w:szCs w:val="44"/>
          <w:highlight w:val="none"/>
        </w:rPr>
        <w:t>年）</w:t>
      </w:r>
    </w:p>
    <w:p w14:paraId="57B57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rPr>
          <w:rFonts w:hint="default" w:ascii="Times New Roman" w:hAnsi="Times New Roman" w:eastAsia="方正楷体简体" w:cs="Times New Roman"/>
          <w:sz w:val="32"/>
          <w:szCs w:val="32"/>
          <w:highlight w:val="none"/>
          <w:lang w:eastAsia="zh-CN"/>
        </w:rPr>
      </w:pPr>
      <w:r>
        <w:rPr>
          <w:rStyle w:val="12"/>
          <w:rFonts w:hint="default" w:ascii="Times New Roman" w:hAnsi="Times New Roman" w:eastAsia="方正楷体简体" w:cs="Times New Roman"/>
          <w:b w:val="0"/>
          <w:bCs/>
          <w:sz w:val="32"/>
          <w:szCs w:val="32"/>
          <w:highlight w:val="none"/>
          <w:lang w:eastAsia="zh-CN"/>
        </w:rPr>
        <w:t>（</w:t>
      </w:r>
      <w:r>
        <w:rPr>
          <w:rStyle w:val="12"/>
          <w:rFonts w:hint="eastAsia" w:ascii="Times New Roman" w:hAnsi="Times New Roman" w:eastAsia="方正楷体简体" w:cs="Times New Roman"/>
          <w:b w:val="0"/>
          <w:bCs/>
          <w:sz w:val="32"/>
          <w:szCs w:val="32"/>
          <w:highlight w:val="none"/>
          <w:lang w:val="en-US" w:eastAsia="zh-CN"/>
        </w:rPr>
        <w:t>二次</w:t>
      </w:r>
      <w:r>
        <w:rPr>
          <w:rStyle w:val="12"/>
          <w:rFonts w:hint="eastAsia" w:eastAsia="方正楷体简体" w:cs="Times New Roman"/>
          <w:b w:val="0"/>
          <w:bCs/>
          <w:sz w:val="32"/>
          <w:szCs w:val="32"/>
          <w:highlight w:val="none"/>
          <w:lang w:val="en-US" w:eastAsia="zh-CN"/>
        </w:rPr>
        <w:t>征求意见</w:t>
      </w:r>
      <w:r>
        <w:rPr>
          <w:rStyle w:val="12"/>
          <w:rFonts w:hint="eastAsia" w:ascii="Times New Roman" w:hAnsi="Times New Roman" w:eastAsia="方正楷体简体" w:cs="Times New Roman"/>
          <w:b w:val="0"/>
          <w:bCs/>
          <w:sz w:val="32"/>
          <w:szCs w:val="32"/>
          <w:highlight w:val="none"/>
          <w:lang w:val="en-US" w:eastAsia="zh-CN"/>
        </w:rPr>
        <w:t>稿</w:t>
      </w:r>
      <w:r>
        <w:rPr>
          <w:rStyle w:val="12"/>
          <w:rFonts w:hint="default" w:ascii="Times New Roman" w:hAnsi="Times New Roman" w:eastAsia="方正楷体简体" w:cs="Times New Roman"/>
          <w:b w:val="0"/>
          <w:bCs/>
          <w:sz w:val="32"/>
          <w:szCs w:val="32"/>
          <w:highlight w:val="none"/>
          <w:lang w:eastAsia="zh-CN"/>
        </w:rPr>
        <w:t>）</w:t>
      </w:r>
    </w:p>
    <w:p w14:paraId="05F64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</w:p>
    <w:p w14:paraId="15078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为认真贯彻工信部等八部门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eastAsia="zh-CN"/>
        </w:rPr>
        <w:t>《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“人工智能+制造”专项行动实施意见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eastAsia="zh-CN"/>
        </w:rPr>
        <w:t>》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省工信厅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>《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“人工智能+制造”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实施方案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>》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等文件精神，全面落实市委、市政府关于“人工智能+”工作部署，加快推动人工智能赋能新型工业化，制定本行动方案。</w:t>
      </w:r>
    </w:p>
    <w:p w14:paraId="334CD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  <w:t>一、</w:t>
      </w: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主要</w:t>
      </w: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  <w:t>目标</w:t>
      </w:r>
    </w:p>
    <w:p w14:paraId="67132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以推进人工智能技术与制造业融合发展为主线，坚持创新引领、企业主体、应用牵引，以智能制造为主攻方向，围绕我市“4833”产业体系，加快人工智能引领实体经济转型升级。到2028年，实现规上工业企业“人工智能+制造”诊断全覆盖，规上工业企业的智能工厂覆盖率达到60%，建成省先进级智能工厂350家，创建国家卓越级智能工厂7家，领航级智能工厂实现突破；打造工业行业高质量数据集50个，培育工业大模型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20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个，形成工业智能体20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0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个，建设工业人工智能应用场景150个，打造具备地方特色和示范效应的典型场景15个。</w:t>
      </w:r>
    </w:p>
    <w:p w14:paraId="7F449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highlight w:val="none"/>
        </w:rPr>
        <w:t>二、</w:t>
      </w:r>
      <w:r>
        <w:rPr>
          <w:rFonts w:hint="default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加强信息基础设施建设，夯实</w:t>
      </w:r>
      <w:r>
        <w:rPr>
          <w:rFonts w:hint="default" w:ascii="方正黑体_GBK" w:hAnsi="方正黑体_GBK" w:eastAsia="方正黑体_GBK" w:cs="方正黑体_GBK"/>
          <w:sz w:val="32"/>
          <w:szCs w:val="32"/>
          <w:highlight w:val="none"/>
        </w:rPr>
        <w:t>人工智能</w:t>
      </w:r>
      <w:r>
        <w:rPr>
          <w:rFonts w:hint="default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发展底座</w:t>
      </w:r>
    </w:p>
    <w:p w14:paraId="7E2CD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60" w:firstLineChars="200"/>
        <w:rPr>
          <w:rFonts w:hint="default" w:ascii="Times New Roman" w:hAnsi="Times New Roman" w:eastAsia="方正楷体_GBK" w:cs="Times New Roman"/>
          <w:spacing w:val="5"/>
          <w:sz w:val="32"/>
          <w:szCs w:val="32"/>
          <w:highlight w:val="none"/>
        </w:rPr>
      </w:pPr>
      <w:r>
        <w:rPr>
          <w:rFonts w:hint="default" w:ascii="Times New Roman" w:hAnsi="Times New Roman" w:eastAsia="方正楷体_GBK" w:cs="Times New Roman"/>
          <w:spacing w:val="5"/>
          <w:sz w:val="32"/>
          <w:szCs w:val="32"/>
          <w:highlight w:val="none"/>
        </w:rPr>
        <w:t>（一）升级高速泛在网络底座</w:t>
      </w:r>
    </w:p>
    <w:p w14:paraId="717CE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60" w:firstLineChars="200"/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  <w:t>高标准推动“信号升格”，全面提升5G网络服务能力，向5G-A网络升级演进，加快50G PON无源光网络技术应用，推动万兆光网商用部署。到202</w:t>
      </w:r>
      <w:r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  <w:t>年，建设万兆园区、工厂6个。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</w:rPr>
        <w:t>（责任单位：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  <w:lang w:val="en-US" w:eastAsia="zh-CN"/>
        </w:rPr>
        <w:t>市通管办、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</w:rPr>
        <w:t>市工信局，</w:t>
      </w:r>
      <w:r>
        <w:rPr>
          <w:rFonts w:hint="default" w:ascii="Times New Roman" w:hAnsi="Times New Roman" w:eastAsia="方正楷体_GBK" w:cs="Times New Roman"/>
          <w:sz w:val="32"/>
          <w:szCs w:val="32"/>
          <w:highlight w:val="none"/>
        </w:rPr>
        <w:t>各市、区人民政府，镇江经开区、镇江高新区管委会，以下各项任务均需各地落实，不再列出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</w:rPr>
        <w:t>）</w:t>
      </w:r>
    </w:p>
    <w:p w14:paraId="2A440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60" w:firstLineChars="200"/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</w:pPr>
      <w:r>
        <w:rPr>
          <w:rFonts w:hint="default" w:ascii="Times New Roman" w:hAnsi="Times New Roman" w:eastAsia="方正楷体_GBK" w:cs="Times New Roman"/>
          <w:spacing w:val="5"/>
          <w:sz w:val="32"/>
          <w:szCs w:val="32"/>
          <w:highlight w:val="none"/>
        </w:rPr>
        <w:t>（二）统筹构建一体化算力体系</w:t>
      </w:r>
    </w:p>
    <w:p w14:paraId="63B87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60" w:firstLineChars="200"/>
        <w:rPr>
          <w:rFonts w:hint="default" w:ascii="Times New Roman" w:hAnsi="Times New Roman" w:eastAsia="方正楷体_GBK" w:cs="Times New Roman"/>
          <w:spacing w:val="5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Times New Roman"/>
          <w:spacing w:val="5"/>
          <w:sz w:val="32"/>
          <w:szCs w:val="32"/>
          <w:highlight w:val="none"/>
          <w:lang w:val="en-US" w:eastAsia="zh-CN"/>
        </w:rPr>
        <w:t>推进现有数据中心扩容升级及智算中心建设，依托</w:t>
      </w:r>
      <w:r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  <w:t>市级一体化算力调度平台</w:t>
      </w:r>
      <w:r>
        <w:rPr>
          <w:rFonts w:hint="eastAsia" w:ascii="Times New Roman" w:hAnsi="Times New Roman" w:eastAsia="方正仿宋_GBK" w:cs="Times New Roman"/>
          <w:spacing w:val="5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pacing w:val="5"/>
          <w:sz w:val="32"/>
          <w:szCs w:val="32"/>
          <w:highlight w:val="none"/>
          <w:lang w:val="en-US" w:eastAsia="zh-CN"/>
        </w:rPr>
        <w:t>实现算力资源高效调度和区域协同。推动算电协同发展，开通算力项目供电接入绿色通道。</w:t>
      </w:r>
      <w:r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  <w:t>到202</w:t>
      </w:r>
      <w:r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  <w:t>年，算力规模突破</w:t>
      </w:r>
      <w:r>
        <w:rPr>
          <w:rFonts w:hint="eastAsia" w:ascii="Times New Roman" w:hAnsi="Times New Roman" w:eastAsia="方正仿宋_GBK" w:cs="Times New Roman"/>
          <w:spacing w:val="5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  <w:lang w:val="en-US" w:eastAsia="zh-CN"/>
        </w:rPr>
        <w:t>000</w:t>
      </w:r>
      <w:r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  <w:t>PFLOPS</w:t>
      </w:r>
      <w:r>
        <w:rPr>
          <w:rFonts w:hint="default" w:ascii="Times New Roman" w:hAnsi="Times New Roman" w:eastAsia="方正仿宋_GBK" w:cs="Times New Roman"/>
          <w:spacing w:val="11"/>
          <w:sz w:val="32"/>
          <w:szCs w:val="32"/>
          <w:highlight w:val="none"/>
        </w:rPr>
        <w:t>（FP16</w:t>
      </w:r>
      <w:r>
        <w:rPr>
          <w:rFonts w:hint="default" w:ascii="Times New Roman" w:hAnsi="Times New Roman" w:eastAsia="方正仿宋_GBK" w:cs="Times New Roman"/>
          <w:spacing w:val="27"/>
          <w:sz w:val="32"/>
          <w:szCs w:val="32"/>
          <w:highlight w:val="none"/>
        </w:rPr>
        <w:t>）</w:t>
      </w:r>
      <w:r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  <w:t>。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</w:rPr>
        <w:t>（责任单位：市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  <w:lang w:val="en-US" w:eastAsia="zh-CN"/>
        </w:rPr>
        <w:t>数据局</w:t>
      </w:r>
      <w:r>
        <w:rPr>
          <w:rFonts w:hint="eastAsia" w:ascii="Times New Roman" w:hAnsi="Times New Roman" w:eastAsia="方正楷体_GBK" w:cs="Times New Roman"/>
          <w:kern w:val="0"/>
          <w:sz w:val="32"/>
          <w:szCs w:val="32"/>
          <w:highlight w:val="none"/>
          <w:lang w:val="en-US" w:eastAsia="zh-CN"/>
        </w:rPr>
        <w:t>、市发改委、市数据集团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  <w:lang w:eastAsia="zh-CN"/>
        </w:rPr>
        <w:t>）</w:t>
      </w:r>
    </w:p>
    <w:p w14:paraId="36373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60" w:firstLineChars="200"/>
        <w:rPr>
          <w:rFonts w:hint="default" w:ascii="Times New Roman" w:hAnsi="Times New Roman" w:eastAsia="方正楷体_GBK" w:cs="Times New Roman"/>
          <w:spacing w:val="5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spacing w:val="5"/>
          <w:sz w:val="32"/>
          <w:szCs w:val="32"/>
          <w:highlight w:val="none"/>
        </w:rPr>
        <w:t>（三）</w:t>
      </w:r>
      <w:r>
        <w:rPr>
          <w:rFonts w:hint="default" w:ascii="Times New Roman" w:hAnsi="Times New Roman" w:eastAsia="方正楷体_GBK" w:cs="Times New Roman"/>
          <w:spacing w:val="5"/>
          <w:sz w:val="32"/>
          <w:szCs w:val="32"/>
          <w:highlight w:val="none"/>
          <w:lang w:val="en-US" w:eastAsia="zh-CN"/>
        </w:rPr>
        <w:t>加大</w:t>
      </w:r>
      <w:r>
        <w:rPr>
          <w:rFonts w:hint="default" w:ascii="Times New Roman" w:hAnsi="Times New Roman" w:eastAsia="方正楷体_GBK" w:cs="Times New Roman"/>
          <w:spacing w:val="5"/>
          <w:sz w:val="32"/>
          <w:szCs w:val="32"/>
          <w:highlight w:val="none"/>
        </w:rPr>
        <w:t>高质量数据资源</w:t>
      </w:r>
      <w:r>
        <w:rPr>
          <w:rFonts w:hint="default" w:ascii="Times New Roman" w:hAnsi="Times New Roman" w:eastAsia="方正楷体_GBK" w:cs="Times New Roman"/>
          <w:spacing w:val="5"/>
          <w:sz w:val="32"/>
          <w:szCs w:val="32"/>
          <w:highlight w:val="none"/>
          <w:lang w:val="en-US" w:eastAsia="zh-CN"/>
        </w:rPr>
        <w:t>供给</w:t>
      </w:r>
    </w:p>
    <w:p w14:paraId="6CAAF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60" w:firstLineChars="200"/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  <w:lang w:val="en-US" w:eastAsia="zh-CN"/>
        </w:rPr>
        <w:t>支持链主企业组建行业级可信数据空间，推动产业数据跨主体互操作与资产化应用。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探索工业数据治理、数据集建设与产业发展深度融合路径，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发挥专业型、行业型、协作型工业互联网平台的数据资源汇聚作用，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大力推动新型电力（新能源）装备、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农机装备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、船舶海工、医疗器械等重点行业整合数据资源，推进工业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行业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高质量数据集建设先行先试。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</w:rPr>
        <w:t>（责任单位：市工信局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  <w:lang w:val="en-US" w:eastAsia="zh-CN"/>
        </w:rPr>
        <w:t>、市数据局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  <w:lang w:eastAsia="zh-CN"/>
        </w:rPr>
        <w:t>）</w:t>
      </w:r>
    </w:p>
    <w:p w14:paraId="432EA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highlight w:val="none"/>
        </w:rPr>
        <w:t>三、</w:t>
      </w:r>
      <w:r>
        <w:rPr>
          <w:rFonts w:hint="default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强化研发和服务供给</w:t>
      </w:r>
      <w:r>
        <w:rPr>
          <w:rFonts w:hint="default" w:ascii="方正黑体_GBK" w:hAnsi="方正黑体_GBK" w:eastAsia="方正黑体_GBK" w:cs="方正黑体_GBK"/>
          <w:sz w:val="32"/>
          <w:szCs w:val="32"/>
          <w:highlight w:val="none"/>
        </w:rPr>
        <w:t>，</w:t>
      </w:r>
      <w:r>
        <w:rPr>
          <w:rFonts w:hint="default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提供行业技术能力支撑</w:t>
      </w:r>
    </w:p>
    <w:p w14:paraId="6FA450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方正楷体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楷体简体" w:cs="Times New Roman"/>
          <w:sz w:val="32"/>
          <w:szCs w:val="32"/>
          <w:highlight w:val="none"/>
        </w:rPr>
        <w:t>（四）统筹推进大小模型协同创新</w:t>
      </w:r>
    </w:p>
    <w:p w14:paraId="560FA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60" w:firstLineChars="200"/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  <w:t>依托链主企业、在镇高校及服务商组建创新联合体，聚焦智能电气、医疗器械、农机装备、汽车零部件、新材料等重点领域攻坚工业大模型。构建“通用大模型赋能、场景小模型落地”协同体系，紧扣产线实际刚需，研发轻量化、低时延边缘专用场景小模型。实施“模数共振”行动，支持基于通用大模型结合工艺数据开展高效微调、知识蒸馏，推广MaaS（模型即服务）应用模式。（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  <w:lang w:val="en-US" w:eastAsia="zh-CN"/>
        </w:rPr>
        <w:t>责任单位：市工信局、市数据局</w:t>
      </w:r>
      <w:r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  <w:t>）</w:t>
      </w:r>
    </w:p>
    <w:p w14:paraId="5907A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方正楷体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楷体简体" w:cs="Times New Roman"/>
          <w:sz w:val="32"/>
          <w:szCs w:val="32"/>
          <w:highlight w:val="none"/>
        </w:rPr>
        <w:t>（五）加快工业智能体研发示范应用</w:t>
      </w:r>
    </w:p>
    <w:p w14:paraId="3BDD7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60" w:firstLineChars="200"/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  <w:t>推动工业大模型、工业机理知识与自动控制算法深度融合，研发具备感知理解、自主规划、人机协同、持续迭代能力的工业智能体。重点培育工艺优化、质量诊断、车间调度、设备运维类智能体，推进与MES（生产制造执行系统）、SCADA（数据采集与监视控制系统）等工控系统适配对接和接口标准化，开展智能体协同生产试点。支持龙头</w:t>
      </w:r>
      <w:r>
        <w:rPr>
          <w:rFonts w:hint="eastAsia" w:ascii="Times New Roman" w:hAnsi="Times New Roman" w:eastAsia="方正仿宋_GBK" w:cs="Times New Roman"/>
          <w:spacing w:val="5"/>
          <w:sz w:val="32"/>
          <w:szCs w:val="32"/>
          <w:highlight w:val="none"/>
          <w:lang w:val="en-US" w:eastAsia="zh-CN"/>
        </w:rPr>
        <w:t>企业</w:t>
      </w:r>
      <w:r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  <w:t>联合服务商搭建验证环境，培育AaaS（智能体即服务）新业态。（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  <w:lang w:val="en-US" w:eastAsia="zh-CN"/>
        </w:rPr>
        <w:t>责任单位：市工信局</w:t>
      </w:r>
      <w:r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  <w:t>）</w:t>
      </w:r>
    </w:p>
    <w:p w14:paraId="24919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方正楷体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楷体简体" w:cs="Times New Roman"/>
          <w:sz w:val="32"/>
          <w:szCs w:val="32"/>
          <w:highlight w:val="none"/>
        </w:rPr>
        <w:t>（六）促进工业软件智能化迭代升级</w:t>
      </w:r>
    </w:p>
    <w:p w14:paraId="44DC4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60" w:firstLineChars="200"/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  <w:t>推动本土数字化服务商、制造企业依托生成式AI升级存量工业软件，拓展智能仿真、参数寻优、故障自诊断、自然语言交互功能。培育AI原生工业软件，补齐智能视觉、工艺优化、数据建模、模型开发工具链短板。鼓励产业链协同研发定制化工业软件，围绕高端装备、汽车零部件、新材料、智能电气场景补强细分软件供给，提升场景适配、工程实用与产业赋能能力。到2028年，新增20个AI原生工业软件产品。（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  <w:lang w:val="en-US" w:eastAsia="zh-CN"/>
        </w:rPr>
        <w:t>责任单位：市工信局</w:t>
      </w:r>
      <w:r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  <w:t>）</w:t>
      </w:r>
    </w:p>
    <w:p w14:paraId="38096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80" w:firstLineChars="200"/>
        <w:rPr>
          <w:rFonts w:hint="default" w:ascii="Times New Roman" w:hAnsi="Times New Roman" w:eastAsia="方正楷体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楷体_GBK" w:cs="Times New Roman"/>
          <w:spacing w:val="10"/>
          <w:sz w:val="32"/>
          <w:szCs w:val="32"/>
          <w:highlight w:val="none"/>
        </w:rPr>
        <w:t>（七）</w:t>
      </w:r>
      <w:r>
        <w:rPr>
          <w:rFonts w:hint="default" w:ascii="Times New Roman" w:hAnsi="Times New Roman" w:eastAsia="方正楷体简体" w:cs="Times New Roman"/>
          <w:sz w:val="32"/>
          <w:szCs w:val="32"/>
          <w:highlight w:val="none"/>
          <w:lang w:val="en-US" w:eastAsia="zh-CN"/>
        </w:rPr>
        <w:t>壮大</w:t>
      </w:r>
      <w:r>
        <w:rPr>
          <w:rFonts w:hint="default" w:ascii="Times New Roman" w:hAnsi="Times New Roman" w:eastAsia="方正楷体简体" w:cs="Times New Roman"/>
          <w:sz w:val="32"/>
          <w:szCs w:val="32"/>
          <w:highlight w:val="none"/>
        </w:rPr>
        <w:t>人工智能服务供给主体</w:t>
      </w:r>
    </w:p>
    <w:p w14:paraId="5C2E1B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聚焦构建多层次人工智能服务生态，引育专业赋能机构。支持华为、阿里、网易、百度等头部企业依托在镇赋能中心输出模型、算法及数字化方案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鼓励运营商依托网络算力打造行业赋能载体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依托</w:t>
      </w:r>
      <w:r>
        <w:rPr>
          <w:rFonts w:ascii="方正仿宋_GBK" w:hAnsi="方正仿宋_GBK" w:eastAsia="方正仿宋_GBK" w:cs="方正仿宋_GBK"/>
          <w:sz w:val="32"/>
          <w:szCs w:val="32"/>
          <w:highlight w:val="none"/>
        </w:rPr>
        <w:t>移动智能云推动传统产业转型升级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推动镇江电信建设5G+AI智能制造创新中心，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深化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联通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格物双跨平台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5G+工业互联网平台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的行业服务能力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。引导本土软件信息企业转型人工智能综合服务商，提升方案研发实施能力。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鼓励各辖市区抢抓人工智能产业变革机遇，积极承接长三角软件和信息服务企业跨区域梯度转移与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产业布局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，吸引一批优质服务商落户。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搭建“人工智能+制造”服务商资源池，为制造企业提供需求诊断、方案设计、项目落地全链条支撑。到2028年，打造具备区域服务能力的赋能中心5个，引育人工智能服务商30家。</w:t>
      </w:r>
      <w:r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  <w:lang w:val="en-US" w:eastAsia="zh-CN"/>
        </w:rPr>
        <w:t>责任单位：市工信局、市发改委</w:t>
      </w:r>
      <w:r>
        <w:rPr>
          <w:rFonts w:hint="default" w:ascii="Times New Roman" w:hAnsi="Times New Roman" w:eastAsia="方正仿宋_GBK" w:cs="Times New Roman"/>
          <w:spacing w:val="5"/>
          <w:sz w:val="32"/>
          <w:szCs w:val="32"/>
          <w:highlight w:val="none"/>
        </w:rPr>
        <w:t>）</w:t>
      </w:r>
    </w:p>
    <w:p w14:paraId="572A3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方正黑体_GBK" w:hAnsi="方正黑体_GBK" w:eastAsia="方正黑体_GBK" w:cs="方正黑体_GBK"/>
          <w:sz w:val="32"/>
          <w:szCs w:val="32"/>
          <w:highlight w:val="none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highlight w:val="none"/>
        </w:rPr>
        <w:t>四、</w:t>
      </w:r>
      <w:r>
        <w:rPr>
          <w:rFonts w:hint="default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推动人工智能落地赋能</w:t>
      </w:r>
      <w:r>
        <w:rPr>
          <w:rFonts w:hint="default" w:ascii="方正黑体_GBK" w:hAnsi="方正黑体_GBK" w:eastAsia="方正黑体_GBK" w:cs="方正黑体_GBK"/>
          <w:sz w:val="32"/>
          <w:szCs w:val="32"/>
          <w:highlight w:val="none"/>
        </w:rPr>
        <w:t>，</w:t>
      </w:r>
      <w:r>
        <w:rPr>
          <w:rFonts w:hint="default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丰富工业领域应用场景</w:t>
      </w:r>
    </w:p>
    <w:p w14:paraId="3C6AD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方正楷体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方正楷体_GBK" w:cs="Times New Roman"/>
          <w:sz w:val="32"/>
          <w:szCs w:val="32"/>
          <w:highlight w:val="none"/>
          <w:lang w:val="en-US" w:eastAsia="zh-CN"/>
        </w:rPr>
        <w:t>八</w:t>
      </w:r>
      <w:r>
        <w:rPr>
          <w:rFonts w:hint="default" w:ascii="Times New Roman" w:hAnsi="Times New Roman" w:eastAsia="方正楷体_GBK" w:cs="Times New Roman"/>
          <w:sz w:val="32"/>
          <w:szCs w:val="32"/>
          <w:highlight w:val="none"/>
        </w:rPr>
        <w:t>）拓展人工智能赋能制造全流程场景</w:t>
      </w:r>
    </w:p>
    <w:p w14:paraId="58B0E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重点面向研发设计、生产制造、生产管理、经营管理等关键业务环节，组织开展“人工智能+制造”诊断服务，提高企业对人工智能技术的认识水平和应用意愿，明确转型升级发展方向和路径，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落实中小企业数字化赋能专项行动和智能工厂梯度培育行动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方正楷体_GBK" w:cs="Times New Roman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方正楷体_GBK" w:cs="Times New Roman"/>
          <w:sz w:val="32"/>
          <w:szCs w:val="32"/>
          <w:highlight w:val="none"/>
          <w:lang w:val="en-US" w:eastAsia="zh-CN"/>
        </w:rPr>
        <w:t>责任单位：</w:t>
      </w:r>
      <w:r>
        <w:rPr>
          <w:rFonts w:hint="default" w:ascii="Times New Roman" w:hAnsi="Times New Roman" w:eastAsia="方正楷体_GBK" w:cs="Times New Roman"/>
          <w:sz w:val="32"/>
          <w:szCs w:val="32"/>
          <w:highlight w:val="none"/>
        </w:rPr>
        <w:t>市工信局）</w:t>
      </w:r>
    </w:p>
    <w:p w14:paraId="74335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  <w:t>——研发设计环节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，重点在产品设计、工艺设计等场景，推动生成式设计、产品虚拟验证、生产工艺仿真优化、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工艺指令自动生成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等新型研发范式，缩短产品设计周期。</w:t>
      </w:r>
    </w:p>
    <w:p w14:paraId="7F20E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  <w:t>——生产制造环节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，重点在产线切换、工艺调整、质量检测、设备运维等场景，推动柔性换产生产、工艺参数优化、机器视觉检测、设备预测性维护、人机协同作业等生产模式，提升生产作业效率。</w:t>
      </w:r>
    </w:p>
    <w:p w14:paraId="128DA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  <w:t>——生产管理环节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，重点在计划排产、进度跟踪、仓储物流、用能管理等场景，推动生产计划综合优化、生产进度动态调度、物料自动配送、能耗智能管控等管理创新，强化生产管理效能。</w:t>
      </w:r>
    </w:p>
    <w:p w14:paraId="5DC2D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rPr>
          <w:rFonts w:hint="default" w:ascii="Times New Roman" w:hAnsi="Times New Roman" w:eastAsia="方正楷体_GBK" w:cs="Times New Roman"/>
          <w:spacing w:val="1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  <w:t>——经营管理环节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，重点在精益管理、市场销售、产品服务等场景，推动数字孪生系统、智能经营决策、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产品精准营销、市场预测分析、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数字人客服等技术应用，优化企业管理模式。</w:t>
      </w:r>
    </w:p>
    <w:p w14:paraId="3BE25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80" w:firstLineChars="200"/>
        <w:rPr>
          <w:rFonts w:hint="default" w:ascii="Times New Roman" w:hAnsi="Times New Roman" w:eastAsia="方正楷体_GBK" w:cs="Times New Roman"/>
          <w:spacing w:val="10"/>
          <w:sz w:val="32"/>
          <w:szCs w:val="32"/>
          <w:highlight w:val="none"/>
        </w:rPr>
      </w:pPr>
      <w:r>
        <w:rPr>
          <w:rFonts w:hint="default" w:ascii="Times New Roman" w:hAnsi="Times New Roman" w:eastAsia="方正楷体_GBK" w:cs="Times New Roman"/>
          <w:spacing w:val="10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方正楷体_GBK" w:cs="Times New Roman"/>
          <w:spacing w:val="10"/>
          <w:sz w:val="32"/>
          <w:szCs w:val="32"/>
          <w:highlight w:val="none"/>
          <w:lang w:val="en-US" w:eastAsia="zh-CN"/>
        </w:rPr>
        <w:t>九</w:t>
      </w:r>
      <w:r>
        <w:rPr>
          <w:rFonts w:hint="default" w:ascii="Times New Roman" w:hAnsi="Times New Roman" w:eastAsia="方正楷体_GBK" w:cs="Times New Roman"/>
          <w:spacing w:val="10"/>
          <w:sz w:val="32"/>
          <w:szCs w:val="32"/>
          <w:highlight w:val="none"/>
        </w:rPr>
        <w:t>）推进人工智能赋能重点产业</w:t>
      </w:r>
    </w:p>
    <w:p w14:paraId="0A3B2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rPr>
          <w:rFonts w:hint="default" w:ascii="Times New Roman" w:hAnsi="Times New Roman" w:eastAsia="方正楷体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坚持智能产业化和产业智能化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围绕“4833”产业体系，进一步深化制造业“智改数转网联”，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推动大模型、机器视觉、数字孪生等技术落地应用，打造智能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制造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产业体系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和智能终端产品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，推动产业从传统制造向新质生产力跃升，助力企业实现提质降本增效绿色发展的目标。</w:t>
      </w:r>
      <w:r>
        <w:rPr>
          <w:rFonts w:hint="default" w:ascii="Times New Roman" w:hAnsi="Times New Roman" w:eastAsia="方正楷体_GBK" w:cs="Times New Roman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方正楷体_GBK" w:cs="Times New Roman"/>
          <w:sz w:val="32"/>
          <w:szCs w:val="32"/>
          <w:highlight w:val="none"/>
          <w:lang w:val="en-US" w:eastAsia="zh-CN"/>
        </w:rPr>
        <w:t>责任单位：各产业链牵头部门</w:t>
      </w:r>
      <w:r>
        <w:rPr>
          <w:rFonts w:hint="default" w:ascii="Times New Roman" w:hAnsi="Times New Roman" w:eastAsia="方正楷体_GBK" w:cs="Times New Roman"/>
          <w:sz w:val="32"/>
          <w:szCs w:val="32"/>
          <w:highlight w:val="none"/>
        </w:rPr>
        <w:t>）</w:t>
      </w:r>
    </w:p>
    <w:p w14:paraId="284F3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重点在以下产业先行突破：</w:t>
      </w:r>
    </w:p>
    <w:p w14:paraId="2ECEA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  <w:t>——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  <w:t>人工智能+农机装备</w:t>
      </w:r>
      <w:r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以丹阳、丹徒为重点，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依托长三角智能农机装备科技创新联合体与江苏大学等高校院所，推动智能技术在农机装备中应用创新，重点发展智能辅助驾驶系统、精准变量作业装备、智能采摘机器人等智能农机装备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推进沃得农机高质量数据集建设，引导开展农机装备垂类大模型研发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完善智慧农业远程可视化管理平台，建设稻麦轮作“智慧农场”。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到2028年，累计建成省先进级及以上智能工厂15家，建设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人工智能应用场景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15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个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打造工业行业高质量数据集5个，培育工业大模型1个。</w:t>
      </w:r>
    </w:p>
    <w:p w14:paraId="6527F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  <w:t>——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  <w:t>人工智能+视觉光学</w:t>
      </w:r>
      <w:r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依托丹阳视觉光学产业基础，运用智能建模、缺陷识别、工艺参数寻优等工具，提升镜片、光学组件研发制造效率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构建覆盖全生产链条的视觉光学行业模型与工艺知识库，打造一批特色标杆应用案例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发挥丹阳眼镜用户资源丰富优势，联合高校和眼科医院，建立眼科高质量数据集，面向全市眼镜企业开放。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到2028年，累计建成省先进级及以上智能工厂20家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建设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人工智能应用场景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个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打造工业行业高质量数据集5个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培育工业大模型1个。</w:t>
      </w:r>
    </w:p>
    <w:p w14:paraId="60625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  <w:t>——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  <w:t>人工智能+新型电力（新能源）装备</w:t>
      </w:r>
      <w:r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以扬中、经开区、句容为重点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，在新型电力装备行业，开展中低压成套电器装备生成式设计、变压器内部温度精准预测等创新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应用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，推进大全集团高质量数据集建设，加快“擎电”工业大模型研发应用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在光伏新能源行业，利用强化学习技术优化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光伏组件及光伏电子产品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电气性能，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建模优化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光伏支架轻量化设计。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到2028年，累计建成省先进级及以上智能工厂60家，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领航级智能工厂实现突破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建设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人工智能应用场景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30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个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打造工业行业高质量数据集8个，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培育工业大模型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个。</w:t>
      </w:r>
    </w:p>
    <w:p w14:paraId="2F06E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  <w:t>——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  <w:t>人工智能+新能源汽车及汽车零部件</w:t>
      </w:r>
      <w:r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以丹阳、丹徒、经开区为重点，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大力发展智能网联汽车，推动单车智能向车路云一体化升级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加快人工智能技术在硬件配置、参数调优等整车生产领域应用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利用算法优化供应链协同，提升外饰件、汽车电子等零部件产业链的整体响应效率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，推进超力电器汽车零部件垂类大模型开发；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推进无人驾驶装备应用，加快金东纸业封闭园区的无人重卡试点运营。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到2028年，累计建成省先进级及以上智能工厂35家，建设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人工智能应用场景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15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个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打造工业行业高质量数据集8个，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培育工业大模型1个。</w:t>
      </w:r>
    </w:p>
    <w:p w14:paraId="69800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  <w:t>——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  <w:t>人工智能+高性能材料</w:t>
      </w:r>
      <w:r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以经开区、京口、句容为重点，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利用算法模型进行高分子材料结构设计、合金性能预测及配方寻优，加快鼎胜新材“元铝”工业大模型研发应用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面向纳米材料、复合材料等细分行业，部署工艺参数自适应调节与多模态缺陷识别系统，优化工艺控制能力。实施化工企业、园区安全环保智能监测。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到2028年，累计建成省先进级及以上智能工厂25家，建设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人工智能应用场景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个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打造工业行业高质量数据集8个，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培育工业大模型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个。</w:t>
      </w:r>
    </w:p>
    <w:p w14:paraId="3AAED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  <w:t>——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  <w:t>人工智能+船舶海工装备</w:t>
      </w:r>
      <w:r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以扬中、镇江高新区为重点，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发挥江苏科技大学学科优势，推动人工智能与船舶三维设计仿真、结构缺陷识别、运维算法深度融合，提升船舶及配套装备研发建造效能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；加快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现代造船公司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高质量数据集建设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，联合高校、船企完善数据资源，面向全市船舶海工企业开放共享。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到2028年，累计建成省先进级及以上智能工厂15家，建设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人工智能应用场景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个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打造工业行业高质量数据集5个，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培育工业大模型1个。</w:t>
      </w:r>
    </w:p>
    <w:p w14:paraId="48FEC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hint="default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推动“人工智能+制造”与未来产业培育相结合，激发脑机接口、具身智能和智能终端、氢能和新型储能领域“种子库”企业创新创造活力。统筹全市医疗机构资源，为脑机接口企业提供临床试验，加速创新成果从实验室走向市场应用；发挥本地精密制造优势，突破灵巧手、关节模组等核心部件，面向产业需求开发专用化、定制化的机器人产品；立足新材料和电力装备产业基础，布局氢能制运储装备和新型储能技术，基于算法模型优化新型能源系统运行效率。</w:t>
      </w:r>
    </w:p>
    <w:bookmarkEnd w:id="0"/>
    <w:p w14:paraId="6CA77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highlight w:val="none"/>
        </w:rPr>
        <w:t>五、</w:t>
      </w:r>
      <w:r>
        <w:rPr>
          <w:rFonts w:hint="default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营造良好产业生态，助推“人工智能+制造”创新发展</w:t>
      </w:r>
    </w:p>
    <w:p w14:paraId="396A8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80" w:firstLineChars="200"/>
        <w:rPr>
          <w:rFonts w:hint="default" w:ascii="Times New Roman" w:hAnsi="Times New Roman" w:eastAsia="方正楷体_GBK" w:cs="Times New Roman"/>
          <w:spacing w:val="1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spacing w:val="10"/>
          <w:sz w:val="32"/>
          <w:szCs w:val="32"/>
          <w:highlight w:val="none"/>
          <w:lang w:val="en-US" w:eastAsia="zh-CN"/>
        </w:rPr>
        <w:t>（十）建立工作机制</w:t>
      </w:r>
    </w:p>
    <w:p w14:paraId="73F39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发挥制造强市推进工作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专班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机制作用，强化市级部门协同联动，分年度拟定重点任务清单，推动“人工智能+制造”各项工作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落地落实。</w:t>
      </w:r>
      <w:r>
        <w:rPr>
          <w:rFonts w:hint="default" w:ascii="Times New Roman" w:hAnsi="Times New Roman" w:eastAsia="方正仿宋_GBK" w:cs="Times New Roman"/>
          <w:spacing w:val="6"/>
          <w:kern w:val="2"/>
          <w:sz w:val="32"/>
          <w:szCs w:val="32"/>
          <w:highlight w:val="none"/>
        </w:rPr>
        <w:t>各</w:t>
      </w:r>
      <w:r>
        <w:rPr>
          <w:rFonts w:hint="default" w:ascii="Times New Roman" w:hAnsi="Times New Roman" w:eastAsia="方正仿宋_GBK" w:cs="Times New Roman"/>
          <w:spacing w:val="6"/>
          <w:kern w:val="2"/>
          <w:sz w:val="32"/>
          <w:szCs w:val="32"/>
          <w:highlight w:val="none"/>
          <w:lang w:val="en-US" w:eastAsia="zh-CN"/>
        </w:rPr>
        <w:t>地</w:t>
      </w:r>
      <w:r>
        <w:rPr>
          <w:rFonts w:hint="default" w:ascii="Times New Roman" w:hAnsi="Times New Roman" w:eastAsia="方正仿宋_GBK" w:cs="Times New Roman"/>
          <w:spacing w:val="6"/>
          <w:kern w:val="2"/>
          <w:sz w:val="32"/>
          <w:szCs w:val="32"/>
          <w:highlight w:val="none"/>
        </w:rPr>
        <w:t>负责本地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“人工智能+制造”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推进工作，确保各项举措见行见效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方正楷体_GBK" w:cs="Times New Roman"/>
          <w:color w:val="auto"/>
          <w:kern w:val="0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方正楷体_GBK" w:cs="Times New Roman"/>
          <w:color w:val="auto"/>
          <w:sz w:val="32"/>
          <w:szCs w:val="32"/>
          <w:highlight w:val="none"/>
        </w:rPr>
        <w:t>责任单位：</w:t>
      </w:r>
      <w:r>
        <w:rPr>
          <w:rFonts w:hint="default" w:ascii="Times New Roman" w:hAnsi="Times New Roman" w:eastAsia="方正楷体_GBK" w:cs="Times New Roman"/>
          <w:color w:val="auto"/>
          <w:kern w:val="0"/>
          <w:sz w:val="32"/>
          <w:szCs w:val="32"/>
          <w:highlight w:val="none"/>
        </w:rPr>
        <w:t>市工信局）</w:t>
      </w:r>
    </w:p>
    <w:p w14:paraId="5588C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80" w:firstLineChars="200"/>
        <w:rPr>
          <w:rFonts w:hint="default" w:ascii="Times New Roman" w:hAnsi="Times New Roman" w:eastAsia="方正楷体_GBK" w:cs="Times New Roman"/>
          <w:spacing w:val="1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spacing w:val="10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方正楷体_GBK" w:cs="Times New Roman"/>
          <w:spacing w:val="10"/>
          <w:sz w:val="32"/>
          <w:szCs w:val="32"/>
          <w:highlight w:val="none"/>
          <w:lang w:val="en-US" w:eastAsia="zh-CN"/>
        </w:rPr>
        <w:t>十一</w:t>
      </w:r>
      <w:r>
        <w:rPr>
          <w:rFonts w:hint="default" w:ascii="Times New Roman" w:hAnsi="Times New Roman" w:eastAsia="方正楷体_GBK" w:cs="Times New Roman"/>
          <w:spacing w:val="10"/>
          <w:sz w:val="32"/>
          <w:szCs w:val="32"/>
          <w:highlight w:val="none"/>
        </w:rPr>
        <w:t>）</w:t>
      </w:r>
      <w:r>
        <w:rPr>
          <w:rFonts w:hint="default" w:ascii="Times New Roman" w:hAnsi="Times New Roman" w:eastAsia="方正楷体_GBK" w:cs="Times New Roman"/>
          <w:spacing w:val="10"/>
          <w:sz w:val="32"/>
          <w:szCs w:val="32"/>
          <w:highlight w:val="none"/>
          <w:lang w:val="en-US" w:eastAsia="zh-CN"/>
        </w:rPr>
        <w:t>强化政策支持</w:t>
      </w:r>
    </w:p>
    <w:p w14:paraId="688B8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方正楷体_GBK" w:cs="Times New Roman"/>
          <w:spacing w:val="1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争取国家工业领域设备更新、制造强省专项、省制造业贷款贴息等政策，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统筹市级相关政策资金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，支持企业智能化转型升级。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发放词元（算力）券、数据券、模型券、场景券，降低企业人工智能应用成本。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多元化产融配套支持，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推动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符合条件企业上市融资。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方正楷体_GBK" w:cs="Times New Roman"/>
          <w:sz w:val="32"/>
          <w:szCs w:val="32"/>
          <w:highlight w:val="none"/>
        </w:rPr>
        <w:t>责任单位：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</w:rPr>
        <w:t>市工信局、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  <w:lang w:val="en-US" w:eastAsia="zh-CN"/>
        </w:rPr>
        <w:t>市数据局、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</w:rPr>
        <w:t>市发改委、市财政局、镇江金融监管分局</w:t>
      </w:r>
      <w:r>
        <w:rPr>
          <w:rFonts w:hint="eastAsia" w:ascii="Times New Roman" w:hAnsi="Times New Roman" w:eastAsia="方正楷体_GBK" w:cs="Times New Roman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楷体_GBK" w:cs="Times New Roman"/>
          <w:kern w:val="0"/>
          <w:sz w:val="32"/>
          <w:szCs w:val="32"/>
          <w:highlight w:val="none"/>
          <w:lang w:val="en-US" w:eastAsia="zh-CN"/>
        </w:rPr>
        <w:t>市政府办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</w:rPr>
        <w:t>）</w:t>
      </w:r>
    </w:p>
    <w:p w14:paraId="54F2B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80" w:firstLineChars="200"/>
        <w:rPr>
          <w:rFonts w:hint="default" w:ascii="Times New Roman" w:hAnsi="Times New Roman" w:eastAsia="方正楷体_GBK" w:cs="Times New Roman"/>
          <w:color w:val="auto"/>
          <w:spacing w:val="1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color w:val="auto"/>
          <w:spacing w:val="10"/>
          <w:sz w:val="32"/>
          <w:szCs w:val="32"/>
          <w:highlight w:val="none"/>
        </w:rPr>
        <w:t>（十</w:t>
      </w:r>
      <w:r>
        <w:rPr>
          <w:rFonts w:hint="default" w:ascii="Times New Roman" w:hAnsi="Times New Roman" w:eastAsia="方正楷体_GBK" w:cs="Times New Roman"/>
          <w:color w:val="auto"/>
          <w:spacing w:val="10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方正楷体_GBK" w:cs="Times New Roman"/>
          <w:color w:val="auto"/>
          <w:spacing w:val="10"/>
          <w:sz w:val="32"/>
          <w:szCs w:val="32"/>
          <w:highlight w:val="none"/>
        </w:rPr>
        <w:t>）夯实人才</w:t>
      </w:r>
      <w:r>
        <w:rPr>
          <w:rFonts w:hint="default" w:ascii="Times New Roman" w:hAnsi="Times New Roman" w:eastAsia="方正楷体_GBK" w:cs="Times New Roman"/>
          <w:color w:val="auto"/>
          <w:spacing w:val="10"/>
          <w:sz w:val="32"/>
          <w:szCs w:val="32"/>
          <w:highlight w:val="none"/>
          <w:lang w:val="en-US" w:eastAsia="zh-CN"/>
        </w:rPr>
        <w:t>支撑</w:t>
      </w:r>
    </w:p>
    <w:p w14:paraId="595DE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64" w:firstLineChars="200"/>
        <w:rPr>
          <w:rFonts w:hint="default" w:ascii="Times New Roman" w:hAnsi="Times New Roman" w:eastAsia="方正楷体_GBK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发挥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</w:rPr>
        <w:t>人才政策赋能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作用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</w:rPr>
        <w:t>，集聚一批领军人才。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支持在镇高校设立人工智能专业，强化校企协同育人机制，培养应用型专业人才。实施“人工智能+”技术技能提升培训行动，壮大人工智能技术技能人才队伍。</w:t>
      </w:r>
      <w:r>
        <w:rPr>
          <w:rFonts w:hint="default" w:ascii="Times New Roman" w:hAnsi="Times New Roman" w:eastAsia="方正楷体_GBK" w:cs="Times New Roman"/>
          <w:color w:val="auto"/>
          <w:kern w:val="0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方正楷体_GBK" w:cs="Times New Roman"/>
          <w:color w:val="auto"/>
          <w:sz w:val="32"/>
          <w:szCs w:val="32"/>
          <w:highlight w:val="none"/>
        </w:rPr>
        <w:t>责任单位：</w:t>
      </w:r>
      <w:r>
        <w:rPr>
          <w:rFonts w:hint="default" w:ascii="Times New Roman" w:hAnsi="Times New Roman" w:eastAsia="方正楷体_GBK" w:cs="Times New Roman"/>
          <w:color w:val="auto"/>
          <w:kern w:val="0"/>
          <w:sz w:val="32"/>
          <w:szCs w:val="32"/>
          <w:highlight w:val="none"/>
        </w:rPr>
        <w:t>市委组织部、市教育局、市人社局、市工信局）</w:t>
      </w:r>
    </w:p>
    <w:p w14:paraId="45731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80" w:firstLineChars="200"/>
        <w:rPr>
          <w:rFonts w:hint="default" w:ascii="Times New Roman" w:hAnsi="Times New Roman" w:eastAsia="方正楷体_GBK" w:cs="Times New Roman"/>
          <w:spacing w:val="10"/>
          <w:sz w:val="32"/>
          <w:szCs w:val="32"/>
          <w:highlight w:val="none"/>
        </w:rPr>
      </w:pPr>
      <w:r>
        <w:rPr>
          <w:rFonts w:hint="default" w:ascii="Times New Roman" w:hAnsi="Times New Roman" w:eastAsia="方正楷体_GBK" w:cs="Times New Roman"/>
          <w:spacing w:val="10"/>
          <w:sz w:val="32"/>
          <w:szCs w:val="32"/>
          <w:highlight w:val="none"/>
        </w:rPr>
        <w:t>（十</w:t>
      </w:r>
      <w:r>
        <w:rPr>
          <w:rFonts w:hint="eastAsia" w:ascii="Times New Roman" w:hAnsi="Times New Roman" w:eastAsia="方正楷体_GBK" w:cs="Times New Roman"/>
          <w:spacing w:val="1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方正楷体_GBK" w:cs="Times New Roman"/>
          <w:spacing w:val="10"/>
          <w:sz w:val="32"/>
          <w:szCs w:val="32"/>
          <w:highlight w:val="none"/>
        </w:rPr>
        <w:t>）浓厚发展氛围</w:t>
      </w:r>
    </w:p>
    <w:p w14:paraId="6E8A1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方正楷体简体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积极营造“数据驱动、AI赋能”的发展软环境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，鼓励机关、学校、医院、景区等率先开放应用场景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搭建多层次产业交流平台，持续举办人工智能创新创业赛事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路演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，推广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特色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应用场景。定期组织工业大模型、高质量数据集建设交流活动。加快组建产学研协同联盟，开展常态化供需对接，促进创新资源互通共享。（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  <w:lang w:val="en-US" w:eastAsia="zh-CN"/>
        </w:rPr>
        <w:t>责任单位：市工信局、市发改委、市科技局、市数据局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）</w:t>
      </w:r>
    </w:p>
    <w:p w14:paraId="39257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80" w:firstLineChars="200"/>
        <w:rPr>
          <w:rFonts w:hint="default" w:ascii="Times New Roman" w:hAnsi="Times New Roman" w:eastAsia="方正楷体_GBK" w:cs="Times New Roman"/>
          <w:spacing w:val="10"/>
          <w:sz w:val="32"/>
          <w:szCs w:val="32"/>
          <w:highlight w:val="none"/>
        </w:rPr>
      </w:pPr>
      <w:r>
        <w:rPr>
          <w:rFonts w:hint="default" w:ascii="Times New Roman" w:hAnsi="Times New Roman" w:eastAsia="方正楷体_GBK" w:cs="Times New Roman"/>
          <w:spacing w:val="10"/>
          <w:sz w:val="32"/>
          <w:szCs w:val="32"/>
          <w:highlight w:val="none"/>
        </w:rPr>
        <w:t>（十</w:t>
      </w:r>
      <w:r>
        <w:rPr>
          <w:rFonts w:hint="eastAsia" w:ascii="Times New Roman" w:hAnsi="Times New Roman" w:eastAsia="方正楷体_GBK" w:cs="Times New Roman"/>
          <w:spacing w:val="10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方正楷体_GBK" w:cs="Times New Roman"/>
          <w:spacing w:val="10"/>
          <w:sz w:val="32"/>
          <w:szCs w:val="32"/>
          <w:highlight w:val="none"/>
        </w:rPr>
        <w:t>）筑牢安全防线</w:t>
      </w:r>
    </w:p>
    <w:p w14:paraId="0489A0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坚持“以人为本、智能向善”的价值导向，统筹发展与安全。指导企业做好模型算法的登记备案，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强化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训练语料合规、模型安全机制、生成内容标识等审核评估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鼓励企业对工业大模型开展安全测试评估，加强恶意指令、异常输出等风险防范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提升人工智能技术应用风险意识。（</w:t>
      </w:r>
      <w:r>
        <w:rPr>
          <w:rFonts w:hint="default" w:ascii="Times New Roman" w:hAnsi="Times New Roman" w:eastAsia="方正楷体_GBK" w:cs="Times New Roman"/>
          <w:color w:val="auto"/>
          <w:sz w:val="32"/>
          <w:szCs w:val="32"/>
          <w:highlight w:val="none"/>
          <w:lang w:val="en-US" w:eastAsia="zh-CN"/>
        </w:rPr>
        <w:t>责任单位：市委网信办、市工信局、市数据局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）</w:t>
      </w:r>
    </w:p>
    <w:p w14:paraId="6A1E2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</w:p>
    <w:p w14:paraId="442AF5F8">
      <w:pPr>
        <w:overflowPunct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附件：2026年“人工智能+制造”镇江行动方案重点任务清单</w:t>
      </w:r>
    </w:p>
    <w:p w14:paraId="98365AA6">
      <w:pPr>
        <w:overflowPunct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 w14:paraId="E6284D88">
      <w:pPr>
        <w:widowControl/>
        <w:jc w:val="left"/>
        <w:rPr>
          <w:rFonts w:eastAsia="仿宋_GB2312"/>
          <w:color w:val="000000"/>
          <w:sz w:val="32"/>
          <w:szCs w:val="32"/>
        </w:rPr>
      </w:pPr>
    </w:p>
    <w:p w14:paraId="EA62CBB9">
      <w:pPr>
        <w:widowControl/>
        <w:jc w:val="left"/>
        <w:rPr>
          <w:rFonts w:eastAsia="仿宋_GB2312"/>
          <w:color w:val="000000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1985" w:right="1588" w:bottom="1701" w:left="1588" w:header="851" w:footer="1531" w:gutter="0"/>
          <w:cols w:space="425" w:num="1"/>
          <w:docGrid w:linePitch="312" w:charSpace="0"/>
        </w:sectPr>
      </w:pPr>
    </w:p>
    <w:p w14:paraId="79C09D4F">
      <w:pPr>
        <w:spacing w:line="560" w:lineRule="exact"/>
        <w:rPr>
          <w:rFonts w:eastAsia="黑体"/>
          <w:color w:val="000000"/>
          <w:sz w:val="32"/>
        </w:rPr>
      </w:pPr>
      <w:r>
        <w:rPr>
          <w:rFonts w:eastAsia="黑体"/>
          <w:color w:val="000000"/>
          <w:sz w:val="32"/>
        </w:rPr>
        <w:t>附件</w:t>
      </w:r>
    </w:p>
    <w:p w14:paraId="B0E07D9D">
      <w:pPr>
        <w:spacing w:line="460" w:lineRule="exact"/>
        <w:rPr>
          <w:rFonts w:eastAsia="黑体"/>
          <w:color w:val="000000"/>
          <w:sz w:val="32"/>
        </w:rPr>
      </w:pPr>
    </w:p>
    <w:p w14:paraId="6E985D82">
      <w:pPr>
        <w:spacing w:line="58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t>2026年“人工智能+制造”镇江行动方案重点任务清单</w:t>
      </w:r>
    </w:p>
    <w:p w14:paraId="3E5F9B2A">
      <w:pPr>
        <w:spacing w:line="560" w:lineRule="exact"/>
        <w:rPr>
          <w:rFonts w:eastAsia="黑体"/>
          <w:color w:val="000000"/>
          <w:sz w:val="32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704"/>
        <w:gridCol w:w="2010"/>
        <w:gridCol w:w="4485"/>
        <w:gridCol w:w="5297"/>
        <w:gridCol w:w="1562"/>
      </w:tblGrid>
      <w:tr w14:paraId="F2FF3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0" w:hRule="atLeast"/>
          <w:tblHeader/>
        </w:trPr>
        <w:tc>
          <w:tcPr>
            <w:tcW w:w="704" w:type="dxa"/>
            <w:vMerge w:val="restart"/>
            <w:shd w:val="clear" w:color="auto" w:fill="auto"/>
            <w:vAlign w:val="center"/>
          </w:tcPr>
          <w:p w14:paraId="4C42C9F3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序号</w:t>
            </w:r>
          </w:p>
        </w:tc>
        <w:tc>
          <w:tcPr>
            <w:tcW w:w="2010" w:type="dxa"/>
            <w:vMerge w:val="restart"/>
            <w:shd w:val="clear" w:color="auto" w:fill="auto"/>
            <w:vAlign w:val="center"/>
          </w:tcPr>
          <w:p w14:paraId="C7F28E4C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重点任务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C40A912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工作目标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1E8171D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工作举措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BD8BAFF2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责任单位</w:t>
            </w:r>
          </w:p>
        </w:tc>
      </w:tr>
      <w:tr w14:paraId="8E419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0" w:hRule="atLeast"/>
          <w:tblHeader/>
        </w:trPr>
        <w:tc>
          <w:tcPr>
            <w:tcW w:w="704" w:type="dxa"/>
            <w:vMerge w:val="continue"/>
            <w:vAlign w:val="center"/>
          </w:tcPr>
          <w:p w14:paraId="4CA23CDF">
            <w:pPr>
              <w:widowControl/>
              <w:spacing w:line="360" w:lineRule="exact"/>
              <w:jc w:val="left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2010" w:type="dxa"/>
            <w:vMerge w:val="continue"/>
            <w:vAlign w:val="center"/>
          </w:tcPr>
          <w:p w14:paraId="1C78B6E3">
            <w:pPr>
              <w:widowControl/>
              <w:spacing w:line="360" w:lineRule="exact"/>
              <w:jc w:val="left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ED87F69A">
            <w:pPr>
              <w:widowControl/>
              <w:spacing w:line="360" w:lineRule="exact"/>
              <w:jc w:val="left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D90D494">
            <w:pPr>
              <w:widowControl/>
              <w:spacing w:line="360" w:lineRule="exact"/>
              <w:jc w:val="left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DFE52D51">
            <w:pPr>
              <w:widowControl/>
              <w:spacing w:line="360" w:lineRule="exact"/>
              <w:jc w:val="left"/>
              <w:rPr>
                <w:rFonts w:eastAsia="等线"/>
                <w:kern w:val="0"/>
                <w:sz w:val="28"/>
                <w:szCs w:val="28"/>
              </w:rPr>
            </w:pPr>
          </w:p>
        </w:tc>
      </w:tr>
      <w:tr w14:paraId="FA077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4" w:hRule="atLeast"/>
        </w:trPr>
        <w:tc>
          <w:tcPr>
            <w:tcW w:w="704" w:type="dxa"/>
            <w:shd w:val="clear" w:color="auto" w:fill="auto"/>
            <w:vAlign w:val="center"/>
          </w:tcPr>
          <w:p w14:paraId="0AD5BB14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1</w:t>
            </w:r>
          </w:p>
        </w:tc>
        <w:tc>
          <w:tcPr>
            <w:tcW w:w="2010" w:type="dxa"/>
            <w:vMerge w:val="restart"/>
            <w:shd w:val="clear" w:color="auto" w:fill="auto"/>
            <w:vAlign w:val="center"/>
          </w:tcPr>
          <w:p w14:paraId="36681EFC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加强信息基础建设，夯实人工智能发展底座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E17885">
            <w:pPr>
              <w:widowControl/>
              <w:spacing w:line="360" w:lineRule="exact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建成万兆园区、工厂3个。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060949">
            <w:pPr>
              <w:widowControl/>
              <w:spacing w:line="360" w:lineRule="exact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推动5G网络向5G-A网络升级演进，推动万兆光网商用部署。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BEE3B9B6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市通管办、市工信局</w:t>
            </w:r>
          </w:p>
        </w:tc>
      </w:tr>
      <w:tr w14:paraId="013E5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</w:trPr>
        <w:tc>
          <w:tcPr>
            <w:tcW w:w="704" w:type="dxa"/>
            <w:shd w:val="clear" w:color="auto" w:fill="auto"/>
            <w:vAlign w:val="center"/>
          </w:tcPr>
          <w:p w14:paraId="840091AA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2</w:t>
            </w:r>
          </w:p>
        </w:tc>
        <w:tc>
          <w:tcPr>
            <w:tcW w:w="2010" w:type="dxa"/>
            <w:vMerge w:val="continue"/>
            <w:vAlign w:val="center"/>
          </w:tcPr>
          <w:p w14:paraId="90A4D5A2">
            <w:pPr>
              <w:widowControl/>
              <w:spacing w:line="360" w:lineRule="exact"/>
              <w:jc w:val="left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F6E5AE0B">
            <w:pPr>
              <w:widowControl/>
              <w:spacing w:line="360" w:lineRule="exact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算力规模达到</w:t>
            </w:r>
            <w:r>
              <w:rPr>
                <w:rFonts w:eastAsia="等线"/>
                <w:kern w:val="0"/>
                <w:sz w:val="28"/>
                <w:szCs w:val="28"/>
              </w:rPr>
              <w:t>3000PFLOPS</w:t>
            </w:r>
            <w:r>
              <w:rPr>
                <w:rFonts w:eastAsia="仿宋_GB2312"/>
                <w:kern w:val="0"/>
                <w:sz w:val="28"/>
                <w:szCs w:val="28"/>
              </w:rPr>
              <w:t>（</w:t>
            </w:r>
            <w:r>
              <w:rPr>
                <w:rFonts w:eastAsia="等线"/>
                <w:kern w:val="0"/>
                <w:sz w:val="28"/>
                <w:szCs w:val="28"/>
              </w:rPr>
              <w:t>FP16</w:t>
            </w:r>
            <w:r>
              <w:rPr>
                <w:rFonts w:eastAsia="仿宋_GB2312"/>
                <w:kern w:val="0"/>
                <w:sz w:val="28"/>
                <w:szCs w:val="28"/>
              </w:rPr>
              <w:t>）。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9B0E0F">
            <w:pPr>
              <w:widowControl/>
              <w:spacing w:line="360" w:lineRule="exact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扩容升级现有数据中心，建设智算中心。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B6B233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市数据局</w:t>
            </w:r>
          </w:p>
        </w:tc>
      </w:tr>
      <w:tr w14:paraId="8262E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4" w:hRule="atLeast"/>
        </w:trPr>
        <w:tc>
          <w:tcPr>
            <w:tcW w:w="704" w:type="dxa"/>
            <w:shd w:val="clear" w:color="auto" w:fill="auto"/>
            <w:vAlign w:val="center"/>
          </w:tcPr>
          <w:p w14:paraId="73074A84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3</w:t>
            </w:r>
          </w:p>
        </w:tc>
        <w:tc>
          <w:tcPr>
            <w:tcW w:w="2010" w:type="dxa"/>
            <w:vMerge w:val="continue"/>
            <w:vAlign w:val="center"/>
          </w:tcPr>
          <w:p w14:paraId="320736FB">
            <w:pPr>
              <w:widowControl/>
              <w:spacing w:line="360" w:lineRule="exact"/>
              <w:jc w:val="left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2B2064">
            <w:pPr>
              <w:widowControl/>
              <w:spacing w:line="360" w:lineRule="exact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市级算力调度平台上线运营。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8A0FA829">
            <w:pPr>
              <w:widowControl/>
              <w:spacing w:line="360" w:lineRule="exact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依托省“1+13”运营体系，整合全市算力资源，鼓励各方自有算力接入。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C300AF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市数据集团</w:t>
            </w:r>
          </w:p>
        </w:tc>
      </w:tr>
      <w:tr w14:paraId="C5282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17" w:hRule="atLeast"/>
        </w:trPr>
        <w:tc>
          <w:tcPr>
            <w:tcW w:w="704" w:type="dxa"/>
            <w:shd w:val="clear" w:color="auto" w:fill="auto"/>
            <w:vAlign w:val="center"/>
          </w:tcPr>
          <w:p w14:paraId="3BEB7C74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4</w:t>
            </w:r>
          </w:p>
        </w:tc>
        <w:tc>
          <w:tcPr>
            <w:tcW w:w="2010" w:type="dxa"/>
            <w:vMerge w:val="continue"/>
            <w:vAlign w:val="center"/>
          </w:tcPr>
          <w:p w14:paraId="58FEA6D3">
            <w:pPr>
              <w:widowControl/>
              <w:spacing w:line="360" w:lineRule="exact"/>
              <w:jc w:val="left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ECC01E6">
            <w:pPr>
              <w:widowControl/>
              <w:spacing w:line="360" w:lineRule="exact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建设成套智能电气行业可信数据空间。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36E406">
            <w:pPr>
              <w:widowControl/>
              <w:spacing w:line="360" w:lineRule="exact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支持链主企业牵头组建行业级可信数据空间，推动产业数据跨主体互操作与资产化应用。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F9234F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市数据局</w:t>
            </w:r>
          </w:p>
        </w:tc>
      </w:tr>
      <w:tr w14:paraId="82F2B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4" w:hRule="atLeast"/>
        </w:trPr>
        <w:tc>
          <w:tcPr>
            <w:tcW w:w="704" w:type="dxa"/>
            <w:shd w:val="clear" w:color="auto" w:fill="auto"/>
            <w:vAlign w:val="center"/>
          </w:tcPr>
          <w:p w14:paraId="EB0CEA6D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5</w:t>
            </w:r>
          </w:p>
        </w:tc>
        <w:tc>
          <w:tcPr>
            <w:tcW w:w="2010" w:type="dxa"/>
            <w:vMerge w:val="continue"/>
            <w:vAlign w:val="center"/>
          </w:tcPr>
          <w:p w14:paraId="D5B2108B">
            <w:pPr>
              <w:widowControl/>
              <w:spacing w:line="360" w:lineRule="exact"/>
              <w:jc w:val="left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9FFA7CA">
            <w:pPr>
              <w:widowControl/>
              <w:spacing w:line="360" w:lineRule="exact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打造工业行业高质量数据集</w:t>
            </w:r>
            <w:r>
              <w:rPr>
                <w:rFonts w:eastAsia="等线"/>
                <w:kern w:val="0"/>
                <w:sz w:val="28"/>
                <w:szCs w:val="28"/>
              </w:rPr>
              <w:t>20</w:t>
            </w:r>
            <w:r>
              <w:rPr>
                <w:rFonts w:eastAsia="仿宋_GB2312"/>
                <w:kern w:val="0"/>
                <w:sz w:val="28"/>
                <w:szCs w:val="28"/>
              </w:rPr>
              <w:t>个。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C8CF72">
            <w:pPr>
              <w:widowControl/>
              <w:spacing w:line="360" w:lineRule="exact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培育工业高质量数据资源，推动重点行业整合数据资源，建设高质量数据集。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D5953B40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市工信局、市数据局</w:t>
            </w:r>
          </w:p>
        </w:tc>
      </w:tr>
      <w:tr w14:paraId="98A7D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20" w:hRule="atLeast"/>
        </w:trPr>
        <w:tc>
          <w:tcPr>
            <w:tcW w:w="704" w:type="dxa"/>
            <w:shd w:val="clear" w:color="auto" w:fill="auto"/>
            <w:vAlign w:val="center"/>
          </w:tcPr>
          <w:p w14:paraId="84DEA71B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6</w:t>
            </w:r>
          </w:p>
        </w:tc>
        <w:tc>
          <w:tcPr>
            <w:tcW w:w="2010" w:type="dxa"/>
            <w:vMerge w:val="restart"/>
            <w:shd w:val="clear" w:color="auto" w:fill="auto"/>
            <w:vAlign w:val="center"/>
          </w:tcPr>
          <w:p w14:paraId="126DEF24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强化研发和服务供给，提供行业技术能力支撑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569FC2">
            <w:pPr>
              <w:widowControl/>
              <w:spacing w:line="360" w:lineRule="exact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培育工业大模型6个。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CBECB7">
            <w:pPr>
              <w:widowControl/>
              <w:spacing w:line="360" w:lineRule="exact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推进大小模型协同创新，攻关行业大模型，研发专用小模型。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637E7E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市工信局、市数据局</w:t>
            </w:r>
          </w:p>
        </w:tc>
      </w:tr>
      <w:tr w14:paraId="E09D7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20" w:hRule="atLeast"/>
        </w:trPr>
        <w:tc>
          <w:tcPr>
            <w:tcW w:w="704" w:type="dxa"/>
            <w:shd w:val="clear" w:color="auto" w:fill="auto"/>
            <w:vAlign w:val="center"/>
          </w:tcPr>
          <w:p w14:paraId="A8C98241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7</w:t>
            </w:r>
          </w:p>
        </w:tc>
        <w:tc>
          <w:tcPr>
            <w:tcW w:w="2010" w:type="dxa"/>
            <w:vMerge w:val="continue"/>
            <w:vAlign w:val="center"/>
          </w:tcPr>
          <w:p w14:paraId="34686F5F">
            <w:pPr>
              <w:widowControl/>
              <w:spacing w:line="360" w:lineRule="exact"/>
              <w:jc w:val="left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C3082730">
            <w:pPr>
              <w:widowControl/>
              <w:spacing w:line="360" w:lineRule="exact"/>
              <w:rPr>
                <w:rFonts w:eastAsia="等线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形成工业智能体60个。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CDDD6C">
            <w:pPr>
              <w:widowControl/>
              <w:spacing w:line="360" w:lineRule="exact"/>
              <w:rPr>
                <w:rFonts w:eastAsia="等线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推动工业大模型、工业机理知识、自动控制算法深度融合，研发工业智能体。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89A5CE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市工信局</w:t>
            </w:r>
          </w:p>
        </w:tc>
      </w:tr>
      <w:tr w14:paraId="E1361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17" w:hRule="atLeast"/>
        </w:trPr>
        <w:tc>
          <w:tcPr>
            <w:tcW w:w="704" w:type="dxa"/>
            <w:shd w:val="clear" w:color="auto" w:fill="auto"/>
            <w:vAlign w:val="center"/>
          </w:tcPr>
          <w:p w14:paraId="066AE204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8</w:t>
            </w:r>
          </w:p>
        </w:tc>
        <w:tc>
          <w:tcPr>
            <w:tcW w:w="2010" w:type="dxa"/>
            <w:vMerge w:val="continue"/>
            <w:vAlign w:val="center"/>
          </w:tcPr>
          <w:p w14:paraId="D12F34F5">
            <w:pPr>
              <w:widowControl/>
              <w:spacing w:line="360" w:lineRule="exact"/>
              <w:jc w:val="left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998DEF4">
            <w:pPr>
              <w:widowControl/>
              <w:spacing w:line="360" w:lineRule="exact"/>
              <w:rPr>
                <w:rFonts w:eastAsia="等线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新增AI原生工业软件产品5个。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B57DE40E">
            <w:pPr>
              <w:widowControl/>
              <w:spacing w:line="360" w:lineRule="exact"/>
              <w:rPr>
                <w:rFonts w:eastAsia="等线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培育AI原生工业软件，补齐智能视觉、工艺优化、数据建模、模型开发工具链供给短板。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093518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市工信局</w:t>
            </w:r>
          </w:p>
        </w:tc>
      </w:tr>
      <w:tr w14:paraId="26EBA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17" w:hRule="atLeast"/>
        </w:trPr>
        <w:tc>
          <w:tcPr>
            <w:tcW w:w="704" w:type="dxa"/>
            <w:shd w:val="clear" w:color="auto" w:fill="auto"/>
            <w:vAlign w:val="center"/>
          </w:tcPr>
          <w:p w14:paraId="2D9DAC3C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9</w:t>
            </w:r>
          </w:p>
        </w:tc>
        <w:tc>
          <w:tcPr>
            <w:tcW w:w="2010" w:type="dxa"/>
            <w:vMerge w:val="continue"/>
            <w:vAlign w:val="center"/>
          </w:tcPr>
          <w:p w14:paraId="F6B19C92">
            <w:pPr>
              <w:widowControl/>
              <w:spacing w:line="360" w:lineRule="exact"/>
              <w:jc w:val="left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FCEF8FF">
            <w:pPr>
              <w:widowControl/>
              <w:spacing w:line="360" w:lineRule="exact"/>
              <w:rPr>
                <w:rFonts w:eastAsia="等线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打造具备区域服务能力的赋能中心3个，引育人工智能服务商10家。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D99956FC">
            <w:pPr>
              <w:widowControl/>
              <w:spacing w:line="360" w:lineRule="exact"/>
              <w:rPr>
                <w:rFonts w:eastAsia="等线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强化人工智能服务供给，引育一批赋能服务机构，引导信息服务企业向人工智能服务商转型。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CC31B24C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市工信局、市发改委</w:t>
            </w:r>
          </w:p>
        </w:tc>
      </w:tr>
      <w:tr w14:paraId="4E61D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17" w:hRule="atLeast"/>
        </w:trPr>
        <w:tc>
          <w:tcPr>
            <w:tcW w:w="704" w:type="dxa"/>
            <w:shd w:val="clear" w:color="auto" w:fill="auto"/>
            <w:vAlign w:val="center"/>
          </w:tcPr>
          <w:p w14:paraId="87DD2C08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10</w:t>
            </w:r>
          </w:p>
        </w:tc>
        <w:tc>
          <w:tcPr>
            <w:tcW w:w="2010" w:type="dxa"/>
            <w:vMerge w:val="restart"/>
            <w:shd w:val="clear" w:color="auto" w:fill="auto"/>
            <w:vAlign w:val="center"/>
          </w:tcPr>
          <w:p w14:paraId="96D148EE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推动人工智能落地赋能，丰富工业领域应用场景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C58D26">
            <w:pPr>
              <w:widowControl/>
              <w:spacing w:line="360" w:lineRule="exact"/>
              <w:rPr>
                <w:rFonts w:eastAsia="等线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规上工业企业诊断覆盖率达到40%，建设工业人工智能应用场景50个。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9056CC">
            <w:pPr>
              <w:widowControl/>
              <w:spacing w:line="360" w:lineRule="exact"/>
              <w:rPr>
                <w:rFonts w:eastAsia="等线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开展“人工智能+制造”诊断工作，以“线下入企评估+线上自评自诊”方式，提高企业对人工智能技术的认识水平和应用意愿。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C74854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市工信局</w:t>
            </w:r>
          </w:p>
        </w:tc>
      </w:tr>
      <w:tr w14:paraId="07257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17" w:hRule="atLeast"/>
        </w:trPr>
        <w:tc>
          <w:tcPr>
            <w:tcW w:w="704" w:type="dxa"/>
            <w:shd w:val="clear" w:color="auto" w:fill="auto"/>
            <w:vAlign w:val="center"/>
          </w:tcPr>
          <w:p w14:paraId="731EE539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11</w:t>
            </w:r>
          </w:p>
        </w:tc>
        <w:tc>
          <w:tcPr>
            <w:tcW w:w="2010" w:type="dxa"/>
            <w:vMerge w:val="continue"/>
            <w:vAlign w:val="center"/>
          </w:tcPr>
          <w:p w14:paraId="15317385">
            <w:pPr>
              <w:widowControl/>
              <w:spacing w:line="360" w:lineRule="exact"/>
              <w:jc w:val="left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EF92DA34">
            <w:pPr>
              <w:widowControl/>
              <w:spacing w:line="360" w:lineRule="exact"/>
              <w:rPr>
                <w:rFonts w:eastAsia="等线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累计建成省先进级智能工厂220个、国家卓越级智能工厂5个，力争领航级智能工厂实现突破。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841DF4FB">
            <w:pPr>
              <w:widowControl/>
              <w:spacing w:line="360" w:lineRule="exact"/>
              <w:rPr>
                <w:rFonts w:eastAsia="等线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导企业部署智能制造装备、工业软件系统，加快智能化转型，建强智能工厂梯度培育体系。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AD5C62DF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市工信局</w:t>
            </w:r>
          </w:p>
        </w:tc>
      </w:tr>
      <w:tr w14:paraId="9477C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704" w:type="dxa"/>
            <w:shd w:val="clear" w:color="auto" w:fill="auto"/>
            <w:vAlign w:val="center"/>
          </w:tcPr>
          <w:p w14:paraId="62008F17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12</w:t>
            </w:r>
          </w:p>
        </w:tc>
        <w:tc>
          <w:tcPr>
            <w:tcW w:w="2010" w:type="dxa"/>
            <w:vMerge w:val="restart"/>
            <w:shd w:val="clear" w:color="auto" w:fill="auto"/>
            <w:vAlign w:val="center"/>
          </w:tcPr>
          <w:p w14:paraId="67C8011C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推动人工智能落地赋能，丰富工业领域应用场景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8D497D8">
            <w:pPr>
              <w:widowControl/>
              <w:spacing w:line="360" w:lineRule="exact"/>
              <w:rPr>
                <w:rFonts w:eastAsia="等线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农机装备行业累计建成省先进级及以上智能工厂8家、建设人工智能应用场景5个、打造工业行业高质量数据集2个、培育工业大模型1个。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DEE86C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市工信局</w:t>
            </w:r>
          </w:p>
        </w:tc>
      </w:tr>
      <w:tr w14:paraId="8B7BB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704" w:type="dxa"/>
            <w:shd w:val="clear" w:color="auto" w:fill="auto"/>
            <w:vAlign w:val="center"/>
          </w:tcPr>
          <w:p w14:paraId="EF0A6B57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13</w:t>
            </w:r>
          </w:p>
        </w:tc>
        <w:tc>
          <w:tcPr>
            <w:tcW w:w="2010" w:type="dxa"/>
            <w:vMerge w:val="continue"/>
            <w:vAlign w:val="center"/>
          </w:tcPr>
          <w:p w14:paraId="0BA810CC">
            <w:pPr>
              <w:widowControl/>
              <w:spacing w:line="360" w:lineRule="exact"/>
              <w:jc w:val="left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38CE6B68">
            <w:pPr>
              <w:widowControl/>
              <w:spacing w:line="360" w:lineRule="exact"/>
              <w:rPr>
                <w:rFonts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视觉光学行业累计建成省先进级及以上智能工厂12家、建设人工智能应用场景7个、打造工业行业高质量数据集2个、培育工业大模型1个。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722564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市工信局</w:t>
            </w:r>
          </w:p>
        </w:tc>
      </w:tr>
      <w:tr w14:paraId="E04A5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704" w:type="dxa"/>
            <w:shd w:val="clear" w:color="auto" w:fill="auto"/>
            <w:vAlign w:val="center"/>
          </w:tcPr>
          <w:p w14:paraId="298A85CC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14</w:t>
            </w:r>
          </w:p>
        </w:tc>
        <w:tc>
          <w:tcPr>
            <w:tcW w:w="2010" w:type="dxa"/>
            <w:vMerge w:val="continue"/>
            <w:vAlign w:val="center"/>
          </w:tcPr>
          <w:p w14:paraId="DBEFA4EB">
            <w:pPr>
              <w:widowControl/>
              <w:spacing w:line="360" w:lineRule="exact"/>
              <w:jc w:val="left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316A0B70">
            <w:pPr>
              <w:widowControl/>
              <w:spacing w:line="360" w:lineRule="exact"/>
              <w:rPr>
                <w:rFonts w:eastAsia="等线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新型电力（新能源）装备行业累计建成省先进级及以上智能工厂44家、建设人工智能应用场景10个、打造工业行业高质量数据集3个，培育工业大模型1个。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E0CED36C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市发改委</w:t>
            </w:r>
          </w:p>
        </w:tc>
      </w:tr>
      <w:tr w14:paraId="FAF35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704" w:type="dxa"/>
            <w:shd w:val="clear" w:color="auto" w:fill="auto"/>
            <w:vAlign w:val="center"/>
          </w:tcPr>
          <w:p w14:paraId="9FA743A3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15</w:t>
            </w:r>
          </w:p>
        </w:tc>
        <w:tc>
          <w:tcPr>
            <w:tcW w:w="2010" w:type="dxa"/>
            <w:vMerge w:val="continue"/>
            <w:vAlign w:val="center"/>
          </w:tcPr>
          <w:p w14:paraId="F6D9E076">
            <w:pPr>
              <w:widowControl/>
              <w:spacing w:line="360" w:lineRule="exact"/>
              <w:jc w:val="left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9D4EA56D">
            <w:pPr>
              <w:widowControl/>
              <w:spacing w:line="360" w:lineRule="exact"/>
              <w:rPr>
                <w:rFonts w:eastAsia="等线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新能源汽车及汽车零部件行业累计建成省先进级及以上智能工厂19家、建设人工智能应用场景5个、打造工业行业高质量数据集3个、培育工业大模型1个。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D36D73A8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市商务局</w:t>
            </w:r>
          </w:p>
        </w:tc>
      </w:tr>
      <w:tr w14:paraId="DF53C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704" w:type="dxa"/>
            <w:shd w:val="clear" w:color="auto" w:fill="auto"/>
            <w:vAlign w:val="center"/>
          </w:tcPr>
          <w:p w14:paraId="F72EBFDD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16</w:t>
            </w:r>
          </w:p>
        </w:tc>
        <w:tc>
          <w:tcPr>
            <w:tcW w:w="2010" w:type="dxa"/>
            <w:vMerge w:val="continue"/>
            <w:vAlign w:val="center"/>
          </w:tcPr>
          <w:p w14:paraId="65097DCA">
            <w:pPr>
              <w:widowControl/>
              <w:spacing w:line="360" w:lineRule="exact"/>
              <w:jc w:val="left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819206B4">
            <w:pPr>
              <w:widowControl/>
              <w:spacing w:line="360" w:lineRule="exact"/>
              <w:rPr>
                <w:rFonts w:eastAsia="等线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高性能材料行业累计建成省先进级及以上智能工厂19家、建设人工智能应用场景4个、打造工业行业高质量数据集3个、培育工业大模型1个。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D2E4A052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市工信局</w:t>
            </w:r>
          </w:p>
        </w:tc>
      </w:tr>
      <w:tr w14:paraId="8756C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704" w:type="dxa"/>
            <w:shd w:val="clear" w:color="auto" w:fill="auto"/>
            <w:vAlign w:val="center"/>
          </w:tcPr>
          <w:p w14:paraId="0F702B19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17</w:t>
            </w:r>
          </w:p>
        </w:tc>
        <w:tc>
          <w:tcPr>
            <w:tcW w:w="2010" w:type="dxa"/>
            <w:vMerge w:val="continue"/>
            <w:vAlign w:val="center"/>
          </w:tcPr>
          <w:p w14:paraId="2CA3B965">
            <w:pPr>
              <w:widowControl/>
              <w:spacing w:line="360" w:lineRule="exact"/>
              <w:jc w:val="left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6B19A6B9">
            <w:pPr>
              <w:widowControl/>
              <w:spacing w:line="360" w:lineRule="exact"/>
              <w:rPr>
                <w:rFonts w:eastAsia="等线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船舶海工装备行业累计建成省先进级及以上智能工厂11家、建设人工智能应用场景2个、打造工业行业高质量数据集2个、培育工业大模型1个。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113B39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市科技局</w:t>
            </w:r>
          </w:p>
        </w:tc>
      </w:tr>
      <w:tr w14:paraId="610E8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4" w:hRule="atLeast"/>
        </w:trPr>
        <w:tc>
          <w:tcPr>
            <w:tcW w:w="704" w:type="dxa"/>
            <w:shd w:val="clear" w:color="auto" w:fill="auto"/>
            <w:vAlign w:val="center"/>
          </w:tcPr>
          <w:p w14:paraId="EE06B033">
            <w:pPr>
              <w:widowControl/>
              <w:spacing w:line="360" w:lineRule="exact"/>
              <w:jc w:val="center"/>
              <w:rPr>
                <w:rFonts w:hint="default" w:eastAsia="等线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等线"/>
                <w:kern w:val="0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2010" w:type="dxa"/>
            <w:vMerge w:val="restart"/>
            <w:shd w:val="clear" w:color="auto" w:fill="auto"/>
            <w:vAlign w:val="center"/>
          </w:tcPr>
          <w:p w14:paraId="27F8021B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营造良好产业生态，助推“人工智能+制造”创新发展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A9517BEA">
            <w:pPr>
              <w:widowControl/>
              <w:spacing w:line="360" w:lineRule="exact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举办2026年镇江市人工智能应用场景创新创业大赛。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679950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市工信局、市发改委、市数据局</w:t>
            </w:r>
          </w:p>
        </w:tc>
      </w:tr>
      <w:tr w14:paraId="00C30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1" w:hRule="atLeast"/>
        </w:trPr>
        <w:tc>
          <w:tcPr>
            <w:tcW w:w="704" w:type="dxa"/>
            <w:shd w:val="clear" w:color="auto" w:fill="auto"/>
            <w:vAlign w:val="center"/>
          </w:tcPr>
          <w:p w14:paraId="974867A4">
            <w:pPr>
              <w:widowControl/>
              <w:spacing w:line="360" w:lineRule="exact"/>
              <w:jc w:val="center"/>
              <w:rPr>
                <w:rFonts w:hint="default" w:eastAsia="等线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等线"/>
                <w:kern w:val="0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2010" w:type="dxa"/>
            <w:vMerge w:val="continue"/>
            <w:vAlign w:val="center"/>
          </w:tcPr>
          <w:p w14:paraId="955A1BA7">
            <w:pPr>
              <w:widowControl/>
              <w:spacing w:line="360" w:lineRule="exact"/>
              <w:jc w:val="left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B9C3F44">
            <w:pPr>
              <w:widowControl/>
              <w:spacing w:line="360" w:lineRule="exact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组织开展工业行业高质量数据集建设推进会。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E37050CA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市工信局、市数据局</w:t>
            </w:r>
          </w:p>
        </w:tc>
      </w:tr>
      <w:tr w14:paraId="4E4D5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9" w:hRule="atLeast"/>
        </w:trPr>
        <w:tc>
          <w:tcPr>
            <w:tcW w:w="704" w:type="dxa"/>
            <w:shd w:val="clear" w:color="auto" w:fill="auto"/>
            <w:vAlign w:val="center"/>
          </w:tcPr>
          <w:p w14:paraId="90F02939">
            <w:pPr>
              <w:widowControl/>
              <w:spacing w:line="360" w:lineRule="exact"/>
              <w:jc w:val="center"/>
              <w:rPr>
                <w:rFonts w:hint="default" w:eastAsia="等线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等线"/>
                <w:kern w:val="0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2010" w:type="dxa"/>
            <w:vMerge w:val="continue"/>
            <w:vAlign w:val="center"/>
          </w:tcPr>
          <w:p w14:paraId="6E0C6638">
            <w:pPr>
              <w:widowControl/>
              <w:spacing w:line="360" w:lineRule="exact"/>
              <w:jc w:val="left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A84F61A4">
            <w:pPr>
              <w:widowControl/>
              <w:spacing w:line="360" w:lineRule="exact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开展人工智能新模式新技术专题培训，提升软件企业服务能级。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D04419AE">
            <w:pPr>
              <w:widowControl/>
              <w:spacing w:line="36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市工信局、市发改委</w:t>
            </w:r>
          </w:p>
        </w:tc>
      </w:tr>
    </w:tbl>
    <w:p w14:paraId="DD3BF746">
      <w:pPr>
        <w:spacing w:line="400" w:lineRule="exact"/>
        <w:rPr>
          <w:rFonts w:eastAsia="黑体"/>
          <w:color w:val="000000"/>
          <w:sz w:val="32"/>
        </w:rPr>
      </w:pPr>
    </w:p>
    <w:sectPr>
      <w:footerReference r:id="rId5" w:type="default"/>
      <w:footerReference r:id="rId6" w:type="even"/>
      <w:pgSz w:w="16838" w:h="11906" w:orient="landscape"/>
      <w:pgMar w:top="1418" w:right="1418" w:bottom="1418" w:left="1418" w:header="851" w:footer="1247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EA4EE8F8">
    <w:pPr>
      <w:pStyle w:val="6"/>
      <w:jc w:val="right"/>
      <w:rPr>
        <w:rFonts w:eastAsia="仿宋_GB2312"/>
      </w:rPr>
    </w:pPr>
    <w:r>
      <w:rPr>
        <w:rFonts w:hint="eastAsia" w:eastAsia="仿宋_GB2312"/>
        <w:sz w:val="30"/>
        <w:szCs w:val="30"/>
      </w:rPr>
      <w:t xml:space="preserve">— </w:t>
    </w:r>
    <w:r>
      <w:rPr>
        <w:rFonts w:eastAsia="仿宋_GB2312"/>
        <w:sz w:val="30"/>
        <w:szCs w:val="30"/>
      </w:rPr>
      <w:fldChar w:fldCharType="begin"/>
    </w:r>
    <w:r>
      <w:rPr>
        <w:rFonts w:eastAsia="仿宋_GB2312"/>
        <w:sz w:val="30"/>
        <w:szCs w:val="30"/>
      </w:rPr>
      <w:instrText xml:space="preserve"> PAGE   \* MERGEFORMAT </w:instrText>
    </w:r>
    <w:r>
      <w:rPr>
        <w:rFonts w:eastAsia="仿宋_GB2312"/>
        <w:sz w:val="30"/>
        <w:szCs w:val="30"/>
      </w:rPr>
      <w:fldChar w:fldCharType="separate"/>
    </w:r>
    <w:r>
      <w:rPr>
        <w:rFonts w:eastAsia="仿宋_GB2312"/>
        <w:sz w:val="30"/>
        <w:szCs w:val="30"/>
        <w:lang w:val="zh-CN"/>
      </w:rPr>
      <w:t>9</w:t>
    </w:r>
    <w:r>
      <w:rPr>
        <w:rFonts w:eastAsia="仿宋_GB2312"/>
        <w:sz w:val="30"/>
        <w:szCs w:val="30"/>
      </w:rPr>
      <w:fldChar w:fldCharType="end"/>
    </w:r>
    <w:r>
      <w:rPr>
        <w:rFonts w:hint="eastAsia" w:eastAsia="仿宋_GB2312"/>
        <w:sz w:val="30"/>
        <w:szCs w:val="30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8386A7">
    <w:pPr>
      <w:pStyle w:val="6"/>
      <w:rPr>
        <w:rFonts w:eastAsia="仿宋_GB2312"/>
      </w:rPr>
    </w:pPr>
    <w:r>
      <w:rPr>
        <w:rFonts w:hint="eastAsia" w:eastAsia="仿宋_GB2312"/>
        <w:sz w:val="30"/>
        <w:szCs w:val="30"/>
      </w:rPr>
      <w:t xml:space="preserve">— </w:t>
    </w:r>
    <w:r>
      <w:rPr>
        <w:rFonts w:eastAsia="仿宋_GB2312"/>
        <w:sz w:val="30"/>
        <w:szCs w:val="30"/>
      </w:rPr>
      <w:fldChar w:fldCharType="begin"/>
    </w:r>
    <w:r>
      <w:rPr>
        <w:rFonts w:eastAsia="仿宋_GB2312"/>
        <w:sz w:val="30"/>
        <w:szCs w:val="30"/>
      </w:rPr>
      <w:instrText xml:space="preserve"> PAGE   \* MERGEFORMAT </w:instrText>
    </w:r>
    <w:r>
      <w:rPr>
        <w:rFonts w:eastAsia="仿宋_GB2312"/>
        <w:sz w:val="30"/>
        <w:szCs w:val="30"/>
      </w:rPr>
      <w:fldChar w:fldCharType="separate"/>
    </w:r>
    <w:r>
      <w:rPr>
        <w:rFonts w:eastAsia="仿宋_GB2312"/>
        <w:sz w:val="30"/>
        <w:szCs w:val="30"/>
        <w:lang w:val="zh-CN"/>
      </w:rPr>
      <w:t>8</w:t>
    </w:r>
    <w:r>
      <w:rPr>
        <w:rFonts w:eastAsia="仿宋_GB2312"/>
        <w:sz w:val="30"/>
        <w:szCs w:val="30"/>
      </w:rPr>
      <w:fldChar w:fldCharType="end"/>
    </w:r>
    <w:r>
      <w:rPr>
        <w:rFonts w:hint="eastAsia" w:eastAsia="仿宋_GB2312"/>
        <w:sz w:val="30"/>
        <w:szCs w:val="30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8C66789A">
    <w:pPr>
      <w:pStyle w:val="6"/>
      <w:jc w:val="center"/>
      <w:rPr>
        <w:rFonts w:eastAsia="仿宋_GB2312"/>
      </w:rPr>
    </w:pPr>
    <w:r>
      <w:rPr>
        <w:rFonts w:hint="eastAsia" w:eastAsia="仿宋_GB2312"/>
        <w:sz w:val="30"/>
        <w:szCs w:val="30"/>
      </w:rPr>
      <w:t xml:space="preserve">— </w:t>
    </w:r>
    <w:r>
      <w:rPr>
        <w:rFonts w:eastAsia="仿宋_GB2312"/>
        <w:sz w:val="30"/>
        <w:szCs w:val="30"/>
      </w:rPr>
      <w:fldChar w:fldCharType="begin"/>
    </w:r>
    <w:r>
      <w:rPr>
        <w:rFonts w:eastAsia="仿宋_GB2312"/>
        <w:sz w:val="30"/>
        <w:szCs w:val="30"/>
      </w:rPr>
      <w:instrText xml:space="preserve"> PAGE   \* MERGEFORMAT </w:instrText>
    </w:r>
    <w:r>
      <w:rPr>
        <w:rFonts w:eastAsia="仿宋_GB2312"/>
        <w:sz w:val="30"/>
        <w:szCs w:val="30"/>
      </w:rPr>
      <w:fldChar w:fldCharType="separate"/>
    </w:r>
    <w:r>
      <w:rPr>
        <w:rFonts w:eastAsia="仿宋_GB2312"/>
        <w:sz w:val="30"/>
        <w:szCs w:val="30"/>
        <w:lang w:val="zh-CN"/>
      </w:rPr>
      <w:t>11</w:t>
    </w:r>
    <w:r>
      <w:rPr>
        <w:rFonts w:eastAsia="仿宋_GB2312"/>
        <w:sz w:val="30"/>
        <w:szCs w:val="30"/>
      </w:rPr>
      <w:fldChar w:fldCharType="end"/>
    </w:r>
    <w:r>
      <w:rPr>
        <w:rFonts w:hint="eastAsia" w:eastAsia="仿宋_GB2312"/>
        <w:sz w:val="30"/>
        <w:szCs w:val="30"/>
      </w:rPr>
      <w:t xml:space="preserve">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D61C06CB">
    <w:pPr>
      <w:pStyle w:val="6"/>
      <w:jc w:val="center"/>
      <w:rPr>
        <w:rFonts w:eastAsia="仿宋_GB2312"/>
        <w:color w:val="000000"/>
      </w:rPr>
    </w:pPr>
    <w:r>
      <w:rPr>
        <w:rFonts w:hint="eastAsia" w:eastAsia="仿宋_GB2312"/>
        <w:color w:val="000000"/>
        <w:sz w:val="30"/>
        <w:szCs w:val="30"/>
      </w:rPr>
      <w:t xml:space="preserve">— </w:t>
    </w:r>
    <w:r>
      <w:rPr>
        <w:rFonts w:eastAsia="仿宋_GB2312"/>
        <w:color w:val="000000"/>
        <w:sz w:val="30"/>
        <w:szCs w:val="30"/>
      </w:rPr>
      <w:fldChar w:fldCharType="begin"/>
    </w:r>
    <w:r>
      <w:rPr>
        <w:rFonts w:eastAsia="仿宋_GB2312"/>
        <w:color w:val="000000"/>
        <w:sz w:val="30"/>
        <w:szCs w:val="30"/>
      </w:rPr>
      <w:instrText xml:space="preserve"> PAGE   \* MERGEFORMAT </w:instrText>
    </w:r>
    <w:r>
      <w:rPr>
        <w:rFonts w:eastAsia="仿宋_GB2312"/>
        <w:color w:val="000000"/>
        <w:sz w:val="30"/>
        <w:szCs w:val="30"/>
      </w:rPr>
      <w:fldChar w:fldCharType="separate"/>
    </w:r>
    <w:r>
      <w:rPr>
        <w:rFonts w:eastAsia="仿宋_GB2312"/>
        <w:color w:val="000000"/>
        <w:sz w:val="30"/>
        <w:szCs w:val="30"/>
        <w:lang w:val="zh-CN"/>
      </w:rPr>
      <w:t>12</w:t>
    </w:r>
    <w:r>
      <w:rPr>
        <w:rFonts w:eastAsia="仿宋_GB2312"/>
        <w:color w:val="000000"/>
        <w:sz w:val="30"/>
        <w:szCs w:val="30"/>
      </w:rPr>
      <w:fldChar w:fldCharType="end"/>
    </w:r>
    <w:r>
      <w:rPr>
        <w:rFonts w:hint="eastAsia" w:eastAsia="仿宋_GB2312"/>
        <w:color w:val="000000"/>
        <w:sz w:val="30"/>
        <w:szCs w:val="30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F26528"/>
    <w:rsid w:val="0FEE0B17"/>
    <w:rsid w:val="425608D6"/>
    <w:rsid w:val="4AB57E8C"/>
    <w:rsid w:val="4B0403FD"/>
    <w:rsid w:val="4CDB6A3B"/>
    <w:rsid w:val="56B45E9F"/>
    <w:rsid w:val="57E83927"/>
    <w:rsid w:val="5B786B2D"/>
    <w:rsid w:val="5DEC4171"/>
    <w:rsid w:val="6103659B"/>
    <w:rsid w:val="6313334D"/>
    <w:rsid w:val="642A1231"/>
    <w:rsid w:val="660C6084"/>
    <w:rsid w:val="77952D2B"/>
    <w:rsid w:val="77BB3DBD"/>
    <w:rsid w:val="7FF736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27"/>
    <w:qFormat/>
    <w:uiPriority w:val="0"/>
    <w:pPr>
      <w:widowControl/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8"/>
    </w:rPr>
  </w:style>
  <w:style w:type="character" w:default="1" w:styleId="11">
    <w:name w:val="Default Paragraph Font"/>
    <w:uiPriority w:val="1"/>
  </w:style>
  <w:style w:type="table" w:default="1" w:styleId="9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link w:val="19"/>
    <w:qFormat/>
    <w:uiPriority w:val="0"/>
    <w:rPr>
      <w:rFonts w:ascii="微软雅黑" w:hAnsi="微软雅黑" w:eastAsia="微软雅黑" w:cs="微软雅黑"/>
      <w:sz w:val="90"/>
      <w:szCs w:val="90"/>
    </w:rPr>
  </w:style>
  <w:style w:type="paragraph" w:styleId="4">
    <w:name w:val="Date"/>
    <w:basedOn w:val="1"/>
    <w:next w:val="1"/>
    <w:link w:val="17"/>
    <w:qFormat/>
    <w:uiPriority w:val="0"/>
    <w:pPr>
      <w:ind w:left="100" w:leftChars="2500"/>
    </w:pPr>
  </w:style>
  <w:style w:type="paragraph" w:styleId="5">
    <w:name w:val="Balloon Text"/>
    <w:basedOn w:val="1"/>
    <w:qFormat/>
    <w:uiPriority w:val="0"/>
    <w:rPr>
      <w:sz w:val="18"/>
      <w:szCs w:val="18"/>
    </w:rPr>
  </w:style>
  <w:style w:type="paragraph" w:styleId="6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"/>
    <w:basedOn w:val="3"/>
    <w:link w:val="25"/>
    <w:qFormat/>
    <w:uiPriority w:val="0"/>
    <w:pPr>
      <w:adjustRightInd w:val="0"/>
      <w:snapToGrid w:val="0"/>
      <w:spacing w:after="120" w:line="560" w:lineRule="exact"/>
      <w:ind w:firstLine="420" w:firstLineChars="100"/>
    </w:pPr>
    <w:rPr>
      <w:rFonts w:ascii="Times New Roman" w:hAnsi="Times New Roman" w:eastAsia="仿宋_GB2312" w:cs="Times New Roman"/>
      <w:sz w:val="32"/>
      <w:szCs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ascii="Arial" w:hAnsi="Arial"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1"/>
    <w:qFormat/>
    <w:uiPriority w:val="0"/>
  </w:style>
  <w:style w:type="paragraph" w:customStyle="1" w:styleId="14">
    <w:name w:val="p0"/>
    <w:basedOn w:val="1"/>
    <w:qFormat/>
    <w:uiPriority w:val="0"/>
    <w:pPr>
      <w:widowControl/>
      <w:spacing w:line="590" w:lineRule="atLeast"/>
      <w:ind w:firstLine="624"/>
    </w:pPr>
    <w:rPr>
      <w:kern w:val="0"/>
      <w:sz w:val="32"/>
      <w:szCs w:val="32"/>
    </w:rPr>
  </w:style>
  <w:style w:type="character" w:customStyle="1" w:styleId="15">
    <w:name w:val="页眉 字符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字符"/>
    <w:basedOn w:val="11"/>
    <w:link w:val="6"/>
    <w:qFormat/>
    <w:uiPriority w:val="99"/>
    <w:rPr>
      <w:kern w:val="2"/>
      <w:sz w:val="18"/>
      <w:szCs w:val="18"/>
    </w:rPr>
  </w:style>
  <w:style w:type="character" w:customStyle="1" w:styleId="17">
    <w:name w:val="日期 字符"/>
    <w:basedOn w:val="11"/>
    <w:link w:val="4"/>
    <w:qFormat/>
    <w:uiPriority w:val="0"/>
    <w:rPr>
      <w:kern w:val="2"/>
      <w:sz w:val="21"/>
      <w:szCs w:val="24"/>
    </w:rPr>
  </w:style>
  <w:style w:type="character" w:customStyle="1" w:styleId="18">
    <w:name w:val="NormalCharacter"/>
    <w:qFormat/>
    <w:uiPriority w:val="0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19">
    <w:name w:val="正文文本 字符"/>
    <w:basedOn w:val="11"/>
    <w:link w:val="3"/>
    <w:qFormat/>
    <w:uiPriority w:val="0"/>
    <w:rPr>
      <w:rFonts w:ascii="微软雅黑" w:hAnsi="微软雅黑" w:eastAsia="微软雅黑" w:cs="微软雅黑"/>
      <w:kern w:val="2"/>
      <w:sz w:val="90"/>
      <w:szCs w:val="90"/>
    </w:rPr>
  </w:style>
  <w:style w:type="paragraph" w:customStyle="1" w:styleId="20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21">
    <w:name w:val="网格型1"/>
    <w:basedOn w:val="9"/>
    <w:qFormat/>
    <w:uiPriority w:val="0"/>
    <w:pPr>
      <w:widowControl w:val="0"/>
      <w:jc w:val="both"/>
    </w:pPr>
    <w:rPr>
      <w:rFonts w:ascii="Arial" w:hAnsi="Arial"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网格型2"/>
    <w:basedOn w:val="9"/>
    <w:qFormat/>
    <w:uiPriority w:val="0"/>
    <w:pPr>
      <w:widowControl w:val="0"/>
      <w:jc w:val="both"/>
    </w:pPr>
    <w:rPr>
      <w:rFonts w:ascii="Arial" w:hAnsi="Arial"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网格型3"/>
    <w:basedOn w:val="9"/>
    <w:qFormat/>
    <w:uiPriority w:val="0"/>
    <w:pPr>
      <w:widowControl w:val="0"/>
      <w:jc w:val="both"/>
    </w:pPr>
    <w:rPr>
      <w:rFonts w:ascii="Arial" w:hAnsi="Arial"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">
    <w:name w:val="网格型4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正文首行缩进 字符"/>
    <w:basedOn w:val="19"/>
    <w:link w:val="8"/>
    <w:qFormat/>
    <w:uiPriority w:val="0"/>
    <w:rPr>
      <w:rFonts w:ascii="微软雅黑" w:hAnsi="微软雅黑" w:eastAsia="仿宋_GB2312" w:cs="微软雅黑"/>
      <w:kern w:val="2"/>
      <w:sz w:val="32"/>
      <w:szCs w:val="24"/>
    </w:rPr>
  </w:style>
  <w:style w:type="table" w:customStyle="1" w:styleId="26">
    <w:name w:val="网格型5"/>
    <w:basedOn w:val="9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7">
    <w:name w:val="标题 3 字符"/>
    <w:basedOn w:val="11"/>
    <w:link w:val="2"/>
    <w:qFormat/>
    <w:uiPriority w:val="0"/>
    <w:rPr>
      <w:rFonts w:ascii="宋体" w:hAnsi="宋体"/>
      <w:b/>
      <w:sz w:val="27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第一个元素和日期" Version="1987"/>
</file>

<file path=customXml/itemProps1.xml><?xml version="1.0" encoding="utf-8"?>
<ds:datastoreItem xmlns:ds="http://schemas.openxmlformats.org/officeDocument/2006/customXml" ds:itemID="{0C530439-FC85-4597-BFB5-A0E2857E5A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13</Pages>
  <Words>6094</Words>
  <Characters>6270</Characters>
  <Paragraphs>194</Paragraphs>
  <TotalTime>63</TotalTime>
  <ScaleCrop>false</ScaleCrop>
  <LinksUpToDate>false</LinksUpToDate>
  <CharactersWithSpaces>6271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2026-08-24T04:33:00Z</dcterms:created>
  <dc:creator>Lenovo User</dc:creator>
  <cp:lastModifiedBy>岛田家的哥哥</cp:lastModifiedBy>
  <cp:lastPrinted>2026-09-01T09:28:43Z</cp:lastPrinted>
  <dcterms:modified xsi:type="dcterms:W3CDTF">2026-09-01T09:31:31Z</dcterms:modified>
  <dc:title>关于全市见义勇为工作情况的汇报</dc:title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85315AD4791342CEAF96B072598352D6_13</vt:lpwstr>
  </property>
  <property fmtid="{D5CDD505-2E9C-101B-9397-08002B2CF9AE}" pid="4" name="KSOTemplateDocerSaveRecord">
    <vt:lpwstr>eyJoZGlkIjoiMTVmNDE0YzI5NzE5YjA3N2FjMjFiODk1Zjc4Yjg0Y2EiLCJ1c2VySWQiOiI1MjU0MjQyNTMifQ==</vt:lpwstr>
  </property>
</Properties>
</file>