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B8014">
      <w:pPr>
        <w:keepNext w:val="0"/>
        <w:keepLines w:val="0"/>
        <w:pageBreakBefore w:val="0"/>
        <w:widowControl w:val="0"/>
        <w:kinsoku/>
        <w:wordWrap/>
        <w:overflowPunct/>
        <w:topLinePunct w:val="0"/>
        <w:bidi w:val="0"/>
        <w:adjustRightInd/>
        <w:snapToGrid/>
        <w:spacing w:line="600" w:lineRule="exact"/>
        <w:textAlignment w:val="auto"/>
        <w:rPr>
          <w:rFonts w:hint="default" w:ascii="Times New Roman" w:hAnsi="Times New Roman" w:cs="Times New Roman"/>
        </w:rPr>
      </w:pPr>
    </w:p>
    <w:p w14:paraId="384E5345">
      <w:pPr>
        <w:keepNext w:val="0"/>
        <w:keepLines w:val="0"/>
        <w:pageBreakBefore w:val="0"/>
        <w:widowControl w:val="0"/>
        <w:kinsoku/>
        <w:wordWrap/>
        <w:overflowPunct/>
        <w:topLinePunct w:val="0"/>
        <w:bidi w:val="0"/>
        <w:adjustRightInd/>
        <w:snapToGrid/>
        <w:spacing w:line="60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关于《扬州市“十五五”新型工业化规划</w:t>
      </w:r>
    </w:p>
    <w:p w14:paraId="24590AE7">
      <w:pPr>
        <w:keepNext w:val="0"/>
        <w:keepLines w:val="0"/>
        <w:pageBreakBefore w:val="0"/>
        <w:widowControl w:val="0"/>
        <w:kinsoku/>
        <w:wordWrap/>
        <w:overflowPunct/>
        <w:topLinePunct w:val="0"/>
        <w:bidi w:val="0"/>
        <w:adjustRightInd/>
        <w:snapToGrid/>
        <w:spacing w:line="600" w:lineRule="exact"/>
        <w:jc w:val="center"/>
        <w:textAlignment w:val="auto"/>
        <w:rPr>
          <w:rFonts w:hint="default" w:ascii="Times New Roman" w:hAnsi="Times New Roman" w:eastAsia="方正黑体_GBK" w:cs="Times New Roman"/>
          <w:sz w:val="32"/>
          <w:szCs w:val="32"/>
        </w:rPr>
      </w:pPr>
      <w:r>
        <w:rPr>
          <w:rFonts w:hint="default" w:ascii="Times New Roman" w:hAnsi="Times New Roman" w:eastAsia="方正小标宋_GBK" w:cs="Times New Roman"/>
          <w:sz w:val="44"/>
          <w:szCs w:val="44"/>
        </w:rPr>
        <w:t>（征求意见稿）》的起草说明</w:t>
      </w:r>
    </w:p>
    <w:p w14:paraId="18635053">
      <w:pPr>
        <w:keepNext w:val="0"/>
        <w:keepLines w:val="0"/>
        <w:pageBreakBefore w:val="0"/>
        <w:widowControl w:val="0"/>
        <w:kinsoku/>
        <w:wordWrap/>
        <w:overflowPunct/>
        <w:topLinePunct w:val="0"/>
        <w:bidi w:val="0"/>
        <w:adjustRightInd/>
        <w:snapToGrid/>
        <w:spacing w:line="600" w:lineRule="exact"/>
        <w:ind w:firstLine="640" w:firstLineChars="200"/>
        <w:textAlignment w:val="auto"/>
        <w:rPr>
          <w:rFonts w:hint="default" w:ascii="Times New Roman" w:hAnsi="Times New Roman" w:eastAsia="方正黑体_GBK" w:cs="Times New Roman"/>
          <w:sz w:val="32"/>
          <w:szCs w:val="32"/>
        </w:rPr>
      </w:pPr>
    </w:p>
    <w:p w14:paraId="07040455">
      <w:pPr>
        <w:keepNext w:val="0"/>
        <w:keepLines w:val="0"/>
        <w:pageBreakBefore w:val="0"/>
        <w:widowControl w:val="0"/>
        <w:kinsoku/>
        <w:wordWrap/>
        <w:overflowPunct/>
        <w:topLinePunct w:val="0"/>
        <w:bidi w:val="0"/>
        <w:adjustRightInd/>
        <w:snapToGrid/>
        <w:spacing w:line="60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一、《规划》起草过程</w:t>
      </w:r>
      <w:bookmarkStart w:id="0" w:name="_GoBack"/>
      <w:bookmarkEnd w:id="0"/>
    </w:p>
    <w:p w14:paraId="4026DE23">
      <w:pPr>
        <w:keepNext w:val="0"/>
        <w:keepLines w:val="0"/>
        <w:pageBreakBefore w:val="0"/>
        <w:widowControl w:val="0"/>
        <w:kinsoku/>
        <w:wordWrap/>
        <w:overflowPunct/>
        <w:topLinePunct w:val="0"/>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根据市“十四五”专项规划编制总体安排，我局从2025年6月启动《扬州市“十五五”新型工业化规划》（以下简称“规划”）编制工作，其中：2025年6月起，围绕指标设定和发展方向，通过集中座谈（局机关3场次、县市区2场次）和实地走访相结合的形式，集中调研各地各园区和骨干企业，系统梳理“十四五”发展成效和“十五五”目标设想。2025年12月，初步完成《规划》初稿，并结合市委市政府要求、全市“十五五”纲要目标以及局内各处室意见建议对《规划》初稿进行了多轮讨论修改。2026年一季度，面向局内各处室统筹征集20余个“专栏”内容，完善后形成了《规划》征求意见稿。今年4月，市政府办将《规划》纳入2026年度重大行政决策事项目录，我局4月21日同步征求全市各有关部门和县（市、区）工信部门意见建议。</w:t>
      </w:r>
    </w:p>
    <w:p w14:paraId="2E24B377">
      <w:pPr>
        <w:keepNext w:val="0"/>
        <w:keepLines w:val="0"/>
        <w:pageBreakBefore w:val="0"/>
        <w:widowControl w:val="0"/>
        <w:kinsoku/>
        <w:wordWrap/>
        <w:overflowPunct/>
        <w:topLinePunct w:val="0"/>
        <w:bidi w:val="0"/>
        <w:adjustRightInd/>
        <w:snapToGrid/>
        <w:spacing w:line="60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二、《规划》的框架结构和主要内容</w:t>
      </w:r>
    </w:p>
    <w:p w14:paraId="5105B266">
      <w:pPr>
        <w:pStyle w:val="11"/>
        <w:keepNext w:val="0"/>
        <w:keepLines w:val="0"/>
        <w:pageBreakBefore w:val="0"/>
        <w:widowControl w:val="0"/>
        <w:kinsoku/>
        <w:wordWrap/>
        <w:overflowPunct/>
        <w:topLinePunct w:val="0"/>
        <w:bidi w:val="0"/>
        <w:adjustRightInd/>
        <w:snapToGrid/>
        <w:spacing w:line="600" w:lineRule="exact"/>
        <w:ind w:right="266" w:firstLine="638"/>
        <w:jc w:val="both"/>
        <w:textAlignment w:val="auto"/>
        <w:rPr>
          <w:rFonts w:hint="default" w:ascii="Times New Roman" w:hAnsi="Times New Roman" w:cs="Times New Roman"/>
          <w:kern w:val="2"/>
          <w:lang w:eastAsia="zh-CN"/>
        </w:rPr>
      </w:pPr>
      <w:r>
        <w:rPr>
          <w:rFonts w:hint="default" w:ascii="Times New Roman" w:hAnsi="Times New Roman" w:cs="Times New Roman"/>
          <w:lang w:eastAsia="zh-CN"/>
        </w:rPr>
        <w:t>《规划》主要分为发展基础和面临的形势，总体思路、基本原则和目标定位，产业方向和布局，主要任务，保障措施等5个部分，具体内容包</w:t>
      </w:r>
      <w:r>
        <w:rPr>
          <w:rFonts w:hint="default" w:ascii="Times New Roman" w:hAnsi="Times New Roman" w:cs="Times New Roman"/>
          <w:kern w:val="2"/>
          <w:lang w:eastAsia="zh-CN"/>
        </w:rPr>
        <w:t>括：</w:t>
      </w:r>
    </w:p>
    <w:p w14:paraId="6299C88C">
      <w:pPr>
        <w:pStyle w:val="11"/>
        <w:keepNext w:val="0"/>
        <w:keepLines w:val="0"/>
        <w:pageBreakBefore w:val="0"/>
        <w:widowControl w:val="0"/>
        <w:kinsoku/>
        <w:wordWrap/>
        <w:overflowPunct/>
        <w:topLinePunct w:val="0"/>
        <w:bidi w:val="0"/>
        <w:adjustRightInd/>
        <w:snapToGrid/>
        <w:spacing w:line="600" w:lineRule="exact"/>
        <w:ind w:right="108" w:firstLine="638"/>
        <w:jc w:val="both"/>
        <w:textAlignment w:val="auto"/>
        <w:rPr>
          <w:rFonts w:hint="default" w:ascii="Times New Roman" w:hAnsi="Times New Roman" w:cs="Times New Roman"/>
          <w:lang w:eastAsia="zh-CN"/>
        </w:rPr>
      </w:pPr>
      <w:r>
        <w:rPr>
          <w:rFonts w:hint="default" w:ascii="Times New Roman" w:hAnsi="Times New Roman" w:eastAsia="方正楷体_GBK" w:cs="Times New Roman"/>
          <w:spacing w:val="-1"/>
          <w:lang w:eastAsia="zh-CN"/>
        </w:rPr>
        <w:t>1、发展基础和面临的形势</w:t>
      </w:r>
      <w:r>
        <w:rPr>
          <w:rFonts w:hint="default" w:ascii="Times New Roman" w:hAnsi="Times New Roman" w:cs="Times New Roman"/>
          <w:spacing w:val="-1"/>
          <w:lang w:eastAsia="zh-CN"/>
        </w:rPr>
        <w:t>。</w:t>
      </w:r>
      <w:r>
        <w:rPr>
          <w:rFonts w:hint="default" w:ascii="Times New Roman" w:hAnsi="Times New Roman" w:cs="Times New Roman"/>
          <w:b/>
          <w:lang w:eastAsia="zh-CN"/>
        </w:rPr>
        <w:t>发展基础部分</w:t>
      </w:r>
      <w:r>
        <w:rPr>
          <w:rFonts w:hint="default" w:ascii="Times New Roman" w:hAnsi="Times New Roman" w:cs="Times New Roman"/>
          <w:lang w:eastAsia="zh-CN"/>
        </w:rPr>
        <w:t>围绕工业总量、产业体系、企业创新、智改数转网联、绿色融合转型等五个方面，系统总结</w:t>
      </w:r>
      <w:r>
        <w:rPr>
          <w:rFonts w:hint="default" w:ascii="Times New Roman" w:hAnsi="Times New Roman" w:eastAsia="Times New Roman" w:cs="Times New Roman"/>
          <w:lang w:eastAsia="zh-CN"/>
        </w:rPr>
        <w:t>“</w:t>
      </w:r>
      <w:r>
        <w:rPr>
          <w:rFonts w:hint="default" w:ascii="Times New Roman" w:hAnsi="Times New Roman" w:cs="Times New Roman"/>
          <w:lang w:eastAsia="zh-CN"/>
        </w:rPr>
        <w:t>十四五</w:t>
      </w:r>
      <w:r>
        <w:rPr>
          <w:rFonts w:hint="default" w:ascii="Times New Roman" w:hAnsi="Times New Roman" w:eastAsia="Times New Roman" w:cs="Times New Roman"/>
          <w:lang w:eastAsia="zh-CN"/>
        </w:rPr>
        <w:t>”</w:t>
      </w:r>
      <w:r>
        <w:rPr>
          <w:rFonts w:hint="default" w:ascii="Times New Roman" w:hAnsi="Times New Roman" w:cs="Times New Roman"/>
          <w:lang w:eastAsia="zh-CN"/>
        </w:rPr>
        <w:t>发展成效。同时，从产业培育、开放协作、创新转型、服务生态等四个方面，总结概括了过去五年体系化、制度化的工作经验。并从产业层次、发展质效、企业支撑、县域经济等方面梳理了当前存在的问题不足。</w:t>
      </w:r>
      <w:r>
        <w:rPr>
          <w:rFonts w:hint="default" w:ascii="Times New Roman" w:hAnsi="Times New Roman" w:cs="Times New Roman"/>
          <w:b/>
          <w:bCs/>
          <w:lang w:eastAsia="zh-CN"/>
        </w:rPr>
        <w:t>面临的形势部分</w:t>
      </w:r>
      <w:r>
        <w:rPr>
          <w:rFonts w:hint="default" w:ascii="Times New Roman" w:hAnsi="Times New Roman" w:cs="Times New Roman"/>
          <w:lang w:eastAsia="zh-CN"/>
        </w:rPr>
        <w:t>立足当前国际、国内宏观大背景，结合国、省发展战略方向，从科技革命和产业变革带来的新机遇、区域发展战略带来的新挑战、融入全省发展大局带来的新任务、提升产业辨识度带来的新要求等方面进行了形势分析。</w:t>
      </w:r>
    </w:p>
    <w:p w14:paraId="40AF865D">
      <w:pPr>
        <w:pStyle w:val="11"/>
        <w:keepNext w:val="0"/>
        <w:keepLines w:val="0"/>
        <w:pageBreakBefore w:val="0"/>
        <w:widowControl w:val="0"/>
        <w:kinsoku/>
        <w:wordWrap/>
        <w:overflowPunct/>
        <w:topLinePunct w:val="0"/>
        <w:bidi w:val="0"/>
        <w:adjustRightInd/>
        <w:snapToGrid/>
        <w:spacing w:line="600" w:lineRule="exact"/>
        <w:ind w:right="108" w:firstLine="638"/>
        <w:jc w:val="both"/>
        <w:textAlignment w:val="auto"/>
        <w:rPr>
          <w:rFonts w:hint="default" w:ascii="Times New Roman" w:hAnsi="Times New Roman" w:cs="Times New Roman"/>
          <w:lang w:eastAsia="zh-CN"/>
        </w:rPr>
      </w:pPr>
      <w:r>
        <w:rPr>
          <w:rFonts w:hint="default" w:ascii="Times New Roman" w:hAnsi="Times New Roman" w:eastAsia="方正楷体_GBK" w:cs="Times New Roman"/>
          <w:spacing w:val="-1"/>
          <w:lang w:eastAsia="zh-CN"/>
        </w:rPr>
        <w:t>2、总体思路、基本原则和目标定位</w:t>
      </w:r>
      <w:r>
        <w:rPr>
          <w:rFonts w:hint="default" w:ascii="Times New Roman" w:hAnsi="Times New Roman" w:cs="Times New Roman"/>
          <w:lang w:eastAsia="zh-CN"/>
        </w:rPr>
        <w:t>。</w:t>
      </w:r>
      <w:r>
        <w:rPr>
          <w:rFonts w:hint="default" w:ascii="Times New Roman" w:hAnsi="Times New Roman" w:cs="Times New Roman"/>
          <w:b/>
          <w:bCs/>
          <w:lang w:eastAsia="zh-CN"/>
        </w:rPr>
        <w:t>总体思路</w:t>
      </w:r>
      <w:r>
        <w:rPr>
          <w:rFonts w:hint="default" w:ascii="Times New Roman" w:hAnsi="Times New Roman" w:cs="Times New Roman"/>
          <w:lang w:eastAsia="zh-CN"/>
        </w:rPr>
        <w:t>立足长三角有影响力和竞争力的产业科技创新高地和先进制造业基地的功能定位，对“十五五”发展进行了高度概括。</w:t>
      </w:r>
      <w:r>
        <w:rPr>
          <w:rFonts w:hint="default" w:ascii="Times New Roman" w:hAnsi="Times New Roman" w:cs="Times New Roman"/>
          <w:b/>
          <w:bCs/>
          <w:lang w:eastAsia="zh-CN"/>
        </w:rPr>
        <w:t>基本原则</w:t>
      </w:r>
      <w:r>
        <w:rPr>
          <w:rFonts w:hint="default" w:ascii="Times New Roman" w:hAnsi="Times New Roman" w:cs="Times New Roman"/>
          <w:lang w:eastAsia="zh-CN"/>
        </w:rPr>
        <w:t>提出了坚持创新引领、坚持分类施策、坚持融合发展、坚持内外协调和坚持绿色安全等“五个坚持”。</w:t>
      </w:r>
      <w:r>
        <w:rPr>
          <w:rFonts w:hint="default" w:ascii="Times New Roman" w:hAnsi="Times New Roman" w:cs="Times New Roman"/>
          <w:b/>
          <w:bCs/>
          <w:lang w:eastAsia="zh-CN"/>
        </w:rPr>
        <w:t>发展目标</w:t>
      </w:r>
      <w:r>
        <w:rPr>
          <w:rFonts w:hint="default" w:ascii="Times New Roman" w:hAnsi="Times New Roman" w:cs="Times New Roman"/>
          <w:lang w:eastAsia="zh-CN"/>
        </w:rPr>
        <w:t>从总量规模、产业结构、技术创新、发展模式、服务体系等五个方面提出了“十五五”时期的量化目标，设置了10个预期性指标和1个约束性指标。</w:t>
      </w:r>
    </w:p>
    <w:p w14:paraId="28C28005">
      <w:pPr>
        <w:pStyle w:val="11"/>
        <w:keepNext w:val="0"/>
        <w:keepLines w:val="0"/>
        <w:pageBreakBefore w:val="0"/>
        <w:widowControl w:val="0"/>
        <w:kinsoku/>
        <w:wordWrap/>
        <w:overflowPunct/>
        <w:topLinePunct w:val="0"/>
        <w:bidi w:val="0"/>
        <w:adjustRightInd/>
        <w:snapToGrid/>
        <w:spacing w:line="600" w:lineRule="exact"/>
        <w:ind w:right="108" w:firstLine="638"/>
        <w:jc w:val="both"/>
        <w:textAlignment w:val="auto"/>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eastAsia="方正楷体_GBK" w:cs="Times New Roman"/>
          <w:spacing w:val="-1"/>
          <w:lang w:eastAsia="zh-CN"/>
        </w:rPr>
        <w:t>3、产业发展方向和布局</w:t>
      </w:r>
      <w:r>
        <w:rPr>
          <w:rFonts w:hint="default" w:ascii="Times New Roman" w:hAnsi="Times New Roman" w:cs="Times New Roman"/>
          <w:lang w:eastAsia="zh-CN"/>
        </w:rPr>
        <w:t>。包括培育新兴产业和未来产业、优化提升传统产业和培育发展县域特色优势产业。其中</w:t>
      </w:r>
      <w:r>
        <w:rPr>
          <w:rFonts w:hint="default" w:ascii="Times New Roman" w:hAnsi="Times New Roman" w:cs="Times New Roman"/>
          <w:b/>
          <w:bCs/>
          <w:lang w:eastAsia="zh-CN"/>
        </w:rPr>
        <w:t>培育新兴产业和未来产业</w:t>
      </w:r>
      <w:r>
        <w:rPr>
          <w:rFonts w:hint="default" w:ascii="Times New Roman" w:hAnsi="Times New Roman" w:cs="Times New Roman"/>
          <w:lang w:eastAsia="zh-CN"/>
        </w:rPr>
        <w:t>规划了做强4条规模贡献型产业链、做大5条创新突破型产业链、做优4条前沿引领型产业链，并提出延伸发展10个未来产业领域。</w:t>
      </w:r>
      <w:r>
        <w:rPr>
          <w:rFonts w:hint="default" w:ascii="Times New Roman" w:hAnsi="Times New Roman" w:cs="Times New Roman"/>
          <w:b/>
          <w:bCs/>
          <w:lang w:eastAsia="zh-CN"/>
        </w:rPr>
        <w:t>优化提升传统产业</w:t>
      </w:r>
      <w:r>
        <w:rPr>
          <w:rFonts w:hint="default" w:ascii="Times New Roman" w:hAnsi="Times New Roman" w:cs="Times New Roman"/>
          <w:lang w:eastAsia="zh-CN"/>
        </w:rPr>
        <w:t>从高端装备、新材料、汽车及零部件、生命健康等集群中的传统领域出发，分类提出具体转型方向。</w:t>
      </w:r>
      <w:r>
        <w:rPr>
          <w:rFonts w:hint="default" w:ascii="Times New Roman" w:hAnsi="Times New Roman" w:cs="Times New Roman"/>
          <w:b/>
          <w:bCs/>
          <w:lang w:eastAsia="zh-CN"/>
        </w:rPr>
        <w:t>培育发展县域特色优势产业</w:t>
      </w:r>
      <w:r>
        <w:rPr>
          <w:rFonts w:hint="default" w:ascii="Times New Roman" w:hAnsi="Times New Roman" w:cs="Times New Roman"/>
          <w:lang w:eastAsia="zh-CN"/>
        </w:rPr>
        <w:t>突出</w:t>
      </w:r>
      <w:r>
        <w:rPr>
          <w:rFonts w:hint="default" w:ascii="Times New Roman" w:hAnsi="Times New Roman" w:cs="Times New Roman"/>
          <w:color w:val="000000" w:themeColor="text1"/>
          <w:lang w:eastAsia="zh-CN"/>
          <w14:textFill>
            <w14:solidFill>
              <w14:schemeClr w14:val="tx1"/>
            </w14:solidFill>
          </w14:textFill>
        </w:rPr>
        <w:t>区县板块资源禀赋和产业基础，提出20个县域产业重点布局方向。</w:t>
      </w:r>
    </w:p>
    <w:p w14:paraId="48B5F850">
      <w:pPr>
        <w:pStyle w:val="11"/>
        <w:keepNext w:val="0"/>
        <w:keepLines w:val="0"/>
        <w:pageBreakBefore w:val="0"/>
        <w:widowControl w:val="0"/>
        <w:kinsoku/>
        <w:wordWrap/>
        <w:overflowPunct/>
        <w:topLinePunct w:val="0"/>
        <w:bidi w:val="0"/>
        <w:adjustRightInd/>
        <w:snapToGrid/>
        <w:spacing w:line="600" w:lineRule="exact"/>
        <w:ind w:right="108" w:firstLine="638"/>
        <w:jc w:val="both"/>
        <w:textAlignment w:val="auto"/>
        <w:rPr>
          <w:rFonts w:hint="default" w:ascii="Times New Roman" w:hAnsi="Times New Roman" w:cs="Times New Roman"/>
          <w:lang w:eastAsia="zh-CN"/>
        </w:rPr>
      </w:pPr>
      <w:r>
        <w:rPr>
          <w:rFonts w:hint="default" w:ascii="Times New Roman" w:hAnsi="Times New Roman" w:eastAsia="方正楷体_GBK" w:cs="Times New Roman"/>
          <w:spacing w:val="-1"/>
          <w:lang w:eastAsia="zh-CN"/>
        </w:rPr>
        <w:t>4、主要任务</w:t>
      </w:r>
      <w:r>
        <w:rPr>
          <w:rFonts w:hint="default" w:ascii="Times New Roman" w:hAnsi="Times New Roman" w:cs="Times New Roman"/>
          <w:lang w:eastAsia="zh-CN"/>
        </w:rPr>
        <w:t>。围绕未来五年新型工业化的工作要求，提出8个方面主要任务，并设置9个对应专栏，</w:t>
      </w:r>
      <w:r>
        <w:rPr>
          <w:rFonts w:hint="default" w:ascii="Times New Roman" w:hAnsi="Times New Roman" w:cs="Times New Roman"/>
          <w:b/>
          <w:bCs/>
          <w:lang w:eastAsia="zh-CN"/>
        </w:rPr>
        <w:t>一是培育梯度集群体系，打造高质量发展载体。</w:t>
      </w:r>
      <w:r>
        <w:rPr>
          <w:rFonts w:hint="default" w:ascii="Times New Roman" w:hAnsi="Times New Roman" w:cs="Times New Roman"/>
          <w:lang w:eastAsia="zh-CN"/>
        </w:rPr>
        <w:t>包括持续打造六大主导产业集群、</w:t>
      </w:r>
      <w:r>
        <w:rPr>
          <w:rFonts w:hint="default" w:ascii="Times New Roman" w:hAnsi="Times New Roman" w:cs="Times New Roman"/>
          <w:shd w:val="clear" w:color="auto" w:fill="FFFFFF"/>
          <w:lang w:eastAsia="zh-CN"/>
        </w:rPr>
        <w:t>前瞻培育未来产业集群、发展中小企业特色集群，设置专栏“产业集群联动发展行动”。</w:t>
      </w:r>
      <w:r>
        <w:rPr>
          <w:rFonts w:hint="default" w:ascii="Times New Roman" w:hAnsi="Times New Roman" w:cs="Times New Roman"/>
          <w:b/>
          <w:bCs/>
          <w:shd w:val="clear" w:color="auto" w:fill="FFFFFF"/>
          <w:lang w:eastAsia="zh-CN"/>
        </w:rPr>
        <w:t>二是推动产业科技创新，激发产业发展动能</w:t>
      </w:r>
      <w:r>
        <w:rPr>
          <w:rFonts w:hint="default" w:ascii="Times New Roman" w:hAnsi="Times New Roman" w:cs="Times New Roman"/>
          <w:shd w:val="clear" w:color="auto" w:fill="FFFFFF"/>
          <w:lang w:eastAsia="zh-CN"/>
        </w:rPr>
        <w:t>。包括加快关键核心技术突破、高水平建设创新平台、优化产业创新生态，设置专栏“创新平台提质扩面行动”。</w:t>
      </w:r>
      <w:r>
        <w:rPr>
          <w:rFonts w:hint="default" w:ascii="Times New Roman" w:hAnsi="Times New Roman" w:cs="Times New Roman"/>
          <w:b/>
          <w:bCs/>
          <w:shd w:val="clear" w:color="auto" w:fill="FFFFFF"/>
          <w:lang w:eastAsia="zh-CN"/>
        </w:rPr>
        <w:t>三是提升项目引建质效，夯实产业发展根基。</w:t>
      </w:r>
      <w:r>
        <w:rPr>
          <w:rFonts w:hint="default" w:ascii="Times New Roman" w:hAnsi="Times New Roman" w:cs="Times New Roman"/>
          <w:shd w:val="clear" w:color="auto" w:fill="FFFFFF"/>
          <w:lang w:eastAsia="zh-CN"/>
        </w:rPr>
        <w:t>包括深化国际国内产业协作、建强建优招商工作机制、提升工业项目投资质效，设置专栏“产业项目聚链攻坚行动”。</w:t>
      </w:r>
      <w:r>
        <w:rPr>
          <w:rFonts w:hint="default" w:ascii="Times New Roman" w:hAnsi="Times New Roman" w:cs="Times New Roman"/>
          <w:b/>
          <w:bCs/>
          <w:shd w:val="clear" w:color="auto" w:fill="FFFFFF"/>
          <w:lang w:eastAsia="zh-CN"/>
        </w:rPr>
        <w:t>四是加快数智深度赋能，助力产业提质增效。</w:t>
      </w:r>
      <w:r>
        <w:rPr>
          <w:rFonts w:hint="default" w:ascii="Times New Roman" w:hAnsi="Times New Roman" w:cs="Times New Roman"/>
          <w:shd w:val="clear" w:color="auto" w:fill="FFFFFF"/>
          <w:lang w:eastAsia="zh-CN"/>
        </w:rPr>
        <w:t>包括分级分类推动企业升级、提升行业数字化水平、构建韧性产业生态，设置专栏“标杆企业AI再造行动”。</w:t>
      </w:r>
      <w:r>
        <w:rPr>
          <w:rFonts w:hint="default" w:ascii="Times New Roman" w:hAnsi="Times New Roman" w:cs="Times New Roman"/>
          <w:b/>
          <w:bCs/>
          <w:shd w:val="clear" w:color="auto" w:fill="FFFFFF"/>
          <w:lang w:eastAsia="zh-CN"/>
        </w:rPr>
        <w:t>五是梯次推动企业培育，壮大优质企业主体。</w:t>
      </w:r>
      <w:r>
        <w:rPr>
          <w:rFonts w:hint="default" w:ascii="Times New Roman" w:hAnsi="Times New Roman" w:cs="Times New Roman"/>
          <w:shd w:val="clear" w:color="auto" w:fill="FFFFFF"/>
          <w:lang w:eastAsia="zh-CN"/>
        </w:rPr>
        <w:t>包括支持骨干企业提升竞争力、</w:t>
      </w:r>
      <w:r>
        <w:rPr>
          <w:rFonts w:hint="default" w:ascii="Times New Roman" w:hAnsi="Times New Roman" w:cs="Times New Roman"/>
          <w:lang w:eastAsia="zh-CN"/>
        </w:rPr>
        <w:t>打造优质中小企业梯队、促进大中小企业融通发展，设置专栏“优质税源企业培植行动”</w:t>
      </w:r>
      <w:r>
        <w:rPr>
          <w:rFonts w:hint="default" w:ascii="Times New Roman" w:hAnsi="Times New Roman" w:cs="Times New Roman"/>
          <w:b/>
          <w:bCs/>
          <w:lang w:eastAsia="zh-CN"/>
        </w:rPr>
        <w:t>。六是加大开放开发力度，深度推进融合发展。</w:t>
      </w:r>
      <w:r>
        <w:rPr>
          <w:rFonts w:hint="default" w:ascii="Times New Roman" w:hAnsi="Times New Roman" w:cs="Times New Roman"/>
          <w:lang w:eastAsia="zh-CN"/>
        </w:rPr>
        <w:t>包括持续推动园区高质量发展、加强新业态新模式新场景开放利用、强化专利质量标准品牌建设，设置专栏“融合发展标杆建设行动”“知识产权创争夺牌行动”。</w:t>
      </w:r>
      <w:r>
        <w:rPr>
          <w:rFonts w:hint="default" w:ascii="Times New Roman" w:hAnsi="Times New Roman" w:cs="Times New Roman"/>
          <w:b/>
          <w:bCs/>
          <w:lang w:eastAsia="zh-CN"/>
        </w:rPr>
        <w:t>七是注重绿色高效安全，厚植产业生态底色。</w:t>
      </w:r>
      <w:r>
        <w:rPr>
          <w:rFonts w:hint="default" w:ascii="Times New Roman" w:hAnsi="Times New Roman" w:cs="Times New Roman"/>
          <w:lang w:eastAsia="zh-CN"/>
        </w:rPr>
        <w:t>包括加快推动绿色低碳发展、提高资源集约利用水平、压实工业安全生产管理，设置专栏“节能降碳绿色发展行动”。</w:t>
      </w:r>
      <w:r>
        <w:rPr>
          <w:rFonts w:hint="default" w:ascii="Times New Roman" w:hAnsi="Times New Roman" w:cs="Times New Roman"/>
          <w:b/>
          <w:bCs/>
          <w:lang w:eastAsia="zh-CN"/>
        </w:rPr>
        <w:t>八是聚焦人才引进培养，强化产业发展战略支撑</w:t>
      </w:r>
      <w:r>
        <w:rPr>
          <w:rFonts w:hint="default" w:ascii="Times New Roman" w:hAnsi="Times New Roman" w:cs="Times New Roman"/>
          <w:lang w:eastAsia="zh-CN"/>
        </w:rPr>
        <w:t>。包括引进培育高层次人才、不断加强企业家队伍建设、强化技能人才队伍建设，设置专栏“筑巢引凤产才融合行动”。</w:t>
      </w:r>
    </w:p>
    <w:p w14:paraId="0803ED42">
      <w:pPr>
        <w:pStyle w:val="11"/>
        <w:keepNext w:val="0"/>
        <w:keepLines w:val="0"/>
        <w:pageBreakBefore w:val="0"/>
        <w:widowControl w:val="0"/>
        <w:kinsoku/>
        <w:wordWrap/>
        <w:overflowPunct/>
        <w:topLinePunct w:val="0"/>
        <w:bidi w:val="0"/>
        <w:adjustRightInd/>
        <w:snapToGrid/>
        <w:spacing w:line="600" w:lineRule="exact"/>
        <w:ind w:right="108" w:firstLine="638"/>
        <w:jc w:val="both"/>
        <w:textAlignment w:val="auto"/>
        <w:rPr>
          <w:rFonts w:hint="default" w:ascii="Times New Roman" w:hAnsi="Times New Roman" w:cs="Times New Roman"/>
          <w:lang w:eastAsia="zh-CN"/>
        </w:rPr>
      </w:pPr>
      <w:r>
        <w:rPr>
          <w:rFonts w:hint="default" w:ascii="Times New Roman" w:hAnsi="Times New Roman" w:eastAsia="方正楷体_GBK" w:cs="Times New Roman"/>
          <w:spacing w:val="-1"/>
          <w:lang w:eastAsia="zh-CN"/>
        </w:rPr>
        <w:t>5、保障措施。</w:t>
      </w:r>
      <w:r>
        <w:rPr>
          <w:rFonts w:hint="default" w:ascii="Times New Roman" w:hAnsi="Times New Roman" w:cs="Times New Roman"/>
          <w:lang w:eastAsia="zh-CN"/>
        </w:rPr>
        <w:t>包括加强规划组织协调、推动政策精准发力、强化多重要素保障、营造良好发展环境等方面内容。</w:t>
      </w:r>
    </w:p>
    <w:sectPr>
      <w:footerReference r:id="rId3" w:type="default"/>
      <w:pgSz w:w="11906" w:h="16838"/>
      <w:pgMar w:top="1417" w:right="1701" w:bottom="141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D3614">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C9076">
                          <w:pPr>
                            <w:pStyle w:val="12"/>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4</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B8C9076">
                    <w:pPr>
                      <w:pStyle w:val="12"/>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4</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99F"/>
    <w:rsid w:val="00015D32"/>
    <w:rsid w:val="00024E5F"/>
    <w:rsid w:val="0005117C"/>
    <w:rsid w:val="0005704E"/>
    <w:rsid w:val="000640F1"/>
    <w:rsid w:val="00092628"/>
    <w:rsid w:val="000969D7"/>
    <w:rsid w:val="000A1E02"/>
    <w:rsid w:val="000A7C57"/>
    <w:rsid w:val="000C71A8"/>
    <w:rsid w:val="000C735D"/>
    <w:rsid w:val="00115C31"/>
    <w:rsid w:val="001224CD"/>
    <w:rsid w:val="001319B8"/>
    <w:rsid w:val="00134B94"/>
    <w:rsid w:val="001456E7"/>
    <w:rsid w:val="00187DC9"/>
    <w:rsid w:val="00190A8A"/>
    <w:rsid w:val="0019686A"/>
    <w:rsid w:val="0019792D"/>
    <w:rsid w:val="001A655C"/>
    <w:rsid w:val="001F6DBC"/>
    <w:rsid w:val="0022628B"/>
    <w:rsid w:val="00255B54"/>
    <w:rsid w:val="00261F4C"/>
    <w:rsid w:val="00274E08"/>
    <w:rsid w:val="002D404E"/>
    <w:rsid w:val="002D7152"/>
    <w:rsid w:val="003104CD"/>
    <w:rsid w:val="003125AF"/>
    <w:rsid w:val="00331EEB"/>
    <w:rsid w:val="003475D9"/>
    <w:rsid w:val="00347E2B"/>
    <w:rsid w:val="00380AFA"/>
    <w:rsid w:val="003A2AB4"/>
    <w:rsid w:val="003B4A6C"/>
    <w:rsid w:val="003D355D"/>
    <w:rsid w:val="003D4801"/>
    <w:rsid w:val="0040206A"/>
    <w:rsid w:val="00417A59"/>
    <w:rsid w:val="0042316C"/>
    <w:rsid w:val="00426850"/>
    <w:rsid w:val="00452355"/>
    <w:rsid w:val="00481653"/>
    <w:rsid w:val="004A5CDD"/>
    <w:rsid w:val="004B247A"/>
    <w:rsid w:val="004D6581"/>
    <w:rsid w:val="004E3E92"/>
    <w:rsid w:val="0051058C"/>
    <w:rsid w:val="0054399F"/>
    <w:rsid w:val="00550AE2"/>
    <w:rsid w:val="0057052D"/>
    <w:rsid w:val="00592CA6"/>
    <w:rsid w:val="005A05CF"/>
    <w:rsid w:val="005B06C0"/>
    <w:rsid w:val="005E4472"/>
    <w:rsid w:val="005E47B3"/>
    <w:rsid w:val="005E531C"/>
    <w:rsid w:val="005E718C"/>
    <w:rsid w:val="005F6623"/>
    <w:rsid w:val="006235EC"/>
    <w:rsid w:val="006648E1"/>
    <w:rsid w:val="00670931"/>
    <w:rsid w:val="00676D81"/>
    <w:rsid w:val="006A452A"/>
    <w:rsid w:val="006A4F8C"/>
    <w:rsid w:val="006F38DF"/>
    <w:rsid w:val="0070059E"/>
    <w:rsid w:val="007552F5"/>
    <w:rsid w:val="007620F6"/>
    <w:rsid w:val="00770CF0"/>
    <w:rsid w:val="007A2A65"/>
    <w:rsid w:val="007A3EFE"/>
    <w:rsid w:val="007A71D5"/>
    <w:rsid w:val="007E6D89"/>
    <w:rsid w:val="0080689E"/>
    <w:rsid w:val="008131FE"/>
    <w:rsid w:val="00843F64"/>
    <w:rsid w:val="00844BC2"/>
    <w:rsid w:val="00860E0A"/>
    <w:rsid w:val="0087628F"/>
    <w:rsid w:val="008868A1"/>
    <w:rsid w:val="008A41FA"/>
    <w:rsid w:val="008C2DC8"/>
    <w:rsid w:val="008C5A6B"/>
    <w:rsid w:val="008D21DB"/>
    <w:rsid w:val="008F3AA3"/>
    <w:rsid w:val="008F5586"/>
    <w:rsid w:val="0091577D"/>
    <w:rsid w:val="0094683A"/>
    <w:rsid w:val="009557AF"/>
    <w:rsid w:val="00960C62"/>
    <w:rsid w:val="00972AD8"/>
    <w:rsid w:val="009B78A7"/>
    <w:rsid w:val="009C3634"/>
    <w:rsid w:val="009E1734"/>
    <w:rsid w:val="009E745D"/>
    <w:rsid w:val="00A32441"/>
    <w:rsid w:val="00A41899"/>
    <w:rsid w:val="00A45AF6"/>
    <w:rsid w:val="00A53F64"/>
    <w:rsid w:val="00A83792"/>
    <w:rsid w:val="00A976FC"/>
    <w:rsid w:val="00AA00B7"/>
    <w:rsid w:val="00AB199A"/>
    <w:rsid w:val="00AC2D3B"/>
    <w:rsid w:val="00B2366B"/>
    <w:rsid w:val="00B23C2D"/>
    <w:rsid w:val="00B33573"/>
    <w:rsid w:val="00B44046"/>
    <w:rsid w:val="00B4546E"/>
    <w:rsid w:val="00B47DB6"/>
    <w:rsid w:val="00B50EBB"/>
    <w:rsid w:val="00B51B93"/>
    <w:rsid w:val="00B73348"/>
    <w:rsid w:val="00BA0494"/>
    <w:rsid w:val="00BA27CF"/>
    <w:rsid w:val="00BA7EE1"/>
    <w:rsid w:val="00BB7C33"/>
    <w:rsid w:val="00BD287D"/>
    <w:rsid w:val="00BD677C"/>
    <w:rsid w:val="00BE5D48"/>
    <w:rsid w:val="00BF1890"/>
    <w:rsid w:val="00C1782C"/>
    <w:rsid w:val="00C27991"/>
    <w:rsid w:val="00C41DAD"/>
    <w:rsid w:val="00C43907"/>
    <w:rsid w:val="00C53617"/>
    <w:rsid w:val="00C56132"/>
    <w:rsid w:val="00CB70FC"/>
    <w:rsid w:val="00CC7EA7"/>
    <w:rsid w:val="00CF244E"/>
    <w:rsid w:val="00D03A1B"/>
    <w:rsid w:val="00D0652D"/>
    <w:rsid w:val="00D07E58"/>
    <w:rsid w:val="00D2415A"/>
    <w:rsid w:val="00D5058C"/>
    <w:rsid w:val="00D510A3"/>
    <w:rsid w:val="00D611B4"/>
    <w:rsid w:val="00DC7D9E"/>
    <w:rsid w:val="00DD0A60"/>
    <w:rsid w:val="00DD52B7"/>
    <w:rsid w:val="00DF3800"/>
    <w:rsid w:val="00DF3BC0"/>
    <w:rsid w:val="00DF7949"/>
    <w:rsid w:val="00E22381"/>
    <w:rsid w:val="00E23D2B"/>
    <w:rsid w:val="00E3007E"/>
    <w:rsid w:val="00E3276C"/>
    <w:rsid w:val="00E91B6A"/>
    <w:rsid w:val="00E93C12"/>
    <w:rsid w:val="00E962BB"/>
    <w:rsid w:val="00EA24A3"/>
    <w:rsid w:val="00EB6BE9"/>
    <w:rsid w:val="00EF0129"/>
    <w:rsid w:val="00EF7620"/>
    <w:rsid w:val="00F226D6"/>
    <w:rsid w:val="00F86C52"/>
    <w:rsid w:val="00FB4C1E"/>
    <w:rsid w:val="00FD4A60"/>
    <w:rsid w:val="00FD610E"/>
    <w:rsid w:val="00FE1E46"/>
    <w:rsid w:val="00FE4FCF"/>
    <w:rsid w:val="00FF0DCC"/>
    <w:rsid w:val="05442543"/>
    <w:rsid w:val="23144083"/>
    <w:rsid w:val="26026292"/>
    <w:rsid w:val="3FD953FD"/>
    <w:rsid w:val="586E3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4"/>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39"/>
    <w:qFormat/>
    <w:uiPriority w:val="1"/>
    <w:pPr>
      <w:autoSpaceDE w:val="0"/>
      <w:autoSpaceDN w:val="0"/>
      <w:ind w:left="108"/>
      <w:jc w:val="left"/>
    </w:pPr>
    <w:rPr>
      <w:rFonts w:ascii="方正仿宋_GBK" w:hAnsi="方正仿宋_GBK" w:eastAsia="方正仿宋_GBK" w:cs="方正仿宋_GBK"/>
      <w:kern w:val="0"/>
      <w:sz w:val="32"/>
      <w:szCs w:val="32"/>
      <w:lang w:eastAsia="en-US"/>
    </w:rPr>
  </w:style>
  <w:style w:type="paragraph" w:styleId="12">
    <w:name w:val="footer"/>
    <w:basedOn w:val="1"/>
    <w:link w:val="38"/>
    <w:unhideWhenUsed/>
    <w:qFormat/>
    <w:uiPriority w:val="99"/>
    <w:pPr>
      <w:tabs>
        <w:tab w:val="center" w:pos="4153"/>
        <w:tab w:val="right" w:pos="8306"/>
      </w:tabs>
      <w:snapToGrid w:val="0"/>
      <w:jc w:val="left"/>
    </w:pPr>
    <w:rPr>
      <w:sz w:val="18"/>
      <w:szCs w:val="18"/>
    </w:rPr>
  </w:style>
  <w:style w:type="paragraph" w:styleId="13">
    <w:name w:val="header"/>
    <w:basedOn w:val="1"/>
    <w:link w:val="37"/>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6">
    <w:name w:val="Body Text First Indent"/>
    <w:basedOn w:val="11"/>
    <w:link w:val="40"/>
    <w:semiHidden/>
    <w:unhideWhenUsed/>
    <w:qFormat/>
    <w:uiPriority w:val="99"/>
    <w:pPr>
      <w:autoSpaceDE/>
      <w:autoSpaceDN/>
      <w:spacing w:after="120"/>
      <w:ind w:left="0" w:firstLine="420" w:firstLineChars="100"/>
      <w:jc w:val="both"/>
    </w:pPr>
    <w:rPr>
      <w:rFonts w:asciiTheme="minorHAnsi" w:hAnsiTheme="minorHAnsi" w:eastAsiaTheme="minorEastAsia" w:cstheme="minorBidi"/>
      <w:kern w:val="2"/>
      <w:sz w:val="21"/>
      <w:szCs w:val="22"/>
      <w:lang w:eastAsia="zh-CN"/>
    </w:rPr>
  </w:style>
  <w:style w:type="character" w:customStyle="1" w:styleId="19">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qFormat/>
    <w:uiPriority w:val="9"/>
    <w:rPr>
      <w:rFonts w:cstheme="majorBidi"/>
      <w:color w:val="104862" w:themeColor="accent1" w:themeShade="BF"/>
      <w:sz w:val="28"/>
      <w:szCs w:val="28"/>
    </w:rPr>
  </w:style>
  <w:style w:type="character" w:customStyle="1" w:styleId="23">
    <w:name w:val="标题 5 字符"/>
    <w:basedOn w:val="18"/>
    <w:link w:val="6"/>
    <w:semiHidden/>
    <w:qFormat/>
    <w:uiPriority w:val="9"/>
    <w:rPr>
      <w:rFonts w:cstheme="majorBidi"/>
      <w:color w:val="104862" w:themeColor="accent1" w:themeShade="BF"/>
      <w:sz w:val="24"/>
      <w:szCs w:val="24"/>
    </w:rPr>
  </w:style>
  <w:style w:type="character" w:customStyle="1" w:styleId="24">
    <w:name w:val="标题 6 字符"/>
    <w:basedOn w:val="18"/>
    <w:link w:val="7"/>
    <w:semiHidden/>
    <w:qFormat/>
    <w:uiPriority w:val="9"/>
    <w:rPr>
      <w:rFonts w:cstheme="majorBidi"/>
      <w:b/>
      <w:bCs/>
      <w:color w:val="104862" w:themeColor="accent1" w:themeShade="BF"/>
    </w:rPr>
  </w:style>
  <w:style w:type="character" w:customStyle="1" w:styleId="25">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明显强调1"/>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qFormat/>
    <w:uiPriority w:val="30"/>
    <w:rPr>
      <w:i/>
      <w:iCs/>
      <w:color w:val="104862" w:themeColor="accent1" w:themeShade="BF"/>
    </w:rPr>
  </w:style>
  <w:style w:type="character" w:customStyle="1" w:styleId="36">
    <w:name w:val="明显参考1"/>
    <w:basedOn w:val="18"/>
    <w:qFormat/>
    <w:uiPriority w:val="32"/>
    <w:rPr>
      <w:b/>
      <w:bCs/>
      <w:smallCaps/>
      <w:color w:val="104862" w:themeColor="accent1" w:themeShade="BF"/>
      <w:spacing w:val="5"/>
    </w:rPr>
  </w:style>
  <w:style w:type="character" w:customStyle="1" w:styleId="37">
    <w:name w:val="页眉 字符"/>
    <w:basedOn w:val="18"/>
    <w:link w:val="13"/>
    <w:qFormat/>
    <w:uiPriority w:val="99"/>
    <w:rPr>
      <w:sz w:val="18"/>
      <w:szCs w:val="18"/>
    </w:rPr>
  </w:style>
  <w:style w:type="character" w:customStyle="1" w:styleId="38">
    <w:name w:val="页脚 字符"/>
    <w:basedOn w:val="18"/>
    <w:link w:val="12"/>
    <w:qFormat/>
    <w:uiPriority w:val="99"/>
    <w:rPr>
      <w:sz w:val="18"/>
      <w:szCs w:val="18"/>
    </w:rPr>
  </w:style>
  <w:style w:type="character" w:customStyle="1" w:styleId="39">
    <w:name w:val="正文文本 字符"/>
    <w:basedOn w:val="18"/>
    <w:link w:val="11"/>
    <w:qFormat/>
    <w:uiPriority w:val="1"/>
    <w:rPr>
      <w:rFonts w:ascii="方正仿宋_GBK" w:hAnsi="方正仿宋_GBK" w:eastAsia="方正仿宋_GBK" w:cs="方正仿宋_GBK"/>
      <w:kern w:val="0"/>
      <w:sz w:val="32"/>
      <w:szCs w:val="32"/>
      <w:lang w:eastAsia="en-US"/>
    </w:rPr>
  </w:style>
  <w:style w:type="character" w:customStyle="1" w:styleId="40">
    <w:name w:val="正文首行缩进 字符"/>
    <w:basedOn w:val="39"/>
    <w:link w:val="16"/>
    <w:semiHidden/>
    <w:qFormat/>
    <w:uiPriority w:val="99"/>
    <w:rPr>
      <w:rFonts w:ascii="方正仿宋_GBK" w:hAnsi="方正仿宋_GBK" w:eastAsia="方正仿宋_GBK" w:cs="方正仿宋_GBK"/>
      <w:kern w:val="0"/>
      <w:sz w:val="32"/>
      <w:szCs w:val="3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1796</Words>
  <Characters>1819</Characters>
  <Lines>13</Lines>
  <Paragraphs>3</Paragraphs>
  <TotalTime>3</TotalTime>
  <ScaleCrop>false</ScaleCrop>
  <LinksUpToDate>false</LinksUpToDate>
  <CharactersWithSpaces>1819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2026-06-01T02:05:00Z</dcterms:created>
  <dc:creator>Office365</dc:creator>
  <cp:lastModifiedBy>Xuu</cp:lastModifiedBy>
  <cp:lastPrinted>2026-04-28T10:35:00Z</cp:lastPrinted>
  <dcterms:modified xsi:type="dcterms:W3CDTF">2026-06-04T06:31:00Z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eyJoZGlkIjoiNDIxYzBmYmExMjFkOGI0ZGZlNGMzN2MwYTY2YjVjNjciLCJ1c2VySWQiOiIzMTY0MDQwODkifQ==</vt:lpwstr>
  </property>
  <property fmtid="{D5CDD505-2E9C-101B-9397-08002B2CF9AE}" pid="3" name="KSOProductBuildVer">
    <vt:lpwstr>2052-12.1.0.26375</vt:lpwstr>
  </property>
  <property fmtid="{D5CDD505-2E9C-101B-9397-08002B2CF9AE}" pid="4" name="ICV">
    <vt:lpwstr>DE8B9831893A44E799FB8DDE6719F34C_12</vt:lpwstr>
  </property>
</Properties>
</file>