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0C84FE">
      <w:pPr>
        <w:keepNext w:val="0"/>
        <w:keepLines w:val="0"/>
        <w:pageBreakBefore w:val="0"/>
        <w:widowControl w:val="0"/>
        <w:kinsoku/>
        <w:wordWrap/>
        <w:overflowPunct/>
        <w:topLinePunct w:val="0"/>
        <w:autoSpaceDE/>
        <w:autoSpaceDN/>
        <w:bidi w:val="0"/>
        <w:adjustRightInd/>
        <w:snapToGrid/>
        <w:spacing w:beforeLines="0" w:afterLines="0" w:line="560" w:lineRule="exact"/>
        <w:jc w:val="center"/>
        <w:rPr>
          <w:rFonts w:hint="eastAsia" w:ascii="Times New Roman" w:hAnsi="Times New Roman" w:eastAsia="方正小标宋简体" w:cs="方正小标宋简体"/>
          <w:sz w:val="45"/>
          <w:szCs w:val="45"/>
          <w:highlight w:val="none"/>
          <w:u w:val="none" w:color="auto"/>
        </w:rPr>
      </w:pPr>
      <w:bookmarkStart w:id="0" w:name="_GoBack"/>
      <w:r>
        <w:rPr>
          <w:rFonts w:hint="eastAsia" w:ascii="Times New Roman" w:hAnsi="Times New Roman" w:eastAsia="方正小标宋简体" w:cs="方正小标宋简体"/>
          <w:sz w:val="45"/>
          <w:szCs w:val="45"/>
          <w:highlight w:val="none"/>
          <w:u w:val="none" w:color="auto"/>
        </w:rPr>
        <w:t>广东省工业和信息化厅 交通银行广东省分行</w:t>
      </w:r>
    </w:p>
    <w:p w14:paraId="3C305CC1">
      <w:pPr>
        <w:keepNext w:val="0"/>
        <w:keepLines w:val="0"/>
        <w:pageBreakBefore w:val="0"/>
        <w:widowControl w:val="0"/>
        <w:kinsoku/>
        <w:wordWrap/>
        <w:overflowPunct/>
        <w:topLinePunct w:val="0"/>
        <w:autoSpaceDE/>
        <w:autoSpaceDN/>
        <w:bidi w:val="0"/>
        <w:adjustRightInd/>
        <w:snapToGrid/>
        <w:spacing w:beforeLines="0" w:afterLines="0" w:line="560" w:lineRule="exact"/>
        <w:jc w:val="center"/>
        <w:rPr>
          <w:rFonts w:hint="eastAsia" w:ascii="Times New Roman" w:hAnsi="Times New Roman" w:eastAsia="方正小标宋简体" w:cs="方正小标宋简体"/>
          <w:sz w:val="45"/>
          <w:szCs w:val="45"/>
          <w:highlight w:val="none"/>
          <w:u w:val="none" w:color="auto"/>
        </w:rPr>
      </w:pPr>
      <w:r>
        <w:rPr>
          <w:rFonts w:hint="eastAsia" w:ascii="Times New Roman" w:hAnsi="Times New Roman" w:eastAsia="方正小标宋简体" w:cs="方正小标宋简体"/>
          <w:sz w:val="45"/>
          <w:szCs w:val="45"/>
          <w:highlight w:val="none"/>
          <w:u w:val="none" w:color="auto"/>
          <w:lang w:val="en-US" w:eastAsia="zh-CN"/>
        </w:rPr>
        <w:t>产业培育融资</w:t>
      </w:r>
      <w:r>
        <w:rPr>
          <w:rFonts w:hint="eastAsia" w:ascii="Times New Roman" w:hAnsi="Times New Roman" w:eastAsia="方正小标宋简体" w:cs="方正小标宋简体"/>
          <w:sz w:val="45"/>
          <w:szCs w:val="45"/>
          <w:highlight w:val="none"/>
          <w:u w:val="none" w:color="auto"/>
        </w:rPr>
        <w:t>服务方案</w:t>
      </w:r>
    </w:p>
    <w:bookmarkEnd w:id="0"/>
    <w:p w14:paraId="24047909">
      <w:pPr>
        <w:keepNext w:val="0"/>
        <w:keepLines w:val="0"/>
        <w:pageBreakBefore w:val="0"/>
        <w:widowControl w:val="0"/>
        <w:kinsoku/>
        <w:wordWrap/>
        <w:overflowPunct/>
        <w:topLinePunct w:val="0"/>
        <w:autoSpaceDE/>
        <w:autoSpaceDN/>
        <w:bidi w:val="0"/>
        <w:adjustRightInd/>
        <w:snapToGrid/>
        <w:spacing w:beforeLines="0" w:afterLines="0" w:line="560" w:lineRule="exact"/>
        <w:ind w:firstLine="739" w:firstLineChars="231"/>
        <w:rPr>
          <w:rFonts w:hint="eastAsia" w:ascii="Times New Roman" w:hAnsi="Times New Roman" w:eastAsia="方正仿宋_GBK" w:cs="方正仿宋_GBK"/>
          <w:sz w:val="32"/>
          <w:szCs w:val="32"/>
          <w:highlight w:val="none"/>
          <w:u w:val="none" w:color="auto"/>
          <w:lang w:val="en-US" w:eastAsia="zh-CN"/>
        </w:rPr>
      </w:pPr>
    </w:p>
    <w:p w14:paraId="4826051F">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rPr>
          <w:rFonts w:hint="eastAsia" w:ascii="Times New Roman" w:hAnsi="Times New Roman" w:eastAsia="仿宋_GB2312" w:cs="仿宋_GB2312"/>
          <w:sz w:val="32"/>
          <w:szCs w:val="32"/>
          <w:highlight w:val="none"/>
          <w:u w:val="none" w:color="auto"/>
          <w:lang w:val="en-US" w:eastAsia="zh-CN"/>
        </w:rPr>
      </w:pPr>
      <w:r>
        <w:rPr>
          <w:rFonts w:hint="eastAsia" w:ascii="Times New Roman" w:hAnsi="Times New Roman" w:eastAsia="仿宋_GB2312" w:cs="仿宋_GB2312"/>
          <w:sz w:val="32"/>
          <w:szCs w:val="32"/>
          <w:highlight w:val="none"/>
          <w:u w:val="none" w:color="auto"/>
          <w:lang w:val="en-US" w:eastAsia="zh-CN"/>
        </w:rPr>
        <w:t>为贯彻落实习近平总书记关于“推动短板产业补链、优势产业延链，传统产业升链、新兴产业建链，增强产业发展的接续性和竞争力”的重要指示精神及《广东省人民政府办公厅关于印发&lt;广东省进一步激发市场主体活力加快建设现代化产业体系若干措施&gt;的通知》（粤府办〔2025〕11号）等文件精神，扎实推进新型工业化，强化产业集群与重点产业链一体化发展布局，建设现代产业新体系，广东省工业和信息化厅（以下简称“省工业和信息化厅”）、交通银行广东省分行（以下简称“省交行”）深化政银合作，推动创新链产业链资金链人才链深度融合，全面增强产业链安全可靠水平和综合竞争力。形成产业培育融资服务方案如下：</w:t>
      </w:r>
    </w:p>
    <w:p w14:paraId="2C3F5BBB">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firstLine="640" w:firstLineChars="200"/>
        <w:rPr>
          <w:rFonts w:hint="eastAsia" w:ascii="Times New Roman" w:hAnsi="Times New Roman" w:eastAsia="黑体" w:cs="黑体"/>
          <w:sz w:val="32"/>
          <w:szCs w:val="32"/>
          <w:highlight w:val="none"/>
          <w:u w:val="none" w:color="auto"/>
          <w:lang w:val="en-US" w:eastAsia="zh-CN"/>
        </w:rPr>
      </w:pPr>
      <w:r>
        <w:rPr>
          <w:rFonts w:hint="eastAsia" w:ascii="Times New Roman" w:hAnsi="Times New Roman" w:eastAsia="黑体" w:cs="黑体"/>
          <w:sz w:val="32"/>
          <w:szCs w:val="32"/>
          <w:highlight w:val="none"/>
          <w:u w:val="none" w:color="auto"/>
          <w:lang w:val="en-US" w:eastAsia="zh-CN"/>
        </w:rPr>
        <w:t>一、实施目标</w:t>
      </w:r>
    </w:p>
    <w:p w14:paraId="5A9DE49A">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rPr>
          <w:rFonts w:hint="eastAsia" w:ascii="Times New Roman" w:hAnsi="Times New Roman" w:eastAsia="仿宋_GB2312" w:cs="仿宋_GB2312"/>
          <w:sz w:val="32"/>
          <w:szCs w:val="32"/>
          <w:highlight w:val="none"/>
          <w:u w:val="none" w:color="auto"/>
          <w:lang w:val="en-US" w:eastAsia="zh-CN"/>
        </w:rPr>
      </w:pPr>
      <w:r>
        <w:rPr>
          <w:rFonts w:hint="eastAsia" w:ascii="Times New Roman" w:hAnsi="Times New Roman" w:eastAsia="仿宋_GB2312" w:cs="仿宋_GB2312"/>
          <w:sz w:val="32"/>
          <w:szCs w:val="32"/>
          <w:highlight w:val="none"/>
          <w:u w:val="none" w:color="auto"/>
          <w:lang w:val="en-US" w:eastAsia="zh-CN"/>
        </w:rPr>
        <w:t>省工业和信息化厅、省交行推进各地工信部门和省交行辖内机构加强政银合作，强化信息共享和政策协同，在政策、平台、产品、服务等方面为企业提供支持，在“十五五”期间为我省战略性产业集群及产业链企业给予综合融资金额</w:t>
      </w:r>
      <w:r>
        <w:rPr>
          <w:rFonts w:hint="eastAsia" w:ascii="Times New Roman" w:hAnsi="Times New Roman" w:cs="仿宋_GB2312"/>
          <w:sz w:val="32"/>
          <w:szCs w:val="32"/>
          <w:highlight w:val="none"/>
          <w:u w:val="none" w:color="auto"/>
          <w:lang w:val="en-US" w:eastAsia="zh-CN"/>
        </w:rPr>
        <w:t>5</w:t>
      </w:r>
      <w:r>
        <w:rPr>
          <w:rFonts w:hint="eastAsia" w:ascii="Times New Roman" w:hAnsi="Times New Roman" w:eastAsia="仿宋_GB2312" w:cs="仿宋_GB2312"/>
          <w:sz w:val="32"/>
          <w:szCs w:val="32"/>
          <w:highlight w:val="none"/>
          <w:u w:val="none" w:color="auto"/>
          <w:lang w:val="en-US" w:eastAsia="zh-CN"/>
        </w:rPr>
        <w:t>000亿元（指人民币，下同），加快推进我省战略性产业集群、未来产业及重点产业链建设，助力我省制造业高质量发展。</w:t>
      </w:r>
    </w:p>
    <w:p w14:paraId="32197135">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firstLine="640" w:firstLineChars="200"/>
        <w:rPr>
          <w:rFonts w:hint="eastAsia" w:ascii="Times New Roman" w:hAnsi="Times New Roman" w:eastAsia="黑体" w:cs="黑体"/>
          <w:sz w:val="32"/>
          <w:szCs w:val="32"/>
          <w:highlight w:val="none"/>
          <w:u w:val="none" w:color="auto"/>
          <w:lang w:val="en-US" w:eastAsia="zh-CN"/>
        </w:rPr>
      </w:pPr>
      <w:r>
        <w:rPr>
          <w:rFonts w:hint="eastAsia" w:ascii="Times New Roman" w:hAnsi="Times New Roman" w:eastAsia="黑体" w:cs="黑体"/>
          <w:sz w:val="32"/>
          <w:szCs w:val="32"/>
          <w:highlight w:val="none"/>
          <w:u w:val="none" w:color="auto"/>
          <w:lang w:val="en-US" w:eastAsia="zh-CN"/>
        </w:rPr>
        <w:t>二、系列融资服务产品</w:t>
      </w:r>
    </w:p>
    <w:p w14:paraId="428326A8">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firstLine="643" w:firstLineChars="200"/>
        <w:rPr>
          <w:rFonts w:hint="eastAsia" w:ascii="Times New Roman" w:hAnsi="Times New Roman" w:eastAsia="方正楷体_GBK" w:cs="方正楷体_GBK"/>
          <w:b/>
          <w:bCs/>
          <w:sz w:val="32"/>
          <w:szCs w:val="32"/>
          <w:highlight w:val="none"/>
          <w:u w:val="none" w:color="auto"/>
          <w:lang w:val="en-US" w:eastAsia="zh-CN"/>
        </w:rPr>
      </w:pPr>
      <w:r>
        <w:rPr>
          <w:rFonts w:hint="eastAsia" w:ascii="Times New Roman" w:hAnsi="Times New Roman" w:eastAsia="方正楷体_GBK" w:cs="方正楷体_GBK"/>
          <w:b/>
          <w:bCs/>
          <w:sz w:val="32"/>
          <w:szCs w:val="32"/>
          <w:highlight w:val="none"/>
          <w:u w:val="none" w:color="auto"/>
          <w:lang w:val="en-US" w:eastAsia="zh-CN"/>
        </w:rPr>
        <w:t>（一）产业链金融</w:t>
      </w:r>
    </w:p>
    <w:p w14:paraId="3124F0C2">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firstLine="643" w:firstLineChars="200"/>
        <w:rPr>
          <w:rFonts w:hint="default" w:ascii="Times New Roman" w:hAnsi="Times New Roman" w:eastAsia="仿宋_GB2312" w:cs="仿宋_GB2312"/>
          <w:b/>
          <w:bCs/>
          <w:sz w:val="32"/>
          <w:szCs w:val="32"/>
          <w:highlight w:val="none"/>
          <w:u w:val="none" w:color="auto"/>
          <w:lang w:val="en-US" w:eastAsia="zh-CN"/>
        </w:rPr>
      </w:pPr>
      <w:r>
        <w:rPr>
          <w:rFonts w:hint="eastAsia" w:ascii="Times New Roman" w:hAnsi="Times New Roman" w:eastAsia="仿宋_GB2312" w:cs="仿宋_GB2312"/>
          <w:b/>
          <w:bCs/>
          <w:sz w:val="32"/>
          <w:szCs w:val="32"/>
          <w:highlight w:val="none"/>
          <w:u w:val="none" w:color="auto"/>
          <w:lang w:val="en-US" w:eastAsia="zh-CN"/>
        </w:rPr>
        <w:t>1.快易付</w:t>
      </w:r>
    </w:p>
    <w:p w14:paraId="62CCF4FA">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rPr>
          <w:rFonts w:hint="eastAsia" w:ascii="Times New Roman" w:hAnsi="Times New Roman" w:eastAsia="仿宋_GB2312" w:cs="仿宋_GB2312"/>
          <w:b w:val="0"/>
          <w:bCs w:val="0"/>
          <w:sz w:val="32"/>
          <w:szCs w:val="32"/>
          <w:highlight w:val="none"/>
          <w:u w:val="none" w:color="auto"/>
          <w:lang w:val="en-US" w:eastAsia="zh-CN"/>
        </w:rPr>
      </w:pPr>
      <w:r>
        <w:rPr>
          <w:rFonts w:hint="eastAsia" w:ascii="Times New Roman" w:hAnsi="Times New Roman" w:eastAsia="仿宋_GB2312" w:cs="仿宋_GB2312"/>
          <w:b w:val="0"/>
          <w:bCs w:val="0"/>
          <w:sz w:val="32"/>
          <w:szCs w:val="32"/>
          <w:highlight w:val="none"/>
          <w:u w:val="none" w:color="auto"/>
          <w:lang w:val="en-US" w:eastAsia="zh-CN"/>
        </w:rPr>
        <w:t>服务对象：有短期融资需求、存在应收账款的供应商。</w:t>
      </w:r>
    </w:p>
    <w:p w14:paraId="635C5288">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rPr>
          <w:rFonts w:hint="eastAsia" w:ascii="Times New Roman" w:hAnsi="Times New Roman" w:eastAsia="仿宋_GB2312" w:cs="仿宋_GB2312"/>
          <w:sz w:val="32"/>
          <w:szCs w:val="32"/>
          <w:highlight w:val="none"/>
          <w:u w:val="none" w:color="auto"/>
          <w:lang w:val="en-US" w:eastAsia="zh-CN"/>
        </w:rPr>
      </w:pPr>
      <w:r>
        <w:rPr>
          <w:rFonts w:hint="eastAsia" w:ascii="Times New Roman" w:hAnsi="Times New Roman" w:eastAsia="仿宋_GB2312" w:cs="仿宋_GB2312"/>
          <w:b w:val="0"/>
          <w:bCs w:val="0"/>
          <w:sz w:val="32"/>
          <w:szCs w:val="32"/>
          <w:highlight w:val="none"/>
          <w:u w:val="none" w:color="auto"/>
          <w:lang w:val="en-US" w:eastAsia="zh-CN"/>
        </w:rPr>
        <w:t>融资（服务）方案：供应商企业无需申报授信、无需提供有</w:t>
      </w:r>
      <w:r>
        <w:rPr>
          <w:rFonts w:hint="eastAsia" w:ascii="Times New Roman" w:hAnsi="Times New Roman" w:eastAsia="仿宋_GB2312" w:cs="仿宋_GB2312"/>
          <w:sz w:val="32"/>
          <w:szCs w:val="32"/>
          <w:highlight w:val="none"/>
          <w:u w:val="none" w:color="auto"/>
          <w:lang w:val="en-US" w:eastAsia="zh-CN"/>
        </w:rPr>
        <w:t>效担保品，通过占用买方核心企业授信额度为供应商办理应收账款融资。利率最低至一年期LPR，期限一般不超过1年。</w:t>
      </w:r>
    </w:p>
    <w:p w14:paraId="0BD9B857">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firstLine="643" w:firstLineChars="200"/>
        <w:rPr>
          <w:rFonts w:hint="eastAsia" w:ascii="Times New Roman" w:hAnsi="Times New Roman" w:eastAsia="仿宋_GB2312" w:cs="仿宋_GB2312"/>
          <w:b/>
          <w:bCs/>
          <w:sz w:val="32"/>
          <w:szCs w:val="32"/>
          <w:highlight w:val="none"/>
          <w:u w:val="none" w:color="auto"/>
          <w:lang w:val="en-US" w:eastAsia="zh-CN"/>
        </w:rPr>
      </w:pPr>
      <w:r>
        <w:rPr>
          <w:rFonts w:hint="eastAsia" w:ascii="Times New Roman" w:hAnsi="Times New Roman" w:eastAsia="仿宋_GB2312" w:cs="仿宋_GB2312"/>
          <w:b/>
          <w:bCs/>
          <w:sz w:val="32"/>
          <w:szCs w:val="32"/>
          <w:highlight w:val="none"/>
          <w:u w:val="none" w:color="auto"/>
          <w:lang w:val="en-US" w:eastAsia="zh-CN"/>
        </w:rPr>
        <w:t>2.快易收</w:t>
      </w:r>
    </w:p>
    <w:p w14:paraId="552F2816">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rPr>
          <w:rFonts w:hint="eastAsia" w:ascii="Times New Roman" w:hAnsi="Times New Roman" w:eastAsia="仿宋_GB2312" w:cs="仿宋_GB2312"/>
          <w:sz w:val="32"/>
          <w:szCs w:val="32"/>
          <w:highlight w:val="none"/>
          <w:u w:val="none" w:color="auto"/>
          <w:lang w:val="en-US" w:eastAsia="zh-CN"/>
        </w:rPr>
      </w:pPr>
      <w:r>
        <w:rPr>
          <w:rFonts w:hint="eastAsia" w:ascii="Times New Roman" w:hAnsi="Times New Roman" w:eastAsia="仿宋_GB2312" w:cs="仿宋_GB2312"/>
          <w:sz w:val="32"/>
          <w:szCs w:val="32"/>
          <w:highlight w:val="none"/>
          <w:u w:val="none" w:color="auto"/>
          <w:lang w:val="en-US" w:eastAsia="zh-CN"/>
        </w:rPr>
        <w:t>服务对象：</w:t>
      </w:r>
      <w:r>
        <w:rPr>
          <w:rFonts w:hint="eastAsia" w:ascii="Times New Roman" w:hAnsi="Times New Roman" w:cs="仿宋_GB2312"/>
          <w:sz w:val="32"/>
          <w:szCs w:val="32"/>
          <w:highlight w:val="none"/>
          <w:u w:val="none" w:color="auto"/>
          <w:lang w:val="en-US" w:eastAsia="zh-CN"/>
        </w:rPr>
        <w:t>有</w:t>
      </w:r>
      <w:r>
        <w:rPr>
          <w:rFonts w:hint="eastAsia" w:ascii="Times New Roman" w:hAnsi="Times New Roman" w:eastAsia="仿宋_GB2312" w:cs="仿宋_GB2312"/>
          <w:sz w:val="32"/>
          <w:szCs w:val="32"/>
          <w:highlight w:val="none"/>
          <w:u w:val="none" w:color="auto"/>
          <w:lang w:val="en-US" w:eastAsia="zh-CN"/>
        </w:rPr>
        <w:t>应收账款出表、提前回收货款需求的企业。</w:t>
      </w:r>
    </w:p>
    <w:p w14:paraId="576E5802">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rPr>
          <w:rFonts w:hint="eastAsia" w:ascii="Times New Roman" w:hAnsi="Times New Roman" w:eastAsia="仿宋_GB2312" w:cs="仿宋_GB2312"/>
          <w:sz w:val="32"/>
          <w:szCs w:val="32"/>
          <w:highlight w:val="none"/>
          <w:u w:val="none" w:color="auto"/>
          <w:lang w:val="en-US" w:eastAsia="zh-CN"/>
        </w:rPr>
      </w:pPr>
      <w:r>
        <w:rPr>
          <w:rFonts w:hint="eastAsia" w:ascii="Times New Roman" w:hAnsi="Times New Roman" w:eastAsia="仿宋_GB2312" w:cs="仿宋_GB2312"/>
          <w:sz w:val="32"/>
          <w:szCs w:val="32"/>
          <w:highlight w:val="none"/>
          <w:u w:val="none" w:color="auto"/>
          <w:lang w:val="en-US" w:eastAsia="zh-CN"/>
        </w:rPr>
        <w:t>融资（服务）方案：在赊销贸易中，以债权人转让其应收账款为前提，交通银行为债权人提供集应收账款催收、管理、坏账担保和融资一体的综合性金融服务。</w:t>
      </w:r>
    </w:p>
    <w:p w14:paraId="016F5D57">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firstLine="643" w:firstLineChars="200"/>
        <w:rPr>
          <w:rFonts w:hint="eastAsia" w:ascii="Times New Roman" w:hAnsi="Times New Roman" w:eastAsia="仿宋_GB2312" w:cs="仿宋_GB2312"/>
          <w:b/>
          <w:bCs/>
          <w:sz w:val="32"/>
          <w:szCs w:val="32"/>
          <w:highlight w:val="none"/>
          <w:u w:val="none" w:color="auto"/>
          <w:lang w:val="en-US" w:eastAsia="zh-CN"/>
        </w:rPr>
      </w:pPr>
      <w:r>
        <w:rPr>
          <w:rFonts w:hint="eastAsia" w:ascii="Times New Roman" w:hAnsi="Times New Roman" w:eastAsia="仿宋_GB2312" w:cs="仿宋_GB2312"/>
          <w:b/>
          <w:bCs/>
          <w:sz w:val="32"/>
          <w:szCs w:val="32"/>
          <w:highlight w:val="none"/>
          <w:u w:val="none" w:color="auto"/>
          <w:lang w:val="en-US" w:eastAsia="zh-CN"/>
        </w:rPr>
        <w:t>3.快易贴</w:t>
      </w:r>
    </w:p>
    <w:p w14:paraId="5AB74832">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rPr>
          <w:rFonts w:hint="eastAsia" w:ascii="Times New Roman" w:hAnsi="Times New Roman" w:eastAsia="仿宋_GB2312" w:cs="仿宋_GB2312"/>
          <w:sz w:val="32"/>
          <w:szCs w:val="32"/>
          <w:highlight w:val="none"/>
          <w:u w:val="none" w:color="auto"/>
          <w:lang w:val="en-US" w:eastAsia="zh-CN"/>
        </w:rPr>
      </w:pPr>
      <w:r>
        <w:rPr>
          <w:rFonts w:hint="eastAsia" w:ascii="Times New Roman" w:hAnsi="Times New Roman" w:eastAsia="仿宋_GB2312" w:cs="仿宋_GB2312"/>
          <w:sz w:val="32"/>
          <w:szCs w:val="32"/>
          <w:highlight w:val="none"/>
          <w:u w:val="none" w:color="auto"/>
          <w:lang w:val="en-US" w:eastAsia="zh-CN"/>
        </w:rPr>
        <w:t>服务对象：与核心企业保持稳定合作关系的上游供应商</w:t>
      </w:r>
      <w:r>
        <w:rPr>
          <w:rFonts w:hint="eastAsia" w:ascii="Times New Roman" w:hAnsi="Times New Roman" w:cs="仿宋_GB2312"/>
          <w:sz w:val="32"/>
          <w:szCs w:val="32"/>
          <w:highlight w:val="none"/>
          <w:u w:val="none" w:color="auto"/>
          <w:lang w:val="en-US" w:eastAsia="zh-CN"/>
        </w:rPr>
        <w:t>。</w:t>
      </w:r>
    </w:p>
    <w:p w14:paraId="0F6BE85A">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rPr>
          <w:rFonts w:hint="eastAsia" w:ascii="Times New Roman" w:hAnsi="Times New Roman" w:eastAsia="仿宋_GB2312" w:cs="仿宋_GB2312"/>
          <w:sz w:val="32"/>
          <w:szCs w:val="32"/>
          <w:highlight w:val="none"/>
          <w:u w:val="none" w:color="auto"/>
          <w:lang w:val="en-US" w:eastAsia="zh-CN"/>
        </w:rPr>
      </w:pPr>
      <w:r>
        <w:rPr>
          <w:rFonts w:hint="eastAsia" w:ascii="Times New Roman" w:hAnsi="Times New Roman" w:eastAsia="仿宋_GB2312" w:cs="仿宋_GB2312"/>
          <w:sz w:val="32"/>
          <w:szCs w:val="32"/>
          <w:highlight w:val="none"/>
          <w:u w:val="none" w:color="auto"/>
          <w:lang w:val="en-US" w:eastAsia="zh-CN"/>
        </w:rPr>
        <w:t>融资（服务）方案：供应商无需申报授信，可全流程电子操作，通过占用买方核心企业授信额度为供应商提供核心企业承兑的商业汇票贴现融资服务。</w:t>
      </w:r>
    </w:p>
    <w:p w14:paraId="708691AF">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firstLine="643" w:firstLineChars="200"/>
        <w:rPr>
          <w:rFonts w:hint="eastAsia" w:ascii="Times New Roman" w:hAnsi="Times New Roman" w:eastAsia="仿宋_GB2312" w:cs="仿宋_GB2312"/>
          <w:b/>
          <w:bCs/>
          <w:sz w:val="32"/>
          <w:szCs w:val="32"/>
          <w:highlight w:val="none"/>
          <w:u w:val="none" w:color="auto"/>
          <w:lang w:val="en-US" w:eastAsia="zh-CN"/>
        </w:rPr>
      </w:pPr>
      <w:r>
        <w:rPr>
          <w:rFonts w:hint="eastAsia" w:ascii="Times New Roman" w:hAnsi="Times New Roman" w:eastAsia="仿宋_GB2312" w:cs="仿宋_GB2312"/>
          <w:b/>
          <w:bCs/>
          <w:sz w:val="32"/>
          <w:szCs w:val="32"/>
          <w:highlight w:val="none"/>
          <w:u w:val="none" w:color="auto"/>
          <w:lang w:val="en-US" w:eastAsia="zh-CN"/>
        </w:rPr>
        <w:t>4.供应商订单融资</w:t>
      </w:r>
    </w:p>
    <w:p w14:paraId="5075D6AE">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rPr>
          <w:rFonts w:hint="eastAsia" w:ascii="Times New Roman" w:hAnsi="Times New Roman" w:eastAsia="仿宋_GB2312" w:cs="仿宋_GB2312"/>
          <w:sz w:val="32"/>
          <w:szCs w:val="32"/>
          <w:highlight w:val="none"/>
          <w:u w:val="none" w:color="auto"/>
          <w:lang w:val="en-US" w:eastAsia="zh-CN"/>
        </w:rPr>
      </w:pPr>
      <w:r>
        <w:rPr>
          <w:rFonts w:hint="eastAsia" w:ascii="Times New Roman" w:hAnsi="Times New Roman" w:eastAsia="仿宋_GB2312" w:cs="仿宋_GB2312"/>
          <w:sz w:val="32"/>
          <w:szCs w:val="32"/>
          <w:highlight w:val="none"/>
          <w:u w:val="none" w:color="auto"/>
          <w:lang w:val="en-US" w:eastAsia="zh-CN"/>
        </w:rPr>
        <w:t>服务对象：核心企业推荐的上游供应商。</w:t>
      </w:r>
    </w:p>
    <w:p w14:paraId="15E5B9A8">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firstLine="640" w:firstLineChars="200"/>
        <w:rPr>
          <w:rFonts w:hint="eastAsia" w:ascii="Times New Roman" w:hAnsi="Times New Roman" w:eastAsia="仿宋_GB2312" w:cs="仿宋_GB2312"/>
          <w:sz w:val="32"/>
          <w:szCs w:val="32"/>
          <w:highlight w:val="none"/>
          <w:u w:val="none" w:color="auto"/>
          <w:lang w:val="en-US" w:eastAsia="zh-CN"/>
        </w:rPr>
      </w:pPr>
      <w:r>
        <w:rPr>
          <w:rFonts w:hint="eastAsia" w:ascii="Times New Roman" w:hAnsi="Times New Roman" w:eastAsia="仿宋_GB2312" w:cs="仿宋_GB2312"/>
          <w:sz w:val="32"/>
          <w:szCs w:val="32"/>
          <w:highlight w:val="none"/>
          <w:u w:val="none" w:color="auto"/>
          <w:lang w:val="en-US" w:eastAsia="zh-CN"/>
        </w:rPr>
        <w:t>融资（服务）方案：以核心企业推荐供应商“白名单”并基于核心企业提供的供应商历史合作数据，设定准入、核额规则，在应收账款形成前，给予供应商生产备货等融资支持，贷款额度最高3000万元，利率最低至一年期LPR，期限一般不超过1年。</w:t>
      </w:r>
    </w:p>
    <w:p w14:paraId="742B2D07">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firstLine="643" w:firstLineChars="200"/>
        <w:rPr>
          <w:rFonts w:hint="eastAsia" w:ascii="Times New Roman" w:hAnsi="Times New Roman" w:eastAsia="仿宋_GB2312" w:cs="仿宋_GB2312"/>
          <w:b/>
          <w:bCs/>
          <w:sz w:val="32"/>
          <w:szCs w:val="32"/>
          <w:highlight w:val="none"/>
          <w:u w:val="none" w:color="auto"/>
          <w:lang w:val="en-US" w:eastAsia="zh-CN"/>
        </w:rPr>
      </w:pPr>
      <w:r>
        <w:rPr>
          <w:rFonts w:hint="eastAsia" w:ascii="Times New Roman" w:hAnsi="Times New Roman" w:eastAsia="仿宋_GB2312" w:cs="仿宋_GB2312"/>
          <w:b/>
          <w:bCs/>
          <w:sz w:val="32"/>
          <w:szCs w:val="32"/>
          <w:highlight w:val="none"/>
          <w:u w:val="none" w:color="auto"/>
          <w:lang w:val="en-US" w:eastAsia="zh-CN"/>
        </w:rPr>
        <w:t>5.经销商快贷</w:t>
      </w:r>
    </w:p>
    <w:p w14:paraId="31583011">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rPr>
          <w:rFonts w:hint="eastAsia" w:ascii="Times New Roman" w:hAnsi="Times New Roman" w:eastAsia="仿宋_GB2312" w:cs="仿宋_GB2312"/>
          <w:sz w:val="32"/>
          <w:szCs w:val="32"/>
          <w:highlight w:val="none"/>
          <w:u w:val="none" w:color="auto"/>
          <w:lang w:val="en-US" w:eastAsia="zh-CN"/>
        </w:rPr>
      </w:pPr>
      <w:r>
        <w:rPr>
          <w:rFonts w:hint="eastAsia" w:ascii="Times New Roman" w:hAnsi="Times New Roman" w:eastAsia="仿宋_GB2312" w:cs="仿宋_GB2312"/>
          <w:sz w:val="32"/>
          <w:szCs w:val="32"/>
          <w:highlight w:val="none"/>
          <w:u w:val="none" w:color="auto"/>
          <w:lang w:val="en-US" w:eastAsia="zh-CN"/>
        </w:rPr>
        <w:t>服务对象：核心企业推荐的下游经销商。</w:t>
      </w:r>
    </w:p>
    <w:p w14:paraId="7C8E1DEF">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rPr>
          <w:rFonts w:hint="eastAsia" w:ascii="Times New Roman" w:hAnsi="Times New Roman" w:eastAsia="仿宋_GB2312" w:cs="仿宋_GB2312"/>
          <w:sz w:val="32"/>
          <w:szCs w:val="32"/>
          <w:highlight w:val="none"/>
          <w:u w:val="none" w:color="auto"/>
          <w:lang w:val="en-US" w:eastAsia="zh-CN"/>
        </w:rPr>
      </w:pPr>
      <w:r>
        <w:rPr>
          <w:rFonts w:hint="eastAsia" w:ascii="Times New Roman" w:hAnsi="Times New Roman" w:eastAsia="仿宋_GB2312" w:cs="仿宋_GB2312"/>
          <w:sz w:val="32"/>
          <w:szCs w:val="32"/>
          <w:highlight w:val="none"/>
          <w:u w:val="none" w:color="auto"/>
          <w:lang w:val="en-US" w:eastAsia="zh-CN"/>
        </w:rPr>
        <w:t>融资（服务）方案：以核心企业推荐经销商“白名单”并基于核心企业提供的经销商销售、订货等数据，设定贷款模型，实现从客户筛选、额度核定、授信审批、贷款发放、贷后管理的全线上业务办理模式。贷款用于向核心企业采购货物，贷款额度最高3000万元，利率最低至一年期LPR，期限一般不超过1年。</w:t>
      </w:r>
    </w:p>
    <w:p w14:paraId="6CC4DE7D">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firstLine="643" w:firstLineChars="200"/>
        <w:rPr>
          <w:rFonts w:hint="eastAsia" w:ascii="Times New Roman" w:hAnsi="Times New Roman" w:eastAsia="方正楷体_GBK" w:cs="方正楷体_GBK"/>
          <w:b/>
          <w:bCs/>
          <w:sz w:val="32"/>
          <w:szCs w:val="32"/>
          <w:highlight w:val="none"/>
          <w:u w:val="none" w:color="auto"/>
          <w:lang w:val="en-US" w:eastAsia="zh-CN"/>
        </w:rPr>
      </w:pPr>
      <w:r>
        <w:rPr>
          <w:rFonts w:hint="eastAsia" w:ascii="Times New Roman" w:hAnsi="Times New Roman" w:eastAsia="方正楷体_GBK" w:cs="方正楷体_GBK"/>
          <w:b/>
          <w:bCs/>
          <w:sz w:val="32"/>
          <w:szCs w:val="32"/>
          <w:highlight w:val="none"/>
          <w:u w:val="none" w:color="auto"/>
          <w:lang w:val="en-US" w:eastAsia="zh-CN"/>
        </w:rPr>
        <w:t>（二）创新金融</w:t>
      </w:r>
    </w:p>
    <w:p w14:paraId="1D0528C1">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firstLine="643" w:firstLineChars="200"/>
        <w:rPr>
          <w:rFonts w:hint="eastAsia" w:ascii="Times New Roman" w:hAnsi="Times New Roman" w:eastAsia="仿宋_GB2312" w:cs="仿宋_GB2312"/>
          <w:b/>
          <w:bCs/>
          <w:sz w:val="32"/>
          <w:szCs w:val="32"/>
          <w:highlight w:val="none"/>
          <w:u w:val="none" w:color="auto"/>
          <w:lang w:val="en-US" w:eastAsia="zh-CN"/>
        </w:rPr>
      </w:pPr>
      <w:r>
        <w:rPr>
          <w:rFonts w:hint="eastAsia" w:ascii="Times New Roman" w:hAnsi="Times New Roman" w:eastAsia="仿宋_GB2312" w:cs="仿宋_GB2312"/>
          <w:b/>
          <w:bCs/>
          <w:sz w:val="32"/>
          <w:szCs w:val="32"/>
          <w:highlight w:val="none"/>
          <w:u w:val="none" w:color="auto"/>
          <w:lang w:val="en-US" w:eastAsia="zh-CN"/>
        </w:rPr>
        <w:t>1.创新·人才贷</w:t>
      </w:r>
    </w:p>
    <w:p w14:paraId="72970089">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both"/>
        <w:textAlignment w:val="baseline"/>
        <w:rPr>
          <w:rFonts w:hint="eastAsia" w:ascii="Times New Roman" w:hAnsi="Times New Roman" w:eastAsia="仿宋_GB2312" w:cs="仿宋_GB2312"/>
          <w:kern w:val="2"/>
          <w:sz w:val="32"/>
          <w:szCs w:val="32"/>
          <w:highlight w:val="none"/>
          <w:u w:val="none" w:color="auto"/>
          <w:lang w:val="en-US" w:eastAsia="zh-CN" w:bidi="ar-SA"/>
        </w:rPr>
      </w:pPr>
      <w:r>
        <w:rPr>
          <w:rFonts w:hint="eastAsia" w:ascii="Times New Roman" w:hAnsi="Times New Roman" w:eastAsia="仿宋_GB2312" w:cs="仿宋_GB2312"/>
          <w:kern w:val="2"/>
          <w:sz w:val="32"/>
          <w:szCs w:val="32"/>
          <w:highlight w:val="none"/>
          <w:u w:val="none" w:color="auto"/>
          <w:lang w:val="en-US" w:eastAsia="zh-CN" w:bidi="ar-SA"/>
        </w:rPr>
        <w:t>服务对象：初创期科技型企业</w:t>
      </w:r>
      <w:r>
        <w:rPr>
          <w:rFonts w:hint="eastAsia" w:ascii="Times New Roman" w:hAnsi="Times New Roman" w:eastAsia="仿宋_GB2312" w:cs="仿宋_GB2312"/>
          <w:kern w:val="2"/>
          <w:sz w:val="32"/>
          <w:szCs w:val="32"/>
          <w:highlight w:val="none"/>
          <w:u w:val="none" w:color="auto"/>
          <w:vertAlign w:val="superscript"/>
          <w:lang w:val="en-US" w:eastAsia="zh-CN" w:bidi="ar-SA"/>
        </w:rPr>
        <w:footnoteReference w:id="0"/>
      </w:r>
      <w:r>
        <w:rPr>
          <w:rFonts w:hint="eastAsia" w:ascii="Times New Roman" w:hAnsi="Times New Roman" w:eastAsia="仿宋_GB2312" w:cs="仿宋_GB2312"/>
          <w:kern w:val="2"/>
          <w:sz w:val="32"/>
          <w:szCs w:val="32"/>
          <w:highlight w:val="none"/>
          <w:u w:val="none" w:color="auto"/>
          <w:lang w:val="en-US" w:eastAsia="zh-CN" w:bidi="ar-SA"/>
        </w:rPr>
        <w:t>。</w:t>
      </w:r>
    </w:p>
    <w:p w14:paraId="32C2392F">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both"/>
        <w:textAlignment w:val="baseline"/>
        <w:rPr>
          <w:rFonts w:hint="eastAsia" w:ascii="Times New Roman" w:hAnsi="Times New Roman" w:eastAsia="仿宋_GB2312" w:cs="仿宋_GB2312"/>
          <w:kern w:val="2"/>
          <w:sz w:val="32"/>
          <w:szCs w:val="32"/>
          <w:highlight w:val="none"/>
          <w:u w:val="none" w:color="auto"/>
          <w:lang w:val="en-US" w:eastAsia="zh-CN" w:bidi="ar-SA"/>
        </w:rPr>
      </w:pPr>
      <w:r>
        <w:rPr>
          <w:rFonts w:hint="eastAsia" w:ascii="Times New Roman" w:hAnsi="Times New Roman" w:eastAsia="仿宋_GB2312" w:cs="仿宋_GB2312"/>
          <w:kern w:val="2"/>
          <w:sz w:val="32"/>
          <w:szCs w:val="32"/>
          <w:highlight w:val="none"/>
          <w:u w:val="none" w:color="auto"/>
          <w:lang w:val="en-US" w:eastAsia="zh-CN" w:bidi="ar-SA"/>
        </w:rPr>
        <w:t>融资（服务）方案：针对高层次人才、或人才团队设立的初创期小微企业推出的全线上融资产品，根据人才资质核定贷款额度，单户信用额度上限1000万元，授信期限上限3年。</w:t>
      </w:r>
    </w:p>
    <w:p w14:paraId="392F398A">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firstLine="643" w:firstLineChars="200"/>
        <w:rPr>
          <w:rFonts w:hint="eastAsia" w:ascii="Times New Roman" w:hAnsi="Times New Roman" w:eastAsia="仿宋_GB2312" w:cs="仿宋_GB2312"/>
          <w:b/>
          <w:bCs/>
          <w:sz w:val="32"/>
          <w:szCs w:val="32"/>
          <w:highlight w:val="none"/>
          <w:u w:val="none" w:color="auto"/>
          <w:lang w:val="en-US" w:eastAsia="zh-CN"/>
        </w:rPr>
      </w:pPr>
      <w:r>
        <w:rPr>
          <w:rFonts w:hint="eastAsia" w:ascii="Times New Roman" w:hAnsi="Times New Roman" w:eastAsia="仿宋_GB2312" w:cs="仿宋_GB2312"/>
          <w:b/>
          <w:bCs/>
          <w:sz w:val="32"/>
          <w:szCs w:val="32"/>
          <w:highlight w:val="none"/>
          <w:u w:val="none" w:color="auto"/>
          <w:lang w:val="en-US" w:eastAsia="zh-CN"/>
        </w:rPr>
        <w:t>2.创新·粤新贷</w:t>
      </w:r>
    </w:p>
    <w:p w14:paraId="12FEF9EA">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rPr>
          <w:rFonts w:hint="eastAsia" w:ascii="Times New Roman" w:hAnsi="Times New Roman" w:eastAsia="仿宋_GB2312" w:cs="仿宋_GB2312"/>
          <w:sz w:val="32"/>
          <w:szCs w:val="32"/>
          <w:highlight w:val="none"/>
          <w:u w:val="none" w:color="auto"/>
          <w:lang w:val="en-US" w:eastAsia="zh-CN"/>
        </w:rPr>
      </w:pPr>
      <w:r>
        <w:rPr>
          <w:rFonts w:hint="eastAsia" w:ascii="Times New Roman" w:hAnsi="Times New Roman" w:eastAsia="仿宋_GB2312" w:cs="仿宋_GB2312"/>
          <w:sz w:val="32"/>
          <w:szCs w:val="32"/>
          <w:highlight w:val="none"/>
          <w:u w:val="none" w:color="auto"/>
          <w:lang w:val="en-US" w:eastAsia="zh-CN"/>
        </w:rPr>
        <w:t>服务对象：成长期科技型企业。</w:t>
      </w:r>
    </w:p>
    <w:p w14:paraId="4020B7D7">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rPr>
          <w:rFonts w:hint="eastAsia" w:ascii="Times New Roman" w:hAnsi="Times New Roman" w:eastAsia="仿宋_GB2312" w:cs="仿宋_GB2312"/>
          <w:sz w:val="32"/>
          <w:szCs w:val="32"/>
          <w:highlight w:val="none"/>
          <w:u w:val="none" w:color="auto"/>
          <w:lang w:val="en-US" w:eastAsia="zh-CN"/>
        </w:rPr>
      </w:pPr>
      <w:r>
        <w:rPr>
          <w:rFonts w:hint="eastAsia" w:ascii="Times New Roman" w:hAnsi="Times New Roman" w:eastAsia="仿宋_GB2312" w:cs="仿宋_GB2312"/>
          <w:sz w:val="32"/>
          <w:szCs w:val="32"/>
          <w:highlight w:val="none"/>
          <w:u w:val="none" w:color="auto"/>
          <w:lang w:val="en-US" w:eastAsia="zh-CN"/>
        </w:rPr>
        <w:t>融资（服务）方案：针对专精特新“小巨人”企业、专精特新中小企业、高新技术企业、科技和创新型中小企业等成长期科技型企业，打造的广东特色线上信用贷款产品。采用科创特色准入模型和策略，引入知识产权估值、人才资质、政府奖补等科创要素综合评估，变“知产”为“资产”，满足企业在技术研究、成果转化、创新创业等不同场景下的资金需求。单户信用额度上限2000万元，授信期限上限3年。</w:t>
      </w:r>
    </w:p>
    <w:p w14:paraId="7B71AD11">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firstLine="643" w:firstLineChars="200"/>
        <w:rPr>
          <w:rFonts w:hint="eastAsia" w:ascii="Times New Roman" w:hAnsi="Times New Roman" w:eastAsia="仿宋_GB2312" w:cs="仿宋_GB2312"/>
          <w:b/>
          <w:bCs/>
          <w:sz w:val="32"/>
          <w:szCs w:val="32"/>
          <w:highlight w:val="none"/>
          <w:u w:val="none" w:color="auto"/>
          <w:lang w:val="en-US" w:eastAsia="zh-CN"/>
        </w:rPr>
      </w:pPr>
      <w:r>
        <w:rPr>
          <w:rFonts w:hint="eastAsia" w:ascii="Times New Roman" w:hAnsi="Times New Roman" w:eastAsia="仿宋_GB2312" w:cs="仿宋_GB2312"/>
          <w:b/>
          <w:bCs/>
          <w:sz w:val="32"/>
          <w:szCs w:val="32"/>
          <w:highlight w:val="none"/>
          <w:u w:val="none" w:color="auto"/>
          <w:lang w:val="en-US" w:eastAsia="zh-CN"/>
        </w:rPr>
        <w:t>3.创新·科创快贷</w:t>
      </w:r>
    </w:p>
    <w:p w14:paraId="07DCD89B">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both"/>
        <w:textAlignment w:val="baseline"/>
        <w:rPr>
          <w:rFonts w:hint="eastAsia" w:ascii="Times New Roman" w:hAnsi="Times New Roman" w:eastAsia="仿宋_GB2312" w:cs="仿宋_GB2312"/>
          <w:kern w:val="2"/>
          <w:sz w:val="32"/>
          <w:szCs w:val="32"/>
          <w:highlight w:val="none"/>
          <w:u w:val="none" w:color="auto"/>
          <w:lang w:val="en-US" w:eastAsia="zh-CN" w:bidi="ar-SA"/>
        </w:rPr>
      </w:pPr>
      <w:r>
        <w:rPr>
          <w:rFonts w:hint="eastAsia" w:ascii="Times New Roman" w:hAnsi="Times New Roman" w:eastAsia="仿宋_GB2312" w:cs="仿宋_GB2312"/>
          <w:kern w:val="2"/>
          <w:sz w:val="32"/>
          <w:szCs w:val="32"/>
          <w:highlight w:val="none"/>
          <w:u w:val="none" w:color="auto"/>
          <w:lang w:val="en-US" w:eastAsia="zh-CN" w:bidi="ar-SA"/>
        </w:rPr>
        <w:t>服务对象：针对成熟期科技型企业。</w:t>
      </w:r>
    </w:p>
    <w:p w14:paraId="6EF9492B">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both"/>
        <w:textAlignment w:val="baseline"/>
        <w:rPr>
          <w:rFonts w:hint="eastAsia" w:ascii="Times New Roman" w:hAnsi="Times New Roman" w:eastAsia="仿宋_GB2312" w:cs="仿宋_GB2312"/>
          <w:kern w:val="2"/>
          <w:sz w:val="32"/>
          <w:szCs w:val="32"/>
          <w:highlight w:val="none"/>
          <w:u w:val="none" w:color="auto"/>
          <w:lang w:val="en-US" w:eastAsia="zh-CN" w:bidi="ar-SA"/>
        </w:rPr>
      </w:pPr>
      <w:r>
        <w:rPr>
          <w:rFonts w:hint="eastAsia" w:ascii="Times New Roman" w:hAnsi="Times New Roman" w:eastAsia="仿宋_GB2312" w:cs="仿宋_GB2312"/>
          <w:kern w:val="2"/>
          <w:sz w:val="32"/>
          <w:szCs w:val="32"/>
          <w:highlight w:val="none"/>
          <w:u w:val="none" w:color="auto"/>
          <w:lang w:val="en-US" w:eastAsia="zh-CN" w:bidi="ar-SA"/>
        </w:rPr>
        <w:t>融资（服务）方案：面向科技创新企业等搭建的全线上融资服务平台，随时随地在线申请、智能审批，采用科创特色核额模型，支持信用、抵押等多种方式灵活组合。单户额度上限3000万元，其中信用额度上限2000万元，授信期限上限3年。</w:t>
      </w:r>
    </w:p>
    <w:p w14:paraId="7B6D3955">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firstLine="643" w:firstLineChars="200"/>
        <w:rPr>
          <w:rFonts w:hint="eastAsia" w:ascii="Times New Roman" w:hAnsi="Times New Roman" w:eastAsia="仿宋_GB2312" w:cs="仿宋_GB2312"/>
          <w:b/>
          <w:bCs/>
          <w:sz w:val="32"/>
          <w:szCs w:val="32"/>
          <w:highlight w:val="none"/>
          <w:u w:val="none" w:color="auto"/>
          <w:lang w:val="en-US" w:eastAsia="zh-CN"/>
        </w:rPr>
      </w:pPr>
      <w:r>
        <w:rPr>
          <w:rFonts w:hint="eastAsia" w:ascii="Times New Roman" w:hAnsi="Times New Roman" w:eastAsia="仿宋_GB2312" w:cs="仿宋_GB2312"/>
          <w:b/>
          <w:bCs/>
          <w:sz w:val="32"/>
          <w:szCs w:val="32"/>
          <w:highlight w:val="none"/>
          <w:u w:val="none" w:color="auto"/>
          <w:lang w:val="en-US" w:eastAsia="zh-CN"/>
        </w:rPr>
        <w:t>4.创新·股权投资</w:t>
      </w:r>
    </w:p>
    <w:p w14:paraId="2E37715B">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rPr>
          <w:rFonts w:hint="default" w:ascii="Times New Roman" w:hAnsi="Times New Roman" w:eastAsia="仿宋_GB2312" w:cs="仿宋_GB2312"/>
          <w:sz w:val="32"/>
          <w:szCs w:val="32"/>
          <w:highlight w:val="none"/>
          <w:u w:val="none" w:color="auto"/>
          <w:lang w:val="en-US" w:eastAsia="zh-CN"/>
        </w:rPr>
      </w:pPr>
      <w:r>
        <w:rPr>
          <w:rFonts w:hint="eastAsia" w:ascii="Times New Roman" w:hAnsi="Times New Roman" w:eastAsia="仿宋_GB2312" w:cs="仿宋_GB2312"/>
          <w:sz w:val="32"/>
          <w:szCs w:val="32"/>
          <w:highlight w:val="none"/>
          <w:u w:val="none" w:color="auto"/>
          <w:lang w:val="en-US" w:eastAsia="zh-CN"/>
        </w:rPr>
        <w:t>服务对象：新一代信息技术、新材料、高端制造、生物科技、航空航天等符合国家政策导向强科技属性的战略新兴行业。</w:t>
      </w:r>
    </w:p>
    <w:p w14:paraId="5F0B6830">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rPr>
          <w:rFonts w:hint="eastAsia" w:ascii="Times New Roman" w:hAnsi="Times New Roman" w:eastAsia="仿宋_GB2312" w:cs="仿宋_GB2312"/>
          <w:sz w:val="32"/>
          <w:szCs w:val="32"/>
          <w:highlight w:val="none"/>
          <w:u w:val="none" w:color="auto"/>
          <w:lang w:val="en-US" w:eastAsia="zh-CN"/>
        </w:rPr>
      </w:pPr>
      <w:r>
        <w:rPr>
          <w:rFonts w:hint="eastAsia" w:ascii="Times New Roman" w:hAnsi="Times New Roman" w:eastAsia="仿宋_GB2312" w:cs="仿宋_GB2312"/>
          <w:sz w:val="32"/>
          <w:szCs w:val="32"/>
          <w:highlight w:val="none"/>
          <w:u w:val="none" w:color="auto"/>
          <w:lang w:val="en-US" w:eastAsia="zh-CN"/>
        </w:rPr>
        <w:t>融资（服务）方案：发挥交银集团全牌照业务优势及AIC直接股权试点扩围政策，依托交银集团股权投资平台交银投资，通过直投或者已设立的AIC股权投资基金，为市场注入耐心资本、长期资本，助推发展新质生产力。通过“投早、投小、投长”的股权投资方式支持科创企业发展。</w:t>
      </w:r>
    </w:p>
    <w:p w14:paraId="6BC25926">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firstLine="643" w:firstLineChars="200"/>
        <w:rPr>
          <w:rFonts w:hint="eastAsia" w:ascii="Times New Roman" w:hAnsi="Times New Roman" w:eastAsia="方正楷体_GBK" w:cs="方正楷体_GBK"/>
          <w:b/>
          <w:bCs/>
          <w:sz w:val="32"/>
          <w:szCs w:val="32"/>
          <w:highlight w:val="none"/>
          <w:u w:val="none" w:color="auto"/>
          <w:lang w:val="en-US" w:eastAsia="zh-CN"/>
        </w:rPr>
      </w:pPr>
      <w:r>
        <w:rPr>
          <w:rFonts w:hint="eastAsia" w:ascii="Times New Roman" w:hAnsi="Times New Roman" w:eastAsia="方正楷体_GBK" w:cs="方正楷体_GBK"/>
          <w:b/>
          <w:bCs/>
          <w:sz w:val="32"/>
          <w:szCs w:val="32"/>
          <w:highlight w:val="none"/>
          <w:u w:val="none" w:color="auto"/>
          <w:lang w:val="en-US" w:eastAsia="zh-CN"/>
        </w:rPr>
        <w:t>（三）综合性公司金融</w:t>
      </w:r>
    </w:p>
    <w:p w14:paraId="3A570D9A">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firstLine="643" w:firstLineChars="200"/>
        <w:rPr>
          <w:rFonts w:hint="eastAsia" w:ascii="Times New Roman" w:hAnsi="Times New Roman" w:eastAsia="仿宋_GB2312" w:cs="仿宋_GB2312"/>
          <w:b/>
          <w:bCs/>
          <w:sz w:val="32"/>
          <w:szCs w:val="32"/>
          <w:highlight w:val="none"/>
          <w:u w:val="none" w:color="auto"/>
          <w:lang w:val="en-US" w:eastAsia="zh-CN"/>
        </w:rPr>
      </w:pPr>
      <w:r>
        <w:rPr>
          <w:rFonts w:hint="eastAsia" w:ascii="Times New Roman" w:hAnsi="Times New Roman" w:eastAsia="仿宋_GB2312" w:cs="仿宋_GB2312"/>
          <w:b/>
          <w:bCs/>
          <w:sz w:val="32"/>
          <w:szCs w:val="32"/>
          <w:highlight w:val="none"/>
          <w:u w:val="none" w:color="auto"/>
          <w:lang w:val="en-US" w:eastAsia="zh-CN"/>
        </w:rPr>
        <w:t>1.经营贷</w:t>
      </w:r>
    </w:p>
    <w:p w14:paraId="0313A137">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rPr>
          <w:rFonts w:hint="eastAsia" w:ascii="Times New Roman" w:hAnsi="Times New Roman" w:eastAsia="仿宋_GB2312" w:cs="仿宋_GB2312"/>
          <w:sz w:val="32"/>
          <w:szCs w:val="32"/>
          <w:highlight w:val="none"/>
          <w:u w:val="none" w:color="auto"/>
          <w:lang w:val="en-US" w:eastAsia="zh-CN"/>
        </w:rPr>
      </w:pPr>
      <w:r>
        <w:rPr>
          <w:rFonts w:hint="eastAsia" w:ascii="Times New Roman" w:hAnsi="Times New Roman" w:eastAsia="仿宋_GB2312" w:cs="仿宋_GB2312"/>
          <w:sz w:val="32"/>
          <w:szCs w:val="32"/>
          <w:highlight w:val="none"/>
          <w:u w:val="none" w:color="auto"/>
          <w:lang w:val="en-US" w:eastAsia="zh-CN"/>
        </w:rPr>
        <w:t>融资对象：针对有日常生产经营周转资金需求企业。</w:t>
      </w:r>
    </w:p>
    <w:p w14:paraId="113394A3">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rPr>
          <w:rFonts w:hint="eastAsia" w:ascii="Times New Roman" w:hAnsi="Times New Roman" w:eastAsia="仿宋_GB2312" w:cs="仿宋_GB2312"/>
          <w:sz w:val="32"/>
          <w:szCs w:val="32"/>
          <w:highlight w:val="none"/>
          <w:u w:val="none" w:color="auto"/>
          <w:lang w:val="en-US" w:eastAsia="zh-CN"/>
        </w:rPr>
      </w:pPr>
      <w:r>
        <w:rPr>
          <w:rFonts w:hint="eastAsia" w:ascii="Times New Roman" w:hAnsi="Times New Roman" w:eastAsia="仿宋_GB2312" w:cs="仿宋_GB2312"/>
          <w:sz w:val="32"/>
          <w:szCs w:val="32"/>
          <w:highlight w:val="none"/>
          <w:u w:val="none" w:color="auto"/>
          <w:lang w:val="en-US" w:eastAsia="zh-CN"/>
        </w:rPr>
        <w:t>融资（服务）方案：围绕企业日常生产经营周转资金需求，灵活适配短、中期流动资金贷款，补充日常经营资金缺口</w:t>
      </w:r>
      <w:r>
        <w:rPr>
          <w:rFonts w:hint="eastAsia" w:ascii="Times New Roman" w:hAnsi="Times New Roman" w:cs="仿宋_GB2312"/>
          <w:sz w:val="32"/>
          <w:szCs w:val="32"/>
          <w:highlight w:val="none"/>
          <w:u w:val="none" w:color="auto"/>
          <w:lang w:val="en-US" w:eastAsia="zh-CN"/>
        </w:rPr>
        <w:t>，支持为中标政府采购合同的中小企业提供低利率、无抵押的采购贷款，解决企业生产备货资金问题</w:t>
      </w:r>
      <w:r>
        <w:rPr>
          <w:rFonts w:hint="eastAsia" w:ascii="Times New Roman" w:hAnsi="Times New Roman" w:eastAsia="仿宋_GB2312" w:cs="仿宋_GB2312"/>
          <w:sz w:val="32"/>
          <w:szCs w:val="32"/>
          <w:highlight w:val="none"/>
          <w:u w:val="none" w:color="auto"/>
          <w:lang w:val="en-US" w:eastAsia="zh-CN"/>
        </w:rPr>
        <w:t>。短期流动资金贷款的期限最长不超过1年，中期流动资金贷款的期限为1-3年。支持股东担保或抵押担保等多种担保方式。</w:t>
      </w:r>
    </w:p>
    <w:p w14:paraId="208EC1E4">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firstLine="643" w:firstLineChars="200"/>
        <w:rPr>
          <w:rFonts w:hint="eastAsia" w:ascii="Times New Roman" w:hAnsi="Times New Roman" w:eastAsia="仿宋_GB2312" w:cs="仿宋_GB2312"/>
          <w:b/>
          <w:bCs/>
          <w:sz w:val="32"/>
          <w:szCs w:val="32"/>
          <w:highlight w:val="none"/>
          <w:u w:val="none" w:color="auto"/>
          <w:lang w:val="en-US" w:eastAsia="zh-CN"/>
        </w:rPr>
      </w:pPr>
      <w:r>
        <w:rPr>
          <w:rFonts w:hint="eastAsia" w:ascii="Times New Roman" w:hAnsi="Times New Roman" w:eastAsia="仿宋_GB2312" w:cs="仿宋_GB2312"/>
          <w:b/>
          <w:bCs/>
          <w:sz w:val="32"/>
          <w:szCs w:val="32"/>
          <w:highlight w:val="none"/>
          <w:u w:val="none" w:color="auto"/>
          <w:lang w:val="en-US" w:eastAsia="zh-CN"/>
        </w:rPr>
        <w:t>2.项目贷</w:t>
      </w:r>
    </w:p>
    <w:p w14:paraId="753733F8">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rPr>
          <w:rFonts w:hint="eastAsia" w:ascii="Times New Roman" w:hAnsi="Times New Roman" w:eastAsia="仿宋_GB2312" w:cs="仿宋_GB2312"/>
          <w:sz w:val="32"/>
          <w:szCs w:val="32"/>
          <w:highlight w:val="none"/>
          <w:u w:val="none" w:color="auto"/>
          <w:lang w:val="en-US" w:eastAsia="zh-CN"/>
        </w:rPr>
      </w:pPr>
      <w:r>
        <w:rPr>
          <w:rFonts w:hint="eastAsia" w:ascii="Times New Roman" w:hAnsi="Times New Roman" w:eastAsia="仿宋_GB2312" w:cs="仿宋_GB2312"/>
          <w:sz w:val="32"/>
          <w:szCs w:val="32"/>
          <w:highlight w:val="none"/>
          <w:u w:val="none" w:color="auto"/>
          <w:lang w:val="en-US" w:eastAsia="zh-CN"/>
        </w:rPr>
        <w:t>融资对象：面向政府引进的大项目，具有新建项目需求的企业。</w:t>
      </w:r>
    </w:p>
    <w:p w14:paraId="0651403D">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rPr>
          <w:rFonts w:hint="eastAsia" w:ascii="Times New Roman" w:hAnsi="Times New Roman" w:eastAsia="仿宋_GB2312" w:cs="仿宋_GB2312"/>
          <w:sz w:val="32"/>
          <w:szCs w:val="32"/>
          <w:highlight w:val="none"/>
          <w:u w:val="none" w:color="auto"/>
          <w:lang w:val="en-US" w:eastAsia="zh-CN"/>
        </w:rPr>
      </w:pPr>
      <w:r>
        <w:rPr>
          <w:rFonts w:hint="eastAsia" w:ascii="Times New Roman" w:hAnsi="Times New Roman" w:eastAsia="仿宋_GB2312" w:cs="仿宋_GB2312"/>
          <w:sz w:val="32"/>
          <w:szCs w:val="32"/>
          <w:highlight w:val="none"/>
          <w:u w:val="none" w:color="auto"/>
          <w:lang w:val="en-US" w:eastAsia="zh-CN"/>
        </w:rPr>
        <w:t>融资（服务）方案：围绕企业新建、扩建、改造、购置、安装固定资产等资本性投资支出融资需求提供人民币固定资产借款，可牵头筹组银团贷款，为企业整合金融服务，提供项目融资金额最高达项目总投资的80%，贷款期限10-15年。支持股东担保或抵押担保等多种担保方式。</w:t>
      </w:r>
    </w:p>
    <w:p w14:paraId="28A78BFC">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firstLine="643" w:firstLineChars="200"/>
        <w:rPr>
          <w:rFonts w:hint="eastAsia" w:ascii="Times New Roman" w:hAnsi="Times New Roman" w:eastAsia="仿宋_GB2312" w:cs="仿宋_GB2312"/>
          <w:b/>
          <w:bCs/>
          <w:sz w:val="32"/>
          <w:szCs w:val="32"/>
          <w:highlight w:val="none"/>
          <w:u w:val="none" w:color="auto"/>
          <w:lang w:val="en-US" w:eastAsia="zh-CN"/>
        </w:rPr>
      </w:pPr>
      <w:r>
        <w:rPr>
          <w:rFonts w:hint="eastAsia" w:ascii="Times New Roman" w:hAnsi="Times New Roman" w:eastAsia="仿宋_GB2312" w:cs="仿宋_GB2312"/>
          <w:b/>
          <w:bCs/>
          <w:sz w:val="32"/>
          <w:szCs w:val="32"/>
          <w:highlight w:val="none"/>
          <w:u w:val="none" w:color="auto"/>
          <w:lang w:val="en-US" w:eastAsia="zh-CN"/>
        </w:rPr>
        <w:t>3.外贸快贷</w:t>
      </w:r>
    </w:p>
    <w:p w14:paraId="1A943643">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rPr>
          <w:rFonts w:hint="eastAsia" w:ascii="Times New Roman" w:hAnsi="Times New Roman" w:eastAsia="仿宋_GB2312" w:cs="仿宋_GB2312"/>
          <w:sz w:val="32"/>
          <w:szCs w:val="32"/>
          <w:highlight w:val="none"/>
          <w:u w:val="none" w:color="auto"/>
          <w:lang w:val="en-US" w:eastAsia="zh-CN"/>
        </w:rPr>
      </w:pPr>
      <w:r>
        <w:rPr>
          <w:rFonts w:hint="eastAsia" w:ascii="Times New Roman" w:hAnsi="Times New Roman" w:eastAsia="仿宋_GB2312" w:cs="仿宋_GB2312"/>
          <w:sz w:val="32"/>
          <w:szCs w:val="32"/>
          <w:highlight w:val="none"/>
          <w:u w:val="none" w:color="auto"/>
          <w:lang w:val="en-US" w:eastAsia="zh-CN"/>
        </w:rPr>
        <w:t>服务对象：有出口融资需求的小微法人客户。</w:t>
      </w:r>
    </w:p>
    <w:p w14:paraId="6083DD83">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rPr>
          <w:rFonts w:hint="eastAsia" w:ascii="Times New Roman" w:hAnsi="Times New Roman" w:eastAsia="仿宋_GB2312" w:cs="仿宋_GB2312"/>
          <w:sz w:val="32"/>
          <w:szCs w:val="32"/>
          <w:highlight w:val="none"/>
          <w:u w:val="none" w:color="auto"/>
          <w:lang w:val="en-US" w:eastAsia="zh-CN"/>
        </w:rPr>
      </w:pPr>
      <w:r>
        <w:rPr>
          <w:rFonts w:hint="eastAsia" w:ascii="Times New Roman" w:hAnsi="Times New Roman" w:eastAsia="仿宋_GB2312" w:cs="仿宋_GB2312"/>
          <w:sz w:val="32"/>
          <w:szCs w:val="32"/>
          <w:highlight w:val="none"/>
          <w:u w:val="none" w:color="auto"/>
          <w:lang w:val="en-US" w:eastAsia="zh-CN"/>
        </w:rPr>
        <w:t>融资（服务）方案：小微外贸企业法定代表人扫码或通过手机银行进行线上申请，符合条件的企业签署合同后可获得流动资金贷款及外汇衍生品额度（可用于办理远期结售汇、掉期结售汇等），上传报关单即可提用贷款，无人工干预，还款方式随借随还、利随本清，为客户提供流动资金贷款+远期、掉期结售汇综合服务方案，利率参考LPR波动定价。</w:t>
      </w:r>
    </w:p>
    <w:p w14:paraId="51629256">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firstLine="640" w:firstLineChars="200"/>
        <w:rPr>
          <w:rFonts w:hint="eastAsia" w:ascii="Times New Roman" w:hAnsi="Times New Roman" w:eastAsia="黑体" w:cs="黑体"/>
          <w:sz w:val="32"/>
          <w:szCs w:val="32"/>
          <w:highlight w:val="none"/>
          <w:u w:val="none" w:color="auto"/>
          <w:lang w:val="en-US" w:eastAsia="zh-CN"/>
        </w:rPr>
      </w:pPr>
      <w:r>
        <w:rPr>
          <w:rFonts w:hint="eastAsia" w:ascii="Times New Roman" w:hAnsi="Times New Roman" w:eastAsia="黑体" w:cs="黑体"/>
          <w:sz w:val="32"/>
          <w:szCs w:val="32"/>
          <w:highlight w:val="none"/>
          <w:u w:val="none" w:color="auto"/>
          <w:lang w:val="en-US" w:eastAsia="zh-CN"/>
        </w:rPr>
        <w:t>三、保障措施</w:t>
      </w:r>
    </w:p>
    <w:p w14:paraId="4A56DD4C">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firstLine="643" w:firstLineChars="200"/>
        <w:rPr>
          <w:rFonts w:hint="eastAsia" w:ascii="Times New Roman" w:hAnsi="Times New Roman" w:eastAsia="方正楷体_GBK" w:cs="方正楷体_GBK"/>
          <w:b/>
          <w:bCs/>
          <w:sz w:val="32"/>
          <w:szCs w:val="32"/>
          <w:highlight w:val="none"/>
          <w:u w:val="none" w:color="auto"/>
          <w:lang w:val="en-US" w:eastAsia="zh-CN"/>
        </w:rPr>
      </w:pPr>
      <w:r>
        <w:rPr>
          <w:rFonts w:hint="eastAsia" w:ascii="Times New Roman" w:hAnsi="Times New Roman" w:eastAsia="方正楷体_GBK" w:cs="方正楷体_GBK"/>
          <w:b/>
          <w:bCs/>
          <w:sz w:val="32"/>
          <w:szCs w:val="32"/>
          <w:highlight w:val="none"/>
          <w:u w:val="none" w:color="auto"/>
          <w:lang w:val="en-US" w:eastAsia="zh-CN"/>
        </w:rPr>
        <w:t>（一）加强沟通协调</w:t>
      </w:r>
    </w:p>
    <w:p w14:paraId="7853A8D5">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rPr>
          <w:rFonts w:hint="eastAsia" w:ascii="Times New Roman" w:hAnsi="Times New Roman" w:eastAsia="仿宋_GB2312" w:cs="仿宋_GB2312"/>
          <w:sz w:val="32"/>
          <w:szCs w:val="32"/>
          <w:highlight w:val="none"/>
          <w:u w:val="none" w:color="auto"/>
          <w:lang w:val="en-US" w:eastAsia="zh-CN"/>
        </w:rPr>
      </w:pPr>
      <w:r>
        <w:rPr>
          <w:rFonts w:hint="eastAsia" w:ascii="Times New Roman" w:hAnsi="Times New Roman" w:eastAsia="仿宋_GB2312" w:cs="仿宋_GB2312"/>
          <w:sz w:val="32"/>
          <w:szCs w:val="32"/>
          <w:highlight w:val="none"/>
          <w:u w:val="none" w:color="auto"/>
          <w:lang w:val="en-US" w:eastAsia="zh-CN"/>
        </w:rPr>
        <w:t>建立协调机制与信息共享机制。省工业和信息化厅、省交行分管领导为协调机制负责人，负责统筹推进我省战略性产业集群、未来产业及产业链融资重点项目、重点工程金融服务工作，助力优质中小企业梯度培育，通过不定期交流会谈，进行阶段性总结，优化整体服务方案。日常协调工作由省工业和信息化厅融资促进处与省交行普惠金融部共同负责。省工业与信息化厅及各地工信部门将我省战略性产业集群企业、重点产业链企业</w:t>
      </w:r>
      <w:r>
        <w:rPr>
          <w:rFonts w:hint="eastAsia" w:ascii="Times New Roman" w:hAnsi="Times New Roman" w:cs="仿宋_GB2312"/>
          <w:sz w:val="32"/>
          <w:szCs w:val="32"/>
          <w:highlight w:val="none"/>
          <w:u w:val="none" w:color="auto"/>
          <w:lang w:val="en-US" w:eastAsia="zh-CN"/>
        </w:rPr>
        <w:t>情况</w:t>
      </w:r>
      <w:r>
        <w:rPr>
          <w:rFonts w:hint="eastAsia" w:ascii="Times New Roman" w:hAnsi="Times New Roman" w:eastAsia="仿宋_GB2312" w:cs="仿宋_GB2312"/>
          <w:sz w:val="32"/>
          <w:szCs w:val="32"/>
          <w:highlight w:val="none"/>
          <w:u w:val="none" w:color="auto"/>
          <w:lang w:val="en-US" w:eastAsia="zh-CN"/>
        </w:rPr>
        <w:t>以及融资需求提供给省交行及辖内机构。省交行普惠金融部每月定期向省工业和信息化厅融资促进处汇报集群、重点产业链贷款情况。</w:t>
      </w:r>
    </w:p>
    <w:p w14:paraId="43332C0A">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firstLine="643" w:firstLineChars="200"/>
        <w:rPr>
          <w:rFonts w:hint="eastAsia" w:ascii="Times New Roman" w:hAnsi="Times New Roman" w:eastAsia="方正楷体_GBK" w:cs="方正楷体_GBK"/>
          <w:b/>
          <w:bCs/>
          <w:sz w:val="32"/>
          <w:szCs w:val="32"/>
          <w:highlight w:val="none"/>
          <w:u w:val="none" w:color="auto"/>
          <w:lang w:val="en-US" w:eastAsia="zh-CN"/>
        </w:rPr>
      </w:pPr>
      <w:r>
        <w:rPr>
          <w:rFonts w:hint="eastAsia" w:ascii="Times New Roman" w:hAnsi="Times New Roman" w:eastAsia="方正楷体_GBK" w:cs="方正楷体_GBK"/>
          <w:b/>
          <w:bCs/>
          <w:sz w:val="32"/>
          <w:szCs w:val="32"/>
          <w:highlight w:val="none"/>
          <w:u w:val="none" w:color="auto"/>
          <w:lang w:val="en-US" w:eastAsia="zh-CN"/>
        </w:rPr>
        <w:t>（二）深化政策协同</w:t>
      </w:r>
    </w:p>
    <w:p w14:paraId="47901064">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rPr>
          <w:rFonts w:hint="eastAsia" w:ascii="Times New Roman" w:hAnsi="Times New Roman" w:eastAsia="仿宋_GB2312" w:cs="仿宋_GB2312"/>
          <w:sz w:val="32"/>
          <w:szCs w:val="32"/>
          <w:highlight w:val="none"/>
          <w:u w:val="none" w:color="auto"/>
          <w:lang w:val="en-US" w:eastAsia="zh-CN"/>
        </w:rPr>
      </w:pPr>
      <w:r>
        <w:rPr>
          <w:rFonts w:hint="eastAsia" w:ascii="Times New Roman" w:hAnsi="Times New Roman" w:eastAsia="仿宋_GB2312" w:cs="仿宋_GB2312"/>
          <w:sz w:val="32"/>
          <w:szCs w:val="32"/>
          <w:highlight w:val="none"/>
          <w:u w:val="none" w:color="auto"/>
          <w:lang w:val="en-US" w:eastAsia="zh-CN"/>
        </w:rPr>
        <w:t>省工业和信息化厅及各地工信部门加强对战略性产业集群、重点产业链相关企业升级扩容、技术改造、产业链协同创新等给予支持。有关地市工信部门将本方案面向中小微企业服务产品纳入当地中小微企业信贷风险补偿资金支持范围。</w:t>
      </w:r>
    </w:p>
    <w:p w14:paraId="5238E212">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rPr>
          <w:rFonts w:hint="eastAsia" w:ascii="Times New Roman" w:hAnsi="Times New Roman" w:eastAsia="仿宋_GB2312" w:cs="仿宋_GB2312"/>
          <w:sz w:val="32"/>
          <w:szCs w:val="32"/>
          <w:highlight w:val="none"/>
          <w:u w:val="none" w:color="auto"/>
          <w:lang w:val="en-US" w:eastAsia="zh-CN"/>
        </w:rPr>
      </w:pPr>
      <w:r>
        <w:rPr>
          <w:rFonts w:hint="eastAsia" w:ascii="Times New Roman" w:hAnsi="Times New Roman" w:eastAsia="仿宋_GB2312" w:cs="仿宋_GB2312"/>
          <w:sz w:val="32"/>
          <w:szCs w:val="32"/>
          <w:highlight w:val="none"/>
          <w:u w:val="none" w:color="auto"/>
          <w:lang w:val="en-US" w:eastAsia="zh-CN"/>
        </w:rPr>
        <w:t>省交行优先支持战略性产业集群、重点产业链融资需求，保障贷款投放额度，开通贷款绿色审批通道，加大对战略性产业集群、重点产业链精准扶持力度，提供更多信用贷款支持，保障贷款审批效率。实施小微企业收费减免优惠政策，在小微企业贷款发放过程中不收取任何服务费用。聚焦战略性产业集群、重点产业链进行产品创新，探索设立优质企业专项贷产品，提升产业链金融的普惠性和可获得性。搭建投贷联动对接平台，为战略性产业集群、重点产业链初创企业提供债权融资、股权融资等服务。</w:t>
      </w:r>
      <w:r>
        <w:rPr>
          <w:rFonts w:hint="eastAsia" w:ascii="Times New Roman" w:hAnsi="Times New Roman" w:cs="仿宋_GB2312"/>
          <w:sz w:val="32"/>
          <w:szCs w:val="32"/>
          <w:highlight w:val="none"/>
          <w:u w:val="none" w:color="auto"/>
          <w:lang w:val="en-US" w:eastAsia="zh-CN"/>
        </w:rPr>
        <w:t>为</w:t>
      </w:r>
      <w:r>
        <w:rPr>
          <w:rFonts w:hint="eastAsia" w:ascii="Times New Roman" w:hAnsi="Times New Roman" w:cs="仿宋_GB2312"/>
          <w:szCs w:val="32"/>
          <w:highlight w:val="none"/>
          <w:lang w:val="en-US" w:eastAsia="zh-CN"/>
        </w:rPr>
        <w:t>省级以上制造业创新中心、制造业中试平台企业提供创新金融服务。</w:t>
      </w:r>
      <w:r>
        <w:rPr>
          <w:rFonts w:hint="eastAsia" w:ascii="Times New Roman" w:hAnsi="Times New Roman" w:eastAsia="仿宋_GB2312" w:cs="仿宋_GB2312"/>
          <w:sz w:val="32"/>
          <w:szCs w:val="32"/>
          <w:highlight w:val="none"/>
          <w:u w:val="none" w:color="auto"/>
          <w:lang w:val="en-US" w:eastAsia="zh-CN"/>
        </w:rPr>
        <w:t>搭建跨境贸易金融平台，发挥交行的国际化优势，为企业提供高效便捷的跨境金融服务。省交行密切关注存在股权投资、大额信贷投放等中小企业动态，通过广东省优质中小企业梯度培育实现金融资源与培育资源无缝对接，助力企业加速成长为优质市场主体。</w:t>
      </w:r>
    </w:p>
    <w:p w14:paraId="562C2EB1">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firstLine="643" w:firstLineChars="200"/>
        <w:rPr>
          <w:rFonts w:hint="eastAsia" w:ascii="Times New Roman" w:hAnsi="Times New Roman" w:eastAsia="方正楷体_GBK" w:cs="方正楷体_GBK"/>
          <w:b/>
          <w:bCs/>
          <w:sz w:val="32"/>
          <w:szCs w:val="32"/>
          <w:highlight w:val="none"/>
          <w:u w:val="none" w:color="auto"/>
          <w:lang w:val="en-US" w:eastAsia="zh-CN"/>
        </w:rPr>
      </w:pPr>
      <w:r>
        <w:rPr>
          <w:rFonts w:hint="eastAsia" w:ascii="Times New Roman" w:hAnsi="Times New Roman" w:eastAsia="方正楷体_GBK" w:cs="方正楷体_GBK"/>
          <w:b/>
          <w:bCs/>
          <w:sz w:val="32"/>
          <w:szCs w:val="32"/>
          <w:highlight w:val="none"/>
          <w:u w:val="none" w:color="auto"/>
          <w:lang w:val="en-US" w:eastAsia="zh-CN"/>
        </w:rPr>
        <w:t>（三）加大银企对接</w:t>
      </w:r>
    </w:p>
    <w:p w14:paraId="70965698">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rPr>
          <w:rFonts w:hint="eastAsia" w:ascii="Times New Roman" w:hAnsi="Times New Roman" w:eastAsia="仿宋_GB2312" w:cs="仿宋_GB2312"/>
          <w:sz w:val="32"/>
          <w:szCs w:val="32"/>
          <w:highlight w:val="none"/>
          <w:u w:val="none" w:color="auto"/>
          <w:lang w:val="en-US" w:eastAsia="zh-CN"/>
        </w:rPr>
      </w:pPr>
      <w:r>
        <w:rPr>
          <w:rFonts w:hint="eastAsia" w:ascii="Times New Roman" w:hAnsi="Times New Roman" w:eastAsia="仿宋_GB2312" w:cs="仿宋_GB2312"/>
          <w:sz w:val="32"/>
          <w:szCs w:val="32"/>
          <w:highlight w:val="none"/>
          <w:u w:val="none" w:color="auto"/>
          <w:lang w:val="en-US" w:eastAsia="zh-CN"/>
        </w:rPr>
        <w:t>全省工业和信息化系统和交行系统依托政银合作机制，协同推进本方案实施，整合政府部门、金融机构、产业园区、行业协会、投资机构等多方资源，通过举办专题讲座、供需对接、金融服务沙龙等活动，邀请省工业和信息化厅和各地市工信局的领导、专家给与现场专业指导，为企业量身打造金融服务方案，为企业提供高效、全面、高质量的金融服务。其中，广州市每季度举办活动不少于一场，广州以外的每个地市的活动，年内分别组织不少于一场。</w:t>
      </w:r>
    </w:p>
    <w:p w14:paraId="4C53D36E">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firstLine="643" w:firstLineChars="200"/>
        <w:rPr>
          <w:rFonts w:hint="eastAsia" w:ascii="Times New Roman" w:hAnsi="Times New Roman" w:eastAsia="方正楷体_GBK" w:cs="方正楷体_GBK"/>
          <w:b/>
          <w:bCs/>
          <w:sz w:val="32"/>
          <w:szCs w:val="32"/>
          <w:highlight w:val="none"/>
          <w:u w:val="none" w:color="auto"/>
          <w:lang w:val="en-US" w:eastAsia="zh-CN"/>
        </w:rPr>
      </w:pPr>
      <w:r>
        <w:rPr>
          <w:rFonts w:hint="eastAsia" w:ascii="Times New Roman" w:hAnsi="Times New Roman" w:eastAsia="方正楷体_GBK" w:cs="方正楷体_GBK"/>
          <w:b/>
          <w:bCs/>
          <w:sz w:val="32"/>
          <w:szCs w:val="32"/>
          <w:highlight w:val="none"/>
          <w:u w:val="none" w:color="auto"/>
          <w:lang w:val="en-US" w:eastAsia="zh-CN"/>
        </w:rPr>
        <w:t>（四）深入宣传推广</w:t>
      </w:r>
    </w:p>
    <w:p w14:paraId="55DC96EB">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rPr>
          <w:rFonts w:hint="eastAsia" w:ascii="Times New Roman" w:hAnsi="Times New Roman" w:eastAsia="仿宋_GB2312" w:cs="仿宋_GB2312"/>
          <w:sz w:val="32"/>
          <w:szCs w:val="32"/>
          <w:highlight w:val="none"/>
          <w:u w:val="none" w:color="auto"/>
          <w:lang w:val="en-US" w:eastAsia="zh-CN"/>
        </w:rPr>
      </w:pPr>
      <w:r>
        <w:rPr>
          <w:rFonts w:hint="eastAsia" w:ascii="Times New Roman" w:hAnsi="Times New Roman" w:eastAsia="仿宋_GB2312" w:cs="仿宋_GB2312"/>
          <w:sz w:val="32"/>
          <w:szCs w:val="32"/>
          <w:highlight w:val="none"/>
          <w:u w:val="none" w:color="auto"/>
          <w:lang w:val="en-US" w:eastAsia="zh-CN"/>
        </w:rPr>
        <w:t>全省工业和信息化系统和交行系统共同加大本方案宣传推广，线上通过官网、微信公众号、媒体等多渠道开展宣传，线下开展政策宣讲会、政银企座谈会、对接会等形式做好融资政策及服务方案宣传推介。</w:t>
      </w:r>
    </w:p>
    <w:p w14:paraId="19FAA9A3">
      <w:pPr>
        <w:keepNext w:val="0"/>
        <w:keepLines w:val="0"/>
        <w:pageBreakBefore w:val="0"/>
        <w:widowControl w:val="0"/>
        <w:kinsoku/>
        <w:wordWrap/>
        <w:overflowPunct/>
        <w:topLinePunct w:val="0"/>
        <w:bidi w:val="0"/>
        <w:snapToGrid/>
        <w:spacing w:beforeLines="0" w:afterLines="0" w:line="560" w:lineRule="exact"/>
        <w:ind w:firstLine="640" w:firstLineChars="200"/>
        <w:textAlignment w:val="auto"/>
        <w:rPr>
          <w:rFonts w:hint="eastAsia" w:ascii="Times New Roman" w:hAnsi="Times New Roman" w:eastAsia="仿宋_GB2312" w:cs="Times New Roman"/>
          <w:b w:val="0"/>
          <w:bCs w:val="0"/>
          <w:kern w:val="2"/>
          <w:sz w:val="32"/>
          <w:szCs w:val="32"/>
          <w:highlight w:val="none"/>
          <w:u w:val="none" w:color="auto"/>
          <w:lang w:val="en-US" w:eastAsia="zh-CN" w:bidi="ar-SA"/>
        </w:rPr>
      </w:pPr>
      <w:r>
        <w:rPr>
          <w:rFonts w:hint="eastAsia" w:ascii="Times New Roman" w:hAnsi="Times New Roman" w:eastAsia="仿宋_GB2312" w:cs="Times New Roman"/>
          <w:b w:val="0"/>
          <w:bCs w:val="0"/>
          <w:kern w:val="2"/>
          <w:sz w:val="32"/>
          <w:szCs w:val="32"/>
          <w:highlight w:val="none"/>
          <w:u w:val="none" w:color="auto"/>
          <w:lang w:val="en-US" w:eastAsia="zh-CN" w:bidi="ar-SA"/>
        </w:rPr>
        <w:t>本方案执行至2030年12月31日。</w:t>
      </w:r>
    </w:p>
    <w:p w14:paraId="4F45C091"/>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仿宋_GBK">
    <w:panose1 w:val="02000000000000000000"/>
    <w:charset w:val="86"/>
    <w:family w:val="auto"/>
    <w:pitch w:val="default"/>
    <w:sig w:usb0="A00002BF" w:usb1="38CF7CFA" w:usb2="00082016" w:usb3="00000000" w:csb0="00040001" w:csb1="00000000"/>
  </w:font>
  <w:font w:name="方正楷体_GBK">
    <w:panose1 w:val="02000000000000000000"/>
    <w:charset w:val="86"/>
    <w:family w:val="auto"/>
    <w:pitch w:val="default"/>
    <w:sig w:usb0="A00002BF" w:usb1="38CF7CFA" w:usb2="00082016" w:usb3="00000000" w:csb0="00040001" w:csb1="0000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r>
        <w:separator/>
      </w:r>
    </w:p>
  </w:footnote>
  <w:footnote w:type="continuationSeparator" w:id="3">
    <w:p>
      <w:r>
        <w:continuationSeparator/>
      </w:r>
    </w:p>
  </w:footnote>
  <w:footnote w:id="0">
    <w:p w14:paraId="083DF93A">
      <w:pPr>
        <w:widowControl w:val="0"/>
        <w:snapToGrid w:val="0"/>
        <w:jc w:val="left"/>
        <w:rPr>
          <w:rFonts w:hint="eastAsia" w:ascii="Calibri" w:hAnsi="Calibri" w:eastAsia="宋体" w:cs="Times New Roman"/>
          <w:kern w:val="2"/>
          <w:sz w:val="18"/>
          <w:szCs w:val="24"/>
          <w:lang w:val="en-US" w:eastAsia="zh-CN" w:bidi="ar-SA"/>
        </w:rPr>
      </w:pPr>
      <w:r>
        <w:rPr>
          <w:rFonts w:ascii="Calibri" w:hAnsi="Calibri" w:eastAsia="宋体" w:cs="Times New Roman"/>
          <w:kern w:val="2"/>
          <w:sz w:val="21"/>
          <w:szCs w:val="24"/>
          <w:vertAlign w:val="superscript"/>
          <w:lang w:val="en-US" w:eastAsia="zh-CN" w:bidi="ar-SA"/>
        </w:rPr>
        <w:footnoteRef/>
      </w:r>
      <w:r>
        <w:rPr>
          <w:rFonts w:hint="eastAsia" w:ascii="Calibri" w:hAnsi="Calibri" w:eastAsia="宋体" w:cs="Times New Roman"/>
          <w:kern w:val="2"/>
          <w:sz w:val="18"/>
          <w:szCs w:val="24"/>
          <w:lang w:val="en-US" w:eastAsia="zh-CN" w:bidi="ar-SA"/>
        </w:rPr>
        <w:t xml:space="preserve"> 本方案中的</w:t>
      </w:r>
      <w:r>
        <w:rPr>
          <w:rFonts w:hint="eastAsia" w:ascii="仿宋_GB2312" w:hAnsi="仿宋_GB2312" w:eastAsia="仿宋_GB2312" w:cs="仿宋_GB2312"/>
          <w:kern w:val="2"/>
          <w:sz w:val="18"/>
          <w:szCs w:val="24"/>
          <w:lang w:val="en-US" w:eastAsia="zh-CN" w:bidi="ar-SA"/>
        </w:rPr>
        <w:t>科技型企业包括科技型中小企业、创新型中小企业、高新技术企业、专精特新中小企业、专精特新“小巨人”企业、制造业单项冠军企业、瞪羚企业、独角兽企业等。（下同）</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6"/>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2"/>
    <w:footnote w:id="3"/>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C012FF8"/>
    <w:rsid w:val="0C012F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仿宋_GB2312" w:cs="Times New Roman"/>
      <w:kern w:val="2"/>
      <w:sz w:val="32"/>
      <w:szCs w:val="24"/>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toc 2"/>
    <w:next w:val="1"/>
    <w:unhideWhenUsed/>
    <w:qFormat/>
    <w:uiPriority w:val="39"/>
    <w:pPr>
      <w:widowControl w:val="0"/>
      <w:ind w:left="420" w:leftChars="200"/>
      <w:jc w:val="both"/>
    </w:pPr>
    <w:rPr>
      <w:rFonts w:ascii="Calibri" w:hAnsi="Calibri" w:eastAsia="仿宋_GB2312" w:cs="Times New Roman"/>
      <w:kern w:val="2"/>
      <w:sz w:val="32"/>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其他省直机关单位</Company>
  <Pages>7</Pages>
  <Words>0</Words>
  <Characters>0</Characters>
  <Lines>0</Lines>
  <Paragraphs>0</Paragraphs>
  <TotalTime>0</TotalTime>
  <ScaleCrop>false</ScaleCrop>
  <LinksUpToDate>false</LinksUpToDate>
  <CharactersWithSpaces>0</CharactersWithSpaces>
  <Application>WPS Office_12.8.0.21240_F1E327BC-269C-435d-A152-05C5408002CA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2026-10-09T02:13:00Z</dcterms:created>
  <dc:creator>1</dc:creator>
  <cp:lastModifiedBy>1</cp:lastModifiedBy>
  <dcterms:modified xsi:type="dcterms:W3CDTF">2026-10-09T02:16:02Z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2052-12.8.0.21240</vt:lpwstr>
  </property>
  <property fmtid="{D5CDD505-2E9C-101B-9397-08002B2CF9AE}" pid="3" name="ICV">
    <vt:lpwstr>0C06072F11794CD0A9195881F4BB4CFA_11</vt:lpwstr>
  </property>
</Properties>
</file>