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F3284F">
      <w:pPr>
        <w:keepNext/>
        <w:keepLines w:val="0"/>
        <w:pageBreakBefore w:val="0"/>
        <w:widowControl w:val="0"/>
        <w:kinsoku/>
        <w:wordWrap/>
        <w:overflowPunct w:val="0"/>
        <w:topLinePunct w:val="0"/>
        <w:autoSpaceDE/>
        <w:autoSpaceDN/>
        <w:bidi w:val="0"/>
        <w:adjustRightInd/>
        <w:snapToGrid/>
        <w:spacing w:before="157" w:beforeLines="50" w:beforeAutospacing="0" w:afterAutospacing="0" w:line="360" w:lineRule="auto"/>
        <w:jc w:val="both"/>
        <w:textAlignment w:val="baseline"/>
        <w:outlineLvl w:val="9"/>
        <w:rPr>
          <w:rFonts w:hint="eastAsia" w:ascii="黑体" w:hAnsi="黑体" w:eastAsia="黑体" w:cs="黑体"/>
          <w:b w:val="0"/>
          <w:bCs w:val="0"/>
          <w:snapToGrid w:val="0"/>
          <w:color w:val="000000"/>
          <w:spacing w:val="5"/>
          <w:kern w:val="0"/>
          <w:sz w:val="32"/>
          <w:szCs w:val="32"/>
          <w:lang w:val="en-US" w:eastAsia="zh-CN" w:bidi="ar-SA"/>
        </w:rPr>
      </w:pPr>
      <w:r>
        <w:rPr>
          <w:rFonts w:hint="eastAsia" w:ascii="黑体" w:hAnsi="黑体" w:eastAsia="黑体" w:cs="黑体"/>
          <w:b w:val="0"/>
          <w:bCs w:val="0"/>
          <w:snapToGrid w:val="0"/>
          <w:color w:val="000000"/>
          <w:spacing w:val="5"/>
          <w:kern w:val="0"/>
          <w:sz w:val="32"/>
          <w:szCs w:val="32"/>
          <w:lang w:val="en-US" w:eastAsia="zh-CN" w:bidi="ar-SA"/>
        </w:rPr>
        <w:t xml:space="preserve"> </w:t>
      </w:r>
    </w:p>
    <w:p w14:paraId="33D54FB0">
      <w:pPr>
        <w:keepNext/>
        <w:keepLines w:val="0"/>
        <w:pageBreakBefore w:val="0"/>
        <w:widowControl w:val="0"/>
        <w:kinsoku/>
        <w:wordWrap/>
        <w:overflowPunct w:val="0"/>
        <w:topLinePunct w:val="0"/>
        <w:autoSpaceDE/>
        <w:autoSpaceDN/>
        <w:bidi w:val="0"/>
        <w:adjustRightInd/>
        <w:snapToGrid/>
        <w:spacing w:before="157" w:beforeLines="50" w:beforeAutospacing="0" w:afterAutospacing="0" w:line="360" w:lineRule="auto"/>
        <w:jc w:val="both"/>
        <w:textAlignment w:val="baseline"/>
        <w:outlineLvl w:val="9"/>
        <w:rPr>
          <w:rFonts w:hint="default" w:ascii="黑体" w:hAnsi="黑体" w:eastAsia="黑体" w:cs="黑体"/>
          <w:b w:val="0"/>
          <w:bCs w:val="0"/>
          <w:snapToGrid w:val="0"/>
          <w:color w:val="000000"/>
          <w:spacing w:val="5"/>
          <w:kern w:val="0"/>
          <w:sz w:val="32"/>
          <w:szCs w:val="32"/>
          <w:lang w:val="en-US" w:eastAsia="zh-CN" w:bidi="ar-SA"/>
        </w:rPr>
      </w:pPr>
    </w:p>
    <w:p w14:paraId="4CA037E1">
      <w:pPr>
        <w:keepNext/>
        <w:keepLines w:val="0"/>
        <w:pageBreakBefore w:val="0"/>
        <w:widowControl w:val="0"/>
        <w:kinsoku/>
        <w:wordWrap/>
        <w:overflowPunct w:val="0"/>
        <w:topLinePunct w:val="0"/>
        <w:autoSpaceDE/>
        <w:autoSpaceDN/>
        <w:bidi w:val="0"/>
        <w:adjustRightInd/>
        <w:snapToGrid/>
        <w:spacing w:beforeAutospacing="0" w:afterAutospacing="0" w:line="360" w:lineRule="auto"/>
        <w:jc w:val="center"/>
        <w:textAlignment w:val="baseline"/>
        <w:outlineLvl w:val="9"/>
        <w:rPr>
          <w:rFonts w:hint="eastAsia" w:ascii="方正小标宋简体" w:hAnsi="方正小标宋简体" w:eastAsia="方正小标宋简体" w:cs="方正小标宋简体"/>
          <w:b w:val="0"/>
          <w:bCs w:val="0"/>
          <w:snapToGrid w:val="0"/>
          <w:color w:val="000000"/>
          <w:spacing w:val="5"/>
          <w:kern w:val="0"/>
          <w:sz w:val="44"/>
          <w:szCs w:val="44"/>
          <w:lang w:val="en-US" w:eastAsia="en-US" w:bidi="ar-SA"/>
        </w:rPr>
      </w:pPr>
      <w:r>
        <w:rPr>
          <w:rFonts w:hint="eastAsia" w:ascii="方正小标宋简体" w:hAnsi="方正小标宋简体" w:eastAsia="方正小标宋简体" w:cs="方正小标宋简体"/>
          <w:b w:val="0"/>
          <w:bCs w:val="0"/>
          <w:snapToGrid w:val="0"/>
          <w:color w:val="000000"/>
          <w:spacing w:val="5"/>
          <w:kern w:val="0"/>
          <w:sz w:val="44"/>
          <w:szCs w:val="44"/>
          <w:lang w:val="en-US" w:eastAsia="zh-CN" w:bidi="ar-SA"/>
        </w:rPr>
        <w:t>西安</w:t>
      </w:r>
      <w:r>
        <w:rPr>
          <w:rFonts w:hint="eastAsia" w:ascii="方正小标宋简体" w:hAnsi="方正小标宋简体" w:eastAsia="方正小标宋简体" w:cs="方正小标宋简体"/>
          <w:b w:val="0"/>
          <w:bCs w:val="0"/>
          <w:snapToGrid w:val="0"/>
          <w:color w:val="000000"/>
          <w:spacing w:val="5"/>
          <w:kern w:val="0"/>
          <w:sz w:val="44"/>
          <w:szCs w:val="44"/>
          <w:lang w:val="en-US" w:eastAsia="en-US" w:bidi="ar-SA"/>
        </w:rPr>
        <w:t>市“十</w:t>
      </w:r>
      <w:r>
        <w:rPr>
          <w:rFonts w:hint="eastAsia" w:ascii="方正小标宋简体" w:hAnsi="方正小标宋简体" w:eastAsia="方正小标宋简体" w:cs="方正小标宋简体"/>
          <w:b w:val="0"/>
          <w:bCs w:val="0"/>
          <w:snapToGrid w:val="0"/>
          <w:color w:val="000000"/>
          <w:spacing w:val="5"/>
          <w:kern w:val="0"/>
          <w:sz w:val="44"/>
          <w:szCs w:val="44"/>
          <w:lang w:val="en-US" w:eastAsia="zh-CN" w:bidi="ar-SA"/>
        </w:rPr>
        <w:t>五</w:t>
      </w:r>
      <w:r>
        <w:rPr>
          <w:rFonts w:hint="eastAsia" w:ascii="方正小标宋简体" w:hAnsi="方正小标宋简体" w:eastAsia="方正小标宋简体" w:cs="方正小标宋简体"/>
          <w:b w:val="0"/>
          <w:bCs w:val="0"/>
          <w:snapToGrid w:val="0"/>
          <w:color w:val="000000"/>
          <w:spacing w:val="5"/>
          <w:kern w:val="0"/>
          <w:sz w:val="44"/>
          <w:szCs w:val="44"/>
          <w:lang w:val="en-US" w:eastAsia="en-US" w:bidi="ar-SA"/>
        </w:rPr>
        <w:t>五”服务业发展规划</w:t>
      </w:r>
    </w:p>
    <w:p w14:paraId="554B5BB9">
      <w:pPr>
        <w:keepNext/>
        <w:keepLines w:val="0"/>
        <w:pageBreakBefore w:val="0"/>
        <w:widowControl w:val="0"/>
        <w:kinsoku/>
        <w:wordWrap/>
        <w:overflowPunct w:val="0"/>
        <w:topLinePunct w:val="0"/>
        <w:autoSpaceDE/>
        <w:autoSpaceDN/>
        <w:bidi w:val="0"/>
        <w:adjustRightInd/>
        <w:snapToGrid/>
        <w:spacing w:beforeAutospacing="0" w:afterAutospacing="0" w:line="360" w:lineRule="auto"/>
        <w:jc w:val="center"/>
        <w:textAlignment w:val="baseline"/>
        <w:outlineLvl w:val="9"/>
        <w:rPr>
          <w:rFonts w:hint="eastAsia" w:ascii="方正小标宋简体" w:hAnsi="方正小标宋简体" w:eastAsia="方正小标宋简体" w:cs="方正小标宋简体"/>
          <w:b w:val="0"/>
          <w:bCs w:val="0"/>
          <w:snapToGrid w:val="0"/>
          <w:color w:val="000000"/>
          <w:spacing w:val="5"/>
          <w:kern w:val="0"/>
          <w:sz w:val="44"/>
          <w:szCs w:val="44"/>
          <w:lang w:val="en-US" w:eastAsia="zh-CN" w:bidi="ar-SA"/>
        </w:rPr>
      </w:pPr>
      <w:r>
        <w:rPr>
          <w:rFonts w:hint="eastAsia" w:ascii="方正小标宋简体" w:hAnsi="方正小标宋简体" w:eastAsia="方正小标宋简体" w:cs="方正小标宋简体"/>
          <w:b w:val="0"/>
          <w:bCs w:val="0"/>
          <w:snapToGrid w:val="0"/>
          <w:color w:val="000000"/>
          <w:spacing w:val="5"/>
          <w:kern w:val="0"/>
          <w:sz w:val="44"/>
          <w:szCs w:val="44"/>
          <w:lang w:val="en-US" w:eastAsia="zh-CN" w:bidi="ar-SA"/>
        </w:rPr>
        <w:t>（征求意见稿）</w:t>
      </w:r>
    </w:p>
    <w:p w14:paraId="69EDD06C">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727CEB1B">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4458AF3C">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6562171A">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21EBD660">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361BA42E">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4FF1A139">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54C462DF">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2C411DCF">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4C48B423">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565AC1B1">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4BBEF7D1">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1390C730">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 w:val="0"/>
          <w:bCs w:val="0"/>
          <w:snapToGrid/>
          <w:color w:val="000000"/>
          <w:kern w:val="0"/>
          <w:sz w:val="32"/>
          <w:szCs w:val="32"/>
          <w:shd w:val="clear" w:color="auto" w:fill="auto"/>
          <w:lang w:val="en-US" w:eastAsia="en-US" w:bidi="ar"/>
        </w:rPr>
      </w:pPr>
    </w:p>
    <w:p w14:paraId="5BBD5D11">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jc w:val="center"/>
        <w:textAlignment w:val="auto"/>
        <w:rPr>
          <w:rFonts w:hint="default" w:ascii="Times New Roman" w:hAnsi="Times New Roman" w:eastAsia="仿宋_GB2312" w:cs="Times New Roman"/>
          <w:b w:val="0"/>
          <w:bCs w:val="0"/>
          <w:snapToGrid/>
          <w:color w:val="000000"/>
          <w:kern w:val="0"/>
          <w:sz w:val="36"/>
          <w:szCs w:val="36"/>
          <w:shd w:val="clear" w:color="auto" w:fill="auto"/>
          <w:lang w:val="en-US" w:eastAsia="zh-CN" w:bidi="ar"/>
        </w:rPr>
      </w:pPr>
      <w:r>
        <w:rPr>
          <w:rFonts w:hint="default" w:ascii="Times New Roman" w:hAnsi="Times New Roman" w:eastAsia="仿宋_GB2312" w:cs="Times New Roman"/>
          <w:b w:val="0"/>
          <w:bCs w:val="0"/>
          <w:snapToGrid/>
          <w:color w:val="000000"/>
          <w:kern w:val="0"/>
          <w:sz w:val="36"/>
          <w:szCs w:val="36"/>
          <w:shd w:val="clear" w:color="auto" w:fill="auto"/>
          <w:lang w:val="en-US" w:eastAsia="zh-CN" w:bidi="ar"/>
        </w:rPr>
        <w:t>西安市发展和改革委员会</w:t>
      </w:r>
    </w:p>
    <w:p w14:paraId="0B7119E1">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jc w:val="center"/>
        <w:textAlignment w:val="auto"/>
        <w:rPr>
          <w:rFonts w:hint="default" w:ascii="Times New Roman" w:hAnsi="Times New Roman" w:eastAsia="仿宋_GB2312" w:cs="Times New Roman"/>
          <w:b w:val="0"/>
          <w:bCs w:val="0"/>
          <w:snapToGrid/>
          <w:color w:val="000000"/>
          <w:kern w:val="0"/>
          <w:sz w:val="36"/>
          <w:szCs w:val="36"/>
          <w:shd w:val="clear" w:color="auto" w:fill="auto"/>
          <w:lang w:val="en-US" w:eastAsia="zh-CN" w:bidi="ar"/>
        </w:rPr>
      </w:pPr>
      <w:r>
        <w:rPr>
          <w:rFonts w:hint="default" w:ascii="Times New Roman" w:hAnsi="Times New Roman" w:eastAsia="仿宋_GB2312" w:cs="Times New Roman"/>
          <w:b w:val="0"/>
          <w:bCs w:val="0"/>
          <w:snapToGrid/>
          <w:color w:val="000000"/>
          <w:kern w:val="0"/>
          <w:sz w:val="36"/>
          <w:szCs w:val="36"/>
          <w:shd w:val="clear" w:color="auto" w:fill="auto"/>
          <w:lang w:val="en-US" w:eastAsia="zh-CN" w:bidi="ar"/>
        </w:rPr>
        <w:t>2026年</w:t>
      </w:r>
      <w:r>
        <w:rPr>
          <w:rFonts w:hint="eastAsia" w:ascii="Times New Roman" w:hAnsi="Times New Roman" w:eastAsia="仿宋_GB2312" w:cs="Times New Roman"/>
          <w:b w:val="0"/>
          <w:bCs w:val="0"/>
          <w:snapToGrid/>
          <w:color w:val="000000"/>
          <w:kern w:val="0"/>
          <w:sz w:val="36"/>
          <w:szCs w:val="36"/>
          <w:shd w:val="clear" w:color="auto" w:fill="auto"/>
          <w:lang w:val="en-US" w:eastAsia="zh-CN" w:bidi="ar"/>
        </w:rPr>
        <w:t>8</w:t>
      </w:r>
      <w:r>
        <w:rPr>
          <w:rFonts w:hint="default" w:ascii="Times New Roman" w:hAnsi="Times New Roman" w:eastAsia="仿宋_GB2312" w:cs="Times New Roman"/>
          <w:b w:val="0"/>
          <w:bCs w:val="0"/>
          <w:snapToGrid/>
          <w:color w:val="000000"/>
          <w:kern w:val="0"/>
          <w:sz w:val="36"/>
          <w:szCs w:val="36"/>
          <w:shd w:val="clear" w:color="auto" w:fill="auto"/>
          <w:lang w:val="en-US" w:eastAsia="zh-CN" w:bidi="ar"/>
        </w:rPr>
        <w:t>月</w:t>
      </w:r>
    </w:p>
    <w:p w14:paraId="1A2514C0">
      <w:pPr>
        <w:keepLines w:val="0"/>
        <w:pageBreakBefore w:val="0"/>
        <w:wordWrap/>
        <w:overflowPunct w:val="0"/>
        <w:topLinePunct w:val="0"/>
        <w:bidi w:val="0"/>
        <w:rPr>
          <w:rFonts w:hint="default" w:ascii="Times New Roman" w:hAnsi="Times New Roman" w:eastAsia="仿宋" w:cs="Times New Roman"/>
          <w:b w:val="0"/>
          <w:bCs w:val="0"/>
          <w:snapToGrid/>
          <w:color w:val="000000"/>
          <w:kern w:val="0"/>
          <w:sz w:val="32"/>
          <w:szCs w:val="32"/>
          <w:shd w:val="clear" w:color="auto" w:fill="auto"/>
          <w:lang w:val="en-US" w:eastAsia="zh-CN" w:bidi="ar"/>
        </w:rPr>
      </w:pPr>
      <w:r>
        <w:rPr>
          <w:rFonts w:hint="default" w:ascii="Times New Roman" w:hAnsi="Times New Roman" w:eastAsia="仿宋" w:cs="Times New Roman"/>
          <w:b w:val="0"/>
          <w:bCs w:val="0"/>
          <w:snapToGrid/>
          <w:color w:val="000000"/>
          <w:kern w:val="0"/>
          <w:sz w:val="32"/>
          <w:szCs w:val="32"/>
          <w:shd w:val="clear" w:color="auto" w:fill="auto"/>
          <w:lang w:val="en-US" w:eastAsia="zh-CN" w:bidi="ar"/>
        </w:rPr>
        <w:br w:type="page"/>
      </w:r>
    </w:p>
    <w:p w14:paraId="4D26EFFA">
      <w:pPr>
        <w:keepNext/>
        <w:keepLines w:val="0"/>
        <w:pageBreakBefore w:val="0"/>
        <w:widowControl w:val="0"/>
        <w:kinsoku/>
        <w:wordWrap/>
        <w:overflowPunct w:val="0"/>
        <w:topLinePunct w:val="0"/>
        <w:autoSpaceDE/>
        <w:autoSpaceDN/>
        <w:bidi w:val="0"/>
        <w:jc w:val="both"/>
        <w:rPr>
          <w:rFonts w:hint="default" w:ascii="Times New Roman" w:hAnsi="Times New Roman" w:eastAsia="宋体" w:cs="Times New Roman"/>
          <w:b/>
          <w:bCs/>
          <w:sz w:val="44"/>
          <w:szCs w:val="44"/>
          <w:lang w:val="en-US" w:eastAsia="en-US"/>
        </w:rPr>
      </w:pPr>
      <w:bookmarkStart w:id="0" w:name="_Toc22575"/>
    </w:p>
    <w:p w14:paraId="0D0CBBFA">
      <w:pPr>
        <w:keepNext/>
        <w:keepLines w:val="0"/>
        <w:pageBreakBefore w:val="0"/>
        <w:widowControl w:val="0"/>
        <w:kinsoku/>
        <w:wordWrap/>
        <w:overflowPunct w:val="0"/>
        <w:topLinePunct w:val="0"/>
        <w:autoSpaceDE/>
        <w:autoSpaceDN/>
        <w:bidi w:val="0"/>
        <w:jc w:val="center"/>
        <w:rPr>
          <w:rFonts w:hint="default" w:ascii="Times New Roman" w:hAnsi="Times New Roman" w:eastAsia="宋体" w:cs="Times New Roman"/>
          <w:b/>
          <w:bCs/>
          <w:sz w:val="44"/>
          <w:szCs w:val="44"/>
          <w:lang w:val="en-US" w:eastAsia="en-US"/>
        </w:rPr>
      </w:pPr>
    </w:p>
    <w:p w14:paraId="368DA11B">
      <w:pPr>
        <w:keepNext/>
        <w:keepLines w:val="0"/>
        <w:pageBreakBefore w:val="0"/>
        <w:widowControl w:val="0"/>
        <w:kinsoku/>
        <w:wordWrap/>
        <w:overflowPunct w:val="0"/>
        <w:topLinePunct w:val="0"/>
        <w:autoSpaceDE/>
        <w:autoSpaceDN/>
        <w:bidi w:val="0"/>
        <w:jc w:val="center"/>
        <w:rPr>
          <w:rFonts w:hint="default" w:ascii="Times New Roman" w:hAnsi="Times New Roman" w:eastAsia="宋体" w:cs="Times New Roman"/>
          <w:b/>
          <w:bCs/>
          <w:sz w:val="44"/>
          <w:szCs w:val="44"/>
          <w:lang w:val="en-US" w:eastAsia="en-US"/>
        </w:rPr>
      </w:pPr>
      <w:r>
        <w:rPr>
          <w:rFonts w:hint="default" w:ascii="Times New Roman" w:hAnsi="Times New Roman" w:eastAsia="宋体" w:cs="Times New Roman"/>
          <w:b/>
          <w:bCs/>
          <w:sz w:val="44"/>
          <w:szCs w:val="44"/>
          <w:lang w:val="en-US" w:eastAsia="en-US"/>
        </w:rPr>
        <w:t>目录</w:t>
      </w:r>
      <w:bookmarkEnd w:id="0"/>
    </w:p>
    <w:p w14:paraId="79A763D8">
      <w:pPr>
        <w:keepNext/>
        <w:keepLines w:val="0"/>
        <w:pageBreakBefore w:val="0"/>
        <w:widowControl w:val="0"/>
        <w:kinsoku/>
        <w:wordWrap/>
        <w:overflowPunct w:val="0"/>
        <w:topLinePunct w:val="0"/>
        <w:autoSpaceDE/>
        <w:autoSpaceDN/>
        <w:bidi w:val="0"/>
        <w:jc w:val="center"/>
        <w:rPr>
          <w:rFonts w:hint="default" w:ascii="Times New Roman" w:hAnsi="Times New Roman" w:eastAsia="宋体" w:cs="Times New Roman"/>
          <w:b/>
          <w:bCs/>
          <w:sz w:val="44"/>
          <w:szCs w:val="44"/>
          <w:lang w:val="en-US" w:eastAsia="en-US"/>
        </w:rPr>
      </w:pPr>
    </w:p>
    <w:sdt>
      <w:sdtPr>
        <w:rPr>
          <w:rFonts w:hint="default" w:ascii="Times New Roman" w:hAnsi="Times New Roman" w:eastAsia="宋体" w:cs="Times New Roman"/>
          <w:snapToGrid w:val="0"/>
          <w:color w:val="000000"/>
          <w:kern w:val="0"/>
          <w:sz w:val="21"/>
          <w:szCs w:val="21"/>
          <w:lang w:val="en-US" w:eastAsia="en-US" w:bidi="ar-SA"/>
        </w:rPr>
        <w:id w:val="147470629"/>
        <w15:color w:val="DBDBDB"/>
        <w:docPartObj>
          <w:docPartGallery w:val="Table of Contents"/>
          <w:docPartUnique/>
        </w:docPartObj>
      </w:sdtPr>
      <w:sdtEndPr>
        <w:rPr>
          <w:rFonts w:hint="default" w:ascii="Times New Roman" w:hAnsi="Times New Roman" w:eastAsia="宋体" w:cs="Times New Roman"/>
          <w:bCs/>
          <w:snapToGrid w:val="0"/>
          <w:color w:val="000000"/>
          <w:kern w:val="0"/>
          <w:sz w:val="24"/>
          <w:szCs w:val="24"/>
          <w:lang w:val="en-US" w:eastAsia="en-US" w:bidi="ar-SA"/>
        </w:rPr>
      </w:sdtEndPr>
      <w:sdtContent>
        <w:p w14:paraId="55A241FB">
          <w:pPr>
            <w:keepNext/>
            <w:keepLines w:val="0"/>
            <w:pageBreakBefore w:val="0"/>
            <w:widowControl w:val="0"/>
            <w:kinsoku/>
            <w:wordWrap/>
            <w:overflowPunct w:val="0"/>
            <w:topLinePunct w:val="0"/>
            <w:autoSpaceDE/>
            <w:autoSpaceDN/>
            <w:bidi w:val="0"/>
            <w:spacing w:before="0" w:beforeLines="0" w:after="0" w:afterLines="0" w:line="240" w:lineRule="auto"/>
            <w:ind w:left="0" w:leftChars="0" w:right="0" w:rightChars="0" w:firstLine="0" w:firstLineChars="0"/>
            <w:jc w:val="center"/>
            <w:rPr>
              <w:rFonts w:hint="default" w:ascii="Times New Roman" w:hAnsi="Times New Roman" w:cs="Times New Roman"/>
            </w:rPr>
          </w:pPr>
        </w:p>
        <w:p w14:paraId="3A740B8E">
          <w:pPr>
            <w:pStyle w:val="13"/>
            <w:tabs>
              <w:tab w:val="right" w:leader="dot" w:pos="8590"/>
            </w:tabs>
            <w:rPr>
              <w:rFonts w:hint="eastAsia" w:ascii="仿宋_GB2312" w:hAnsi="仿宋_GB2312" w:eastAsia="仿宋_GB2312" w:cs="仿宋_GB2312"/>
              <w:sz w:val="32"/>
              <w:szCs w:val="32"/>
            </w:rPr>
          </w:pPr>
          <w:r>
            <w:rPr>
              <w:rFonts w:hint="default" w:ascii="Times New Roman" w:hAnsi="Times New Roman" w:eastAsia="宋体" w:cs="Times New Roman"/>
              <w:b/>
              <w:bCs/>
              <w:sz w:val="32"/>
              <w:szCs w:val="32"/>
            </w:rPr>
            <w:fldChar w:fldCharType="begin"/>
          </w:r>
          <w:r>
            <w:rPr>
              <w:rFonts w:hint="default" w:ascii="Times New Roman" w:hAnsi="Times New Roman" w:eastAsia="宋体" w:cs="Times New Roman"/>
              <w:b/>
              <w:bCs/>
              <w:sz w:val="32"/>
              <w:szCs w:val="32"/>
            </w:rPr>
            <w:instrText xml:space="preserve">TOC \o "1-3" \h \u </w:instrText>
          </w:r>
          <w:r>
            <w:rPr>
              <w:rFonts w:hint="default" w:ascii="Times New Roman" w:hAnsi="Times New Roman" w:eastAsia="宋体" w:cs="Times New Roman"/>
              <w:b/>
              <w:bCs/>
              <w:sz w:val="32"/>
              <w:szCs w:val="32"/>
            </w:rPr>
            <w:fldChar w:fldCharType="separate"/>
          </w: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_Toc30422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一、现实基础</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_Toc30422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7F250023">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_Toc3782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（一）发展现状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_Toc3782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7E665462">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_Toc13119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（二）发展环境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_Toc13119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29F3CABF">
          <w:pPr>
            <w:pStyle w:val="13"/>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_Toc426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二、总体要求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3857D4FF">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_Toc8404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（一）指导思想</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_Toc8404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0CB7EDD2">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_Toc10818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（二）基本原则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_Toc10818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71A5976D">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_Toc1699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（三）发展目标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_Toc1699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6B2477F0">
          <w:pPr>
            <w:pStyle w:val="13"/>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_Toc16179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三、空间布局</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_Toc16179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2D188E1A">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_Toc17758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（一）“一核”聚能，提升古都IP的全球影响力</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_Toc17758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17DF9A7D">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_Toc6267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（二）“三带”联动，提升科技创新的服务能级</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_Toc6267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48C99BB8">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_Toc20155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（三）“多圈”协同，提升服务支撑</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_Toc20155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23A8BC72">
          <w:pPr>
            <w:pStyle w:val="13"/>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_Toc15331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四、主要任务</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_Toc15331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1A4FCCBF">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_Toc10402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（一）提升生产性服务业发展质效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_Toc10402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1CE5C38D">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_Toc23024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1.信息服务业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_Toc23024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247406D9">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_Toc25304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2.科技服务业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_Toc25304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656D50FE">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_Toc10074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3.现代金融业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_Toc10074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60728B46">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_Toc23314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4.现代物流业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_Toc23314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3A1FB951">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_Toc8029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5.人力资源服务业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_Toc8029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4F42A08D">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_Toc19093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6.专业服务业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_Toc19093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31C230B1">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_Toc23894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（二）推动生活性服务业品质升级</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_Toc23894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59397295">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_Toc12742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7.零售住餐业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_Toc12742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14C8BC36">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_Toc28815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8.文旅体娱业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_Toc28815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62B3A417">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_Toc6493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9.健康养老业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_Toc6493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6D57C144">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_Toc25383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10.教育培训业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_Toc25383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40ED7D24">
          <w:pPr>
            <w:pStyle w:val="10"/>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_Toc7707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sz w:val="32"/>
              <w:szCs w:val="32"/>
              <w:lang w:val="en-US" w:eastAsia="zh-CN"/>
            </w:rPr>
            <w:t>11.居民服务业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_Toc7707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730196E2">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_Toc13686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（三）引导服务业融合化发展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_Toc13686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1D885321">
          <w:pPr>
            <w:pStyle w:val="13"/>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_Toc9005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五、重点行动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_Toc9005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563E799B">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_Toc22883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（一）加大场景开放应用行动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_Toc22883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71F94948">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_Toc10401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（二）开展数智转型赋能行动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_Toc10401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0AC00125">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_Toc21884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（三）提升产业融合质效行动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_Toc21884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33789824">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_Toc28315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（四）实施服务消费惠民行动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_Toc28315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446A13FF">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_Toc13786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（五）推进扩大开放试点行动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_Toc13786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371BEC08">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_Toc4916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（六）倡导服务绿色发展行动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_Toc4916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00739030">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_Toc24853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（七）加快服务集聚发展行动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_Toc24853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5D04BBA7">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_Toc2072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（八）实施经营主体培优行动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_Toc2072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6CE6D262">
          <w:pPr>
            <w:pStyle w:val="13"/>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_Toc22988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六、保障措施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_Toc22988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5CB81F72">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_Toc26216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（一）强化组织领导</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_Toc26216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6195577E">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_Toc31127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（二）优化发展环境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_Toc31127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38914631">
          <w:pPr>
            <w:pStyle w:val="15"/>
            <w:tabs>
              <w:tab w:val="right" w:leader="dot" w:pos="8590"/>
            </w:tabs>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_Toc6770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（三）强化要素支撑</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_Toc6770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75ED5B39">
          <w:pPr>
            <w:pStyle w:val="15"/>
            <w:tabs>
              <w:tab w:val="right" w:leader="dot" w:pos="8590"/>
            </w:tabs>
          </w:pP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\l _Toc22618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Cs/>
              <w:sz w:val="32"/>
              <w:szCs w:val="32"/>
              <w:lang w:val="en-US" w:eastAsia="zh-CN"/>
            </w:rPr>
            <w:t>（四）加强监测监督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_Toc22618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bCs/>
              <w:sz w:val="32"/>
              <w:szCs w:val="32"/>
            </w:rPr>
            <w:fldChar w:fldCharType="end"/>
          </w:r>
        </w:p>
        <w:p w14:paraId="11ECDFD7">
          <w:pPr>
            <w:keepNext/>
            <w:keepLines w:val="0"/>
            <w:pageBreakBefore w:val="0"/>
            <w:widowControl w:val="0"/>
            <w:kinsoku/>
            <w:wordWrap/>
            <w:overflowPunct w:val="0"/>
            <w:topLinePunct w:val="0"/>
            <w:autoSpaceDE/>
            <w:autoSpaceDN/>
            <w:bidi w:val="0"/>
            <w:adjustRightInd w:val="0"/>
            <w:snapToGrid w:val="0"/>
            <w:spacing w:before="0" w:beforeLines="0" w:after="0" w:afterLines="0" w:line="360" w:lineRule="auto"/>
            <w:ind w:left="0" w:leftChars="0" w:right="0" w:rightChars="0" w:firstLine="0" w:firstLineChars="0"/>
            <w:jc w:val="center"/>
            <w:textAlignment w:val="baseline"/>
            <w:rPr>
              <w:rFonts w:hint="default" w:ascii="Times New Roman" w:hAnsi="Times New Roman" w:eastAsia="宋体" w:cs="Times New Roman"/>
              <w:bCs/>
              <w:snapToGrid w:val="0"/>
              <w:color w:val="000000"/>
              <w:kern w:val="0"/>
              <w:sz w:val="24"/>
              <w:szCs w:val="24"/>
              <w:lang w:val="en-US" w:eastAsia="en-US" w:bidi="ar-SA"/>
            </w:rPr>
          </w:pPr>
          <w:r>
            <w:rPr>
              <w:rFonts w:hint="default" w:ascii="Times New Roman" w:hAnsi="Times New Roman" w:eastAsia="宋体" w:cs="Times New Roman"/>
              <w:bCs/>
              <w:szCs w:val="32"/>
            </w:rPr>
            <w:fldChar w:fldCharType="end"/>
          </w:r>
        </w:p>
      </w:sdtContent>
    </w:sdt>
    <w:p w14:paraId="11C2E182">
      <w:pPr>
        <w:pStyle w:val="15"/>
        <w:keepNext/>
        <w:keepLines w:val="0"/>
        <w:pageBreakBefore w:val="0"/>
        <w:widowControl w:val="0"/>
        <w:tabs>
          <w:tab w:val="right" w:leader="dot" w:pos="8419"/>
        </w:tabs>
        <w:kinsoku/>
        <w:wordWrap/>
        <w:overflowPunct w:val="0"/>
        <w:topLinePunct w:val="0"/>
        <w:autoSpaceDE/>
        <w:autoSpaceDN/>
        <w:bidi w:val="0"/>
        <w:spacing w:line="360" w:lineRule="auto"/>
        <w:rPr>
          <w:rFonts w:hint="default" w:ascii="Times New Roman" w:hAnsi="Times New Roman" w:cs="Times New Roman"/>
          <w:sz w:val="24"/>
          <w:szCs w:val="24"/>
        </w:rPr>
      </w:pPr>
      <w:r>
        <w:rPr>
          <w:rFonts w:hint="default" w:ascii="Times New Roman" w:hAnsi="Times New Roman" w:eastAsia="仿宋" w:cs="Times New Roman"/>
          <w:bCs/>
          <w:snapToGrid/>
          <w:color w:val="000000"/>
          <w:kern w:val="0"/>
          <w:sz w:val="24"/>
          <w:szCs w:val="24"/>
          <w:shd w:val="clear" w:color="auto" w:fill="auto"/>
          <w:lang w:val="en-US" w:eastAsia="en-US" w:bidi="ar"/>
        </w:rPr>
        <w:fldChar w:fldCharType="begin"/>
      </w:r>
      <w:r>
        <w:rPr>
          <w:rFonts w:hint="default" w:ascii="Times New Roman" w:hAnsi="Times New Roman" w:eastAsia="仿宋" w:cs="Times New Roman"/>
          <w:bCs/>
          <w:snapToGrid/>
          <w:color w:val="000000"/>
          <w:kern w:val="0"/>
          <w:sz w:val="24"/>
          <w:szCs w:val="24"/>
          <w:shd w:val="clear" w:color="auto" w:fill="auto"/>
          <w:lang w:val="en-US" w:eastAsia="en-US" w:bidi="ar"/>
        </w:rPr>
        <w:instrText xml:space="preserve">TOC \o "1-2" \h \u </w:instrText>
      </w:r>
      <w:r>
        <w:rPr>
          <w:rFonts w:hint="default" w:ascii="Times New Roman" w:hAnsi="Times New Roman" w:eastAsia="仿宋" w:cs="Times New Roman"/>
          <w:bCs/>
          <w:snapToGrid/>
          <w:color w:val="000000"/>
          <w:kern w:val="0"/>
          <w:sz w:val="24"/>
          <w:szCs w:val="24"/>
          <w:shd w:val="clear" w:color="auto" w:fill="auto"/>
          <w:lang w:val="en-US" w:eastAsia="en-US" w:bidi="ar"/>
        </w:rPr>
        <w:fldChar w:fldCharType="separate"/>
      </w:r>
    </w:p>
    <w:p w14:paraId="15D19F55">
      <w:pPr>
        <w:keepNext/>
        <w:keepLines w:val="0"/>
        <w:pageBreakBefore w:val="0"/>
        <w:widowControl w:val="0"/>
        <w:numPr>
          <w:ilvl w:val="0"/>
          <w:numId w:val="0"/>
        </w:numPr>
        <w:kinsoku/>
        <w:wordWrap/>
        <w:overflowPunct w:val="0"/>
        <w:topLinePunct w:val="0"/>
        <w:autoSpaceDE/>
        <w:autoSpaceDN/>
        <w:bidi w:val="0"/>
        <w:adjustRightInd/>
        <w:snapToGrid/>
        <w:spacing w:before="157" w:beforeLines="50" w:beforeAutospacing="0" w:after="157" w:afterLines="50" w:afterAutospacing="0" w:line="360" w:lineRule="auto"/>
        <w:ind w:left="0" w:leftChars="0" w:firstLine="480" w:firstLineChars="200"/>
        <w:jc w:val="both"/>
        <w:textAlignment w:val="auto"/>
        <w:outlineLvl w:val="9"/>
        <w:rPr>
          <w:rFonts w:hint="default" w:ascii="Times New Roman" w:hAnsi="Times New Roman" w:eastAsia="仿宋" w:cs="Times New Roman"/>
          <w:bCs/>
          <w:snapToGrid/>
          <w:color w:val="000000"/>
          <w:kern w:val="0"/>
          <w:sz w:val="24"/>
          <w:szCs w:val="24"/>
          <w:shd w:val="clear" w:color="auto" w:fill="auto"/>
          <w:lang w:val="en-US" w:eastAsia="en-US" w:bidi="ar"/>
        </w:rPr>
        <w:sectPr>
          <w:footerReference r:id="rId5" w:type="default"/>
          <w:pgSz w:w="11906" w:h="16839"/>
          <w:pgMar w:top="1655" w:right="1644" w:bottom="1661" w:left="1672" w:header="0" w:footer="994" w:gutter="0"/>
          <w:pgNumType w:fmt="decimal"/>
          <w:cols w:space="720" w:num="1"/>
          <w:titlePg/>
        </w:sectPr>
      </w:pPr>
    </w:p>
    <w:p w14:paraId="771AE776">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eastAsia="仿宋" w:cs="Times New Roman"/>
          <w:bCs/>
          <w:snapToGrid/>
          <w:color w:val="000000"/>
          <w:kern w:val="0"/>
          <w:sz w:val="24"/>
          <w:szCs w:val="24"/>
          <w:shd w:val="clear" w:color="auto" w:fill="auto"/>
          <w:lang w:val="en-US" w:eastAsia="en-US" w:bidi="ar"/>
        </w:rPr>
      </w:pPr>
      <w:r>
        <w:rPr>
          <w:rFonts w:hint="default" w:ascii="Times New Roman" w:hAnsi="Times New Roman" w:eastAsia="仿宋" w:cs="Times New Roman"/>
          <w:bCs/>
          <w:snapToGrid/>
          <w:color w:val="000000"/>
          <w:kern w:val="0"/>
          <w:sz w:val="24"/>
          <w:szCs w:val="24"/>
          <w:shd w:val="clear" w:color="auto" w:fill="auto"/>
          <w:lang w:val="en-US" w:eastAsia="en-US" w:bidi="ar"/>
        </w:rPr>
        <w:fldChar w:fldCharType="end"/>
      </w:r>
      <w:bookmarkStart w:id="1" w:name="_Toc17110"/>
    </w:p>
    <w:p w14:paraId="5D5B8A9A">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600" w:lineRule="exact"/>
        <w:jc w:val="center"/>
        <w:textAlignment w:val="auto"/>
        <w:rPr>
          <w:rFonts w:hint="default" w:ascii="Times New Roman" w:hAnsi="Times New Roman" w:eastAsia="方正小标宋简体" w:cs="Times New Roman"/>
          <w:bCs/>
          <w:snapToGrid/>
          <w:color w:val="000000"/>
          <w:kern w:val="0"/>
          <w:sz w:val="36"/>
          <w:szCs w:val="36"/>
          <w:shd w:val="clear" w:color="auto" w:fill="auto"/>
          <w:lang w:val="en-US" w:eastAsia="en-US" w:bidi="ar"/>
        </w:rPr>
      </w:pPr>
      <w:r>
        <w:rPr>
          <w:rFonts w:hint="default" w:ascii="Times New Roman" w:hAnsi="Times New Roman" w:eastAsia="方正小标宋简体" w:cs="Times New Roman"/>
          <w:bCs/>
          <w:snapToGrid/>
          <w:color w:val="000000"/>
          <w:kern w:val="0"/>
          <w:sz w:val="36"/>
          <w:szCs w:val="36"/>
          <w:shd w:val="clear" w:color="auto" w:fill="auto"/>
          <w:lang w:val="en-US" w:eastAsia="zh-CN" w:bidi="ar"/>
        </w:rPr>
        <w:t>西安市“十五五”服务业发展规划</w:t>
      </w:r>
    </w:p>
    <w:p w14:paraId="216CCF29">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 w:cs="Times New Roman"/>
          <w:bCs/>
          <w:snapToGrid/>
          <w:color w:val="000000"/>
          <w:kern w:val="0"/>
          <w:sz w:val="32"/>
          <w:szCs w:val="32"/>
          <w:shd w:val="clear" w:color="auto" w:fill="auto"/>
          <w:lang w:val="en-US" w:eastAsia="zh-CN" w:bidi="ar"/>
        </w:rPr>
      </w:pPr>
    </w:p>
    <w:p w14:paraId="03265A57">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en-US" w:bidi="ar"/>
        </w:rPr>
      </w:pPr>
      <w:r>
        <w:rPr>
          <w:rFonts w:hint="default" w:ascii="Times New Roman" w:hAnsi="Times New Roman" w:eastAsia="仿宋_GB2312" w:cs="Times New Roman"/>
          <w:bCs/>
          <w:snapToGrid/>
          <w:color w:val="000000"/>
          <w:kern w:val="0"/>
          <w:sz w:val="32"/>
          <w:szCs w:val="32"/>
          <w:shd w:val="clear" w:color="auto" w:fill="auto"/>
          <w:lang w:val="en-US" w:eastAsia="zh-CN" w:bidi="ar"/>
        </w:rPr>
        <w:t>为推动全市服务业扩能提质，加快构建优质高效的服务业新体系，带动产业基础高级化和产业链现代化，巩固壮大实体经济根基，根据</w:t>
      </w:r>
      <w:r>
        <w:rPr>
          <w:rFonts w:hint="default" w:ascii="Times New Roman" w:hAnsi="Times New Roman" w:eastAsia="仿宋_GB2312" w:cs="Times New Roman"/>
          <w:bCs/>
          <w:snapToGrid/>
          <w:color w:val="000000"/>
          <w:kern w:val="0"/>
          <w:sz w:val="32"/>
          <w:szCs w:val="32"/>
          <w:shd w:val="clear" w:color="auto" w:fill="auto"/>
          <w:lang w:val="en-US" w:eastAsia="en-US" w:bidi="ar"/>
        </w:rPr>
        <w:t>《</w:t>
      </w:r>
      <w:r>
        <w:rPr>
          <w:rFonts w:hint="default" w:ascii="Times New Roman" w:hAnsi="Times New Roman" w:eastAsia="仿宋_GB2312" w:cs="Times New Roman"/>
          <w:bCs/>
          <w:snapToGrid/>
          <w:color w:val="000000"/>
          <w:kern w:val="0"/>
          <w:sz w:val="32"/>
          <w:szCs w:val="32"/>
          <w:shd w:val="clear" w:color="auto" w:fill="auto"/>
          <w:lang w:val="en-US" w:eastAsia="zh-CN" w:bidi="ar"/>
        </w:rPr>
        <w:t>西安市</w:t>
      </w:r>
      <w:r>
        <w:rPr>
          <w:rFonts w:hint="default" w:ascii="Times New Roman" w:hAnsi="Times New Roman" w:eastAsia="仿宋_GB2312" w:cs="Times New Roman"/>
          <w:bCs/>
          <w:snapToGrid/>
          <w:color w:val="000000"/>
          <w:kern w:val="0"/>
          <w:sz w:val="32"/>
          <w:szCs w:val="32"/>
          <w:shd w:val="clear" w:color="auto" w:fill="auto"/>
          <w:lang w:val="en-US" w:eastAsia="en-US" w:bidi="ar"/>
        </w:rPr>
        <w:t>国民经济和社会发展第十</w:t>
      </w:r>
      <w:r>
        <w:rPr>
          <w:rFonts w:hint="default" w:ascii="Times New Roman" w:hAnsi="Times New Roman" w:eastAsia="仿宋_GB2312" w:cs="Times New Roman"/>
          <w:bCs/>
          <w:snapToGrid/>
          <w:color w:val="000000"/>
          <w:kern w:val="0"/>
          <w:sz w:val="32"/>
          <w:szCs w:val="32"/>
          <w:shd w:val="clear" w:color="auto" w:fill="auto"/>
          <w:lang w:val="en-US" w:eastAsia="zh-CN" w:bidi="ar"/>
        </w:rPr>
        <w:t>五</w:t>
      </w:r>
      <w:r>
        <w:rPr>
          <w:rFonts w:hint="default" w:ascii="Times New Roman" w:hAnsi="Times New Roman" w:eastAsia="仿宋_GB2312" w:cs="Times New Roman"/>
          <w:bCs/>
          <w:snapToGrid/>
          <w:color w:val="000000"/>
          <w:kern w:val="0"/>
          <w:sz w:val="32"/>
          <w:szCs w:val="32"/>
          <w:shd w:val="clear" w:color="auto" w:fill="auto"/>
          <w:lang w:val="en-US" w:eastAsia="en-US" w:bidi="ar"/>
        </w:rPr>
        <w:t>个五年规划纲要》</w:t>
      </w:r>
      <w:r>
        <w:rPr>
          <w:rFonts w:hint="default" w:ascii="Times New Roman" w:hAnsi="Times New Roman" w:eastAsia="仿宋_GB2312" w:cs="Times New Roman"/>
          <w:bCs/>
          <w:snapToGrid/>
          <w:color w:val="000000"/>
          <w:kern w:val="0"/>
          <w:sz w:val="32"/>
          <w:szCs w:val="32"/>
          <w:shd w:val="clear" w:color="auto" w:fill="auto"/>
          <w:lang w:val="en-US" w:eastAsia="zh-CN" w:bidi="ar"/>
        </w:rPr>
        <w:t>，结合《国务院关于推进服务业扩能提质的意见》《陕西省“十五五”服务业扩能提质发展规划》</w:t>
      </w:r>
      <w:r>
        <w:rPr>
          <w:rFonts w:hint="default" w:ascii="Times New Roman" w:hAnsi="Times New Roman" w:eastAsia="仿宋_GB2312" w:cs="Times New Roman"/>
          <w:bCs/>
          <w:snapToGrid/>
          <w:color w:val="000000"/>
          <w:kern w:val="0"/>
          <w:sz w:val="32"/>
          <w:szCs w:val="32"/>
          <w:shd w:val="clear" w:color="auto" w:fill="auto"/>
          <w:lang w:val="en-US" w:eastAsia="en-US" w:bidi="ar"/>
        </w:rPr>
        <w:t>，</w:t>
      </w:r>
      <w:r>
        <w:rPr>
          <w:rFonts w:hint="default" w:ascii="Times New Roman" w:hAnsi="Times New Roman" w:eastAsia="仿宋_GB2312" w:cs="Times New Roman"/>
          <w:bCs/>
          <w:snapToGrid/>
          <w:color w:val="000000"/>
          <w:kern w:val="0"/>
          <w:sz w:val="32"/>
          <w:szCs w:val="32"/>
          <w:shd w:val="clear" w:color="auto" w:fill="auto"/>
          <w:lang w:val="en-US" w:eastAsia="zh-CN" w:bidi="ar"/>
        </w:rPr>
        <w:t>编制本</w:t>
      </w:r>
      <w:r>
        <w:rPr>
          <w:rFonts w:hint="default" w:ascii="Times New Roman" w:hAnsi="Times New Roman" w:eastAsia="仿宋_GB2312" w:cs="Times New Roman"/>
          <w:bCs/>
          <w:snapToGrid/>
          <w:color w:val="000000"/>
          <w:kern w:val="0"/>
          <w:sz w:val="32"/>
          <w:szCs w:val="32"/>
          <w:shd w:val="clear" w:color="auto" w:fill="auto"/>
          <w:lang w:val="en-US" w:eastAsia="en-US" w:bidi="ar"/>
        </w:rPr>
        <w:t>规划。</w:t>
      </w:r>
    </w:p>
    <w:p w14:paraId="4F13E5DD">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 w:cs="Times New Roman"/>
          <w:b w:val="0"/>
          <w:bCs/>
          <w:snapToGrid/>
          <w:color w:val="000000"/>
          <w:kern w:val="0"/>
          <w:sz w:val="32"/>
          <w:szCs w:val="32"/>
          <w:shd w:val="clear" w:color="auto" w:fill="auto"/>
          <w:lang w:val="en-US" w:eastAsia="en-US" w:bidi="ar"/>
        </w:rPr>
      </w:pPr>
      <w:r>
        <w:rPr>
          <w:rFonts w:hint="default" w:ascii="Times New Roman" w:hAnsi="Times New Roman" w:eastAsia="仿宋_GB2312" w:cs="Times New Roman"/>
          <w:bCs/>
          <w:snapToGrid/>
          <w:color w:val="000000"/>
          <w:kern w:val="0"/>
          <w:sz w:val="32"/>
          <w:szCs w:val="32"/>
          <w:shd w:val="clear" w:color="auto" w:fill="auto"/>
          <w:lang w:val="en-US" w:eastAsia="zh-CN" w:bidi="ar"/>
        </w:rPr>
        <w:t>规划期为2026-2030年。</w:t>
      </w:r>
    </w:p>
    <w:p w14:paraId="433601F9">
      <w:pPr>
        <w:pStyle w:val="3"/>
        <w:keepNext/>
        <w:keepLines w:val="0"/>
        <w:pageBreakBefore w:val="0"/>
        <w:widowControl w:val="0"/>
        <w:kinsoku/>
        <w:wordWrap/>
        <w:overflowPunct w:val="0"/>
        <w:topLinePunct w:val="0"/>
        <w:autoSpaceDE/>
        <w:autoSpaceDN/>
        <w:bidi w:val="0"/>
        <w:adjustRightInd w:val="0"/>
        <w:snapToGrid w:val="0"/>
        <w:spacing w:line="600" w:lineRule="exact"/>
        <w:ind w:leftChars="0"/>
        <w:jc w:val="left"/>
        <w:textAlignment w:val="baseline"/>
        <w:rPr>
          <w:rFonts w:hint="default" w:ascii="Times New Roman" w:hAnsi="Times New Roman" w:eastAsia="黑体" w:cs="Times New Roman"/>
          <w:b w:val="0"/>
          <w:bCs/>
          <w:sz w:val="32"/>
          <w:szCs w:val="32"/>
          <w:lang w:val="en-US" w:eastAsia="zh-CN"/>
        </w:rPr>
      </w:pPr>
      <w:bookmarkStart w:id="2" w:name="_Toc30422"/>
      <w:bookmarkStart w:id="3" w:name="_Toc7552"/>
      <w:r>
        <w:rPr>
          <w:rFonts w:hint="default" w:ascii="Times New Roman" w:hAnsi="Times New Roman" w:eastAsia="黑体" w:cs="Times New Roman"/>
          <w:b w:val="0"/>
          <w:bCs/>
          <w:sz w:val="32"/>
          <w:szCs w:val="32"/>
          <w:lang w:val="en-US" w:eastAsia="zh-CN"/>
        </w:rPr>
        <w:t>一、现实基础</w:t>
      </w:r>
      <w:bookmarkEnd w:id="1"/>
      <w:bookmarkEnd w:id="2"/>
      <w:bookmarkEnd w:id="3"/>
      <w:bookmarkStart w:id="4" w:name="_Toc9797"/>
    </w:p>
    <w:p w14:paraId="63945C4C">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5" w:name="_Toc26675"/>
      <w:bookmarkStart w:id="6" w:name="_Toc3782"/>
      <w:r>
        <w:rPr>
          <w:rFonts w:hint="default" w:ascii="Times New Roman" w:hAnsi="Times New Roman" w:eastAsia="楷体" w:cs="Times New Roman"/>
          <w:b w:val="0"/>
          <w:bCs/>
          <w:lang w:val="en-US" w:eastAsia="zh-CN"/>
        </w:rPr>
        <w:t>（一）发展现状</w:t>
      </w:r>
      <w:bookmarkEnd w:id="4"/>
      <w:bookmarkEnd w:id="5"/>
      <w:bookmarkEnd w:id="6"/>
    </w:p>
    <w:p w14:paraId="1AA2EA07">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bookmarkStart w:id="7" w:name="_Toc8277"/>
      <w:bookmarkStart w:id="8" w:name="_Toc23238"/>
      <w:r>
        <w:rPr>
          <w:rFonts w:hint="default" w:ascii="Times New Roman" w:hAnsi="Times New Roman" w:eastAsia="仿宋_GB2312" w:cs="Times New Roman"/>
          <w:bCs/>
          <w:snapToGrid/>
          <w:color w:val="000000"/>
          <w:kern w:val="0"/>
          <w:sz w:val="32"/>
          <w:szCs w:val="32"/>
          <w:shd w:val="clear" w:color="auto" w:fill="auto"/>
          <w:lang w:val="en-US" w:eastAsia="zh-CN" w:bidi="ar"/>
        </w:rPr>
        <w:t>“十四五”以来，西安市锚定服务业高质量发展目标，全面推进服务业高端化、融合化、品质化和绿色化发展，转型升级成效显著，发展质效稳步攀升，产业规模持续壮大，结构布局不断优化，引领作用日益增强，产业能级显著提升，在推动全市稳增长、振消费、促就业中发挥了重要支撑作用。</w:t>
      </w:r>
    </w:p>
    <w:p w14:paraId="4BB3C065">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r>
        <w:rPr>
          <w:rFonts w:hint="default" w:ascii="Times New Roman" w:hAnsi="Times New Roman" w:eastAsia="仿宋_GB2312" w:cs="Times New Roman"/>
          <w:b/>
          <w:bCs w:val="0"/>
          <w:snapToGrid/>
          <w:color w:val="000000"/>
          <w:kern w:val="0"/>
          <w:sz w:val="32"/>
          <w:szCs w:val="32"/>
          <w:shd w:val="clear" w:color="auto" w:fill="auto"/>
          <w:lang w:val="en-US" w:eastAsia="zh-CN" w:bidi="ar"/>
        </w:rPr>
        <w:t>规模能级显著跃升。</w:t>
      </w:r>
      <w:r>
        <w:rPr>
          <w:rFonts w:hint="default" w:ascii="Times New Roman" w:hAnsi="Times New Roman" w:eastAsia="仿宋_GB2312" w:cs="Times New Roman"/>
          <w:bCs/>
          <w:snapToGrid/>
          <w:color w:val="000000"/>
          <w:kern w:val="0"/>
          <w:sz w:val="32"/>
          <w:szCs w:val="32"/>
          <w:shd w:val="clear" w:color="auto" w:fill="auto"/>
          <w:lang w:val="en-US" w:eastAsia="zh-CN" w:bidi="ar"/>
        </w:rPr>
        <w:t>西安市着力构建以</w:t>
      </w:r>
      <w:r>
        <w:rPr>
          <w:rFonts w:hint="eastAsia" w:ascii="Times New Roman" w:hAnsi="Times New Roman" w:eastAsia="仿宋_GB2312" w:cs="Times New Roman"/>
          <w:bCs/>
          <w:snapToGrid/>
          <w:color w:val="000000"/>
          <w:kern w:val="0"/>
          <w:sz w:val="32"/>
          <w:szCs w:val="32"/>
          <w:shd w:val="clear" w:color="auto" w:fill="auto"/>
          <w:lang w:val="en-US" w:eastAsia="zh-CN" w:bidi="ar"/>
        </w:rPr>
        <w:t>知识密集型</w:t>
      </w:r>
      <w:r>
        <w:rPr>
          <w:rFonts w:hint="default" w:ascii="Times New Roman" w:hAnsi="Times New Roman" w:eastAsia="仿宋_GB2312" w:cs="Times New Roman"/>
          <w:bCs/>
          <w:snapToGrid/>
          <w:color w:val="000000"/>
          <w:kern w:val="0"/>
          <w:sz w:val="32"/>
          <w:szCs w:val="32"/>
          <w:shd w:val="clear" w:color="auto" w:fill="auto"/>
          <w:lang w:val="en-US" w:eastAsia="zh-CN" w:bidi="ar"/>
        </w:rPr>
        <w:t>服务为引领、文旅融合为特色、</w:t>
      </w:r>
      <w:r>
        <w:rPr>
          <w:rFonts w:hint="eastAsia" w:ascii="Times New Roman" w:hAnsi="Times New Roman" w:eastAsia="仿宋_GB2312" w:cs="Times New Roman"/>
          <w:bCs/>
          <w:snapToGrid/>
          <w:color w:val="000000"/>
          <w:kern w:val="0"/>
          <w:sz w:val="32"/>
          <w:szCs w:val="32"/>
          <w:shd w:val="clear" w:color="auto" w:fill="auto"/>
          <w:lang w:val="en-US" w:eastAsia="zh-CN" w:bidi="ar"/>
        </w:rPr>
        <w:t>居民</w:t>
      </w:r>
      <w:r>
        <w:rPr>
          <w:rFonts w:hint="default" w:ascii="Times New Roman" w:hAnsi="Times New Roman" w:eastAsia="仿宋_GB2312" w:cs="Times New Roman"/>
          <w:bCs/>
          <w:snapToGrid/>
          <w:color w:val="000000"/>
          <w:kern w:val="0"/>
          <w:sz w:val="32"/>
          <w:szCs w:val="32"/>
          <w:shd w:val="clear" w:color="auto" w:fill="auto"/>
          <w:lang w:val="en-US" w:eastAsia="zh-CN" w:bidi="ar"/>
        </w:rPr>
        <w:t>服务为支撑的现代服务业发展新格局，服务业发展态势平稳向好、质效稳步提升、品牌持续彰显，服务业增加值连续五年实现较快增长，服务业持续发挥经济增长“稳定器”作用。2025年，服务业增加值</w:t>
      </w:r>
      <w:r>
        <w:rPr>
          <w:rFonts w:hint="eastAsia" w:ascii="Times New Roman" w:hAnsi="Times New Roman" w:eastAsia="仿宋_GB2312" w:cs="Times New Roman"/>
          <w:bCs/>
          <w:snapToGrid/>
          <w:color w:val="000000"/>
          <w:kern w:val="0"/>
          <w:sz w:val="32"/>
          <w:szCs w:val="32"/>
          <w:shd w:val="clear" w:color="auto" w:fill="auto"/>
          <w:lang w:val="en-US" w:eastAsia="zh-CN" w:bidi="ar"/>
        </w:rPr>
        <w:t>达到</w:t>
      </w:r>
      <w:r>
        <w:rPr>
          <w:rFonts w:hint="default" w:ascii="Times New Roman" w:hAnsi="Times New Roman" w:eastAsia="仿宋_GB2312" w:cs="Times New Roman"/>
          <w:bCs/>
          <w:snapToGrid/>
          <w:color w:val="000000"/>
          <w:kern w:val="0"/>
          <w:sz w:val="32"/>
          <w:szCs w:val="32"/>
          <w:shd w:val="clear" w:color="auto" w:fill="auto"/>
          <w:lang w:val="en-US" w:eastAsia="zh-CN" w:bidi="ar"/>
        </w:rPr>
        <w:t>9599.5亿元，占GDP比重为69.05%，占全省服务业总量的49.78%，</w:t>
      </w:r>
      <w:r>
        <w:rPr>
          <w:rFonts w:hint="eastAsia" w:ascii="Times New Roman" w:hAnsi="Times New Roman" w:eastAsia="仿宋_GB2312" w:cs="Times New Roman"/>
          <w:bCs/>
          <w:snapToGrid/>
          <w:color w:val="000000"/>
          <w:kern w:val="0"/>
          <w:sz w:val="32"/>
          <w:szCs w:val="32"/>
          <w:shd w:val="clear" w:color="auto" w:fill="auto"/>
          <w:lang w:val="en-US" w:eastAsia="zh-CN" w:bidi="ar"/>
        </w:rPr>
        <w:t>服务业</w:t>
      </w:r>
      <w:r>
        <w:rPr>
          <w:rFonts w:hint="default" w:ascii="Times New Roman" w:hAnsi="Times New Roman" w:eastAsia="仿宋_GB2312" w:cs="Times New Roman"/>
          <w:bCs/>
          <w:snapToGrid/>
          <w:color w:val="000000"/>
          <w:kern w:val="0"/>
          <w:sz w:val="32"/>
          <w:szCs w:val="32"/>
          <w:shd w:val="clear" w:color="auto" w:fill="auto"/>
          <w:lang w:val="en-US" w:eastAsia="zh-CN" w:bidi="ar"/>
        </w:rPr>
        <w:t>税收贡献持续稳定在总量的七成以上。</w:t>
      </w:r>
    </w:p>
    <w:p w14:paraId="67B3F20E">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val="0"/>
          <w:snapToGrid/>
          <w:color w:val="000000"/>
          <w:kern w:val="0"/>
          <w:sz w:val="32"/>
          <w:szCs w:val="32"/>
          <w:shd w:val="clear" w:color="auto" w:fill="auto"/>
          <w:lang w:val="en-US" w:eastAsia="zh-CN" w:bidi="ar"/>
        </w:rPr>
        <w:t>产业结构持续优化。</w:t>
      </w:r>
      <w:r>
        <w:rPr>
          <w:rFonts w:hint="default" w:ascii="Times New Roman" w:hAnsi="Times New Roman" w:eastAsia="仿宋_GB2312" w:cs="Times New Roman"/>
          <w:sz w:val="32"/>
          <w:szCs w:val="32"/>
          <w:lang w:val="en-US" w:eastAsia="zh-CN"/>
        </w:rPr>
        <w:t>加快生产性服务业与先进制造业深度融合步伐，扎实推动产业链延链补链强链、价值链提质增效升级，重点行业数字化升级、数智化改造成效显著，生产性服务业加速向价值链高端攀升，“西安服务”品牌辐射、引领、带动功能持续增强，科技服务业、现代金融业、信息服务业、现代物流业等实现较快增长，成为支撑先进制造业强市的关键支撑。</w:t>
      </w:r>
      <w:r>
        <w:rPr>
          <w:rFonts w:hint="eastAsia" w:ascii="Times New Roman" w:hAnsi="Times New Roman" w:eastAsia="仿宋_GB2312" w:cs="Times New Roman"/>
          <w:sz w:val="32"/>
          <w:szCs w:val="32"/>
          <w:lang w:val="en-US" w:eastAsia="zh-CN"/>
        </w:rPr>
        <w:t>高新</w:t>
      </w:r>
      <w:r>
        <w:rPr>
          <w:rFonts w:hint="default" w:ascii="Times New Roman" w:hAnsi="Times New Roman" w:eastAsia="仿宋_GB2312" w:cs="Times New Roman"/>
          <w:sz w:val="32"/>
          <w:szCs w:val="32"/>
          <w:lang w:val="en-US" w:eastAsia="zh-CN"/>
        </w:rPr>
        <w:t>软件园在“中国软件高质量发展TOP30”中排名全国第5。2025年，生产性服务业</w:t>
      </w:r>
      <w:r>
        <w:rPr>
          <w:rFonts w:hint="eastAsia" w:ascii="Times New Roman" w:hAnsi="Times New Roman" w:eastAsia="仿宋_GB2312" w:cs="Times New Roman"/>
          <w:sz w:val="32"/>
          <w:szCs w:val="32"/>
          <w:lang w:val="en-US" w:eastAsia="zh-CN"/>
        </w:rPr>
        <w:t>总收入达到</w:t>
      </w:r>
      <w:r>
        <w:rPr>
          <w:rFonts w:hint="default" w:ascii="Times New Roman" w:hAnsi="Times New Roman" w:eastAsia="仿宋_GB2312" w:cs="Times New Roman"/>
          <w:sz w:val="32"/>
          <w:szCs w:val="32"/>
          <w:lang w:val="en-US" w:eastAsia="zh-CN"/>
        </w:rPr>
        <w:t>5319.27亿元，生产性服务业增加值占GDP比重达到33%。</w:t>
      </w:r>
    </w:p>
    <w:p w14:paraId="6B779CC6">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val="0"/>
          <w:snapToGrid/>
          <w:color w:val="000000"/>
          <w:kern w:val="0"/>
          <w:sz w:val="32"/>
          <w:szCs w:val="32"/>
          <w:shd w:val="clear" w:color="auto" w:fill="auto"/>
          <w:lang w:val="en-US" w:eastAsia="zh-CN" w:bidi="ar"/>
        </w:rPr>
        <w:t>服务消费日益繁荣。</w:t>
      </w:r>
      <w:r>
        <w:rPr>
          <w:rFonts w:hint="default" w:ascii="Times New Roman" w:hAnsi="Times New Roman" w:eastAsia="仿宋_GB2312" w:cs="Times New Roman"/>
          <w:sz w:val="32"/>
          <w:szCs w:val="32"/>
          <w:lang w:val="en-US" w:eastAsia="zh-CN"/>
        </w:rPr>
        <w:t>西安市精准施策促消费，大力推进国际消费中心城市</w:t>
      </w:r>
      <w:r>
        <w:rPr>
          <w:rFonts w:hint="eastAsia" w:ascii="Times New Roman" w:hAnsi="Times New Roman" w:eastAsia="仿宋_GB2312" w:cs="Times New Roman"/>
          <w:sz w:val="32"/>
          <w:szCs w:val="32"/>
          <w:lang w:val="en-US" w:eastAsia="zh-CN"/>
        </w:rPr>
        <w:t>培育创建</w:t>
      </w:r>
      <w:r>
        <w:rPr>
          <w:rFonts w:hint="default" w:ascii="Times New Roman" w:hAnsi="Times New Roman" w:eastAsia="仿宋_GB2312" w:cs="Times New Roman"/>
          <w:sz w:val="32"/>
          <w:szCs w:val="32"/>
          <w:lang w:val="en-US" w:eastAsia="zh-CN"/>
        </w:rPr>
        <w:t>，服务消费供给提质扩容，消费体验不断优化升级，服务消费市场活力充分释放，票根经济、谷子经济、银发经济等新业态方兴未艾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短视频、数字文创IP授权交易、“长安十二时辰”线上衍生品等新业态消费规模快速增长，成为拉动消费升级的新亮点。“一刻钟便民生活圈”覆盖率达90%，民生服务保障能力显著增强，居民获得感、幸福感、安全感持续提升。成功获批首批国家文化和旅游消费试点、全国零售业创新提升试点、消费新业态新模式新场景试点等</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2025年，社会消费品零售总额5721.21亿元。</w:t>
      </w:r>
    </w:p>
    <w:p w14:paraId="31B48067">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val="0"/>
          <w:snapToGrid/>
          <w:color w:val="000000"/>
          <w:kern w:val="0"/>
          <w:sz w:val="32"/>
          <w:szCs w:val="32"/>
          <w:shd w:val="clear" w:color="auto" w:fill="auto"/>
          <w:lang w:val="en-US" w:eastAsia="zh-CN" w:bidi="ar"/>
        </w:rPr>
        <w:t>集聚效应强势释放。</w:t>
      </w:r>
      <w:r>
        <w:rPr>
          <w:rFonts w:hint="default" w:ascii="Times New Roman" w:hAnsi="Times New Roman" w:eastAsia="仿宋_GB2312" w:cs="Times New Roman"/>
          <w:sz w:val="32"/>
          <w:szCs w:val="32"/>
          <w:lang w:val="en-US" w:eastAsia="zh-CN"/>
        </w:rPr>
        <w:t>顺应技术革命、产业变革、消费升级的趋势，加快服务业要素集聚，发挥龙头企业带动，完善专业协作配套，积极支持区县、开发区立足各自发展阶段和比较优势，引导信息、金融、物流、设计、商务服务等行业集聚发展，培育形成主体功能突出、特色产业鲜明的服务业区域，“城区转型升级、开发区（新区）创新驱动、六域协同拓展、多点特色支撑”服务业发展格局加速成型。2025年，市级服务业集聚区累计达到</w:t>
      </w:r>
      <w:r>
        <w:rPr>
          <w:rFonts w:hint="eastAsia" w:ascii="Times New Roman" w:hAnsi="Times New Roman" w:eastAsia="仿宋_GB2312" w:cs="Times New Roman"/>
          <w:sz w:val="32"/>
          <w:szCs w:val="32"/>
          <w:lang w:val="en-US" w:eastAsia="zh-CN"/>
        </w:rPr>
        <w:t>36</w:t>
      </w:r>
      <w:r>
        <w:rPr>
          <w:rFonts w:hint="default" w:ascii="Times New Roman" w:hAnsi="Times New Roman" w:eastAsia="仿宋_GB2312" w:cs="Times New Roman"/>
          <w:sz w:val="32"/>
          <w:szCs w:val="32"/>
          <w:lang w:val="en-US" w:eastAsia="zh-CN"/>
        </w:rPr>
        <w:t>个，集聚市场主体近4万家，规上服务业企业总数达到3000家。</w:t>
      </w:r>
    </w:p>
    <w:p w14:paraId="74AA7101">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val="0"/>
          <w:snapToGrid/>
          <w:color w:val="000000"/>
          <w:kern w:val="0"/>
          <w:sz w:val="32"/>
          <w:szCs w:val="32"/>
          <w:shd w:val="clear" w:color="auto" w:fill="auto"/>
          <w:lang w:val="en-US" w:eastAsia="zh-CN" w:bidi="ar"/>
        </w:rPr>
        <w:t>创新动能持续涌现。</w:t>
      </w:r>
      <w:r>
        <w:rPr>
          <w:rFonts w:hint="default" w:ascii="Times New Roman" w:hAnsi="Times New Roman" w:eastAsia="仿宋_GB2312" w:cs="Times New Roman"/>
          <w:sz w:val="32"/>
          <w:szCs w:val="32"/>
          <w:lang w:val="en-US" w:eastAsia="zh-CN"/>
        </w:rPr>
        <w:t>稳步推进西安区域科技创新中心建设，加快科技创新和产业创新深度融合，以场景开放促进新技术新产品规模化市场化应用，光子集成产业中试平台入选首批国家级制造业中试平台，服务业创新型市场主体加速成长，以中软国际、中电西北院、中电建西北院、西安华为、软通动力、西安</w:t>
      </w:r>
      <w:r>
        <w:rPr>
          <w:rFonts w:hint="eastAsia" w:ascii="Times New Roman" w:hAnsi="Times New Roman" w:eastAsia="仿宋_GB2312" w:cs="Times New Roman"/>
          <w:sz w:val="32"/>
          <w:szCs w:val="32"/>
          <w:lang w:val="en-US" w:eastAsia="zh-CN"/>
        </w:rPr>
        <w:t>国际</w:t>
      </w:r>
      <w:r>
        <w:rPr>
          <w:rFonts w:hint="default" w:ascii="Times New Roman" w:hAnsi="Times New Roman" w:eastAsia="仿宋_GB2312" w:cs="Times New Roman"/>
          <w:sz w:val="32"/>
          <w:szCs w:val="32"/>
          <w:lang w:val="en-US" w:eastAsia="zh-CN"/>
        </w:rPr>
        <w:t>港等为代表的创新型服务业企业矩阵加速形成。2025年，每万人发明专利拥有量达到95.3件，高新技术企业、科技型中小企业分别突破1.6万家、2万家，技术合同成交额4805.7亿元，国家创新型城市创新能力排名提升至第6位。</w:t>
      </w:r>
    </w:p>
    <w:p w14:paraId="27119CF3">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val="0"/>
          <w:snapToGrid/>
          <w:color w:val="000000"/>
          <w:kern w:val="0"/>
          <w:sz w:val="32"/>
          <w:szCs w:val="32"/>
          <w:shd w:val="clear" w:color="auto" w:fill="auto"/>
          <w:lang w:val="en-US" w:eastAsia="zh-CN" w:bidi="ar"/>
        </w:rPr>
        <w:t>开放格局纵深推进。</w:t>
      </w:r>
      <w:r>
        <w:rPr>
          <w:rFonts w:hint="default" w:ascii="Times New Roman" w:hAnsi="Times New Roman" w:eastAsia="仿宋_GB2312" w:cs="Times New Roman"/>
          <w:sz w:val="32"/>
          <w:szCs w:val="32"/>
          <w:lang w:val="en-US" w:eastAsia="zh-CN"/>
        </w:rPr>
        <w:t>西安市服务业对外开放的广度与深度持续拓展，服务贸易创新发展各项试点任务顺利完成，中国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中亚峰会影响力持久释放，对外交流合作日益紧密，国际化程度实现显著跃升。在全国率先实现中亚“五国八城”客运航线全覆盖，</w:t>
      </w:r>
      <w:r>
        <w:rPr>
          <w:rFonts w:hint="default" w:ascii="Times New Roman" w:hAnsi="Times New Roman" w:eastAsia="仿宋_GB2312" w:cs="Times New Roman"/>
          <w:bCs/>
          <w:snapToGrid/>
          <w:color w:val="000000"/>
          <w:kern w:val="0"/>
          <w:sz w:val="32"/>
          <w:szCs w:val="32"/>
          <w:shd w:val="clear" w:color="auto" w:fill="auto"/>
          <w:lang w:val="en-US" w:eastAsia="zh-CN" w:bidi="ar"/>
        </w:rPr>
        <w:t>中欧班列（西安）国际运输干线覆盖欧亚大陆，</w:t>
      </w:r>
      <w:r>
        <w:rPr>
          <w:rFonts w:hint="default" w:ascii="Times New Roman" w:hAnsi="Times New Roman" w:eastAsia="仿宋_GB2312" w:cs="Times New Roman"/>
          <w:sz w:val="32"/>
          <w:szCs w:val="32"/>
          <w:lang w:val="en-US" w:eastAsia="zh-CN"/>
        </w:rPr>
        <w:t>西安国际航空枢纽与中欧班列西安集结中心对外综合服务能力显著提升。西安成为全国首个不靠海不沿江的“4枢纽+1基地”综合物流枢纽城市。2025年，中欧班列（西安）开行6037列，机场国际货邮吞吐量达7.56万吨，服务贸易进出口额693亿元，其中，知识密集型服务贸易进出口占比33.0%。</w:t>
      </w:r>
    </w:p>
    <w:p w14:paraId="63D04713">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9" w:name="_Toc13119"/>
      <w:r>
        <w:rPr>
          <w:rFonts w:hint="default" w:ascii="Times New Roman" w:hAnsi="Times New Roman" w:eastAsia="楷体" w:cs="Times New Roman"/>
          <w:b w:val="0"/>
          <w:bCs/>
          <w:lang w:val="en-US" w:eastAsia="zh-CN"/>
        </w:rPr>
        <w:t>（二）发展环境</w:t>
      </w:r>
      <w:bookmarkEnd w:id="7"/>
      <w:bookmarkEnd w:id="8"/>
      <w:bookmarkEnd w:id="9"/>
    </w:p>
    <w:p w14:paraId="21D16E4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r>
        <w:rPr>
          <w:rFonts w:hint="default" w:ascii="Times New Roman" w:hAnsi="Times New Roman" w:eastAsia="仿宋_GB2312" w:cs="Times New Roman"/>
          <w:bCs/>
          <w:snapToGrid/>
          <w:color w:val="000000"/>
          <w:kern w:val="0"/>
          <w:sz w:val="32"/>
          <w:szCs w:val="32"/>
          <w:shd w:val="clear" w:color="auto" w:fill="auto"/>
          <w:lang w:val="en-US" w:eastAsia="zh-CN" w:bidi="ar"/>
        </w:rPr>
        <w:t>“十五五”时期，是西安夯实基础、全面发力、追赶超越、先行示范的关键时期，人口结构变化、消费结构升级和产业结构转型趋势愈发明显，服务业在推动城市内涵式高质量发展过程中，能够实现量的合理增长和质的有效提升，奋力谱写支撑经济社会突破性发展的崭新篇章。</w:t>
      </w:r>
    </w:p>
    <w:p w14:paraId="0BD47F0C">
      <w:pPr>
        <w:keepNext w:val="0"/>
        <w:keepLines w:val="0"/>
        <w:pageBreakBefore w:val="0"/>
        <w:widowControl w:val="0"/>
        <w:numPr>
          <w:ilvl w:val="0"/>
          <w:numId w:val="0"/>
        </w:numPr>
        <w:tabs>
          <w:tab w:val="left" w:pos="5460"/>
        </w:tabs>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r>
        <w:rPr>
          <w:rFonts w:hint="default" w:ascii="Times New Roman" w:hAnsi="Times New Roman" w:eastAsia="仿宋_GB2312" w:cs="Times New Roman"/>
          <w:bCs/>
          <w:snapToGrid/>
          <w:color w:val="000000"/>
          <w:kern w:val="0"/>
          <w:sz w:val="32"/>
          <w:szCs w:val="32"/>
          <w:shd w:val="clear" w:color="auto" w:fill="auto"/>
          <w:lang w:val="en-US" w:eastAsia="zh-CN" w:bidi="ar"/>
        </w:rPr>
        <w:t>产业转型升级催生新需求。“十五五”时期是西安产业加快转型升级，构建符合先进性、安全性要求的现代化产业体系，产业智能化、绿色化、融合化趋势更加明星，对服务业特别是生产性服务业的支撑赋能将产生巨大需求。现代服务业与先进制造业、现代农业融合将持续深化，产业演进服务化特征将推动生产性服务业向专业化和价值链高端延伸。</w:t>
      </w:r>
    </w:p>
    <w:p w14:paraId="6C7A5E30">
      <w:pPr>
        <w:keepNext w:val="0"/>
        <w:keepLines w:val="0"/>
        <w:pageBreakBefore w:val="0"/>
        <w:widowControl w:val="0"/>
        <w:numPr>
          <w:ilvl w:val="0"/>
          <w:numId w:val="0"/>
        </w:numPr>
        <w:tabs>
          <w:tab w:val="left" w:pos="5460"/>
        </w:tabs>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r>
        <w:rPr>
          <w:rFonts w:hint="default" w:ascii="Times New Roman" w:hAnsi="Times New Roman" w:eastAsia="仿宋_GB2312" w:cs="Times New Roman"/>
          <w:bCs/>
          <w:snapToGrid/>
          <w:color w:val="000000"/>
          <w:kern w:val="0"/>
          <w:sz w:val="32"/>
          <w:szCs w:val="32"/>
          <w:shd w:val="clear" w:color="auto" w:fill="auto"/>
          <w:lang w:val="en-US" w:eastAsia="zh-CN" w:bidi="ar"/>
        </w:rPr>
        <w:t>居民消费提质孕育新空间。“十五五”时期西安居民收入与经济增长保持同步，将进一步得到合理提升，居民消费升级和人口结构变化将带来服务业态创新发展和消费模式转变，为生活性服务业扩容提供新动能。“一老一小”服务需求日益迫切，引领养老、家政、托育等民生服务新供给，带动即时零售、社交服务等生活性服务业需求扩张。</w:t>
      </w:r>
    </w:p>
    <w:p w14:paraId="25A224D0">
      <w:pPr>
        <w:keepNext w:val="0"/>
        <w:keepLines w:val="0"/>
        <w:pageBreakBefore w:val="0"/>
        <w:widowControl w:val="0"/>
        <w:numPr>
          <w:ilvl w:val="0"/>
          <w:numId w:val="0"/>
        </w:numPr>
        <w:tabs>
          <w:tab w:val="left" w:pos="5460"/>
        </w:tabs>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r>
        <w:rPr>
          <w:rFonts w:hint="default" w:ascii="Times New Roman" w:hAnsi="Times New Roman" w:eastAsia="仿宋_GB2312" w:cs="Times New Roman"/>
          <w:bCs/>
          <w:snapToGrid/>
          <w:color w:val="000000"/>
          <w:kern w:val="0"/>
          <w:sz w:val="32"/>
          <w:szCs w:val="32"/>
          <w:shd w:val="clear" w:color="auto" w:fill="auto"/>
          <w:lang w:val="en-US" w:eastAsia="zh-CN" w:bidi="ar"/>
        </w:rPr>
        <w:t>技术加速渗透塑造新场景。“十五五”时期，人工智能、大数据、云计算为代表的数字技术全面渗透西安经济社会发展各个领域，推动服务场景加快突破空间和时间限制，云旅游、互联网医疗、在线教育、直播零售等新场景不断涌现，无人配送、智能客服、无人零售等新模式新业态层出不穷，推动服务业供给方式重塑。</w:t>
      </w:r>
    </w:p>
    <w:p w14:paraId="43CB9478">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r>
        <w:rPr>
          <w:rFonts w:hint="default" w:ascii="Times New Roman" w:hAnsi="Times New Roman" w:eastAsia="仿宋_GB2312" w:cs="Times New Roman"/>
          <w:bCs/>
          <w:snapToGrid/>
          <w:color w:val="000000"/>
          <w:kern w:val="0"/>
          <w:sz w:val="32"/>
          <w:szCs w:val="32"/>
          <w:shd w:val="clear" w:color="auto" w:fill="auto"/>
          <w:lang w:val="en-US" w:eastAsia="zh-CN" w:bidi="ar"/>
        </w:rPr>
        <w:t>改革开放深化注入新活力。“十五五”时期，西安肩负服务业扩大开放综合试点任务，扩大电信、医疗、</w:t>
      </w:r>
      <w:r>
        <w:rPr>
          <w:rFonts w:hint="eastAsia" w:ascii="Times New Roman" w:hAnsi="Times New Roman" w:eastAsia="仿宋_GB2312" w:cs="Times New Roman"/>
          <w:bCs/>
          <w:snapToGrid/>
          <w:color w:val="000000"/>
          <w:kern w:val="0"/>
          <w:sz w:val="32"/>
          <w:szCs w:val="32"/>
          <w:shd w:val="clear" w:color="auto" w:fill="auto"/>
          <w:lang w:val="en-US" w:eastAsia="zh-CN" w:bidi="ar"/>
        </w:rPr>
        <w:t>科技</w:t>
      </w:r>
      <w:r>
        <w:rPr>
          <w:rFonts w:hint="default" w:ascii="Times New Roman" w:hAnsi="Times New Roman" w:eastAsia="仿宋_GB2312" w:cs="Times New Roman"/>
          <w:bCs/>
          <w:snapToGrid/>
          <w:color w:val="000000"/>
          <w:kern w:val="0"/>
          <w:sz w:val="32"/>
          <w:szCs w:val="32"/>
          <w:shd w:val="clear" w:color="auto" w:fill="auto"/>
          <w:lang w:val="en-US" w:eastAsia="zh-CN" w:bidi="ar"/>
        </w:rPr>
        <w:t>创新、</w:t>
      </w:r>
      <w:r>
        <w:rPr>
          <w:rFonts w:hint="eastAsia" w:ascii="Times New Roman" w:hAnsi="Times New Roman" w:eastAsia="仿宋_GB2312" w:cs="Times New Roman"/>
          <w:bCs/>
          <w:snapToGrid/>
          <w:color w:val="000000"/>
          <w:kern w:val="0"/>
          <w:sz w:val="32"/>
          <w:szCs w:val="32"/>
          <w:shd w:val="clear" w:color="auto" w:fill="auto"/>
          <w:lang w:val="en-US" w:eastAsia="zh-CN" w:bidi="ar"/>
        </w:rPr>
        <w:t>交通</w:t>
      </w:r>
      <w:r>
        <w:rPr>
          <w:rFonts w:hint="default" w:ascii="Times New Roman" w:hAnsi="Times New Roman" w:eastAsia="仿宋_GB2312" w:cs="Times New Roman"/>
          <w:bCs/>
          <w:snapToGrid/>
          <w:color w:val="000000"/>
          <w:kern w:val="0"/>
          <w:sz w:val="32"/>
          <w:szCs w:val="32"/>
          <w:shd w:val="clear" w:color="auto" w:fill="auto"/>
          <w:lang w:val="en-US" w:eastAsia="zh-CN" w:bidi="ar"/>
        </w:rPr>
        <w:t>运输等领域开放，将为服务业破除体制障碍、拓展发展空间提供制度保障。成功获批建设国家服务贸易创新发展示范区，服务贸易、数字贸易加快发展，将继续打造“西安服务”品牌，提升西安服务业国际竞争力和全球资源配置能力。</w:t>
      </w:r>
    </w:p>
    <w:p w14:paraId="2EDDA349">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与此同时，</w:t>
      </w:r>
      <w:r>
        <w:rPr>
          <w:rFonts w:hint="default" w:ascii="Times New Roman" w:hAnsi="Times New Roman" w:eastAsia="仿宋_GB2312" w:cs="Times New Roman"/>
          <w:sz w:val="32"/>
          <w:szCs w:val="32"/>
        </w:rPr>
        <w:t>“十</w:t>
      </w:r>
      <w:r>
        <w:rPr>
          <w:rFonts w:hint="default"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五”时期西安服务业发展也面临一些问题和挑战：供给适配能力仍需提升</w:t>
      </w:r>
      <w:r>
        <w:rPr>
          <w:rFonts w:hint="default" w:ascii="Times New Roman" w:hAnsi="Times New Roman" w:eastAsia="仿宋_GB2312" w:cs="Times New Roman"/>
          <w:sz w:val="32"/>
          <w:szCs w:val="32"/>
          <w:lang w:eastAsia="zh-CN"/>
        </w:rPr>
        <w:t>，养老、托育、家政、体育等生活性服务业高质量供给不足、便利化程度不高；有效需求不足制约发展空间，工业综合实力不够强劲，难以牵引带动生产性服务业扩能提质；支持政策体系尚不完善，现有政策难以支撑服务业细分行业高质量发展；优质企业数量有待扩围，</w:t>
      </w:r>
      <w:r>
        <w:rPr>
          <w:rFonts w:hint="default" w:ascii="Times New Roman" w:hAnsi="Times New Roman" w:eastAsia="仿宋_GB2312" w:cs="Times New Roman"/>
          <w:bCs/>
          <w:snapToGrid/>
          <w:color w:val="000000"/>
          <w:kern w:val="2"/>
          <w:sz w:val="32"/>
          <w:szCs w:val="32"/>
          <w:lang w:val="en-US" w:eastAsia="zh-CN" w:bidi="ar-SA"/>
        </w:rPr>
        <w:t>缺乏具有全国乃至国际影响力的本土服务业龙头企业和品牌。</w:t>
      </w:r>
    </w:p>
    <w:p w14:paraId="12426F1E">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r>
        <w:rPr>
          <w:rFonts w:hint="default" w:ascii="Times New Roman" w:hAnsi="Times New Roman" w:eastAsia="仿宋_GB2312" w:cs="Times New Roman"/>
          <w:bCs/>
          <w:snapToGrid/>
          <w:color w:val="000000"/>
          <w:kern w:val="2"/>
          <w:sz w:val="32"/>
          <w:szCs w:val="32"/>
          <w:lang w:val="en-US" w:eastAsia="zh-CN" w:bidi="ar-SA"/>
        </w:rPr>
        <w:t>综合研判，</w:t>
      </w:r>
      <w:r>
        <w:rPr>
          <w:rFonts w:hint="default" w:ascii="Times New Roman" w:hAnsi="Times New Roman" w:eastAsia="仿宋_GB2312" w:cs="Times New Roman"/>
          <w:sz w:val="32"/>
          <w:szCs w:val="32"/>
        </w:rPr>
        <w:t>“十</w:t>
      </w:r>
      <w:r>
        <w:rPr>
          <w:rFonts w:hint="default"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五”</w:t>
      </w:r>
      <w:r>
        <w:rPr>
          <w:rFonts w:hint="default" w:ascii="Times New Roman" w:hAnsi="Times New Roman" w:eastAsia="仿宋_GB2312" w:cs="Times New Roman"/>
          <w:bCs/>
          <w:snapToGrid/>
          <w:color w:val="000000"/>
          <w:kern w:val="2"/>
          <w:sz w:val="32"/>
          <w:szCs w:val="32"/>
          <w:lang w:val="en-US" w:eastAsia="zh-CN" w:bidi="ar-SA"/>
        </w:rPr>
        <w:t>时期将是西安服务业实现战略性转型与系统性重构的历史性机遇期，必须紧扣国家中心城市核心定位，将强大的交通枢纽功能、深厚的历史文化底蕴与富集的科创人才资源，全面转化为服务业优质高效发展的核心优势，着力推动服务业向高端化、融合化、国际化方向攻坚突破，铸就现代产业体系的硬核支撑</w:t>
      </w:r>
      <w:r>
        <w:rPr>
          <w:rFonts w:hint="default" w:ascii="Times New Roman" w:hAnsi="Times New Roman" w:eastAsia="仿宋_GB2312" w:cs="Times New Roman"/>
          <w:bCs/>
          <w:snapToGrid/>
          <w:color w:val="000000"/>
          <w:kern w:val="0"/>
          <w:sz w:val="32"/>
          <w:szCs w:val="32"/>
          <w:shd w:val="clear" w:color="auto" w:fill="auto"/>
          <w:lang w:val="en-US" w:eastAsia="zh-CN" w:bidi="ar"/>
        </w:rPr>
        <w:t>。</w:t>
      </w:r>
      <w:bookmarkStart w:id="10" w:name="_Toc19189"/>
      <w:bookmarkStart w:id="11" w:name="_Toc28281"/>
    </w:p>
    <w:p w14:paraId="10297E0C">
      <w:pPr>
        <w:pStyle w:val="3"/>
        <w:keepNext/>
        <w:keepLines w:val="0"/>
        <w:pageBreakBefore w:val="0"/>
        <w:widowControl w:val="0"/>
        <w:kinsoku/>
        <w:wordWrap/>
        <w:overflowPunct w:val="0"/>
        <w:topLinePunct w:val="0"/>
        <w:autoSpaceDE/>
        <w:autoSpaceDN/>
        <w:bidi w:val="0"/>
        <w:adjustRightInd w:val="0"/>
        <w:snapToGrid w:val="0"/>
        <w:spacing w:line="600" w:lineRule="exact"/>
        <w:ind w:leftChars="0"/>
        <w:jc w:val="left"/>
        <w:textAlignment w:val="baseline"/>
        <w:rPr>
          <w:rFonts w:hint="default" w:ascii="Times New Roman" w:hAnsi="Times New Roman" w:eastAsia="黑体" w:cs="Times New Roman"/>
          <w:b w:val="0"/>
          <w:bCs/>
          <w:sz w:val="32"/>
          <w:szCs w:val="32"/>
          <w:lang w:val="en-US" w:eastAsia="zh-CN"/>
        </w:rPr>
      </w:pPr>
      <w:bookmarkStart w:id="12" w:name="_Toc426"/>
      <w:r>
        <w:rPr>
          <w:rFonts w:hint="default" w:ascii="Times New Roman" w:hAnsi="Times New Roman" w:eastAsia="黑体" w:cs="Times New Roman"/>
          <w:b w:val="0"/>
          <w:bCs/>
          <w:sz w:val="32"/>
          <w:szCs w:val="32"/>
          <w:lang w:val="en-US" w:eastAsia="zh-CN"/>
        </w:rPr>
        <w:t>二、总体要求</w:t>
      </w:r>
      <w:bookmarkEnd w:id="10"/>
      <w:bookmarkEnd w:id="11"/>
      <w:bookmarkEnd w:id="12"/>
    </w:p>
    <w:p w14:paraId="56181EAE">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13" w:name="_Toc31621"/>
      <w:bookmarkStart w:id="14" w:name="_Toc7740"/>
      <w:bookmarkStart w:id="15" w:name="_Toc8404"/>
      <w:r>
        <w:rPr>
          <w:rFonts w:hint="default" w:ascii="Times New Roman" w:hAnsi="Times New Roman" w:eastAsia="楷体" w:cs="Times New Roman"/>
          <w:b w:val="0"/>
          <w:bCs/>
          <w:lang w:val="en-US" w:eastAsia="zh-CN"/>
        </w:rPr>
        <w:t>（一）</w:t>
      </w:r>
      <w:bookmarkEnd w:id="13"/>
      <w:bookmarkEnd w:id="14"/>
      <w:r>
        <w:rPr>
          <w:rFonts w:hint="default" w:ascii="Times New Roman" w:hAnsi="Times New Roman" w:eastAsia="楷体" w:cs="Times New Roman"/>
          <w:b w:val="0"/>
          <w:bCs/>
          <w:lang w:val="en-US" w:eastAsia="zh-CN"/>
        </w:rPr>
        <w:t>指导思想</w:t>
      </w:r>
      <w:bookmarkEnd w:id="15"/>
    </w:p>
    <w:p w14:paraId="466E2A92">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bookmarkStart w:id="16" w:name="_Toc1933"/>
      <w:bookmarkStart w:id="17" w:name="_Toc3787"/>
      <w:r>
        <w:rPr>
          <w:rFonts w:hint="default" w:ascii="Times New Roman" w:hAnsi="Times New Roman" w:eastAsia="仿宋_GB2312" w:cs="Times New Roman"/>
          <w:bCs/>
          <w:snapToGrid/>
          <w:color w:val="000000"/>
          <w:kern w:val="0"/>
          <w:sz w:val="32"/>
          <w:szCs w:val="32"/>
          <w:shd w:val="clear" w:color="auto" w:fill="auto"/>
          <w:lang w:val="en-US" w:eastAsia="zh-CN" w:bidi="ar"/>
        </w:rPr>
        <w:t>以习近平新时代中国特色社会主义思想为指导，深入贯彻党的二十大和二十届历次全会精神，贯通落实习近平总书记关于服务业发展的重要指示和历次来陕考察重要讲话重要指示，完整准确全面贯彻新发展理念，更加主动融入和服务构建新发展格局，突出需求牵引、改革攻坚、科技赋能、开放合作，全面展现“西部示范、西安先行”格局担当，以满足生产需求和生活需要为目标，优化服务经济空间布局，加大场景培育和开放应用，实施服务业扩能提质行动，加力培育壮大服务业经营主体，分领域推进生产性服务业向专业化和价值链高端延伸，多举措促进生活性服务业高品质和便利化升级，加快构建“6+5+N”优质高效服务业新体系，为中国式现代化西安实践取得决定性进展提供坚实支撑。</w:t>
      </w:r>
    </w:p>
    <w:p w14:paraId="6ADB86C0">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18" w:name="_Toc10818"/>
      <w:r>
        <w:rPr>
          <w:rFonts w:hint="default" w:ascii="Times New Roman" w:hAnsi="Times New Roman" w:eastAsia="楷体" w:cs="Times New Roman"/>
          <w:b w:val="0"/>
          <w:bCs/>
          <w:lang w:val="en-US" w:eastAsia="zh-CN"/>
        </w:rPr>
        <w:t>（二）基本原则</w:t>
      </w:r>
      <w:bookmarkEnd w:id="16"/>
      <w:bookmarkEnd w:id="17"/>
      <w:bookmarkEnd w:id="18"/>
    </w:p>
    <w:p w14:paraId="6AD0D0AB">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坚持双轮发力。</w:t>
      </w:r>
      <w:r>
        <w:rPr>
          <w:rFonts w:hint="default" w:ascii="Times New Roman" w:hAnsi="Times New Roman" w:eastAsia="仿宋_GB2312" w:cs="Times New Roman"/>
          <w:bCs/>
          <w:snapToGrid/>
          <w:color w:val="000000"/>
          <w:kern w:val="2"/>
          <w:sz w:val="32"/>
          <w:szCs w:val="32"/>
          <w:lang w:val="en-US" w:eastAsia="zh-CN" w:bidi="ar-SA"/>
        </w:rPr>
        <w:t>充分发挥市场在资源配置中的决定性作用，强化企业创新主体和投资主体地位，激发各类经营主体敢闯敢投、做优做强。更好发挥政府作用，在平台建设、场景开放、政府采购等方面精准发力，护航服务业发展。</w:t>
      </w:r>
    </w:p>
    <w:p w14:paraId="5F21D8CD">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坚持创新驱动</w:t>
      </w:r>
      <w:r>
        <w:rPr>
          <w:rFonts w:hint="default" w:ascii="Times New Roman" w:hAnsi="Times New Roman" w:eastAsia="仿宋_GB2312" w:cs="Times New Roman"/>
          <w:bCs/>
          <w:snapToGrid/>
          <w:color w:val="000000"/>
          <w:kern w:val="2"/>
          <w:sz w:val="32"/>
          <w:szCs w:val="32"/>
          <w:lang w:val="en-US" w:eastAsia="zh-CN" w:bidi="ar-SA"/>
        </w:rPr>
        <w:t>。深入实施创新驱动发展战略，用技术创新锻造核心驱动力，用人才聚合释放创新能力，加速数字经济与服务业的全链渗透，加快构建科技赋能、数实融合的现代服务业发展新范式。</w:t>
      </w:r>
    </w:p>
    <w:p w14:paraId="4C8E3C4A">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坚持链群融合。</w:t>
      </w:r>
      <w:r>
        <w:rPr>
          <w:rFonts w:hint="default" w:ascii="Times New Roman" w:hAnsi="Times New Roman" w:eastAsia="仿宋_GB2312" w:cs="Times New Roman"/>
          <w:bCs/>
          <w:snapToGrid/>
          <w:color w:val="000000"/>
          <w:kern w:val="2"/>
          <w:sz w:val="32"/>
          <w:szCs w:val="32"/>
          <w:lang w:val="en-US" w:eastAsia="zh-CN" w:bidi="ar-SA"/>
        </w:rPr>
        <w:t>推动现代服务业同先进制造业、现代农业深度融合，用模式创新重塑链群生态化发展逻辑，用梯次化布局激活融合发展动能，加速工业与服务业的全链共生，加快构建跨界融合、协同共生的发展新生态。</w:t>
      </w:r>
    </w:p>
    <w:p w14:paraId="5DCDBD44">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坚持民生为本。</w:t>
      </w:r>
      <w:r>
        <w:rPr>
          <w:rFonts w:hint="default" w:ascii="Times New Roman" w:hAnsi="Times New Roman" w:eastAsia="仿宋_GB2312" w:cs="Times New Roman"/>
          <w:bCs/>
          <w:snapToGrid/>
          <w:color w:val="000000"/>
          <w:kern w:val="2"/>
          <w:sz w:val="32"/>
          <w:szCs w:val="32"/>
          <w:lang w:val="en-US" w:eastAsia="zh-CN" w:bidi="ar-SA"/>
        </w:rPr>
        <w:t>统筹扩大供给和改善民生，注重在发展中保障和改善民生，在满足民生需求中拓展发展空间，加快补齐民生短板，提升公共服务均衡性和可及性，让发展成果更多更公平惠及人民群众。</w:t>
      </w:r>
    </w:p>
    <w:p w14:paraId="0BE54F8F">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坚持开放合作</w:t>
      </w:r>
      <w:r>
        <w:rPr>
          <w:rFonts w:hint="default" w:ascii="Times New Roman" w:hAnsi="Times New Roman" w:eastAsia="仿宋_GB2312" w:cs="Times New Roman"/>
          <w:bCs/>
          <w:snapToGrid/>
          <w:color w:val="000000"/>
          <w:kern w:val="2"/>
          <w:sz w:val="32"/>
          <w:szCs w:val="32"/>
          <w:lang w:val="en-US" w:eastAsia="zh-CN" w:bidi="ar-SA"/>
        </w:rPr>
        <w:t>。依托</w:t>
      </w:r>
      <w:r>
        <w:rPr>
          <w:rFonts w:hint="eastAsia" w:ascii="Times New Roman" w:hAnsi="Times New Roman" w:eastAsia="仿宋_GB2312" w:cs="Times New Roman"/>
          <w:bCs/>
          <w:snapToGrid/>
          <w:color w:val="000000"/>
          <w:kern w:val="2"/>
          <w:sz w:val="32"/>
          <w:szCs w:val="32"/>
          <w:lang w:val="en-US" w:eastAsia="zh-CN" w:bidi="ar-SA"/>
        </w:rPr>
        <w:t>自由贸易</w:t>
      </w:r>
      <w:r>
        <w:rPr>
          <w:rFonts w:hint="default" w:ascii="Times New Roman" w:hAnsi="Times New Roman" w:eastAsia="仿宋_GB2312" w:cs="Times New Roman"/>
          <w:bCs/>
          <w:snapToGrid/>
          <w:color w:val="000000"/>
          <w:kern w:val="2"/>
          <w:sz w:val="32"/>
          <w:szCs w:val="32"/>
          <w:lang w:val="en-US" w:eastAsia="zh-CN" w:bidi="ar-SA"/>
        </w:rPr>
        <w:t>试验区、跨境</w:t>
      </w:r>
      <w:r>
        <w:rPr>
          <w:rFonts w:hint="eastAsia" w:ascii="Times New Roman" w:hAnsi="Times New Roman" w:eastAsia="仿宋_GB2312" w:cs="Times New Roman"/>
          <w:bCs/>
          <w:snapToGrid/>
          <w:color w:val="000000"/>
          <w:kern w:val="2"/>
          <w:sz w:val="32"/>
          <w:szCs w:val="32"/>
          <w:lang w:val="en-US" w:eastAsia="zh-CN" w:bidi="ar-SA"/>
        </w:rPr>
        <w:t>电子商务</w:t>
      </w:r>
      <w:r>
        <w:rPr>
          <w:rFonts w:hint="default" w:ascii="Times New Roman" w:hAnsi="Times New Roman" w:eastAsia="仿宋_GB2312" w:cs="Times New Roman"/>
          <w:bCs/>
          <w:snapToGrid/>
          <w:color w:val="000000"/>
          <w:kern w:val="2"/>
          <w:sz w:val="32"/>
          <w:szCs w:val="32"/>
          <w:lang w:val="en-US" w:eastAsia="zh-CN" w:bidi="ar-SA"/>
        </w:rPr>
        <w:t>综合试验区、服务贸易创新发展示范区等平台，高质量推进服务业扩大开放综合试点，促进“引进来”和“走出去”协同发力，有序扩大制度性开放，加快构建更高水平开放发展新格局。</w:t>
      </w:r>
    </w:p>
    <w:p w14:paraId="157F0217">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19" w:name="_Toc26937"/>
      <w:bookmarkStart w:id="20" w:name="_Toc13179"/>
      <w:bookmarkStart w:id="21" w:name="_Toc1699"/>
      <w:r>
        <w:rPr>
          <w:rFonts w:hint="default" w:ascii="Times New Roman" w:hAnsi="Times New Roman" w:eastAsia="楷体" w:cs="Times New Roman"/>
          <w:b w:val="0"/>
          <w:bCs/>
          <w:lang w:val="en-US" w:eastAsia="zh-CN"/>
        </w:rPr>
        <w:t>（三）发展目标</w:t>
      </w:r>
      <w:bookmarkEnd w:id="19"/>
      <w:bookmarkEnd w:id="20"/>
      <w:bookmarkEnd w:id="21"/>
    </w:p>
    <w:p w14:paraId="4078D14C">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到2030年，服务业发展规模迈上新台阶，产业结构实现新优化，空间布局形成新格局，智慧绿色达到新水平，开放能级实现新跃升，现代服务业对经济增长、产能升级、民生需求、消费升级、就业扩容的支撑作用更加突出，培育形成一批优质市场主体和“西安服务”品牌，</w:t>
      </w:r>
      <w:r>
        <w:rPr>
          <w:rFonts w:hint="eastAsia" w:ascii="Times New Roman" w:hAnsi="Times New Roman" w:eastAsia="仿宋_GB2312" w:cs="Times New Roman"/>
          <w:bCs/>
          <w:snapToGrid/>
          <w:color w:val="000000"/>
          <w:kern w:val="2"/>
          <w:sz w:val="32"/>
          <w:szCs w:val="32"/>
          <w:lang w:val="en-US" w:eastAsia="zh-CN" w:bidi="ar-SA"/>
        </w:rPr>
        <w:t>打造</w:t>
      </w:r>
      <w:r>
        <w:rPr>
          <w:rFonts w:hint="default" w:ascii="Times New Roman" w:hAnsi="Times New Roman" w:eastAsia="仿宋_GB2312" w:cs="Times New Roman"/>
          <w:bCs/>
          <w:snapToGrid/>
          <w:color w:val="000000"/>
          <w:kern w:val="2"/>
          <w:sz w:val="32"/>
          <w:szCs w:val="32"/>
          <w:lang w:val="en-US" w:eastAsia="zh-CN" w:bidi="ar-SA"/>
        </w:rPr>
        <w:t>具有国际影响力</w:t>
      </w:r>
      <w:r>
        <w:rPr>
          <w:rFonts w:hint="eastAsia" w:ascii="Times New Roman" w:hAnsi="Times New Roman" w:eastAsia="仿宋_GB2312" w:cs="Times New Roman"/>
          <w:bCs/>
          <w:snapToGrid/>
          <w:color w:val="000000"/>
          <w:kern w:val="2"/>
          <w:sz w:val="32"/>
          <w:szCs w:val="32"/>
          <w:lang w:val="en-US" w:eastAsia="zh-CN" w:bidi="ar-SA"/>
        </w:rPr>
        <w:t>和</w:t>
      </w:r>
      <w:r>
        <w:rPr>
          <w:rFonts w:hint="default" w:ascii="Times New Roman" w:hAnsi="Times New Roman" w:eastAsia="仿宋_GB2312" w:cs="Times New Roman"/>
          <w:bCs/>
          <w:snapToGrid/>
          <w:color w:val="000000"/>
          <w:kern w:val="2"/>
          <w:sz w:val="32"/>
          <w:szCs w:val="32"/>
          <w:lang w:val="en-US" w:eastAsia="zh-CN" w:bidi="ar-SA"/>
        </w:rPr>
        <w:t>竞争力的国家中心城市核心引擎</w:t>
      </w:r>
      <w:r>
        <w:rPr>
          <w:rFonts w:hint="eastAsia" w:ascii="Times New Roman" w:hAnsi="Times New Roman" w:eastAsia="仿宋_GB2312" w:cs="Times New Roman"/>
          <w:bCs/>
          <w:snapToGrid/>
          <w:color w:val="000000"/>
          <w:kern w:val="2"/>
          <w:sz w:val="32"/>
          <w:szCs w:val="32"/>
          <w:lang w:val="en-US" w:eastAsia="zh-CN" w:bidi="ar-SA"/>
        </w:rPr>
        <w:t>。</w:t>
      </w:r>
    </w:p>
    <w:p w14:paraId="4995BFD7">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0"/>
          <w:sz w:val="32"/>
          <w:szCs w:val="32"/>
          <w:shd w:val="clear" w:color="auto" w:fill="auto"/>
          <w:lang w:val="en-US" w:eastAsia="zh-CN" w:bidi="ar"/>
        </w:rPr>
      </w:pPr>
      <w:r>
        <w:rPr>
          <w:rFonts w:hint="default" w:ascii="Times New Roman" w:hAnsi="Times New Roman" w:eastAsia="仿宋_GB2312" w:cs="Times New Roman"/>
          <w:b/>
          <w:bCs w:val="0"/>
          <w:snapToGrid/>
          <w:color w:val="000000"/>
          <w:kern w:val="2"/>
          <w:sz w:val="32"/>
          <w:szCs w:val="32"/>
          <w:lang w:val="en-US" w:eastAsia="zh-CN" w:bidi="ar-SA"/>
        </w:rPr>
        <w:t>综合竞争力显著提升。</w:t>
      </w:r>
      <w:r>
        <w:rPr>
          <w:rFonts w:hint="default" w:ascii="Times New Roman" w:hAnsi="Times New Roman" w:eastAsia="仿宋_GB2312" w:cs="Times New Roman"/>
          <w:bCs/>
          <w:snapToGrid/>
          <w:color w:val="000000"/>
          <w:kern w:val="2"/>
          <w:sz w:val="32"/>
          <w:szCs w:val="32"/>
          <w:lang w:val="en-US" w:eastAsia="zh-CN" w:bidi="ar-SA"/>
        </w:rPr>
        <w:t>产业基础设施体系更加现代化，新技术、新模式、新业态竞相发展，服务业增加值保持平稳</w:t>
      </w:r>
      <w:r>
        <w:rPr>
          <w:rFonts w:hint="default" w:ascii="Times New Roman" w:hAnsi="Times New Roman" w:eastAsia="仿宋_GB2312" w:cs="Times New Roman"/>
          <w:bCs/>
          <w:snapToGrid/>
          <w:color w:val="000000"/>
          <w:kern w:val="0"/>
          <w:sz w:val="32"/>
          <w:szCs w:val="32"/>
          <w:shd w:val="clear" w:color="auto" w:fill="auto"/>
          <w:lang w:val="en-US" w:eastAsia="zh-CN" w:bidi="ar"/>
        </w:rPr>
        <w:t>较快增长态势。到2030年，培育50家在全国具有影响力的生产性服务业龙头企业和品牌，服务业增加值总量突破1.25万亿元，</w:t>
      </w:r>
      <w:r>
        <w:rPr>
          <w:rFonts w:hint="default" w:ascii="Times New Roman" w:hAnsi="Times New Roman" w:eastAsia="仿宋_GB2312" w:cs="Times New Roman"/>
          <w:bCs/>
          <w:snapToGrid/>
          <w:color w:val="000000"/>
          <w:kern w:val="2"/>
          <w:sz w:val="32"/>
          <w:szCs w:val="32"/>
          <w:lang w:val="en-US" w:eastAsia="zh-CN" w:bidi="ar-SA"/>
        </w:rPr>
        <w:t>规上服务企业营业收入达到5900亿元</w:t>
      </w:r>
      <w:r>
        <w:rPr>
          <w:rFonts w:hint="default" w:ascii="Times New Roman" w:hAnsi="Times New Roman" w:eastAsia="仿宋_GB2312" w:cs="Times New Roman"/>
          <w:bCs/>
          <w:snapToGrid/>
          <w:color w:val="000000"/>
          <w:kern w:val="0"/>
          <w:sz w:val="32"/>
          <w:szCs w:val="32"/>
          <w:shd w:val="clear" w:color="auto" w:fill="auto"/>
          <w:lang w:val="en-US" w:eastAsia="zh-CN" w:bidi="ar"/>
        </w:rPr>
        <w:t>。</w:t>
      </w:r>
    </w:p>
    <w:p w14:paraId="138CC4E4">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服务创新力纵深突破。</w:t>
      </w:r>
      <w:r>
        <w:rPr>
          <w:rFonts w:hint="default" w:ascii="Times New Roman" w:hAnsi="Times New Roman" w:eastAsia="仿宋_GB2312" w:cs="Times New Roman"/>
          <w:bCs/>
          <w:snapToGrid/>
          <w:color w:val="000000"/>
          <w:kern w:val="2"/>
          <w:sz w:val="32"/>
          <w:szCs w:val="32"/>
          <w:lang w:val="en-US" w:eastAsia="zh-CN" w:bidi="ar-SA"/>
        </w:rPr>
        <w:t>创新型融合业态显著增加，产业数字化、数字产业化取得丰硕成果，AI即服务、数据要素流通等新业态全面落地，知识密集型服务业产业链群能级大幅跃升，推动服务模式从“经验驱动”向“数据与知识双驱动”跃迁。到2030年，力争科技服务业营业收入达到1600亿元。</w:t>
      </w:r>
    </w:p>
    <w:p w14:paraId="0BA4628B">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企业集聚力持续强化。</w:t>
      </w:r>
      <w:r>
        <w:rPr>
          <w:rFonts w:hint="default" w:ascii="Times New Roman" w:hAnsi="Times New Roman" w:eastAsia="仿宋_GB2312" w:cs="Times New Roman"/>
          <w:bCs/>
          <w:snapToGrid/>
          <w:color w:val="000000"/>
          <w:kern w:val="2"/>
          <w:sz w:val="32"/>
          <w:szCs w:val="32"/>
          <w:lang w:val="en-US" w:eastAsia="zh-CN" w:bidi="ar-SA"/>
        </w:rPr>
        <w:t>服务业集聚区建设成效显著，“个转企”成效明显，经营主体量质齐升，培育形成一批链主型、平台型、总部型服务企业和专精特色服务企业，大中小企业融通发展的态势基本形成。到2030年，建成市级服务业集聚区</w:t>
      </w:r>
      <w:r>
        <w:rPr>
          <w:rFonts w:hint="eastAsia" w:ascii="Times New Roman" w:hAnsi="Times New Roman" w:eastAsia="仿宋_GB2312" w:cs="Times New Roman"/>
          <w:bCs/>
          <w:snapToGrid/>
          <w:color w:val="000000"/>
          <w:kern w:val="2"/>
          <w:sz w:val="32"/>
          <w:szCs w:val="32"/>
          <w:lang w:val="en-US" w:eastAsia="zh-CN" w:bidi="ar-SA"/>
        </w:rPr>
        <w:t>6</w:t>
      </w:r>
      <w:r>
        <w:rPr>
          <w:rFonts w:hint="default" w:ascii="Times New Roman" w:hAnsi="Times New Roman" w:eastAsia="仿宋_GB2312" w:cs="Times New Roman"/>
          <w:bCs/>
          <w:snapToGrid/>
          <w:color w:val="000000"/>
          <w:kern w:val="2"/>
          <w:sz w:val="32"/>
          <w:szCs w:val="32"/>
          <w:lang w:val="en-US" w:eastAsia="zh-CN" w:bidi="ar-SA"/>
        </w:rPr>
        <w:t>0家，引领规上服务业企业数量突破4700家。</w:t>
      </w:r>
    </w:p>
    <w:p w14:paraId="6FD34E4A">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工业支撑力更加坚实。</w:t>
      </w:r>
      <w:r>
        <w:rPr>
          <w:rFonts w:hint="default" w:ascii="Times New Roman" w:hAnsi="Times New Roman" w:eastAsia="仿宋_GB2312" w:cs="Times New Roman"/>
          <w:bCs/>
          <w:snapToGrid/>
          <w:color w:val="000000"/>
          <w:kern w:val="2"/>
          <w:sz w:val="32"/>
          <w:szCs w:val="32"/>
          <w:lang w:val="en-US" w:eastAsia="zh-CN" w:bidi="ar-SA"/>
        </w:rPr>
        <w:t>生产性服务业向工业领域全链条深度渗透，服务型制造创新发展纵深推进，研发设计、检验检测、现代物流、信息服务对重点产业链群的赋能水平全面提升，两业融合发展成效更加显著，产业结构由“被动配套”向“主动引领”转变。到2030年，生产性服务业增加值占GDP比重达到38%左右。</w:t>
      </w:r>
    </w:p>
    <w:p w14:paraId="425B6502">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居民幸福力有效转化。</w:t>
      </w:r>
      <w:r>
        <w:rPr>
          <w:rFonts w:hint="default" w:ascii="Times New Roman" w:hAnsi="Times New Roman" w:eastAsia="仿宋_GB2312" w:cs="Times New Roman"/>
          <w:bCs/>
          <w:snapToGrid/>
          <w:color w:val="000000"/>
          <w:kern w:val="2"/>
          <w:sz w:val="32"/>
          <w:szCs w:val="32"/>
          <w:lang w:val="en-US" w:eastAsia="zh-CN" w:bidi="ar-SA"/>
        </w:rPr>
        <w:t>生活性服务业高品质、多样化、便利化发展成效突出，服务标准更加规范，公共服务更加均等，高品质“一刻钟便民生活圈”和社区综合服务体系更加完善，人民群众的获得感和幸福感显著提升。到2030年，普惠性幼儿园覆盖率达到92%，养老机构护理型床位占比达到7</w:t>
      </w:r>
      <w:r>
        <w:rPr>
          <w:rFonts w:hint="eastAsia" w:ascii="Times New Roman" w:hAnsi="Times New Roman" w:eastAsia="仿宋_GB2312" w:cs="Times New Roman"/>
          <w:bCs/>
          <w:snapToGrid/>
          <w:color w:val="000000"/>
          <w:kern w:val="2"/>
          <w:sz w:val="32"/>
          <w:szCs w:val="32"/>
          <w:lang w:val="en-US" w:eastAsia="zh-CN" w:bidi="ar-SA"/>
        </w:rPr>
        <w:t>3</w:t>
      </w:r>
      <w:r>
        <w:rPr>
          <w:rFonts w:hint="default" w:ascii="Times New Roman" w:hAnsi="Times New Roman" w:eastAsia="仿宋_GB2312" w:cs="Times New Roman"/>
          <w:bCs/>
          <w:snapToGrid/>
          <w:color w:val="000000"/>
          <w:kern w:val="2"/>
          <w:sz w:val="32"/>
          <w:szCs w:val="32"/>
          <w:lang w:val="en-US" w:eastAsia="zh-CN" w:bidi="ar-SA"/>
        </w:rPr>
        <w:t>%。</w:t>
      </w:r>
    </w:p>
    <w:p w14:paraId="7F6B7A9D">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方正楷体_GB2312" w:cs="Times New Roman"/>
          <w:b/>
          <w:bCs w:val="0"/>
          <w:snapToGrid/>
          <w:color w:val="000000"/>
          <w:kern w:val="0"/>
          <w:sz w:val="24"/>
          <w:szCs w:val="24"/>
          <w:shd w:val="clear" w:color="auto" w:fill="auto"/>
          <w:lang w:val="en-US" w:eastAsia="zh-CN" w:bidi="ar"/>
        </w:rPr>
      </w:pPr>
      <w:r>
        <w:rPr>
          <w:rFonts w:hint="default" w:ascii="Times New Roman" w:hAnsi="Times New Roman" w:eastAsia="仿宋_GB2312" w:cs="Times New Roman"/>
          <w:b/>
          <w:bCs w:val="0"/>
          <w:snapToGrid/>
          <w:color w:val="000000"/>
          <w:kern w:val="2"/>
          <w:sz w:val="32"/>
          <w:szCs w:val="32"/>
          <w:lang w:val="en-US" w:eastAsia="zh-CN" w:bidi="ar-SA"/>
        </w:rPr>
        <w:t>国际影响力不断拓展。</w:t>
      </w:r>
      <w:r>
        <w:rPr>
          <w:rFonts w:hint="default" w:ascii="Times New Roman" w:hAnsi="Times New Roman" w:eastAsia="仿宋_GB2312" w:cs="Times New Roman"/>
          <w:bCs/>
          <w:snapToGrid/>
          <w:color w:val="000000"/>
          <w:kern w:val="2"/>
          <w:sz w:val="32"/>
          <w:szCs w:val="32"/>
          <w:lang w:val="en-US" w:eastAsia="zh-CN" w:bidi="ar-SA"/>
        </w:rPr>
        <w:t>中国—中亚峰会效应持续显现，</w:t>
      </w:r>
      <w:r>
        <w:rPr>
          <w:rFonts w:hint="eastAsia" w:ascii="Times New Roman" w:hAnsi="Times New Roman" w:eastAsia="仿宋_GB2312" w:cs="Times New Roman"/>
          <w:bCs/>
          <w:snapToGrid/>
          <w:color w:val="000000"/>
          <w:kern w:val="2"/>
          <w:sz w:val="32"/>
          <w:szCs w:val="32"/>
          <w:lang w:val="en-US" w:eastAsia="zh-CN" w:bidi="ar-SA"/>
        </w:rPr>
        <w:t>开放</w:t>
      </w:r>
      <w:r>
        <w:rPr>
          <w:rFonts w:hint="default" w:ascii="Times New Roman" w:hAnsi="Times New Roman" w:eastAsia="仿宋_GB2312" w:cs="Times New Roman"/>
          <w:bCs/>
          <w:snapToGrid/>
          <w:color w:val="000000"/>
          <w:kern w:val="2"/>
          <w:sz w:val="32"/>
          <w:szCs w:val="32"/>
          <w:lang w:val="en-US" w:eastAsia="zh-CN" w:bidi="ar-SA"/>
        </w:rPr>
        <w:t>平台建设实现新突破，服务贸易和数字贸易稳步发展，开放型经济发展迈上新台阶，服务业扩大开放综合试点成效显著。到2030年，服务贸易进出口额达到130亿美元左右，陆港集装箱吞吐量达到70万标箱。</w:t>
      </w:r>
      <w:r>
        <w:rPr>
          <w:rFonts w:hint="default" w:ascii="Times New Roman" w:hAnsi="Times New Roman" w:eastAsia="仿宋_GB2312" w:cs="Times New Roman"/>
          <w:bCs/>
          <w:snapToGrid/>
          <w:color w:val="000000"/>
          <w:kern w:val="2"/>
          <w:sz w:val="32"/>
          <w:szCs w:val="32"/>
          <w:lang w:val="en-US" w:eastAsia="zh-CN" w:bidi="ar-SA"/>
        </w:rPr>
        <w:tab/>
      </w:r>
    </w:p>
    <w:p w14:paraId="057715EA">
      <w:pPr>
        <w:pStyle w:val="8"/>
        <w:keepNext/>
        <w:keepLines w:val="0"/>
        <w:pageBreakBefore w:val="0"/>
        <w:widowControl w:val="0"/>
        <w:kinsoku/>
        <w:wordWrap/>
        <w:overflowPunct w:val="0"/>
        <w:topLinePunct w:val="0"/>
        <w:autoSpaceDE/>
        <w:autoSpaceDN/>
        <w:bidi w:val="0"/>
        <w:adjustRightInd/>
        <w:snapToGrid/>
        <w:spacing w:line="580" w:lineRule="exact"/>
        <w:ind w:right="96"/>
        <w:jc w:val="center"/>
        <w:textAlignment w:val="baseline"/>
        <w:rPr>
          <w:rFonts w:hint="default" w:ascii="Times New Roman" w:hAnsi="Times New Roman" w:eastAsia="方正楷体_GB2312" w:cs="Times New Roman"/>
          <w:b/>
          <w:bCs w:val="0"/>
          <w:snapToGrid/>
          <w:color w:val="000000"/>
          <w:kern w:val="0"/>
          <w:sz w:val="28"/>
          <w:szCs w:val="28"/>
          <w:shd w:val="clear" w:color="auto" w:fill="auto"/>
          <w:lang w:val="en-US" w:eastAsia="zh-CN" w:bidi="ar"/>
        </w:rPr>
      </w:pPr>
      <w:r>
        <w:rPr>
          <w:rFonts w:hint="default" w:ascii="Times New Roman" w:hAnsi="Times New Roman" w:eastAsia="楷体_GB2312" w:cs="Times New Roman"/>
          <w:b w:val="0"/>
          <w:bCs/>
          <w:snapToGrid/>
          <w:color w:val="000000"/>
          <w:kern w:val="0"/>
          <w:sz w:val="28"/>
          <w:szCs w:val="28"/>
          <w:shd w:val="clear" w:color="auto" w:fill="auto"/>
          <w:lang w:val="en-US" w:eastAsia="zh-CN" w:bidi="ar"/>
        </w:rPr>
        <w:t>表1 西安市服务业“十五五”主要发展指标</w:t>
      </w:r>
    </w:p>
    <w:tbl>
      <w:tblPr>
        <w:tblStyle w:val="19"/>
        <w:tblW w:w="8453" w:type="dxa"/>
        <w:jc w:val="center"/>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shd w:val="clear" w:color="auto" w:fill="auto"/>
        <w:tblLayout w:type="fixed"/>
        <w:tblCellMar>
          <w:top w:w="17" w:type="dxa"/>
          <w:left w:w="74" w:type="dxa"/>
          <w:bottom w:w="17" w:type="dxa"/>
          <w:right w:w="74" w:type="dxa"/>
        </w:tblCellMar>
      </w:tblPr>
      <w:tblGrid>
        <w:gridCol w:w="560"/>
        <w:gridCol w:w="3466"/>
        <w:gridCol w:w="1000"/>
        <w:gridCol w:w="977"/>
        <w:gridCol w:w="1443"/>
        <w:gridCol w:w="1007"/>
      </w:tblGrid>
      <w:tr w14:paraId="5E2B0C0A">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shd w:val="clear" w:color="auto" w:fill="auto"/>
          <w:tblCellMar>
            <w:top w:w="17" w:type="dxa"/>
            <w:left w:w="74" w:type="dxa"/>
            <w:bottom w:w="17" w:type="dxa"/>
            <w:right w:w="74" w:type="dxa"/>
          </w:tblCellMar>
        </w:tblPrEx>
        <w:trPr>
          <w:trHeight w:val="621"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13" w:type="dxa"/>
              <w:bottom w:w="0" w:type="dxa"/>
              <w:right w:w="57" w:type="dxa"/>
            </w:tcMar>
            <w:vAlign w:val="center"/>
          </w:tcPr>
          <w:p w14:paraId="0BBCCD68">
            <w:pPr>
              <w:keepNext/>
              <w:keepLines w:val="0"/>
              <w:pageBreakBefore w:val="0"/>
              <w:widowControl w:val="0"/>
              <w:suppressLineNumbers w:val="0"/>
              <w:kinsoku/>
              <w:wordWrap/>
              <w:overflowPunct w:val="0"/>
              <w:topLinePunct w:val="0"/>
              <w:autoSpaceDE/>
              <w:autoSpaceDN/>
              <w:bidi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序号</w:t>
            </w:r>
          </w:p>
        </w:tc>
        <w:tc>
          <w:tcPr>
            <w:tcW w:w="3466" w:type="dxa"/>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13" w:type="dxa"/>
              <w:bottom w:w="0" w:type="dxa"/>
              <w:right w:w="57" w:type="dxa"/>
            </w:tcMar>
            <w:vAlign w:val="center"/>
          </w:tcPr>
          <w:p w14:paraId="1375B709">
            <w:pPr>
              <w:keepNext/>
              <w:keepLines w:val="0"/>
              <w:pageBreakBefore w:val="0"/>
              <w:widowControl w:val="0"/>
              <w:suppressLineNumbers w:val="0"/>
              <w:kinsoku/>
              <w:wordWrap/>
              <w:overflowPunct w:val="0"/>
              <w:topLinePunct w:val="0"/>
              <w:autoSpaceDE/>
              <w:autoSpaceDN/>
              <w:bidi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主要指标</w:t>
            </w:r>
          </w:p>
        </w:tc>
        <w:tc>
          <w:tcPr>
            <w:tcW w:w="1000" w:type="dxa"/>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13" w:type="dxa"/>
              <w:bottom w:w="0" w:type="dxa"/>
              <w:right w:w="57" w:type="dxa"/>
            </w:tcMar>
            <w:vAlign w:val="center"/>
          </w:tcPr>
          <w:p w14:paraId="4E903001">
            <w:pPr>
              <w:keepNext/>
              <w:keepLines w:val="0"/>
              <w:pageBreakBefore w:val="0"/>
              <w:widowControl w:val="0"/>
              <w:suppressLineNumbers w:val="0"/>
              <w:kinsoku/>
              <w:wordWrap/>
              <w:overflowPunct w:val="0"/>
              <w:topLinePunct w:val="0"/>
              <w:autoSpaceDE/>
              <w:autoSpaceDN/>
              <w:bidi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单位</w:t>
            </w:r>
          </w:p>
        </w:tc>
        <w:tc>
          <w:tcPr>
            <w:tcW w:w="977" w:type="dxa"/>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13" w:type="dxa"/>
              <w:bottom w:w="0" w:type="dxa"/>
              <w:right w:w="57" w:type="dxa"/>
            </w:tcMar>
            <w:vAlign w:val="center"/>
          </w:tcPr>
          <w:p w14:paraId="44A9C2F5">
            <w:pPr>
              <w:keepNext/>
              <w:keepLines w:val="0"/>
              <w:pageBreakBefore w:val="0"/>
              <w:widowControl w:val="0"/>
              <w:suppressLineNumbers w:val="0"/>
              <w:kinsoku/>
              <w:wordWrap/>
              <w:overflowPunct w:val="0"/>
              <w:topLinePunct w:val="0"/>
              <w:autoSpaceDE/>
              <w:autoSpaceDN/>
              <w:bidi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2025年</w:t>
            </w:r>
          </w:p>
        </w:tc>
        <w:tc>
          <w:tcPr>
            <w:tcW w:w="1443" w:type="dxa"/>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13" w:type="dxa"/>
              <w:bottom w:w="0" w:type="dxa"/>
              <w:right w:w="57" w:type="dxa"/>
            </w:tcMar>
            <w:vAlign w:val="center"/>
          </w:tcPr>
          <w:p w14:paraId="53473C9E">
            <w:pPr>
              <w:keepNext/>
              <w:keepLines w:val="0"/>
              <w:pageBreakBefore w:val="0"/>
              <w:widowControl w:val="0"/>
              <w:suppressLineNumbers w:val="0"/>
              <w:kinsoku/>
              <w:wordWrap/>
              <w:overflowPunct w:val="0"/>
              <w:topLinePunct w:val="0"/>
              <w:autoSpaceDE/>
              <w:autoSpaceDN/>
              <w:bidi w:val="0"/>
              <w:jc w:val="center"/>
              <w:rPr>
                <w:rFonts w:hint="default" w:ascii="Times New Roman" w:hAnsi="Times New Roman" w:cs="Times New Roman"/>
                <w:b/>
                <w:bCs/>
                <w:lang w:val="en-US"/>
              </w:rPr>
            </w:pPr>
            <w:r>
              <w:rPr>
                <w:rFonts w:hint="default" w:ascii="Times New Roman" w:hAnsi="Times New Roman" w:eastAsia="宋体" w:cs="Times New Roman"/>
                <w:b/>
                <w:bCs/>
                <w:kern w:val="0"/>
                <w:sz w:val="24"/>
                <w:szCs w:val="24"/>
                <w:lang w:val="en-US" w:eastAsia="zh-CN" w:bidi="ar"/>
              </w:rPr>
              <w:t>2030年目标</w:t>
            </w:r>
          </w:p>
        </w:tc>
        <w:tc>
          <w:tcPr>
            <w:tcW w:w="1007" w:type="dxa"/>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13" w:type="dxa"/>
              <w:bottom w:w="0" w:type="dxa"/>
              <w:right w:w="57" w:type="dxa"/>
            </w:tcMar>
            <w:vAlign w:val="center"/>
          </w:tcPr>
          <w:p w14:paraId="6A03C6BF">
            <w:pPr>
              <w:keepNext/>
              <w:keepLines w:val="0"/>
              <w:pageBreakBefore w:val="0"/>
              <w:widowControl w:val="0"/>
              <w:suppressLineNumbers w:val="0"/>
              <w:kinsoku/>
              <w:wordWrap/>
              <w:overflowPunct w:val="0"/>
              <w:topLinePunct w:val="0"/>
              <w:autoSpaceDE/>
              <w:autoSpaceDN/>
              <w:bidi w:val="0"/>
              <w:jc w:val="center"/>
              <w:rPr>
                <w:rFonts w:hint="default" w:ascii="Times New Roman" w:hAnsi="Times New Roman" w:eastAsia="宋体" w:cs="Times New Roman"/>
                <w:b/>
                <w:bCs/>
                <w:kern w:val="0"/>
                <w:sz w:val="24"/>
                <w:szCs w:val="24"/>
                <w:lang w:val="en-US" w:eastAsia="zh-CN" w:bidi="ar"/>
              </w:rPr>
            </w:pPr>
            <w:r>
              <w:rPr>
                <w:rFonts w:hint="default" w:ascii="Times New Roman" w:hAnsi="Times New Roman" w:eastAsia="宋体" w:cs="Times New Roman"/>
                <w:b/>
                <w:bCs/>
                <w:kern w:val="0"/>
                <w:sz w:val="24"/>
                <w:szCs w:val="24"/>
                <w:lang w:val="en-US" w:eastAsia="zh-CN" w:bidi="ar"/>
              </w:rPr>
              <w:t>备注</w:t>
            </w:r>
          </w:p>
        </w:tc>
      </w:tr>
      <w:tr w14:paraId="446DE3E8">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C734B76">
            <w:pPr>
              <w:keepNext w:val="0"/>
              <w:keepLines w:val="0"/>
              <w:pageBreakBefore w:val="0"/>
              <w:widowControl/>
              <w:suppressLineNumbers w:val="0"/>
              <w:wordWrap/>
              <w:overflowPunct w:val="0"/>
              <w:topLinePunct w:val="0"/>
              <w:bidi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4"/>
                <w:szCs w:val="24"/>
                <w:u w:val="none"/>
                <w:lang w:val="en-US" w:eastAsia="zh-CN" w:bidi="ar"/>
              </w:rPr>
              <w:t>1</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1E69A86">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服务业增加值</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D4DF037">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4F03072">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9599.5</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06BDD89">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12500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0912777">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预测性</w:t>
            </w:r>
          </w:p>
        </w:tc>
      </w:tr>
      <w:tr w14:paraId="317F1CA9">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6320C48">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2</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D3ED141">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服务业增加值占GDP比重</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5BC5B4C">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E9F0C6C">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69.05</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3743353">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70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F30562F">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18AABF28">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5842448">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3</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317DBC0">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生产性服务业总收入</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D631725">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8AC66DC">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5319</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0B9FB6E">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7100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4AF97D4">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1713713A">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17CA32C">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4</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04C3AC5">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生产性服务业增加值占GDP比重</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0C301D6">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886CC96">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33</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503F7F3">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38</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92B9AA0">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6F027866">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B7BC9C4">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5</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B6D718B">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信息服务业营业收入</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5097540">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19FC41A">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1073</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9C23048">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1200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AEC0CC5">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050FEBCA">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F086BB0">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6</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5CA99C2">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科技服务业营业收入</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6DB9F81">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6CB3D17">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1286</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1A94C2D">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1600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1F308C5">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预测性</w:t>
            </w:r>
          </w:p>
        </w:tc>
      </w:tr>
      <w:tr w14:paraId="727161FC">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9B8BD9D">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7</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7077844">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现代金融业营业收入</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0BBB4D8">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B8701ED">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987</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50C2CAA">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1250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ED3B70C">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预测性</w:t>
            </w:r>
          </w:p>
        </w:tc>
      </w:tr>
      <w:tr w14:paraId="5525C694">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EE8F358">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8</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FD504FD">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物流业营业收入</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2A58ECD">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2010161">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1322</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33CE69B">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1800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EDA8E61">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预测性</w:t>
            </w:r>
          </w:p>
        </w:tc>
      </w:tr>
      <w:tr w14:paraId="485145AE">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7EC594C">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9</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A374330">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人力资源</w:t>
            </w:r>
            <w:r>
              <w:rPr>
                <w:rFonts w:hint="eastAsia" w:ascii="Times New Roman" w:hAnsi="Times New Roman" w:eastAsia="宋体" w:cs="Times New Roman"/>
                <w:i w:val="0"/>
                <w:iCs w:val="0"/>
                <w:snapToGrid w:val="0"/>
                <w:color w:val="000000"/>
                <w:kern w:val="0"/>
                <w:sz w:val="24"/>
                <w:szCs w:val="24"/>
                <w:u w:val="none"/>
                <w:lang w:val="en-US" w:eastAsia="zh-CN" w:bidi="ar"/>
              </w:rPr>
              <w:t>服务</w:t>
            </w:r>
            <w:r>
              <w:rPr>
                <w:rFonts w:hint="default" w:ascii="Times New Roman" w:hAnsi="Times New Roman" w:eastAsia="宋体" w:cs="Times New Roman"/>
                <w:i w:val="0"/>
                <w:iCs w:val="0"/>
                <w:snapToGrid w:val="0"/>
                <w:color w:val="000000"/>
                <w:kern w:val="0"/>
                <w:sz w:val="24"/>
                <w:szCs w:val="24"/>
                <w:u w:val="none"/>
                <w:lang w:val="en-US" w:eastAsia="zh-CN" w:bidi="ar"/>
              </w:rPr>
              <w:t>业营业收入</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9876683">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BAF8A5E">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340</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3DAD005">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850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DEE5629">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预测性</w:t>
            </w:r>
          </w:p>
        </w:tc>
      </w:tr>
      <w:tr w14:paraId="22DC5D1D">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1ABFE20">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10</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E0488B6">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规上服务业企业数量</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00E0C51">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家</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1C05A8C">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3252</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3BC1356">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4700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6CB31A4">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6AC17347">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61487D1">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11</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895BDC6">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规上服务业营业收入</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E93DDC2">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20A6967">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4972</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7E020D7">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5900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A59247C">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0BB33F18">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E2F053B">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12</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EEA4491">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社会消费品零售总额</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8BE43DF">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5C2C1F8">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5721</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ABC3C00">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7300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0DF6A37">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1EE6ECAB">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984E159">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13</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023682A">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服务贸易进出口额</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C8249A8">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亿美元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19B658B">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97</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1575695">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130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BE8254F">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18023C75">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8BC2A2F">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14</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E1104D2">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跨境电商进出口额</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8E2D609">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亿元</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F35CC79">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68</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EF2F968">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75</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3CF7095">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4A6D8AA3">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8E359CD">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15</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6CF16795">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陆港集装箱吞吐量</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C787C94">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万标箱</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651523D">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59.8</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ABBCA00">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70</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030A416">
            <w:pPr>
              <w:keepLines w:val="0"/>
              <w:pageBreakBefore w:val="0"/>
              <w:wordWrap/>
              <w:overflowPunct w:val="0"/>
              <w:topLinePunct w:val="0"/>
              <w:bidi w:val="0"/>
              <w:jc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kern w:val="0"/>
                <w:sz w:val="24"/>
                <w:szCs w:val="24"/>
                <w:lang w:val="en-US" w:eastAsia="zh-CN" w:bidi="ar"/>
              </w:rPr>
              <w:t>预测性</w:t>
            </w:r>
          </w:p>
        </w:tc>
      </w:tr>
      <w:tr w14:paraId="65FCA8B9">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0DD402B">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kern w:val="0"/>
                <w:sz w:val="24"/>
                <w:szCs w:val="24"/>
                <w:lang w:val="en-US" w:eastAsia="zh-CN" w:bidi="ar"/>
              </w:rPr>
              <w:t>16</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76F67CD">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snapToGrid w:val="0"/>
                <w:color w:val="000000"/>
                <w:kern w:val="0"/>
                <w:sz w:val="24"/>
                <w:szCs w:val="24"/>
                <w:lang w:val="en-US" w:eastAsia="zh-CN" w:bidi="ar"/>
              </w:rPr>
              <w:t>养老机构护理型床位占比</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7994AE36">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6490D93">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snapToGrid w:val="0"/>
                <w:color w:val="000000"/>
                <w:kern w:val="0"/>
                <w:sz w:val="24"/>
                <w:szCs w:val="24"/>
                <w:lang w:val="en-US" w:eastAsia="zh-CN" w:bidi="ar"/>
              </w:rPr>
              <w:t>55</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AFD6C78">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snapToGrid w:val="0"/>
                <w:color w:val="000000"/>
                <w:kern w:val="0"/>
                <w:sz w:val="24"/>
                <w:szCs w:val="24"/>
                <w:lang w:val="en-US" w:eastAsia="zh-CN" w:bidi="ar"/>
              </w:rPr>
              <w:t>7</w:t>
            </w:r>
            <w:r>
              <w:rPr>
                <w:rFonts w:hint="eastAsia" w:ascii="Times New Roman" w:hAnsi="Times New Roman" w:eastAsia="宋体" w:cs="Times New Roman"/>
                <w:snapToGrid w:val="0"/>
                <w:color w:val="000000"/>
                <w:kern w:val="0"/>
                <w:sz w:val="24"/>
                <w:szCs w:val="24"/>
                <w:lang w:val="en-US" w:eastAsia="zh-CN" w:bidi="ar"/>
              </w:rPr>
              <w:t>3</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F8137EB">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r w14:paraId="4C68985F">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1A4B9744">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17</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5152FCE">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中国服务业500强企业数</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B9737E0">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个</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1538651">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5</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F0DD3BF">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7</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B1C3134">
            <w:pPr>
              <w:keepLines w:val="0"/>
              <w:pageBreakBefore w:val="0"/>
              <w:wordWrap/>
              <w:overflowPunct w:val="0"/>
              <w:topLinePunct w:val="0"/>
              <w:bidi w:val="0"/>
              <w:jc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kern w:val="0"/>
                <w:sz w:val="24"/>
                <w:szCs w:val="24"/>
                <w:lang w:val="en-US" w:eastAsia="zh-CN" w:bidi="ar"/>
              </w:rPr>
              <w:t>预测性</w:t>
            </w:r>
          </w:p>
        </w:tc>
      </w:tr>
      <w:tr w14:paraId="228B57F5">
        <w:tblPrEx>
          <w:tblBorders>
            <w:top w:val="single" w:color="B1B1B1" w:sz="6" w:space="0"/>
            <w:left w:val="single" w:color="B1B1B1" w:sz="6" w:space="0"/>
            <w:bottom w:val="single" w:color="B1B1B1" w:sz="6" w:space="0"/>
            <w:right w:val="single" w:color="B1B1B1" w:sz="6" w:space="0"/>
            <w:insideH w:val="outset" w:color="auto" w:sz="6" w:space="0"/>
            <w:insideV w:val="outset" w:color="auto" w:sz="6" w:space="0"/>
          </w:tblBorders>
          <w:tblCellMar>
            <w:top w:w="17" w:type="dxa"/>
            <w:left w:w="74" w:type="dxa"/>
            <w:bottom w:w="17" w:type="dxa"/>
            <w:right w:w="74" w:type="dxa"/>
          </w:tblCellMar>
        </w:tblPrEx>
        <w:trPr>
          <w:trHeight w:val="48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4011471E">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18</w:t>
            </w:r>
          </w:p>
        </w:tc>
        <w:tc>
          <w:tcPr>
            <w:tcW w:w="3466"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56F533F">
            <w:pPr>
              <w:keepNext w:val="0"/>
              <w:keepLines w:val="0"/>
              <w:pageBreakBefore w:val="0"/>
              <w:widowControl/>
              <w:suppressLineNumbers w:val="0"/>
              <w:wordWrap/>
              <w:overflowPunct w:val="0"/>
              <w:topLinePunct w:val="0"/>
              <w:bidi w:val="0"/>
              <w:jc w:val="both"/>
              <w:textAlignment w:val="center"/>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i w:val="0"/>
                <w:iCs w:val="0"/>
                <w:snapToGrid w:val="0"/>
                <w:color w:val="000000"/>
                <w:kern w:val="0"/>
                <w:sz w:val="24"/>
                <w:szCs w:val="24"/>
                <w:u w:val="none"/>
                <w:lang w:val="en-US" w:eastAsia="zh-CN" w:bidi="ar"/>
              </w:rPr>
              <w:t>旅游</w:t>
            </w:r>
            <w:r>
              <w:rPr>
                <w:rFonts w:hint="eastAsia" w:ascii="Times New Roman" w:hAnsi="Times New Roman" w:eastAsia="宋体" w:cs="Times New Roman"/>
                <w:i w:val="0"/>
                <w:iCs w:val="0"/>
                <w:snapToGrid w:val="0"/>
                <w:color w:val="000000"/>
                <w:kern w:val="0"/>
                <w:sz w:val="24"/>
                <w:szCs w:val="24"/>
                <w:u w:val="none"/>
                <w:lang w:val="en-US" w:eastAsia="zh-CN" w:bidi="ar"/>
              </w:rPr>
              <w:t>业增加值占GDP比重</w:t>
            </w:r>
          </w:p>
        </w:tc>
        <w:tc>
          <w:tcPr>
            <w:tcW w:w="1000"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3D45D2E1">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eastAsia" w:ascii="Times New Roman" w:hAnsi="Times New Roman" w:eastAsia="宋体" w:cs="Times New Roman"/>
                <w:i w:val="0"/>
                <w:iCs w:val="0"/>
                <w:snapToGrid w:val="0"/>
                <w:color w:val="000000"/>
                <w:kern w:val="0"/>
                <w:sz w:val="24"/>
                <w:szCs w:val="24"/>
                <w:u w:val="none"/>
                <w:lang w:val="en-US" w:eastAsia="zh-CN" w:bidi="ar"/>
              </w:rPr>
              <w:t>%</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0D7D1809">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eastAsia" w:ascii="Times New Roman" w:hAnsi="Times New Roman" w:eastAsia="宋体" w:cs="Times New Roman"/>
                <w:i w:val="0"/>
                <w:iCs w:val="0"/>
                <w:snapToGrid w:val="0"/>
                <w:color w:val="000000"/>
                <w:kern w:val="0"/>
                <w:sz w:val="24"/>
                <w:szCs w:val="24"/>
                <w:u w:val="none"/>
                <w:lang w:val="en-US" w:eastAsia="zh-CN" w:bidi="ar"/>
              </w:rPr>
              <w:t>6.1</w:t>
            </w:r>
          </w:p>
        </w:tc>
        <w:tc>
          <w:tcPr>
            <w:tcW w:w="1443"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53FC71ED">
            <w:pPr>
              <w:keepNext w:val="0"/>
              <w:keepLines w:val="0"/>
              <w:pageBreakBefore w:val="0"/>
              <w:widowControl/>
              <w:suppressLineNumbers w:val="0"/>
              <w:wordWrap/>
              <w:overflowPunct w:val="0"/>
              <w:topLinePunct w:val="0"/>
              <w:bidi w:val="0"/>
              <w:jc w:val="center"/>
              <w:textAlignment w:val="center"/>
              <w:rPr>
                <w:rFonts w:hint="default" w:ascii="Times New Roman" w:hAnsi="Times New Roman" w:eastAsia="宋体" w:cs="Times New Roman"/>
                <w:snapToGrid w:val="0"/>
                <w:color w:val="000000"/>
                <w:kern w:val="0"/>
                <w:sz w:val="24"/>
                <w:szCs w:val="24"/>
                <w:lang w:val="en-US" w:eastAsia="zh-CN" w:bidi="ar"/>
              </w:rPr>
            </w:pPr>
            <w:r>
              <w:rPr>
                <w:rFonts w:hint="eastAsia" w:ascii="Times New Roman" w:hAnsi="Times New Roman" w:eastAsia="宋体" w:cs="Times New Roman"/>
                <w:i w:val="0"/>
                <w:iCs w:val="0"/>
                <w:snapToGrid w:val="0"/>
                <w:color w:val="000000"/>
                <w:kern w:val="0"/>
                <w:sz w:val="24"/>
                <w:szCs w:val="24"/>
                <w:u w:val="none"/>
                <w:lang w:val="en-US" w:eastAsia="zh-CN" w:bidi="ar"/>
              </w:rPr>
              <w:t>6</w:t>
            </w:r>
          </w:p>
        </w:tc>
        <w:tc>
          <w:tcPr>
            <w:tcW w:w="1007" w:type="dxa"/>
            <w:tcBorders>
              <w:top w:val="single" w:color="auto" w:sz="4" w:space="0"/>
              <w:left w:val="single" w:color="auto" w:sz="4" w:space="0"/>
              <w:bottom w:val="single" w:color="auto" w:sz="4" w:space="0"/>
              <w:right w:val="single" w:color="auto" w:sz="4" w:space="0"/>
            </w:tcBorders>
            <w:shd w:val="clear" w:color="auto" w:fill="auto"/>
            <w:tcMar>
              <w:top w:w="0" w:type="dxa"/>
              <w:left w:w="113" w:type="dxa"/>
              <w:bottom w:w="0" w:type="dxa"/>
              <w:right w:w="57" w:type="dxa"/>
            </w:tcMar>
            <w:vAlign w:val="center"/>
          </w:tcPr>
          <w:p w14:paraId="2FA32EBC">
            <w:pPr>
              <w:keepLines w:val="0"/>
              <w:pageBreakBefore w:val="0"/>
              <w:wordWrap/>
              <w:overflowPunct w:val="0"/>
              <w:topLinePunct w:val="0"/>
              <w:bidi w:val="0"/>
              <w:jc w:val="center"/>
              <w:rPr>
                <w:rFonts w:hint="default" w:ascii="Times New Roman" w:hAnsi="Times New Roman" w:eastAsia="宋体" w:cs="Times New Roman"/>
                <w:i w:val="0"/>
                <w:iCs w:val="0"/>
                <w:snapToGrid w:val="0"/>
                <w:color w:val="000000"/>
                <w:kern w:val="0"/>
                <w:sz w:val="24"/>
                <w:szCs w:val="24"/>
                <w:u w:val="none"/>
                <w:lang w:val="en-US" w:eastAsia="zh-CN" w:bidi="ar"/>
              </w:rPr>
            </w:pPr>
            <w:r>
              <w:rPr>
                <w:rFonts w:hint="default" w:ascii="Times New Roman" w:hAnsi="Times New Roman" w:eastAsia="宋体" w:cs="Times New Roman"/>
                <w:kern w:val="0"/>
                <w:sz w:val="24"/>
                <w:szCs w:val="24"/>
                <w:lang w:val="en-US" w:eastAsia="zh-CN" w:bidi="ar"/>
              </w:rPr>
              <w:t>预测性</w:t>
            </w:r>
          </w:p>
        </w:tc>
      </w:tr>
    </w:tbl>
    <w:p w14:paraId="3CEEF1A6">
      <w:pPr>
        <w:pStyle w:val="3"/>
        <w:keepNext/>
        <w:keepLines w:val="0"/>
        <w:pageBreakBefore w:val="0"/>
        <w:widowControl w:val="0"/>
        <w:kinsoku/>
        <w:wordWrap/>
        <w:overflowPunct w:val="0"/>
        <w:topLinePunct w:val="0"/>
        <w:autoSpaceDE/>
        <w:autoSpaceDN/>
        <w:bidi w:val="0"/>
        <w:adjustRightInd w:val="0"/>
        <w:snapToGrid w:val="0"/>
        <w:spacing w:line="600" w:lineRule="exact"/>
        <w:ind w:leftChars="0"/>
        <w:jc w:val="left"/>
        <w:textAlignment w:val="baseline"/>
        <w:rPr>
          <w:rFonts w:hint="default" w:ascii="Times New Roman" w:hAnsi="Times New Roman" w:eastAsia="黑体" w:cs="Times New Roman"/>
          <w:b w:val="0"/>
          <w:bCs/>
          <w:sz w:val="32"/>
          <w:szCs w:val="32"/>
          <w:lang w:val="en-US" w:eastAsia="zh-CN"/>
        </w:rPr>
      </w:pPr>
      <w:bookmarkStart w:id="22" w:name="_Toc16179"/>
      <w:bookmarkStart w:id="23" w:name="_Toc7850"/>
      <w:bookmarkStart w:id="24" w:name="_Toc1039"/>
      <w:r>
        <w:rPr>
          <w:rFonts w:hint="default" w:ascii="Times New Roman" w:hAnsi="Times New Roman" w:eastAsia="黑体" w:cs="Times New Roman"/>
          <w:b w:val="0"/>
          <w:bCs/>
          <w:sz w:val="32"/>
          <w:szCs w:val="32"/>
          <w:lang w:val="en-US" w:eastAsia="zh-CN"/>
        </w:rPr>
        <w:t>三、空间布局</w:t>
      </w:r>
      <w:bookmarkEnd w:id="22"/>
      <w:bookmarkEnd w:id="23"/>
      <w:bookmarkEnd w:id="24"/>
    </w:p>
    <w:p w14:paraId="0032350F">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 w:cs="Times New Roman"/>
          <w:b/>
          <w:bCs w:val="0"/>
          <w:snapToGrid/>
          <w:color w:val="auto"/>
          <w:kern w:val="0"/>
          <w:sz w:val="28"/>
          <w:szCs w:val="28"/>
          <w:shd w:val="clear" w:color="auto" w:fill="auto"/>
          <w:lang w:val="en-US" w:eastAsia="zh-CN" w:bidi="ar"/>
        </w:rPr>
      </w:pPr>
      <w:r>
        <w:rPr>
          <w:rFonts w:hint="default" w:ascii="Times New Roman" w:hAnsi="Times New Roman" w:eastAsia="仿宋_GB2312" w:cs="Times New Roman"/>
          <w:bCs/>
          <w:snapToGrid/>
          <w:color w:val="000000"/>
          <w:kern w:val="2"/>
          <w:sz w:val="32"/>
          <w:szCs w:val="32"/>
          <w:lang w:val="en-US" w:eastAsia="zh-CN" w:bidi="ar-SA"/>
        </w:rPr>
        <w:t>立足区域功能定位与发展态势，遵循服务业发展规律和趋势，深入实施服务业扩能提质行动，着力提升服务业数智化、融合化、绿色化、品质化水平，加快构建“一核聚能、三带联动、多圈协同”的“</w:t>
      </w:r>
      <w:r>
        <w:rPr>
          <w:rFonts w:hint="default" w:ascii="Times New Roman" w:hAnsi="Times New Roman" w:eastAsia="仿宋_GB2312" w:cs="Times New Roman"/>
          <w:b/>
          <w:bCs w:val="0"/>
          <w:snapToGrid/>
          <w:color w:val="000000"/>
          <w:kern w:val="2"/>
          <w:sz w:val="32"/>
          <w:szCs w:val="32"/>
          <w:lang w:val="en-US" w:eastAsia="zh-CN" w:bidi="ar-SA"/>
        </w:rPr>
        <w:t>一核三带多圈</w:t>
      </w:r>
      <w:r>
        <w:rPr>
          <w:rFonts w:hint="default" w:ascii="Times New Roman" w:hAnsi="Times New Roman" w:eastAsia="仿宋_GB2312" w:cs="Times New Roman"/>
          <w:bCs/>
          <w:snapToGrid/>
          <w:color w:val="000000"/>
          <w:kern w:val="2"/>
          <w:sz w:val="32"/>
          <w:szCs w:val="32"/>
          <w:lang w:val="en-US" w:eastAsia="zh-CN" w:bidi="ar-SA"/>
        </w:rPr>
        <w:t>”服务业发展布局，引导资源要素有效配置、优势特色充分彰显、产业协同迈向纵深，形成核心带动有力、廊带衔接顺畅、区域协同紧密的服务业优质高效发展空间新体系。</w:t>
      </w:r>
    </w:p>
    <w:p w14:paraId="04657DD7">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jc w:val="both"/>
        <w:textAlignment w:val="auto"/>
        <w:rPr>
          <w:rFonts w:hint="default" w:ascii="Times New Roman" w:hAnsi="Times New Roman" w:eastAsia="仿宋" w:cs="Times New Roman"/>
          <w:b/>
          <w:bCs w:val="0"/>
          <w:snapToGrid/>
          <w:color w:val="auto"/>
          <w:kern w:val="0"/>
          <w:sz w:val="28"/>
          <w:szCs w:val="28"/>
          <w:shd w:val="clear" w:color="auto" w:fill="auto"/>
          <w:lang w:val="en-US" w:eastAsia="zh-CN" w:bidi="ar"/>
        </w:rPr>
      </w:pPr>
      <w:r>
        <w:rPr>
          <w:rFonts w:hint="default" w:ascii="Times New Roman" w:hAnsi="Times New Roman" w:eastAsia="仿宋" w:cs="Times New Roman"/>
          <w:b/>
          <w:bCs w:val="0"/>
          <w:snapToGrid/>
          <w:color w:val="auto"/>
          <w:kern w:val="0"/>
          <w:sz w:val="28"/>
          <w:szCs w:val="28"/>
          <w:shd w:val="clear" w:color="auto" w:fill="auto"/>
          <w:lang w:val="en-US" w:eastAsia="zh-CN" w:bidi="ar"/>
        </w:rPr>
        <w:drawing>
          <wp:inline distT="0" distB="0" distL="114300" distR="114300">
            <wp:extent cx="5398135" cy="3281680"/>
            <wp:effectExtent l="0" t="0" r="12065" b="13970"/>
            <wp:docPr id="3" name="图片 3" descr="82feed230acc1b6449ff53e4bb6b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2feed230acc1b6449ff53e4bb6b576"/>
                    <pic:cNvPicPr>
                      <a:picLocks noChangeAspect="1"/>
                    </pic:cNvPicPr>
                  </pic:nvPicPr>
                  <pic:blipFill>
                    <a:blip r:embed="rId9"/>
                    <a:stretch>
                      <a:fillRect/>
                    </a:stretch>
                  </pic:blipFill>
                  <pic:spPr>
                    <a:xfrm>
                      <a:off x="0" y="0"/>
                      <a:ext cx="5398135" cy="3281680"/>
                    </a:xfrm>
                    <a:prstGeom prst="rect">
                      <a:avLst/>
                    </a:prstGeom>
                  </pic:spPr>
                </pic:pic>
              </a:graphicData>
            </a:graphic>
          </wp:inline>
        </w:drawing>
      </w:r>
    </w:p>
    <w:p w14:paraId="24694440">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jc w:val="center"/>
        <w:textAlignment w:val="auto"/>
        <w:rPr>
          <w:rFonts w:hint="default" w:ascii="Times New Roman" w:hAnsi="Times New Roman" w:eastAsia="楷体" w:cs="Times New Roman"/>
          <w:b/>
          <w:bCs w:val="0"/>
          <w:lang w:val="en-US" w:eastAsia="zh-CN"/>
        </w:rPr>
      </w:pPr>
      <w:r>
        <w:rPr>
          <w:rFonts w:hint="default" w:ascii="Times New Roman" w:hAnsi="Times New Roman" w:eastAsia="方正楷体_GB2312" w:cs="Times New Roman"/>
          <w:b/>
          <w:bCs w:val="0"/>
          <w:snapToGrid/>
          <w:color w:val="000000"/>
          <w:kern w:val="0"/>
          <w:sz w:val="24"/>
          <w:szCs w:val="24"/>
          <w:shd w:val="clear" w:color="auto" w:fill="auto"/>
          <w:lang w:val="en-US" w:eastAsia="zh-CN" w:bidi="ar"/>
        </w:rPr>
        <w:t>图1西安市“十五五”服务业“一核三带多圈”空间布局示意图</w:t>
      </w:r>
    </w:p>
    <w:p w14:paraId="7338F9BE">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25" w:name="_Toc17758"/>
      <w:r>
        <w:rPr>
          <w:rFonts w:hint="default" w:ascii="Times New Roman" w:hAnsi="Times New Roman" w:eastAsia="楷体" w:cs="Times New Roman"/>
          <w:b w:val="0"/>
          <w:bCs/>
          <w:lang w:val="en-US" w:eastAsia="zh-CN"/>
        </w:rPr>
        <w:t>（一）“一核”聚能，提升古都IP的全球影响力</w:t>
      </w:r>
      <w:bookmarkEnd w:id="25"/>
    </w:p>
    <w:p w14:paraId="3C80CFE0">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加快转变特大城市发展方式，立足古都核心功能承载片区，统筹布局高能级现代服务载体，持续增强中心城区资源集聚、辐射引领、科创驱动综合能级，充分彰显千年古都深厚人文底蕴，差异化布局特色服务业集聚区。突出区域错位发展、协同联动，持续丰富古都产业业态、健全城市功能支撑体系，全方位放大古都IP传播势能，提升城市国际辨识度与全球影响力。</w:t>
      </w:r>
    </w:p>
    <w:p w14:paraId="326A9585">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26" w:name="_Toc6267"/>
      <w:r>
        <w:rPr>
          <w:rFonts w:hint="default" w:ascii="Times New Roman" w:hAnsi="Times New Roman" w:eastAsia="楷体" w:cs="Times New Roman"/>
          <w:b w:val="0"/>
          <w:bCs/>
          <w:lang w:val="en-US" w:eastAsia="zh-CN"/>
        </w:rPr>
        <w:t>（二）“三带”联动，提升科技创新的服务能级</w:t>
      </w:r>
      <w:bookmarkEnd w:id="26"/>
    </w:p>
    <w:p w14:paraId="122D3299">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南部更高水平科技服务引领带。</w:t>
      </w:r>
      <w:r>
        <w:rPr>
          <w:rFonts w:hint="default" w:ascii="Times New Roman" w:hAnsi="Times New Roman" w:eastAsia="仿宋_GB2312" w:cs="Times New Roman"/>
          <w:bCs/>
          <w:snapToGrid/>
          <w:color w:val="000000"/>
          <w:kern w:val="2"/>
          <w:sz w:val="32"/>
          <w:szCs w:val="32"/>
          <w:lang w:val="en-US" w:eastAsia="zh-CN" w:bidi="ar-SA"/>
        </w:rPr>
        <w:t>依托高新区、航天基地、长安大学城等重要功能节点，重点发展软件与信息、现代工程、</w:t>
      </w:r>
      <w:r>
        <w:rPr>
          <w:rFonts w:hint="eastAsia" w:ascii="Times New Roman" w:hAnsi="Times New Roman" w:eastAsia="仿宋_GB2312" w:cs="Times New Roman"/>
          <w:bCs/>
          <w:snapToGrid/>
          <w:color w:val="000000"/>
          <w:kern w:val="2"/>
          <w:sz w:val="32"/>
          <w:szCs w:val="32"/>
          <w:lang w:val="en-US" w:eastAsia="zh-CN" w:bidi="ar-SA"/>
        </w:rPr>
        <w:t>技术</w:t>
      </w:r>
      <w:r>
        <w:rPr>
          <w:rFonts w:hint="default" w:ascii="Times New Roman" w:hAnsi="Times New Roman" w:eastAsia="仿宋_GB2312" w:cs="Times New Roman"/>
          <w:bCs/>
          <w:snapToGrid/>
          <w:color w:val="000000"/>
          <w:kern w:val="2"/>
          <w:sz w:val="32"/>
          <w:szCs w:val="32"/>
          <w:lang w:val="en-US" w:eastAsia="zh-CN" w:bidi="ar-SA"/>
        </w:rPr>
        <w:t>研发等高技术服务业，搭建产学研一体化发展平台，推动国家高新技术产业基地建设。</w:t>
      </w:r>
    </w:p>
    <w:p w14:paraId="706ABF43">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北部更具韧性智能制造服务带。</w:t>
      </w:r>
      <w:r>
        <w:rPr>
          <w:rFonts w:hint="default" w:ascii="Times New Roman" w:hAnsi="Times New Roman" w:eastAsia="仿宋_GB2312" w:cs="Times New Roman"/>
          <w:bCs/>
          <w:snapToGrid/>
          <w:color w:val="000000"/>
          <w:kern w:val="2"/>
          <w:sz w:val="32"/>
          <w:szCs w:val="32"/>
          <w:lang w:val="en-US" w:eastAsia="zh-CN" w:bidi="ar-SA"/>
        </w:rPr>
        <w:t>依托</w:t>
      </w:r>
      <w:r>
        <w:rPr>
          <w:rFonts w:hint="eastAsia" w:ascii="Times New Roman" w:hAnsi="Times New Roman" w:eastAsia="仿宋_GB2312" w:cs="Times New Roman"/>
          <w:bCs/>
          <w:snapToGrid/>
          <w:color w:val="000000"/>
          <w:kern w:val="2"/>
          <w:sz w:val="32"/>
          <w:szCs w:val="32"/>
          <w:lang w:val="en-US" w:eastAsia="zh-CN" w:bidi="ar-SA"/>
        </w:rPr>
        <w:t>西咸新区、经开区等区域的</w:t>
      </w:r>
      <w:r>
        <w:rPr>
          <w:rFonts w:hint="default" w:ascii="Times New Roman" w:hAnsi="Times New Roman" w:eastAsia="仿宋_GB2312" w:cs="Times New Roman"/>
          <w:bCs/>
          <w:snapToGrid/>
          <w:color w:val="000000"/>
          <w:kern w:val="2"/>
          <w:sz w:val="32"/>
          <w:szCs w:val="32"/>
          <w:lang w:val="en-US" w:eastAsia="zh-CN" w:bidi="ar-SA"/>
        </w:rPr>
        <w:t>产业基础与优势，引导汽车、航空、新能源新材料和高端装备制造业进一步集聚，重点发展研发设计、检验检测</w:t>
      </w:r>
      <w:r>
        <w:rPr>
          <w:rFonts w:hint="eastAsia" w:ascii="Times New Roman" w:hAnsi="Times New Roman" w:eastAsia="仿宋_GB2312" w:cs="Times New Roman"/>
          <w:bCs/>
          <w:snapToGrid/>
          <w:color w:val="000000"/>
          <w:kern w:val="2"/>
          <w:sz w:val="32"/>
          <w:szCs w:val="32"/>
          <w:lang w:val="en-US" w:eastAsia="zh-CN" w:bidi="ar-SA"/>
        </w:rPr>
        <w:t>、现代物流</w:t>
      </w:r>
      <w:r>
        <w:rPr>
          <w:rFonts w:hint="default" w:ascii="Times New Roman" w:hAnsi="Times New Roman" w:eastAsia="仿宋_GB2312" w:cs="Times New Roman"/>
          <w:bCs/>
          <w:snapToGrid/>
          <w:color w:val="000000"/>
          <w:kern w:val="2"/>
          <w:sz w:val="32"/>
          <w:szCs w:val="32"/>
          <w:lang w:val="en-US" w:eastAsia="zh-CN" w:bidi="ar-SA"/>
        </w:rPr>
        <w:t>等生产性服务业，推动先进制造业高端化、智能化、绿色化发展。</w:t>
      </w:r>
    </w:p>
    <w:p w14:paraId="1FAD2DFF">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
          <w:bCs w:val="0"/>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秦岭更具潜力生态旅游服务带。</w:t>
      </w:r>
      <w:r>
        <w:rPr>
          <w:rFonts w:hint="default" w:ascii="Times New Roman" w:hAnsi="Times New Roman" w:eastAsia="仿宋_GB2312" w:cs="Times New Roman"/>
          <w:b w:val="0"/>
          <w:bCs/>
          <w:snapToGrid/>
          <w:color w:val="000000"/>
          <w:kern w:val="2"/>
          <w:sz w:val="32"/>
          <w:szCs w:val="32"/>
          <w:lang w:val="en-US" w:eastAsia="zh-CN" w:bidi="ar-SA"/>
        </w:rPr>
        <w:t>落实国家生态安全战略，</w:t>
      </w:r>
    </w:p>
    <w:p w14:paraId="18E9FF4A">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加强生态环境保护和修复，依法依规完善旅游、休闲、康养与憩居服务设施，推动建设标准与服务规范统一，积极拓展“旅游+”融合业态，推动城居休闲共生共赢的文旅发展新格局。</w:t>
      </w:r>
    </w:p>
    <w:p w14:paraId="6B02AA20">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27" w:name="_Toc20155"/>
      <w:r>
        <w:rPr>
          <w:rFonts w:hint="default" w:ascii="Times New Roman" w:hAnsi="Times New Roman" w:eastAsia="楷体" w:cs="Times New Roman"/>
          <w:b w:val="0"/>
          <w:bCs/>
          <w:lang w:val="en-US" w:eastAsia="zh-CN"/>
        </w:rPr>
        <w:t>（三）“多圈”协同，提升服务支撑</w:t>
      </w:r>
      <w:bookmarkEnd w:id="27"/>
    </w:p>
    <w:p w14:paraId="69435BE7">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挖掘优势服务业细分领域创新资源，以引领型创新主体为支撑，聚力打造层次化高能级服务业聚集圈。重点发展现代科技、现代物流、现代工程、精准医疗等服务业聚集圈，着力构建以数字经济、智能经济、开放经济为主的世界级创新</w:t>
      </w:r>
      <w:r>
        <w:rPr>
          <w:rFonts w:hint="eastAsia" w:ascii="Times New Roman" w:hAnsi="Times New Roman" w:eastAsia="仿宋_GB2312" w:cs="Times New Roman"/>
          <w:bCs/>
          <w:snapToGrid/>
          <w:color w:val="000000"/>
          <w:kern w:val="2"/>
          <w:sz w:val="32"/>
          <w:szCs w:val="32"/>
          <w:lang w:val="en-US" w:eastAsia="zh-CN" w:bidi="ar-SA"/>
        </w:rPr>
        <w:t>支点</w:t>
      </w:r>
      <w:r>
        <w:rPr>
          <w:rFonts w:hint="default" w:ascii="Times New Roman" w:hAnsi="Times New Roman" w:eastAsia="仿宋_GB2312" w:cs="Times New Roman"/>
          <w:bCs/>
          <w:snapToGrid/>
          <w:color w:val="000000"/>
          <w:kern w:val="2"/>
          <w:sz w:val="32"/>
          <w:szCs w:val="32"/>
          <w:lang w:val="en-US" w:eastAsia="zh-CN" w:bidi="ar-SA"/>
        </w:rPr>
        <w:t>，以时尚经济、首发经济为主的都会级商圈，加速文旅、消费、教育、文创、金融等服务业国际化，重塑硬科技创新生态和国际消费中心城市新形象，打造中国最具幸福感城市新</w:t>
      </w:r>
      <w:r>
        <w:rPr>
          <w:rFonts w:hint="eastAsia" w:ascii="Times New Roman" w:hAnsi="Times New Roman" w:eastAsia="仿宋_GB2312" w:cs="Times New Roman"/>
          <w:bCs/>
          <w:snapToGrid/>
          <w:color w:val="000000"/>
          <w:kern w:val="2"/>
          <w:sz w:val="32"/>
          <w:szCs w:val="32"/>
          <w:lang w:val="en-US" w:eastAsia="zh-CN" w:bidi="ar-SA"/>
        </w:rPr>
        <w:t>样本</w:t>
      </w:r>
      <w:r>
        <w:rPr>
          <w:rFonts w:hint="default" w:ascii="Times New Roman" w:hAnsi="Times New Roman" w:eastAsia="仿宋_GB2312" w:cs="Times New Roman"/>
          <w:bCs/>
          <w:snapToGrid/>
          <w:color w:val="000000"/>
          <w:kern w:val="2"/>
          <w:sz w:val="32"/>
          <w:szCs w:val="32"/>
          <w:lang w:val="en-US" w:eastAsia="zh-CN" w:bidi="ar-SA"/>
        </w:rPr>
        <w:t>。</w:t>
      </w:r>
    </w:p>
    <w:tbl>
      <w:tblPr>
        <w:tblStyle w:val="19"/>
        <w:tblW w:w="85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512"/>
      </w:tblGrid>
      <w:tr w14:paraId="36E23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51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7C7BC9F7">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jc w:val="center"/>
              <w:textAlignment w:val="baseline"/>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b/>
                <w:bCs/>
                <w:sz w:val="30"/>
                <w:szCs w:val="30"/>
                <w:lang w:val="en-US" w:eastAsia="zh-CN"/>
              </w:rPr>
              <w:t>专栏1 “多圈”协同发展重点</w:t>
            </w:r>
            <w:r>
              <w:rPr>
                <w:rFonts w:hint="eastAsia" w:ascii="Times New Roman" w:hAnsi="Times New Roman" w:eastAsia="仿宋_GB2312" w:cs="Times New Roman"/>
                <w:b/>
                <w:bCs/>
                <w:sz w:val="30"/>
                <w:szCs w:val="30"/>
                <w:lang w:val="en-US" w:eastAsia="zh-CN"/>
              </w:rPr>
              <w:t>领域</w:t>
            </w:r>
          </w:p>
        </w:tc>
      </w:tr>
      <w:tr w14:paraId="6AF98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51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87E1DBD">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1.科技服务协同发展圈</w:t>
            </w:r>
            <w:r>
              <w:rPr>
                <w:rFonts w:hint="default" w:ascii="Times New Roman" w:hAnsi="Times New Roman" w:eastAsia="仿宋_GB2312" w:cs="Times New Roman"/>
                <w:i w:val="0"/>
                <w:iCs w:val="0"/>
                <w:caps w:val="0"/>
                <w:color w:val="333333"/>
                <w:spacing w:val="0"/>
                <w:sz w:val="24"/>
                <w:szCs w:val="24"/>
                <w:lang w:val="en-US" w:eastAsia="zh-CN"/>
              </w:rPr>
              <w:t>。重点建设碑林环大学科创圈、高新区集成电路设计产业创新圈、高新区人工智能产业创新圈、高新区移动终端研发创新圈、高新区时空信息服务创新圈、经开区有色金属新材料研发创新圈、经开区能源科技服务创新圈、阎良区航空科技创新圈、航天基地航天科技服务创新圈、曲江新区数字内容服务创新圈等，重塑多区域联动发展的高技术服务发展新格局。</w:t>
            </w:r>
          </w:p>
          <w:p w14:paraId="59E1B01D">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2.现代物流服务协同发展圈</w:t>
            </w:r>
            <w:r>
              <w:rPr>
                <w:rFonts w:hint="default" w:ascii="Times New Roman" w:hAnsi="Times New Roman" w:eastAsia="仿宋_GB2312" w:cs="Times New Roman"/>
                <w:i w:val="0"/>
                <w:iCs w:val="0"/>
                <w:caps w:val="0"/>
                <w:color w:val="333333"/>
                <w:spacing w:val="0"/>
                <w:sz w:val="24"/>
                <w:szCs w:val="24"/>
                <w:lang w:val="en-US" w:eastAsia="zh-CN"/>
              </w:rPr>
              <w:t>。重点依托国家物流“4枢纽+1基地”，做强做实中欧班列西安集结中心、国际航空枢纽、国家现代流通战略支点、城郊大仓基地等载体，加快提升“枢纽+通道+网络”现代物流运行质效，高质量推进国际物流枢纽建设。</w:t>
            </w:r>
          </w:p>
          <w:p w14:paraId="5E7F636C">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3.现代文旅服务协同发展圈</w:t>
            </w:r>
            <w:r>
              <w:rPr>
                <w:rFonts w:hint="default" w:ascii="Times New Roman" w:hAnsi="Times New Roman" w:eastAsia="仿宋_GB2312" w:cs="Times New Roman"/>
                <w:i w:val="0"/>
                <w:iCs w:val="0"/>
                <w:caps w:val="0"/>
                <w:color w:val="333333"/>
                <w:spacing w:val="0"/>
                <w:sz w:val="24"/>
                <w:szCs w:val="24"/>
                <w:lang w:val="en-US" w:eastAsia="zh-CN"/>
              </w:rPr>
              <w:t>。重点发展秦始皇兵马俑博物馆、古城墙、华清池、陕西历史博物馆、碑林博物馆、钟鼓楼、小雁塔、楼观台、大明宫国家遗址、汉长安城遗址</w:t>
            </w:r>
            <w:r>
              <w:rPr>
                <w:rFonts w:hint="default" w:ascii="Times New Roman" w:hAnsi="Times New Roman" w:eastAsia="仿宋_GB2312" w:cs="Times New Roman"/>
                <w:i w:val="0"/>
                <w:iCs w:val="0"/>
                <w:caps w:val="0"/>
                <w:color w:val="333333"/>
                <w:spacing w:val="0"/>
                <w:sz w:val="24"/>
                <w:szCs w:val="24"/>
                <w:shd w:val="clear" w:fill="FFFFFF"/>
              </w:rPr>
              <w:t>、大兴善寺、青龙寺</w:t>
            </w:r>
            <w:r>
              <w:rPr>
                <w:rFonts w:hint="default" w:ascii="Times New Roman" w:hAnsi="Times New Roman" w:eastAsia="仿宋_GB2312" w:cs="Times New Roman"/>
                <w:i w:val="0"/>
                <w:iCs w:val="0"/>
                <w:caps w:val="0"/>
                <w:color w:val="333333"/>
                <w:spacing w:val="0"/>
                <w:sz w:val="24"/>
                <w:szCs w:val="24"/>
                <w:lang w:val="en-US" w:eastAsia="zh-CN"/>
              </w:rPr>
              <w:t>等，着力培育具有古都特色IP的旅游与文化产品，聚力打造历史与现代交汇的独特城市IP，特别是符合时下“国潮经济”潮流的谱系化IP产品、影视作品、短剧与短视频，提升古都历史文化品牌价值。</w:t>
            </w:r>
          </w:p>
          <w:p w14:paraId="515C4827">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4.现代文商旅融合服务发展圈</w:t>
            </w:r>
            <w:r>
              <w:rPr>
                <w:rFonts w:hint="default" w:ascii="Times New Roman" w:hAnsi="Times New Roman" w:eastAsia="仿宋_GB2312" w:cs="Times New Roman"/>
                <w:i w:val="0"/>
                <w:iCs w:val="0"/>
                <w:caps w:val="0"/>
                <w:color w:val="333333"/>
                <w:spacing w:val="0"/>
                <w:sz w:val="24"/>
                <w:szCs w:val="24"/>
                <w:lang w:val="en-US" w:eastAsia="zh-CN"/>
              </w:rPr>
              <w:t>。重点发展大唐不夜城、易俗社、老城根Gpark、钟鼓楼坊上、长安十二时辰、四海唐人街东方集、老菜场、叁伍壹壹、德福巷、烟火巷子等十条古城特色步行街，着力构建特色鲜明、多元融合的游憩消费、体验消费与城市消费一体化新场景，打造彰显古都城市形象的重要窗口和承载文商旅憩消费的重要阵地。</w:t>
            </w:r>
          </w:p>
          <w:p w14:paraId="2C4B22A3">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5.商贸服务协同发展圈</w:t>
            </w:r>
            <w:r>
              <w:rPr>
                <w:rFonts w:hint="default" w:ascii="Times New Roman" w:hAnsi="Times New Roman" w:eastAsia="仿宋_GB2312" w:cs="Times New Roman"/>
                <w:i w:val="0"/>
                <w:iCs w:val="0"/>
                <w:caps w:val="0"/>
                <w:color w:val="333333"/>
                <w:spacing w:val="0"/>
                <w:sz w:val="24"/>
                <w:szCs w:val="24"/>
                <w:lang w:val="en-US" w:eastAsia="zh-CN"/>
              </w:rPr>
              <w:t>。重点发展钟楼、永宁门、小寨、大雁塔、高新、经开、浐灞等商圈，着力培育</w:t>
            </w:r>
            <w:r>
              <w:rPr>
                <w:rFonts w:hint="default" w:ascii="Times New Roman" w:hAnsi="Times New Roman" w:eastAsia="仿宋_GB2312" w:cs="Times New Roman"/>
                <w:i w:val="0"/>
                <w:iCs w:val="0"/>
                <w:caps w:val="0"/>
                <w:color w:val="333333"/>
                <w:spacing w:val="0"/>
                <w:sz w:val="24"/>
                <w:szCs w:val="24"/>
                <w:shd w:val="clear" w:fill="FFFFFF"/>
              </w:rPr>
              <w:t>三桥、灞桥纺织城、浐灞</w:t>
            </w:r>
            <w:r>
              <w:rPr>
                <w:rFonts w:hint="default" w:ascii="Times New Roman" w:hAnsi="Times New Roman" w:eastAsia="仿宋_GB2312" w:cs="Times New Roman"/>
                <w:i w:val="0"/>
                <w:iCs w:val="0"/>
                <w:caps w:val="0"/>
                <w:color w:val="333333"/>
                <w:spacing w:val="0"/>
                <w:sz w:val="24"/>
                <w:szCs w:val="24"/>
                <w:shd w:val="clear" w:fill="FFFFFF"/>
                <w:lang w:val="en-US" w:eastAsia="zh-CN"/>
              </w:rPr>
              <w:t>等商圈，加速形成</w:t>
            </w:r>
            <w:r>
              <w:rPr>
                <w:rFonts w:hint="default" w:ascii="Times New Roman" w:hAnsi="Times New Roman" w:eastAsia="仿宋_GB2312" w:cs="Times New Roman"/>
                <w:i w:val="0"/>
                <w:iCs w:val="0"/>
                <w:caps w:val="0"/>
                <w:color w:val="333333"/>
                <w:spacing w:val="0"/>
                <w:sz w:val="24"/>
                <w:szCs w:val="24"/>
                <w:lang w:val="en-US" w:eastAsia="zh-CN"/>
              </w:rPr>
              <w:t>时尚经济、首发经济、商品经济与情绪经济、银发经济、宠物经济等融合发展的新业态</w:t>
            </w:r>
            <w:r>
              <w:rPr>
                <w:rFonts w:hint="eastAsia" w:ascii="Times New Roman" w:hAnsi="Times New Roman" w:eastAsia="仿宋_GB2312" w:cs="Times New Roman"/>
                <w:i w:val="0"/>
                <w:iCs w:val="0"/>
                <w:caps w:val="0"/>
                <w:color w:val="333333"/>
                <w:spacing w:val="0"/>
                <w:sz w:val="24"/>
                <w:szCs w:val="24"/>
                <w:lang w:val="en-US" w:eastAsia="zh-CN"/>
              </w:rPr>
              <w:t>集聚区</w:t>
            </w:r>
            <w:r>
              <w:rPr>
                <w:rFonts w:hint="default" w:ascii="Times New Roman" w:hAnsi="Times New Roman" w:eastAsia="仿宋_GB2312" w:cs="Times New Roman"/>
                <w:i w:val="0"/>
                <w:iCs w:val="0"/>
                <w:caps w:val="0"/>
                <w:color w:val="333333"/>
                <w:spacing w:val="0"/>
                <w:sz w:val="24"/>
                <w:szCs w:val="24"/>
                <w:lang w:val="en-US" w:eastAsia="zh-CN"/>
              </w:rPr>
              <w:t>，提升国际消费中心城市新形象。</w:t>
            </w:r>
          </w:p>
          <w:p w14:paraId="46B6C927">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6.现代工程服务协同发展圈</w:t>
            </w:r>
            <w:r>
              <w:rPr>
                <w:rFonts w:hint="default" w:ascii="Times New Roman" w:hAnsi="Times New Roman" w:eastAsia="仿宋_GB2312" w:cs="Times New Roman"/>
                <w:i w:val="0"/>
                <w:iCs w:val="0"/>
                <w:caps w:val="0"/>
                <w:color w:val="333333"/>
                <w:spacing w:val="0"/>
                <w:sz w:val="24"/>
                <w:szCs w:val="24"/>
                <w:lang w:val="en-US" w:eastAsia="zh-CN"/>
              </w:rPr>
              <w:t>。重点发挥新城</w:t>
            </w:r>
            <w:r>
              <w:rPr>
                <w:rFonts w:hint="eastAsia" w:ascii="Times New Roman" w:hAnsi="Times New Roman" w:eastAsia="仿宋_GB2312" w:cs="Times New Roman"/>
                <w:i w:val="0"/>
                <w:iCs w:val="0"/>
                <w:caps w:val="0"/>
                <w:color w:val="333333"/>
                <w:spacing w:val="0"/>
                <w:sz w:val="24"/>
                <w:szCs w:val="24"/>
                <w:lang w:val="en-US" w:eastAsia="zh-CN"/>
              </w:rPr>
              <w:t>区</w:t>
            </w:r>
            <w:r>
              <w:rPr>
                <w:rFonts w:hint="default" w:ascii="Times New Roman" w:hAnsi="Times New Roman" w:eastAsia="仿宋_GB2312" w:cs="Times New Roman"/>
                <w:i w:val="0"/>
                <w:iCs w:val="0"/>
                <w:caps w:val="0"/>
                <w:color w:val="333333"/>
                <w:spacing w:val="0"/>
                <w:sz w:val="24"/>
                <w:szCs w:val="24"/>
                <w:lang w:val="en-US" w:eastAsia="zh-CN"/>
              </w:rPr>
              <w:t>、碑林</w:t>
            </w:r>
            <w:r>
              <w:rPr>
                <w:rFonts w:hint="eastAsia" w:ascii="Times New Roman" w:hAnsi="Times New Roman" w:eastAsia="仿宋_GB2312" w:cs="Times New Roman"/>
                <w:i w:val="0"/>
                <w:iCs w:val="0"/>
                <w:caps w:val="0"/>
                <w:color w:val="333333"/>
                <w:spacing w:val="0"/>
                <w:sz w:val="24"/>
                <w:szCs w:val="24"/>
                <w:lang w:val="en-US" w:eastAsia="zh-CN"/>
              </w:rPr>
              <w:t>区</w:t>
            </w:r>
            <w:r>
              <w:rPr>
                <w:rFonts w:hint="default" w:ascii="Times New Roman" w:hAnsi="Times New Roman" w:eastAsia="仿宋_GB2312" w:cs="Times New Roman"/>
                <w:i w:val="0"/>
                <w:iCs w:val="0"/>
                <w:caps w:val="0"/>
                <w:color w:val="333333"/>
                <w:spacing w:val="0"/>
                <w:sz w:val="24"/>
                <w:szCs w:val="24"/>
                <w:lang w:val="en-US" w:eastAsia="zh-CN"/>
              </w:rPr>
              <w:t>、雁塔</w:t>
            </w:r>
            <w:r>
              <w:rPr>
                <w:rFonts w:hint="eastAsia" w:ascii="Times New Roman" w:hAnsi="Times New Roman" w:eastAsia="仿宋_GB2312" w:cs="Times New Roman"/>
                <w:i w:val="0"/>
                <w:iCs w:val="0"/>
                <w:caps w:val="0"/>
                <w:color w:val="333333"/>
                <w:spacing w:val="0"/>
                <w:sz w:val="24"/>
                <w:szCs w:val="24"/>
                <w:lang w:val="en-US" w:eastAsia="zh-CN"/>
              </w:rPr>
              <w:t>区</w:t>
            </w:r>
            <w:r>
              <w:rPr>
                <w:rFonts w:hint="default" w:ascii="Times New Roman" w:hAnsi="Times New Roman" w:eastAsia="仿宋_GB2312" w:cs="Times New Roman"/>
                <w:i w:val="0"/>
                <w:iCs w:val="0"/>
                <w:caps w:val="0"/>
                <w:color w:val="333333"/>
                <w:spacing w:val="0"/>
                <w:sz w:val="24"/>
                <w:szCs w:val="24"/>
                <w:lang w:val="en-US" w:eastAsia="zh-CN"/>
              </w:rPr>
              <w:t>、长安</w:t>
            </w:r>
            <w:r>
              <w:rPr>
                <w:rFonts w:hint="eastAsia" w:ascii="Times New Roman" w:hAnsi="Times New Roman" w:eastAsia="仿宋_GB2312" w:cs="Times New Roman"/>
                <w:i w:val="0"/>
                <w:iCs w:val="0"/>
                <w:caps w:val="0"/>
                <w:color w:val="333333"/>
                <w:spacing w:val="0"/>
                <w:sz w:val="24"/>
                <w:szCs w:val="24"/>
                <w:lang w:val="en-US" w:eastAsia="zh-CN"/>
              </w:rPr>
              <w:t>区</w:t>
            </w:r>
            <w:r>
              <w:rPr>
                <w:rFonts w:hint="default" w:ascii="Times New Roman" w:hAnsi="Times New Roman" w:eastAsia="仿宋_GB2312" w:cs="Times New Roman"/>
                <w:i w:val="0"/>
                <w:iCs w:val="0"/>
                <w:caps w:val="0"/>
                <w:color w:val="333333"/>
                <w:spacing w:val="0"/>
                <w:sz w:val="24"/>
                <w:szCs w:val="24"/>
                <w:lang w:val="en-US" w:eastAsia="zh-CN"/>
              </w:rPr>
              <w:t>、未央</w:t>
            </w:r>
            <w:r>
              <w:rPr>
                <w:rFonts w:hint="eastAsia" w:ascii="Times New Roman" w:hAnsi="Times New Roman" w:eastAsia="仿宋_GB2312" w:cs="Times New Roman"/>
                <w:i w:val="0"/>
                <w:iCs w:val="0"/>
                <w:caps w:val="0"/>
                <w:color w:val="333333"/>
                <w:spacing w:val="0"/>
                <w:sz w:val="24"/>
                <w:szCs w:val="24"/>
                <w:lang w:val="en-US" w:eastAsia="zh-CN"/>
              </w:rPr>
              <w:t>区</w:t>
            </w:r>
            <w:r>
              <w:rPr>
                <w:rFonts w:hint="default" w:ascii="Times New Roman" w:hAnsi="Times New Roman" w:eastAsia="仿宋_GB2312" w:cs="Times New Roman"/>
                <w:i w:val="0"/>
                <w:iCs w:val="0"/>
                <w:caps w:val="0"/>
                <w:color w:val="333333"/>
                <w:spacing w:val="0"/>
                <w:sz w:val="24"/>
                <w:szCs w:val="24"/>
                <w:lang w:val="en-US" w:eastAsia="zh-CN"/>
              </w:rPr>
              <w:t>、高新</w:t>
            </w:r>
            <w:r>
              <w:rPr>
                <w:rFonts w:hint="eastAsia" w:ascii="Times New Roman" w:hAnsi="Times New Roman" w:eastAsia="仿宋_GB2312" w:cs="Times New Roman"/>
                <w:i w:val="0"/>
                <w:iCs w:val="0"/>
                <w:caps w:val="0"/>
                <w:color w:val="333333"/>
                <w:spacing w:val="0"/>
                <w:sz w:val="24"/>
                <w:szCs w:val="24"/>
                <w:lang w:val="en-US" w:eastAsia="zh-CN"/>
              </w:rPr>
              <w:t>区</w:t>
            </w:r>
            <w:r>
              <w:rPr>
                <w:rFonts w:hint="default" w:ascii="Times New Roman" w:hAnsi="Times New Roman" w:eastAsia="仿宋_GB2312" w:cs="Times New Roman"/>
                <w:i w:val="0"/>
                <w:iCs w:val="0"/>
                <w:caps w:val="0"/>
                <w:color w:val="333333"/>
                <w:spacing w:val="0"/>
                <w:sz w:val="24"/>
                <w:szCs w:val="24"/>
                <w:lang w:val="en-US" w:eastAsia="zh-CN"/>
              </w:rPr>
              <w:t>、经开</w:t>
            </w:r>
            <w:r>
              <w:rPr>
                <w:rFonts w:hint="eastAsia" w:ascii="Times New Roman" w:hAnsi="Times New Roman" w:eastAsia="仿宋_GB2312" w:cs="Times New Roman"/>
                <w:i w:val="0"/>
                <w:iCs w:val="0"/>
                <w:caps w:val="0"/>
                <w:color w:val="333333"/>
                <w:spacing w:val="0"/>
                <w:sz w:val="24"/>
                <w:szCs w:val="24"/>
                <w:lang w:val="en-US" w:eastAsia="zh-CN"/>
              </w:rPr>
              <w:t>区</w:t>
            </w:r>
            <w:r>
              <w:rPr>
                <w:rFonts w:hint="default" w:ascii="Times New Roman" w:hAnsi="Times New Roman" w:eastAsia="仿宋_GB2312" w:cs="Times New Roman"/>
                <w:i w:val="0"/>
                <w:iCs w:val="0"/>
                <w:caps w:val="0"/>
                <w:color w:val="333333"/>
                <w:spacing w:val="0"/>
                <w:sz w:val="24"/>
                <w:szCs w:val="24"/>
                <w:lang w:val="en-US" w:eastAsia="zh-CN"/>
              </w:rPr>
              <w:t>等</w:t>
            </w:r>
            <w:r>
              <w:rPr>
                <w:rFonts w:hint="eastAsia" w:ascii="Times New Roman" w:hAnsi="Times New Roman" w:eastAsia="仿宋_GB2312" w:cs="Times New Roman"/>
                <w:i w:val="0"/>
                <w:iCs w:val="0"/>
                <w:caps w:val="0"/>
                <w:color w:val="333333"/>
                <w:spacing w:val="0"/>
                <w:sz w:val="24"/>
                <w:szCs w:val="24"/>
                <w:lang w:val="en-US" w:eastAsia="zh-CN"/>
              </w:rPr>
              <w:t>区域的勘察设计</w:t>
            </w:r>
            <w:r>
              <w:rPr>
                <w:rFonts w:hint="default" w:ascii="Times New Roman" w:hAnsi="Times New Roman" w:eastAsia="仿宋_GB2312" w:cs="Times New Roman"/>
                <w:i w:val="0"/>
                <w:iCs w:val="0"/>
                <w:caps w:val="0"/>
                <w:color w:val="333333"/>
                <w:spacing w:val="0"/>
                <w:sz w:val="24"/>
                <w:szCs w:val="24"/>
                <w:lang w:val="en-US" w:eastAsia="zh-CN"/>
              </w:rPr>
              <w:t>龙头企业作用，加快现代工程服务业转型发展，</w:t>
            </w:r>
            <w:r>
              <w:rPr>
                <w:rFonts w:hint="eastAsia" w:ascii="Times New Roman" w:hAnsi="Times New Roman" w:eastAsia="仿宋_GB2312" w:cs="Times New Roman"/>
                <w:i w:val="0"/>
                <w:iCs w:val="0"/>
                <w:caps w:val="0"/>
                <w:color w:val="333333"/>
                <w:spacing w:val="0"/>
                <w:sz w:val="24"/>
                <w:szCs w:val="24"/>
                <w:lang w:val="en-US" w:eastAsia="zh-CN"/>
              </w:rPr>
              <w:t>构建</w:t>
            </w:r>
            <w:r>
              <w:rPr>
                <w:rFonts w:hint="default" w:ascii="Times New Roman" w:hAnsi="Times New Roman" w:eastAsia="仿宋_GB2312" w:cs="Times New Roman"/>
                <w:i w:val="0"/>
                <w:iCs w:val="0"/>
                <w:caps w:val="0"/>
                <w:color w:val="333333"/>
                <w:spacing w:val="0"/>
                <w:sz w:val="24"/>
                <w:szCs w:val="24"/>
                <w:lang w:val="en-US" w:eastAsia="zh-CN"/>
              </w:rPr>
              <w:t>工程咨询领域发展新格局。</w:t>
            </w:r>
          </w:p>
          <w:p w14:paraId="5853DB15">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7.市区便民生活服务协同发展圈</w:t>
            </w:r>
            <w:r>
              <w:rPr>
                <w:rFonts w:hint="default" w:ascii="Times New Roman" w:hAnsi="Times New Roman" w:eastAsia="仿宋_GB2312" w:cs="Times New Roman"/>
                <w:i w:val="0"/>
                <w:iCs w:val="0"/>
                <w:caps w:val="0"/>
                <w:color w:val="333333"/>
                <w:spacing w:val="0"/>
                <w:sz w:val="24"/>
                <w:szCs w:val="24"/>
                <w:lang w:val="en-US" w:eastAsia="zh-CN"/>
              </w:rPr>
              <w:t>。结合区域资源禀赋与城市功能补缺需求，改造传统商贸服务圈，重点发展区域级商圈、社区级便民商圈和生活性商业街区，同时结合养老、医养、康养、休闲等刚需，优化布局若干区域性现代服务业集聚点，确保全市生活性服务特别是“一老一小”服务能力全覆盖，聚力打造全域联动、多点支撑、统筹发展的高品质一刻钟便民生活圈，提升居民生活的幸福力。</w:t>
            </w:r>
          </w:p>
          <w:p w14:paraId="7B9471D4">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8.市郊便民生活服务协同发展圈</w:t>
            </w:r>
            <w:r>
              <w:rPr>
                <w:rFonts w:hint="default" w:ascii="Times New Roman" w:hAnsi="Times New Roman" w:eastAsia="仿宋_GB2312" w:cs="Times New Roman"/>
                <w:i w:val="0"/>
                <w:iCs w:val="0"/>
                <w:caps w:val="0"/>
                <w:color w:val="333333"/>
                <w:spacing w:val="0"/>
                <w:sz w:val="24"/>
                <w:szCs w:val="24"/>
                <w:lang w:val="en-US" w:eastAsia="zh-CN"/>
              </w:rPr>
              <w:t>。重点发展县域型、名镇型、特色村型细分领域的商业体系，着力培育“农产品贸易+乡村旅游+体验式采摘+田园式憩居+农家乐餐饮”自然生态融合新业态，打造市区与市郊资源对接、服务业融合发展的新格局。</w:t>
            </w:r>
          </w:p>
        </w:tc>
      </w:tr>
    </w:tbl>
    <w:p w14:paraId="6B5DDF50">
      <w:pPr>
        <w:pStyle w:val="3"/>
        <w:keepNext/>
        <w:keepLines w:val="0"/>
        <w:pageBreakBefore w:val="0"/>
        <w:widowControl w:val="0"/>
        <w:kinsoku/>
        <w:wordWrap/>
        <w:overflowPunct w:val="0"/>
        <w:topLinePunct w:val="0"/>
        <w:autoSpaceDE/>
        <w:autoSpaceDN/>
        <w:bidi w:val="0"/>
        <w:adjustRightInd w:val="0"/>
        <w:snapToGrid w:val="0"/>
        <w:spacing w:line="600" w:lineRule="exact"/>
        <w:ind w:leftChars="0"/>
        <w:jc w:val="left"/>
        <w:textAlignment w:val="baseline"/>
        <w:rPr>
          <w:rFonts w:hint="default" w:ascii="Times New Roman" w:hAnsi="Times New Roman" w:eastAsia="黑体" w:cs="Times New Roman"/>
          <w:b w:val="0"/>
          <w:bCs/>
          <w:sz w:val="32"/>
          <w:szCs w:val="32"/>
          <w:lang w:val="en-US" w:eastAsia="zh-CN"/>
        </w:rPr>
      </w:pPr>
      <w:bookmarkStart w:id="28" w:name="_Toc13703"/>
      <w:bookmarkStart w:id="29" w:name="_Toc15331"/>
      <w:bookmarkStart w:id="30" w:name="_Toc16498"/>
      <w:r>
        <w:rPr>
          <w:rFonts w:hint="default" w:ascii="Times New Roman" w:hAnsi="Times New Roman" w:eastAsia="黑体" w:cs="Times New Roman"/>
          <w:b w:val="0"/>
          <w:bCs/>
          <w:sz w:val="32"/>
          <w:szCs w:val="32"/>
          <w:lang w:val="en-US" w:eastAsia="zh-CN"/>
        </w:rPr>
        <w:t>四、主要任务</w:t>
      </w:r>
      <w:bookmarkEnd w:id="28"/>
      <w:bookmarkEnd w:id="29"/>
      <w:bookmarkEnd w:id="30"/>
    </w:p>
    <w:p w14:paraId="5253002D">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31" w:name="_Toc17428"/>
      <w:bookmarkStart w:id="32" w:name="_Toc10402"/>
      <w:r>
        <w:rPr>
          <w:rFonts w:hint="default" w:ascii="Times New Roman" w:hAnsi="Times New Roman" w:eastAsia="楷体" w:cs="Times New Roman"/>
          <w:b w:val="0"/>
          <w:bCs/>
          <w:lang w:val="en-US" w:eastAsia="zh-CN"/>
        </w:rPr>
        <w:t>（一）提升生产性服务业发展质效</w:t>
      </w:r>
      <w:bookmarkEnd w:id="31"/>
      <w:bookmarkEnd w:id="32"/>
    </w:p>
    <w:p w14:paraId="79F580BC">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33" w:name="_Toc23024"/>
      <w:r>
        <w:rPr>
          <w:rFonts w:hint="default" w:ascii="Times New Roman" w:hAnsi="Times New Roman" w:eastAsia="仿宋_GB2312" w:cs="Times New Roman"/>
          <w:sz w:val="32"/>
          <w:szCs w:val="32"/>
          <w:lang w:val="en-US" w:eastAsia="zh-CN"/>
        </w:rPr>
        <w:t>1.信息服务业</w:t>
      </w:r>
      <w:bookmarkEnd w:id="33"/>
    </w:p>
    <w:p w14:paraId="191A5CA2">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顺应新一代信息技术变革趋势，抢抓人工智能与数据要素市场化配置改革的发展机遇，强化“应用场景牵引、关键技术攻坚、产业生态优化”，以高新区为核心承载区，西咸新区、经开区为两翼，统筹推进传统产业数字化转型和新兴产业未来产业培育，加快形成具有竞争优势、特色鲜明、自主可控的软信服产业集群。到2030年，力争信息服务业营业收入达到1200亿元。</w:t>
      </w:r>
    </w:p>
    <w:p w14:paraId="7DFA88D5">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eastAsia"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夯实产业基础能力。</w:t>
      </w:r>
      <w:r>
        <w:rPr>
          <w:rFonts w:hint="default" w:ascii="Times New Roman" w:hAnsi="Times New Roman" w:eastAsia="仿宋_GB2312" w:cs="Times New Roman"/>
          <w:bCs/>
          <w:snapToGrid/>
          <w:color w:val="000000"/>
          <w:kern w:val="2"/>
          <w:sz w:val="32"/>
          <w:szCs w:val="32"/>
          <w:lang w:val="en-US" w:eastAsia="zh-CN" w:bidi="ar-SA"/>
        </w:rPr>
        <w:t>建设全市统一算力调度平台，统筹国家超算、雁塔智算等本地异构算力，依托产业园区、重点企业部署边缘算力节点、超前布局星上智算，加大算力服务商引育，推动算力资源多元供给。支持企业围绕制造、科研、能源、医疗、教育、交通、文旅等重点领域，建设行业高质量数据集，强化数据赋能人工智能创新发展。支持产业园区打造OPC生态社区</w:t>
      </w:r>
      <w:r>
        <w:rPr>
          <w:rFonts w:hint="eastAsia" w:ascii="Times New Roman" w:hAnsi="Times New Roman" w:eastAsia="仿宋_GB2312" w:cs="Times New Roman"/>
          <w:bCs/>
          <w:snapToGrid/>
          <w:color w:val="000000"/>
          <w:kern w:val="2"/>
          <w:sz w:val="32"/>
          <w:szCs w:val="32"/>
          <w:lang w:val="en-US" w:eastAsia="zh-CN" w:bidi="ar-SA"/>
        </w:rPr>
        <w:t>，重点支持</w:t>
      </w:r>
      <w:r>
        <w:rPr>
          <w:rFonts w:hint="eastAsia" w:ascii="Times New Roman" w:hAnsi="Times New Roman" w:eastAsia="仿宋_GB2312" w:cs="Times New Roman"/>
          <w:bCs/>
          <w:sz w:val="32"/>
          <w:szCs w:val="32"/>
          <w:lang w:eastAsia="zh-CN"/>
        </w:rPr>
        <w:t>高新</w:t>
      </w:r>
      <w:r>
        <w:rPr>
          <w:rFonts w:hint="default" w:ascii="Times New Roman" w:hAnsi="Times New Roman" w:eastAsia="仿宋_GB2312" w:cs="Times New Roman"/>
          <w:bCs/>
          <w:sz w:val="32"/>
          <w:szCs w:val="32"/>
        </w:rPr>
        <w:t>软件</w:t>
      </w:r>
      <w:r>
        <w:rPr>
          <w:rFonts w:hint="eastAsia" w:ascii="Times New Roman" w:hAnsi="Times New Roman" w:eastAsia="仿宋_GB2312" w:cs="Times New Roman"/>
          <w:bCs/>
          <w:sz w:val="32"/>
          <w:szCs w:val="32"/>
          <w:lang w:eastAsia="zh-CN"/>
        </w:rPr>
        <w:t>城</w:t>
      </w:r>
      <w:r>
        <w:rPr>
          <w:rFonts w:hint="default" w:ascii="Times New Roman" w:hAnsi="Times New Roman" w:eastAsia="仿宋_GB2312" w:cs="Times New Roman"/>
          <w:bCs/>
          <w:sz w:val="32"/>
          <w:szCs w:val="32"/>
        </w:rPr>
        <w:t>、沣东自贸服贸产业园</w:t>
      </w:r>
      <w:r>
        <w:rPr>
          <w:rFonts w:hint="eastAsia" w:ascii="Times New Roman" w:hAnsi="Times New Roman" w:eastAsia="仿宋_GB2312" w:cs="Times New Roman"/>
          <w:bCs/>
          <w:sz w:val="32"/>
          <w:szCs w:val="32"/>
          <w:lang w:eastAsia="zh-CN"/>
        </w:rPr>
        <w:t>发展</w:t>
      </w:r>
      <w:r>
        <w:rPr>
          <w:rFonts w:hint="default" w:ascii="Times New Roman" w:hAnsi="Times New Roman" w:eastAsia="仿宋_GB2312" w:cs="Times New Roman"/>
          <w:bCs/>
          <w:snapToGrid/>
          <w:color w:val="000000"/>
          <w:kern w:val="2"/>
          <w:sz w:val="32"/>
          <w:szCs w:val="32"/>
          <w:lang w:val="en-US" w:eastAsia="zh-CN" w:bidi="ar-SA"/>
        </w:rPr>
        <w:t>。提升软硬一体技术适配和产品开发中心发展能级。稳步推进5G-A</w:t>
      </w:r>
      <w:r>
        <w:rPr>
          <w:rFonts w:hint="eastAsia" w:ascii="Times New Roman" w:hAnsi="Times New Roman" w:eastAsia="仿宋_GB2312" w:cs="Times New Roman"/>
          <w:bCs/>
          <w:snapToGrid/>
          <w:color w:val="000000"/>
          <w:kern w:val="2"/>
          <w:sz w:val="32"/>
          <w:szCs w:val="32"/>
          <w:lang w:val="en-US" w:eastAsia="zh-CN" w:bidi="ar-SA"/>
        </w:rPr>
        <w:t>、千兆网络建设，进一步提升网络覆盖质量。</w:t>
      </w:r>
    </w:p>
    <w:p w14:paraId="1213DCED">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val="0"/>
          <w:snapToGrid/>
          <w:color w:val="000000"/>
          <w:kern w:val="2"/>
          <w:sz w:val="32"/>
          <w:szCs w:val="32"/>
          <w:lang w:val="en-US" w:eastAsia="zh-CN" w:bidi="ar-SA"/>
        </w:rPr>
        <w:t>做大数字产业集群。</w:t>
      </w:r>
      <w:r>
        <w:rPr>
          <w:rFonts w:hint="default" w:ascii="Times New Roman" w:hAnsi="Times New Roman" w:eastAsia="仿宋_GB2312" w:cs="Times New Roman"/>
          <w:bCs/>
          <w:sz w:val="32"/>
          <w:szCs w:val="32"/>
          <w:lang w:eastAsia="zh-CN"/>
        </w:rPr>
        <w:t>积极发展信息技术外包、业务流程外包、知识流程外包，培育壮大数据储存、数据标注、数据交易等新业态。</w:t>
      </w:r>
      <w:r>
        <w:rPr>
          <w:rFonts w:hint="default" w:ascii="Times New Roman" w:hAnsi="Times New Roman" w:eastAsia="仿宋_GB2312" w:cs="Times New Roman"/>
          <w:sz w:val="32"/>
          <w:szCs w:val="32"/>
        </w:rPr>
        <w:t>推动集成电路设计业高端化发展，支持企业自主研发智能物联、智能汽车、机器人、低空系统产品或解决方案。</w:t>
      </w:r>
      <w:r>
        <w:rPr>
          <w:rFonts w:hint="default" w:ascii="Times New Roman" w:hAnsi="Times New Roman" w:eastAsia="仿宋_GB2312" w:cs="Times New Roman"/>
          <w:bCs/>
          <w:sz w:val="32"/>
          <w:szCs w:val="32"/>
          <w:lang w:eastAsia="zh-CN"/>
        </w:rPr>
        <w:t>培育信息安全产业，发展安全测评与认证、咨询、预警响应等专业服务。</w:t>
      </w:r>
      <w:r>
        <w:rPr>
          <w:rFonts w:hint="eastAsia" w:ascii="Times New Roman" w:hAnsi="Times New Roman" w:eastAsia="仿宋_GB2312" w:cs="Times New Roman"/>
          <w:bCs/>
          <w:sz w:val="32"/>
          <w:szCs w:val="32"/>
          <w:lang w:eastAsia="zh-CN"/>
        </w:rPr>
        <w:t>鼓励有条件的软信服企业向数据资源、数字技术、数据服务、数据应用及数据安全等专业数据服务商转型。支持企业参与行业高质量数据集、可信数据空间、公共数据“跑起来”等场景建设。</w:t>
      </w:r>
      <w:r>
        <w:rPr>
          <w:rFonts w:hint="default" w:ascii="Times New Roman" w:hAnsi="Times New Roman" w:eastAsia="仿宋_GB2312" w:cs="Times New Roman"/>
          <w:bCs/>
          <w:sz w:val="32"/>
          <w:szCs w:val="32"/>
          <w:lang w:eastAsia="zh-CN"/>
        </w:rPr>
        <w:t>支持电商平台企业提供技术支撑、流量转化、供应链协同、品牌孵化，促进实体经济线上融合发展。</w:t>
      </w:r>
      <w:r>
        <w:rPr>
          <w:rFonts w:hint="default" w:ascii="Times New Roman" w:hAnsi="Times New Roman" w:eastAsia="仿宋_GB2312" w:cs="Times New Roman"/>
          <w:sz w:val="32"/>
          <w:szCs w:val="32"/>
          <w:lang w:val="en-US" w:eastAsia="zh-CN"/>
        </w:rPr>
        <w:t>培育壮大信息服务“投流业态”和“出海产业”，打造数字产业新IP。</w:t>
      </w:r>
    </w:p>
    <w:p w14:paraId="3454EC09">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
          <w:bCs w:val="0"/>
          <w:snapToGrid/>
          <w:color w:val="000000"/>
          <w:kern w:val="2"/>
          <w:sz w:val="32"/>
          <w:szCs w:val="32"/>
          <w:lang w:val="en-US" w:eastAsia="zh-CN" w:bidi="ar-SA"/>
        </w:rPr>
        <w:t>提升数智赋能水平。</w:t>
      </w:r>
      <w:r>
        <w:rPr>
          <w:rFonts w:hint="default" w:ascii="Times New Roman" w:hAnsi="Times New Roman" w:eastAsia="仿宋_GB2312" w:cs="Times New Roman"/>
          <w:bCs/>
          <w:sz w:val="32"/>
          <w:szCs w:val="32"/>
        </w:rPr>
        <w:t>加强</w:t>
      </w:r>
      <w:r>
        <w:rPr>
          <w:rFonts w:hint="default" w:ascii="Times New Roman" w:hAnsi="Times New Roman" w:eastAsia="仿宋_GB2312" w:cs="Times New Roman"/>
          <w:bCs/>
          <w:sz w:val="32"/>
          <w:szCs w:val="32"/>
          <w:lang w:eastAsia="zh-CN"/>
        </w:rPr>
        <w:t>基础</w:t>
      </w:r>
      <w:r>
        <w:rPr>
          <w:rFonts w:hint="default" w:ascii="Times New Roman" w:hAnsi="Times New Roman" w:eastAsia="仿宋_GB2312" w:cs="Times New Roman"/>
          <w:bCs/>
          <w:sz w:val="32"/>
          <w:szCs w:val="32"/>
        </w:rPr>
        <w:t>软件、工业软件、</w:t>
      </w:r>
      <w:r>
        <w:rPr>
          <w:rFonts w:hint="default" w:ascii="Times New Roman" w:hAnsi="Times New Roman" w:eastAsia="仿宋_GB2312" w:cs="Times New Roman"/>
          <w:bCs/>
          <w:sz w:val="32"/>
          <w:szCs w:val="32"/>
          <w:lang w:eastAsia="zh-CN"/>
        </w:rPr>
        <w:t>网络</w:t>
      </w:r>
      <w:r>
        <w:rPr>
          <w:rFonts w:hint="eastAsia" w:ascii="Times New Roman" w:hAnsi="Times New Roman" w:eastAsia="仿宋_GB2312" w:cs="Times New Roman"/>
          <w:bCs/>
          <w:sz w:val="32"/>
          <w:szCs w:val="32"/>
          <w:lang w:eastAsia="zh-CN"/>
        </w:rPr>
        <w:t>安</w:t>
      </w:r>
      <w:r>
        <w:rPr>
          <w:rFonts w:hint="default" w:ascii="Times New Roman" w:hAnsi="Times New Roman" w:eastAsia="仿宋_GB2312" w:cs="Times New Roman"/>
          <w:bCs/>
          <w:sz w:val="32"/>
          <w:szCs w:val="32"/>
          <w:lang w:eastAsia="zh-CN"/>
        </w:rPr>
        <w:t>全、</w:t>
      </w:r>
      <w:r>
        <w:rPr>
          <w:rFonts w:hint="default" w:ascii="Times New Roman" w:hAnsi="Times New Roman" w:eastAsia="仿宋_GB2312" w:cs="Times New Roman"/>
          <w:bCs/>
          <w:sz w:val="32"/>
          <w:szCs w:val="32"/>
        </w:rPr>
        <w:t>核心算法、数据处理软件</w:t>
      </w:r>
      <w:r>
        <w:rPr>
          <w:rFonts w:hint="default" w:ascii="Times New Roman" w:hAnsi="Times New Roman" w:eastAsia="仿宋_GB2312" w:cs="Times New Roman"/>
          <w:bCs/>
          <w:sz w:val="32"/>
          <w:szCs w:val="32"/>
          <w:lang w:eastAsia="zh-CN"/>
        </w:rPr>
        <w:t>、人工智能</w:t>
      </w:r>
      <w:r>
        <w:rPr>
          <w:rFonts w:hint="default" w:ascii="Times New Roman" w:hAnsi="Times New Roman" w:eastAsia="仿宋_GB2312" w:cs="Times New Roman"/>
          <w:bCs/>
          <w:sz w:val="32"/>
          <w:szCs w:val="32"/>
        </w:rPr>
        <w:t>等关键技术核心攻坚，强化首版次软件产品培育和认定</w:t>
      </w:r>
      <w:r>
        <w:rPr>
          <w:rFonts w:hint="default" w:ascii="Times New Roman" w:hAnsi="Times New Roman" w:eastAsia="仿宋_GB2312" w:cs="Times New Roman"/>
          <w:sz w:val="32"/>
          <w:szCs w:val="32"/>
        </w:rPr>
        <w:t>，</w:t>
      </w:r>
      <w:r>
        <w:rPr>
          <w:rFonts w:hint="default" w:ascii="Times New Roman" w:hAnsi="Times New Roman" w:eastAsia="仿宋_GB2312" w:cs="Times New Roman"/>
          <w:bCs/>
          <w:sz w:val="32"/>
          <w:szCs w:val="32"/>
        </w:rPr>
        <w:t>力争突破一批</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卡脖子</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技术。</w:t>
      </w:r>
      <w:r>
        <w:rPr>
          <w:rFonts w:hint="default" w:ascii="Times New Roman" w:hAnsi="Times New Roman" w:eastAsia="仿宋_GB2312" w:cs="Times New Roman"/>
          <w:sz w:val="32"/>
          <w:szCs w:val="32"/>
          <w:lang w:eastAsia="zh-CN"/>
        </w:rPr>
        <w:t>深化数智服务入链融链，</w:t>
      </w:r>
      <w:r>
        <w:rPr>
          <w:rFonts w:hint="default" w:ascii="Times New Roman" w:hAnsi="Times New Roman" w:eastAsia="仿宋_GB2312" w:cs="Times New Roman"/>
          <w:bCs/>
          <w:sz w:val="32"/>
          <w:szCs w:val="32"/>
        </w:rPr>
        <w:t>支持软信</w:t>
      </w:r>
      <w:r>
        <w:rPr>
          <w:rFonts w:hint="eastAsia" w:ascii="Times New Roman" w:hAnsi="Times New Roman" w:eastAsia="仿宋_GB2312" w:cs="Times New Roman"/>
          <w:bCs/>
          <w:sz w:val="32"/>
          <w:szCs w:val="32"/>
          <w:lang w:eastAsia="zh-CN"/>
        </w:rPr>
        <w:t>服</w:t>
      </w:r>
      <w:r>
        <w:rPr>
          <w:rFonts w:hint="default" w:ascii="Times New Roman" w:hAnsi="Times New Roman" w:eastAsia="仿宋_GB2312" w:cs="Times New Roman"/>
          <w:bCs/>
          <w:sz w:val="32"/>
          <w:szCs w:val="32"/>
        </w:rPr>
        <w:t>企业</w:t>
      </w:r>
      <w:r>
        <w:rPr>
          <w:rFonts w:hint="default" w:ascii="Times New Roman" w:hAnsi="Times New Roman" w:eastAsia="仿宋_GB2312" w:cs="Times New Roman"/>
          <w:bCs/>
          <w:sz w:val="32"/>
          <w:szCs w:val="32"/>
          <w:lang w:eastAsia="zh-CN"/>
        </w:rPr>
        <w:t>研发适配制造、能源、物流等重点行业场景的</w:t>
      </w:r>
      <w:r>
        <w:rPr>
          <w:rFonts w:hint="default" w:ascii="Times New Roman" w:hAnsi="Times New Roman" w:eastAsia="仿宋_GB2312" w:cs="Times New Roman"/>
          <w:bCs/>
          <w:sz w:val="32"/>
          <w:szCs w:val="32"/>
        </w:rPr>
        <w:t>垂直大模型、</w:t>
      </w:r>
      <w:r>
        <w:rPr>
          <w:rFonts w:hint="default" w:ascii="Times New Roman" w:hAnsi="Times New Roman" w:eastAsia="仿宋_GB2312" w:cs="Times New Roman"/>
          <w:bCs/>
          <w:sz w:val="32"/>
          <w:szCs w:val="32"/>
          <w:lang w:eastAsia="zh-CN"/>
        </w:rPr>
        <w:t>算法</w:t>
      </w:r>
      <w:r>
        <w:rPr>
          <w:rFonts w:hint="default" w:ascii="Times New Roman" w:hAnsi="Times New Roman" w:eastAsia="仿宋_GB2312" w:cs="Times New Roman"/>
          <w:bCs/>
          <w:sz w:val="32"/>
          <w:szCs w:val="32"/>
        </w:rPr>
        <w:t>智能体</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专用小模型，</w:t>
      </w:r>
      <w:r>
        <w:rPr>
          <w:rFonts w:hint="default" w:ascii="Times New Roman" w:hAnsi="Times New Roman" w:eastAsia="仿宋_GB2312" w:cs="Times New Roman"/>
          <w:sz w:val="32"/>
          <w:szCs w:val="32"/>
          <w:lang w:eastAsia="zh-CN"/>
        </w:rPr>
        <w:t>开发定制软件产品与解决方案，</w:t>
      </w:r>
      <w:r>
        <w:rPr>
          <w:rFonts w:hint="default" w:ascii="Times New Roman" w:hAnsi="Times New Roman" w:eastAsia="仿宋_GB2312" w:cs="Times New Roman"/>
          <w:bCs/>
          <w:sz w:val="32"/>
          <w:szCs w:val="32"/>
          <w:lang w:eastAsia="zh-CN"/>
        </w:rPr>
        <w:t>培育一批专业化模型算法服务、评测机构。深化中小企业数字化转型，</w:t>
      </w:r>
      <w:r>
        <w:rPr>
          <w:rFonts w:hint="default" w:ascii="Times New Roman" w:hAnsi="Times New Roman" w:eastAsia="仿宋_GB2312" w:cs="Times New Roman"/>
          <w:sz w:val="32"/>
          <w:szCs w:val="32"/>
          <w:lang w:eastAsia="zh-CN"/>
        </w:rPr>
        <w:t>支持软件企业融合具体场景开展试点示范应用，鼓励企业向产品化、</w:t>
      </w:r>
      <w:r>
        <w:rPr>
          <w:rFonts w:hint="default" w:ascii="Times New Roman" w:hAnsi="Times New Roman" w:eastAsia="仿宋_GB2312" w:cs="Times New Roman"/>
          <w:sz w:val="32"/>
          <w:szCs w:val="32"/>
          <w:lang w:val="en-US" w:eastAsia="zh-CN"/>
        </w:rPr>
        <w:t>SaaS化转型。</w:t>
      </w:r>
      <w:r>
        <w:rPr>
          <w:rFonts w:hint="default" w:ascii="Times New Roman" w:hAnsi="Times New Roman" w:eastAsia="仿宋_GB2312" w:cs="Times New Roman"/>
          <w:bCs/>
          <w:sz w:val="32"/>
          <w:szCs w:val="32"/>
          <w:lang w:eastAsia="zh-CN"/>
        </w:rPr>
        <w:t>鼓励企业联合开发开放应用场景，打造高水平数字化转型解决方案。</w:t>
      </w:r>
      <w:r>
        <w:rPr>
          <w:rFonts w:hint="default" w:ascii="Times New Roman" w:hAnsi="Times New Roman" w:eastAsia="仿宋_GB2312" w:cs="Times New Roman"/>
          <w:bCs/>
          <w:sz w:val="32"/>
          <w:szCs w:val="32"/>
          <w:lang w:val="en-US" w:eastAsia="zh-CN"/>
        </w:rPr>
        <w:t>推进AI技术与数字化营销平台、汉服妆造产业平台深度融合，打造一批标志性应用场景。</w:t>
      </w:r>
    </w:p>
    <w:p w14:paraId="05FB508F">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繁荣数字内容生态。</w:t>
      </w:r>
      <w:r>
        <w:rPr>
          <w:rFonts w:hint="default" w:ascii="Times New Roman" w:hAnsi="Times New Roman" w:eastAsia="仿宋_GB2312" w:cs="Times New Roman"/>
          <w:bCs/>
          <w:sz w:val="32"/>
          <w:szCs w:val="32"/>
        </w:rPr>
        <w:t>建立重点平台企业联系清单和项目库，支持动漫产业平台</w:t>
      </w:r>
      <w:r>
        <w:rPr>
          <w:rFonts w:hint="default" w:ascii="Times New Roman" w:hAnsi="Times New Roman" w:eastAsia="仿宋_GB2312" w:cs="Times New Roman"/>
          <w:bCs/>
          <w:sz w:val="32"/>
          <w:szCs w:val="32"/>
          <w:lang w:eastAsia="zh-CN"/>
        </w:rPr>
        <w:t>、电影内</w:t>
      </w:r>
      <w:r>
        <w:rPr>
          <w:rFonts w:hint="default" w:ascii="Times New Roman" w:hAnsi="Times New Roman" w:eastAsia="仿宋_GB2312" w:cs="Times New Roman"/>
          <w:bCs/>
          <w:snapToGrid/>
          <w:color w:val="000000"/>
          <w:kern w:val="2"/>
          <w:sz w:val="32"/>
          <w:szCs w:val="32"/>
          <w:lang w:val="en-US" w:eastAsia="zh-CN" w:bidi="ar-SA"/>
        </w:rPr>
        <w:t>容AI辅助创造平</w:t>
      </w:r>
      <w:r>
        <w:rPr>
          <w:rFonts w:hint="default" w:ascii="Times New Roman" w:hAnsi="Times New Roman" w:eastAsia="仿宋_GB2312" w:cs="Times New Roman"/>
          <w:bCs/>
          <w:sz w:val="32"/>
          <w:szCs w:val="32"/>
          <w:lang w:val="en-US" w:eastAsia="zh-CN"/>
        </w:rPr>
        <w:t>台等建设，促进</w:t>
      </w:r>
      <w:r>
        <w:rPr>
          <w:rFonts w:hint="default" w:ascii="Times New Roman" w:hAnsi="Times New Roman" w:eastAsia="仿宋_GB2312" w:cs="Times New Roman"/>
          <w:bCs/>
          <w:snapToGrid/>
          <w:color w:val="000000"/>
          <w:kern w:val="2"/>
          <w:sz w:val="32"/>
          <w:szCs w:val="32"/>
          <w:lang w:val="en-US" w:eastAsia="zh-CN" w:bidi="ar-SA"/>
        </w:rPr>
        <w:t>AI与微短剧、影视、游戏动漫等融合发展</w:t>
      </w:r>
      <w:r>
        <w:rPr>
          <w:rFonts w:hint="default" w:ascii="Times New Roman" w:hAnsi="Times New Roman" w:eastAsia="仿宋_GB2312" w:cs="Times New Roman"/>
          <w:bCs/>
          <w:sz w:val="32"/>
          <w:szCs w:val="32"/>
        </w:rPr>
        <w:t>，建设一批具有全国影响力的内容创作与分发平台。鼓励网络游戏、数字金融等新业态发展</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发展“投流+”模式，培育一批以软件技术平台为载体的数字内容、数字创意企业。</w:t>
      </w:r>
      <w:r>
        <w:rPr>
          <w:rFonts w:hint="default" w:ascii="Times New Roman" w:hAnsi="Times New Roman" w:eastAsia="仿宋_GB2312" w:cs="Times New Roman"/>
          <w:bCs/>
          <w:snapToGrid/>
          <w:color w:val="000000"/>
          <w:kern w:val="2"/>
          <w:sz w:val="32"/>
          <w:szCs w:val="32"/>
          <w:lang w:val="en-US" w:eastAsia="zh-CN" w:bidi="ar-SA"/>
        </w:rPr>
        <w:t>服务“Z世代”重点群体，通过AI、元宇宙、AR/VR/XR等技术赋能，打造沉浸式、个性化消费新体验。建设数字内容和文化创意产业内容创作新型基础设施共享平台，拓展数字内容服务新业态。</w:t>
      </w:r>
    </w:p>
    <w:tbl>
      <w:tblPr>
        <w:tblStyle w:val="19"/>
        <w:tblW w:w="85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512"/>
      </w:tblGrid>
      <w:tr w14:paraId="731AD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51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026789B4">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spacing w:before="0" w:beforeAutospacing="0" w:after="0" w:afterAutospacing="0" w:line="26" w:lineRule="atLeast"/>
              <w:ind w:left="0" w:right="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b/>
                <w:bCs/>
                <w:sz w:val="30"/>
                <w:szCs w:val="30"/>
                <w:lang w:val="en-US" w:eastAsia="zh-CN"/>
              </w:rPr>
              <w:t>专栏2 信息服务重点发展方向</w:t>
            </w:r>
          </w:p>
        </w:tc>
      </w:tr>
      <w:tr w14:paraId="0E93C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51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89420C4">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firstLine="480" w:firstLineChars="200"/>
              <w:jc w:val="both"/>
              <w:textAlignment w:val="baseline"/>
              <w:rPr>
                <w:rFonts w:hint="default" w:ascii="Times New Roman" w:hAnsi="Times New Roman" w:eastAsia="黑体" w:cs="Times New Roman"/>
                <w:b w:val="0"/>
                <w:bCs w:val="0"/>
                <w:i w:val="0"/>
                <w:iCs w:val="0"/>
                <w:caps w:val="0"/>
                <w:color w:val="333333"/>
                <w:spacing w:val="0"/>
                <w:sz w:val="24"/>
                <w:szCs w:val="24"/>
                <w:lang w:val="en-US" w:eastAsia="zh-CN"/>
              </w:rPr>
            </w:pPr>
            <w:r>
              <w:rPr>
                <w:rFonts w:hint="default" w:ascii="Times New Roman" w:hAnsi="Times New Roman" w:eastAsia="黑体" w:cs="Times New Roman"/>
                <w:b w:val="0"/>
                <w:bCs w:val="0"/>
                <w:i w:val="0"/>
                <w:iCs w:val="0"/>
                <w:caps w:val="0"/>
                <w:color w:val="333333"/>
                <w:spacing w:val="0"/>
                <w:sz w:val="24"/>
                <w:szCs w:val="24"/>
                <w:lang w:val="en-US" w:eastAsia="zh-CN"/>
              </w:rPr>
              <w:t>一、细分行业</w:t>
            </w:r>
          </w:p>
          <w:p w14:paraId="4DB4D8F9">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firstLine="482" w:firstLineChars="200"/>
              <w:jc w:val="both"/>
              <w:textAlignment w:val="baseline"/>
              <w:rPr>
                <w:rFonts w:hint="default" w:ascii="Times New Roman" w:hAnsi="Times New Roman" w:eastAsia="仿宋_GB2312" w:cs="Times New Roman"/>
                <w:b w:val="0"/>
                <w:bCs w:val="0"/>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1.集成电路设计</w:t>
            </w:r>
            <w:r>
              <w:rPr>
                <w:rFonts w:hint="default" w:ascii="Times New Roman" w:hAnsi="Times New Roman" w:eastAsia="仿宋_GB2312" w:cs="Times New Roman"/>
                <w:b w:val="0"/>
                <w:bCs w:val="0"/>
                <w:i w:val="0"/>
                <w:iCs w:val="0"/>
                <w:caps w:val="0"/>
                <w:color w:val="333333"/>
                <w:spacing w:val="0"/>
                <w:sz w:val="24"/>
                <w:szCs w:val="24"/>
                <w:lang w:val="en-US" w:eastAsia="zh-CN"/>
              </w:rPr>
              <w:t>。依托国家集成电路设计产业化基地，重点发展混合/模拟IC设计、DRAM存储器设计、功率器件设计与测试筛选服务等，特别是行业应用方案集成设计与服务，构建含材料、设计、制造、封装测试、系统应用、制造服务等一体化的完整产业链和服务生态。</w:t>
            </w:r>
          </w:p>
          <w:p w14:paraId="23736D12">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2.硅光技术服务</w:t>
            </w:r>
            <w:r>
              <w:rPr>
                <w:rFonts w:hint="default" w:ascii="Times New Roman" w:hAnsi="Times New Roman" w:eastAsia="仿宋_GB2312" w:cs="Times New Roman"/>
                <w:i w:val="0"/>
                <w:iCs w:val="0"/>
                <w:caps w:val="0"/>
                <w:color w:val="333333"/>
                <w:spacing w:val="0"/>
                <w:sz w:val="24"/>
                <w:szCs w:val="24"/>
                <w:lang w:val="en-US" w:eastAsia="zh-CN"/>
              </w:rPr>
              <w:t>。依托陕西光电子先导院“光子集成产业中试平台”的6吋砷化镓和8吋硅基硅光中试线，以及中航工业的6吋和8吋（在建）MEMS生产线，重点发展光子集成芯片设计、MEMS集成芯片、嵌入式软件、系统集成与开发服务等。</w:t>
            </w:r>
          </w:p>
          <w:p w14:paraId="3C723E4B">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sz w:val="24"/>
                <w:szCs w:val="24"/>
                <w:lang w:val="en-US" w:eastAsia="zh-CN"/>
              </w:rPr>
              <w:t>3.遥感遥测</w:t>
            </w:r>
            <w:r>
              <w:rPr>
                <w:rFonts w:hint="default" w:ascii="Times New Roman" w:hAnsi="Times New Roman" w:eastAsia="仿宋_GB2312" w:cs="Times New Roman"/>
                <w:b w:val="0"/>
                <w:bCs w:val="0"/>
                <w:sz w:val="24"/>
                <w:szCs w:val="24"/>
                <w:lang w:val="en-US" w:eastAsia="zh-CN"/>
              </w:rPr>
              <w:t>。重点发展卫星遥感、遥感测绘、遥感监测等，以及遥感遥测装备研发与服务、遥感遥测数据开发与应用、卫星监测与服务等，构建</w:t>
            </w:r>
            <w:r>
              <w:rPr>
                <w:rFonts w:hint="default" w:ascii="Times New Roman" w:hAnsi="Times New Roman" w:eastAsia="仿宋_GB2312" w:cs="Times New Roman"/>
                <w:i w:val="0"/>
                <w:iCs w:val="0"/>
                <w:caps w:val="0"/>
                <w:snapToGrid w:val="0"/>
                <w:color w:val="000000"/>
                <w:spacing w:val="0"/>
                <w:kern w:val="0"/>
                <w:sz w:val="24"/>
                <w:szCs w:val="24"/>
                <w:shd w:val="clear" w:fill="FFFFFF"/>
                <w:lang w:val="en-US" w:eastAsia="zh-CN" w:bidi="ar"/>
              </w:rPr>
              <w:t>覆盖装备制造、测控、数据服务等全链闭环的产业服务生态。</w:t>
            </w:r>
          </w:p>
          <w:p w14:paraId="5CA2D6A7">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4.光通信</w:t>
            </w:r>
            <w:r>
              <w:rPr>
                <w:rFonts w:hint="eastAsia" w:ascii="Times New Roman" w:hAnsi="Times New Roman" w:eastAsia="仿宋_GB2312" w:cs="Times New Roman"/>
                <w:b/>
                <w:bCs/>
                <w:i w:val="0"/>
                <w:iCs w:val="0"/>
                <w:caps w:val="0"/>
                <w:color w:val="333333"/>
                <w:spacing w:val="0"/>
                <w:sz w:val="24"/>
                <w:szCs w:val="24"/>
                <w:lang w:val="en-US" w:eastAsia="zh-CN"/>
              </w:rPr>
              <w:t>服务</w:t>
            </w:r>
            <w:r>
              <w:rPr>
                <w:rFonts w:hint="default" w:ascii="Times New Roman" w:hAnsi="Times New Roman" w:eastAsia="仿宋_GB2312" w:cs="Times New Roman"/>
                <w:i w:val="0"/>
                <w:iCs w:val="0"/>
                <w:caps w:val="0"/>
                <w:color w:val="333333"/>
                <w:spacing w:val="0"/>
                <w:sz w:val="24"/>
                <w:szCs w:val="24"/>
                <w:lang w:val="en-US" w:eastAsia="zh-CN"/>
              </w:rPr>
              <w:t>。重点发展智能光通信组网技术、空间太赫兹遥感技术、光子太赫兹融合通信技术等，拓展在高速无线接入、近距离大容量传输、传感通信一体化等典型场景的应用潜力。</w:t>
            </w:r>
          </w:p>
          <w:p w14:paraId="09E07537">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sz w:val="24"/>
                <w:szCs w:val="24"/>
                <w:lang w:val="en-US" w:eastAsia="zh-CN"/>
              </w:rPr>
              <w:t>5.应用软件</w:t>
            </w:r>
            <w:r>
              <w:rPr>
                <w:rFonts w:hint="default" w:ascii="Times New Roman" w:hAnsi="Times New Roman" w:eastAsia="仿宋_GB2312" w:cs="Times New Roman"/>
                <w:b w:val="0"/>
                <w:bCs w:val="0"/>
                <w:sz w:val="24"/>
                <w:szCs w:val="24"/>
                <w:lang w:val="en-US" w:eastAsia="zh-CN"/>
              </w:rPr>
              <w:t>。加速存量行业应用软件平滑升级，构建</w:t>
            </w:r>
            <w:r>
              <w:rPr>
                <w:rFonts w:hint="default" w:ascii="Times New Roman" w:hAnsi="Times New Roman" w:eastAsia="仿宋_GB2312" w:cs="Times New Roman"/>
                <w:i w:val="0"/>
                <w:iCs w:val="0"/>
                <w:caps w:val="0"/>
                <w:color w:val="333333"/>
                <w:spacing w:val="0"/>
                <w:sz w:val="24"/>
                <w:szCs w:val="24"/>
              </w:rPr>
              <w:t>面</w:t>
            </w:r>
            <w:r>
              <w:rPr>
                <w:rFonts w:hint="default" w:ascii="Times New Roman" w:hAnsi="Times New Roman" w:eastAsia="仿宋_GB2312" w:cs="Times New Roman"/>
                <w:i w:val="0"/>
                <w:iCs w:val="0"/>
                <w:caps w:val="0"/>
                <w:color w:val="333333"/>
                <w:spacing w:val="0"/>
                <w:sz w:val="24"/>
                <w:szCs w:val="24"/>
                <w:lang w:val="en-US" w:eastAsia="zh-CN"/>
              </w:rPr>
              <w:t>向</w:t>
            </w:r>
            <w:r>
              <w:rPr>
                <w:rFonts w:hint="default" w:ascii="Times New Roman" w:hAnsi="Times New Roman" w:eastAsia="仿宋_GB2312" w:cs="Times New Roman"/>
                <w:i w:val="0"/>
                <w:iCs w:val="0"/>
                <w:caps w:val="0"/>
                <w:color w:val="333333"/>
                <w:spacing w:val="0"/>
                <w:sz w:val="24"/>
                <w:szCs w:val="24"/>
              </w:rPr>
              <w:t>行业的集成应用平台</w:t>
            </w:r>
            <w:r>
              <w:rPr>
                <w:rFonts w:hint="default" w:ascii="Times New Roman" w:hAnsi="Times New Roman" w:eastAsia="仿宋_GB2312" w:cs="Times New Roman"/>
                <w:i w:val="0"/>
                <w:iCs w:val="0"/>
                <w:caps w:val="0"/>
                <w:color w:val="333333"/>
                <w:spacing w:val="0"/>
                <w:sz w:val="24"/>
                <w:szCs w:val="24"/>
                <w:lang w:eastAsia="zh-CN"/>
              </w:rPr>
              <w:t>，</w:t>
            </w:r>
            <w:r>
              <w:rPr>
                <w:rFonts w:hint="default" w:ascii="Times New Roman" w:hAnsi="Times New Roman" w:eastAsia="仿宋_GB2312" w:cs="Times New Roman"/>
                <w:b w:val="0"/>
                <w:bCs w:val="0"/>
                <w:sz w:val="24"/>
                <w:szCs w:val="24"/>
                <w:lang w:val="en-US" w:eastAsia="zh-CN"/>
              </w:rPr>
              <w:t>重点发展智慧能源、智慧城市、智慧工厂等行业定制软件，推进“硬</w:t>
            </w:r>
            <w:r>
              <w:rPr>
                <w:rFonts w:hint="default" w:ascii="Times New Roman" w:hAnsi="Times New Roman" w:eastAsia="仿宋_GB2312" w:cs="Times New Roman"/>
                <w:i w:val="0"/>
                <w:iCs w:val="0"/>
                <w:caps w:val="0"/>
                <w:color w:val="333333"/>
                <w:spacing w:val="0"/>
                <w:sz w:val="24"/>
                <w:szCs w:val="24"/>
                <w:lang w:val="en-US" w:eastAsia="zh-CN"/>
              </w:rPr>
              <w:t xml:space="preserve">件+软件+网络+数据+服务”智能一体化应用。 </w:t>
            </w:r>
          </w:p>
          <w:p w14:paraId="0E9E1032">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firstLine="482" w:firstLineChars="200"/>
              <w:jc w:val="both"/>
              <w:textAlignment w:val="baseline"/>
              <w:rPr>
                <w:rFonts w:hint="default" w:ascii="Times New Roman" w:hAnsi="Times New Roman" w:eastAsia="仿宋_GB2312" w:cs="Times New Roman"/>
                <w:b w:val="0"/>
                <w:bCs w:val="0"/>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6.软件产品。</w:t>
            </w:r>
            <w:r>
              <w:rPr>
                <w:rFonts w:hint="default" w:ascii="Times New Roman" w:hAnsi="Times New Roman" w:eastAsia="仿宋_GB2312" w:cs="Times New Roman"/>
                <w:i w:val="0"/>
                <w:iCs w:val="0"/>
                <w:caps w:val="0"/>
                <w:color w:val="333333"/>
                <w:spacing w:val="0"/>
                <w:sz w:val="24"/>
                <w:szCs w:val="24"/>
                <w:lang w:val="en-US" w:eastAsia="zh-CN"/>
              </w:rPr>
              <w:t>工业软件领域，重点发展</w:t>
            </w:r>
            <w:r>
              <w:rPr>
                <w:rFonts w:hint="default" w:ascii="Times New Roman" w:hAnsi="Times New Roman" w:eastAsia="仿宋_GB2312" w:cs="Times New Roman"/>
                <w:i w:val="0"/>
                <w:iCs w:val="0"/>
                <w:caps w:val="0"/>
                <w:color w:val="333333"/>
                <w:spacing w:val="0"/>
                <w:sz w:val="24"/>
                <w:szCs w:val="24"/>
              </w:rPr>
              <w:t>嵌入式软件</w:t>
            </w:r>
            <w:r>
              <w:rPr>
                <w:rFonts w:hint="default" w:ascii="Times New Roman" w:hAnsi="Times New Roman" w:eastAsia="仿宋_GB2312" w:cs="Times New Roman"/>
                <w:i w:val="0"/>
                <w:iCs w:val="0"/>
                <w:caps w:val="0"/>
                <w:color w:val="333333"/>
                <w:spacing w:val="0"/>
                <w:sz w:val="24"/>
                <w:szCs w:val="24"/>
                <w:lang w:eastAsia="zh-CN"/>
              </w:rPr>
              <w:t>、</w:t>
            </w:r>
            <w:r>
              <w:rPr>
                <w:rFonts w:hint="default" w:ascii="Times New Roman" w:hAnsi="Times New Roman" w:eastAsia="仿宋_GB2312" w:cs="Times New Roman"/>
                <w:i w:val="0"/>
                <w:iCs w:val="0"/>
                <w:caps w:val="0"/>
                <w:color w:val="333333"/>
                <w:spacing w:val="0"/>
                <w:sz w:val="24"/>
                <w:szCs w:val="24"/>
                <w:lang w:val="en-US" w:eastAsia="zh-CN"/>
              </w:rPr>
              <w:t>研发</w:t>
            </w:r>
            <w:r>
              <w:rPr>
                <w:rFonts w:hint="default" w:ascii="Times New Roman" w:hAnsi="Times New Roman" w:eastAsia="仿宋_GB2312" w:cs="Times New Roman"/>
                <w:i w:val="0"/>
                <w:iCs w:val="0"/>
                <w:caps w:val="0"/>
                <w:color w:val="333333"/>
                <w:spacing w:val="0"/>
                <w:sz w:val="24"/>
                <w:szCs w:val="24"/>
              </w:rPr>
              <w:t>设计软件</w:t>
            </w:r>
            <w:r>
              <w:rPr>
                <w:rFonts w:hint="default" w:ascii="Times New Roman" w:hAnsi="Times New Roman" w:eastAsia="仿宋_GB2312" w:cs="Times New Roman"/>
                <w:i w:val="0"/>
                <w:iCs w:val="0"/>
                <w:caps w:val="0"/>
                <w:color w:val="333333"/>
                <w:spacing w:val="0"/>
                <w:sz w:val="24"/>
                <w:szCs w:val="24"/>
                <w:lang w:eastAsia="zh-CN"/>
              </w:rPr>
              <w:t>、</w:t>
            </w:r>
            <w:r>
              <w:rPr>
                <w:rFonts w:hint="default" w:ascii="Times New Roman" w:hAnsi="Times New Roman" w:eastAsia="仿宋_GB2312" w:cs="Times New Roman"/>
                <w:i w:val="0"/>
                <w:iCs w:val="0"/>
                <w:caps w:val="0"/>
                <w:color w:val="333333"/>
                <w:spacing w:val="0"/>
                <w:sz w:val="24"/>
                <w:szCs w:val="24"/>
              </w:rPr>
              <w:t>生产控制软件</w:t>
            </w:r>
            <w:r>
              <w:rPr>
                <w:rFonts w:hint="default" w:ascii="Times New Roman" w:hAnsi="Times New Roman" w:eastAsia="仿宋_GB2312" w:cs="Times New Roman"/>
                <w:i w:val="0"/>
                <w:iCs w:val="0"/>
                <w:caps w:val="0"/>
                <w:color w:val="333333"/>
                <w:spacing w:val="0"/>
                <w:sz w:val="24"/>
                <w:szCs w:val="24"/>
                <w:lang w:eastAsia="zh-CN"/>
              </w:rPr>
              <w:t>、</w:t>
            </w:r>
            <w:r>
              <w:rPr>
                <w:rFonts w:hint="default" w:ascii="Times New Roman" w:hAnsi="Times New Roman" w:eastAsia="仿宋_GB2312" w:cs="Times New Roman"/>
                <w:i w:val="0"/>
                <w:iCs w:val="0"/>
                <w:caps w:val="0"/>
                <w:color w:val="333333"/>
                <w:spacing w:val="0"/>
                <w:sz w:val="24"/>
                <w:szCs w:val="24"/>
              </w:rPr>
              <w:t>工业APP</w:t>
            </w:r>
            <w:r>
              <w:rPr>
                <w:rFonts w:hint="default" w:ascii="Times New Roman" w:hAnsi="Times New Roman" w:eastAsia="仿宋_GB2312" w:cs="Times New Roman"/>
                <w:i w:val="0"/>
                <w:iCs w:val="0"/>
                <w:caps w:val="0"/>
                <w:color w:val="333333"/>
                <w:spacing w:val="0"/>
                <w:sz w:val="24"/>
                <w:szCs w:val="24"/>
                <w:lang w:val="en-US" w:eastAsia="zh-CN"/>
              </w:rPr>
              <w:t>等</w:t>
            </w:r>
            <w:r>
              <w:rPr>
                <w:rFonts w:hint="default" w:ascii="Times New Roman" w:hAnsi="Times New Roman" w:eastAsia="仿宋_GB2312" w:cs="Times New Roman"/>
                <w:i w:val="0"/>
                <w:iCs w:val="0"/>
                <w:caps w:val="0"/>
                <w:color w:val="333333"/>
                <w:spacing w:val="0"/>
                <w:sz w:val="24"/>
                <w:szCs w:val="24"/>
              </w:rPr>
              <w:t>。</w:t>
            </w:r>
            <w:r>
              <w:rPr>
                <w:rFonts w:hint="default" w:ascii="Times New Roman" w:hAnsi="Times New Roman" w:eastAsia="仿宋_GB2312" w:cs="Times New Roman"/>
                <w:i w:val="0"/>
                <w:iCs w:val="0"/>
                <w:caps w:val="0"/>
                <w:color w:val="333333"/>
                <w:spacing w:val="0"/>
                <w:sz w:val="24"/>
                <w:szCs w:val="24"/>
                <w:lang w:val="en-US" w:eastAsia="zh-CN"/>
              </w:rPr>
              <w:t>基础软件领域，研发编译器、数据库、</w:t>
            </w:r>
            <w:r>
              <w:rPr>
                <w:rFonts w:hint="default" w:ascii="Times New Roman" w:hAnsi="Times New Roman" w:eastAsia="仿宋_GB2312" w:cs="Times New Roman"/>
                <w:i w:val="0"/>
                <w:iCs w:val="0"/>
                <w:caps w:val="0"/>
                <w:color w:val="333333"/>
                <w:spacing w:val="0"/>
                <w:sz w:val="24"/>
                <w:szCs w:val="24"/>
              </w:rPr>
              <w:t>中间件、</w:t>
            </w:r>
            <w:r>
              <w:rPr>
                <w:rFonts w:hint="default" w:ascii="Times New Roman" w:hAnsi="Times New Roman" w:eastAsia="仿宋_GB2312" w:cs="Times New Roman"/>
                <w:i w:val="0"/>
                <w:iCs w:val="0"/>
                <w:caps w:val="0"/>
                <w:color w:val="333333"/>
                <w:spacing w:val="0"/>
                <w:sz w:val="24"/>
                <w:szCs w:val="24"/>
                <w:lang w:val="en-US" w:eastAsia="zh-CN"/>
              </w:rPr>
              <w:t>网络软件、安全防护软件、数字孪生（CIM）等。平台软件领域</w:t>
            </w:r>
            <w:r>
              <w:rPr>
                <w:rFonts w:hint="default" w:ascii="Times New Roman" w:hAnsi="Times New Roman" w:eastAsia="仿宋_GB2312" w:cs="Times New Roman"/>
                <w:b w:val="0"/>
                <w:bCs w:val="0"/>
                <w:i w:val="0"/>
                <w:iCs w:val="0"/>
                <w:caps w:val="0"/>
                <w:color w:val="333333"/>
                <w:spacing w:val="0"/>
                <w:sz w:val="24"/>
                <w:szCs w:val="24"/>
                <w:lang w:val="en-US" w:eastAsia="zh-CN"/>
              </w:rPr>
              <w:t xml:space="preserve">，重点发展跨平台软件、AI与机器学习、AR/VR、物联网集成、安全与隐私保护、用户体验（UX）设计、云原生应用等。 </w:t>
            </w:r>
          </w:p>
          <w:p w14:paraId="230A62D7">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eastAsia" w:ascii="Times New Roman" w:hAnsi="Times New Roman" w:eastAsia="仿宋_GB2312" w:cs="Times New Roman"/>
                <w:b/>
                <w:bCs/>
                <w:i w:val="0"/>
                <w:iCs w:val="0"/>
                <w:caps w:val="0"/>
                <w:color w:val="333333"/>
                <w:spacing w:val="0"/>
                <w:sz w:val="24"/>
                <w:szCs w:val="24"/>
                <w:lang w:val="en-US" w:eastAsia="zh-CN"/>
              </w:rPr>
              <w:t>7</w:t>
            </w:r>
            <w:r>
              <w:rPr>
                <w:rFonts w:hint="default" w:ascii="Times New Roman" w:hAnsi="Times New Roman" w:eastAsia="仿宋_GB2312" w:cs="Times New Roman"/>
                <w:b/>
                <w:bCs/>
                <w:i w:val="0"/>
                <w:iCs w:val="0"/>
                <w:caps w:val="0"/>
                <w:color w:val="333333"/>
                <w:spacing w:val="0"/>
                <w:sz w:val="24"/>
                <w:szCs w:val="24"/>
                <w:lang w:val="en-US" w:eastAsia="zh-CN"/>
              </w:rPr>
              <w:t>.数据服务</w:t>
            </w:r>
            <w:r>
              <w:rPr>
                <w:rFonts w:hint="default" w:ascii="Times New Roman" w:hAnsi="Times New Roman" w:eastAsia="仿宋_GB2312" w:cs="Times New Roman"/>
                <w:i w:val="0"/>
                <w:iCs w:val="0"/>
                <w:caps w:val="0"/>
                <w:color w:val="333333"/>
                <w:spacing w:val="0"/>
                <w:sz w:val="24"/>
                <w:szCs w:val="24"/>
                <w:lang w:val="en-US" w:eastAsia="zh-CN"/>
              </w:rPr>
              <w:t>。贯通“数据采集-资产开发-流通交易-场景应用”全链条，重点发展数据采集和数据资源建设、数据资源流通和交易、数据成熟度评估、数据安全管理等服务，拓展一批大数据典型应用场景，拓展大数据产业市场空间。</w:t>
            </w:r>
          </w:p>
          <w:p w14:paraId="7736318F">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eastAsia="zh-CN"/>
              </w:rPr>
            </w:pPr>
            <w:r>
              <w:rPr>
                <w:rFonts w:hint="eastAsia" w:ascii="Times New Roman" w:hAnsi="Times New Roman" w:eastAsia="仿宋_GB2312" w:cs="Times New Roman"/>
                <w:b/>
                <w:bCs/>
                <w:sz w:val="24"/>
                <w:szCs w:val="24"/>
                <w:lang w:val="en-US" w:eastAsia="zh-CN"/>
              </w:rPr>
              <w:t>8</w:t>
            </w:r>
            <w:r>
              <w:rPr>
                <w:rFonts w:hint="default" w:ascii="Times New Roman" w:hAnsi="Times New Roman" w:eastAsia="仿宋_GB2312" w:cs="Times New Roman"/>
                <w:b/>
                <w:bCs/>
                <w:sz w:val="24"/>
                <w:szCs w:val="24"/>
                <w:lang w:val="en-US" w:eastAsia="zh-CN"/>
              </w:rPr>
              <w:t>.人工智能</w:t>
            </w:r>
            <w:r>
              <w:rPr>
                <w:rFonts w:hint="default" w:ascii="Times New Roman" w:hAnsi="Times New Roman" w:eastAsia="仿宋_GB2312" w:cs="Times New Roman"/>
                <w:b w:val="0"/>
                <w:bCs w:val="0"/>
                <w:sz w:val="24"/>
                <w:szCs w:val="24"/>
                <w:lang w:val="en-US" w:eastAsia="zh-CN"/>
              </w:rPr>
              <w:t>。强化场景、数据、电力、网络等资源协同，搭建涵盖算力共享、数据开放、测试认证的公共服务平台，</w:t>
            </w:r>
            <w:r>
              <w:rPr>
                <w:rFonts w:hint="default" w:ascii="Times New Roman" w:hAnsi="Times New Roman" w:eastAsia="仿宋_GB2312" w:cs="Times New Roman"/>
                <w:i w:val="0"/>
                <w:iCs w:val="0"/>
                <w:caps w:val="0"/>
                <w:color w:val="333333"/>
                <w:spacing w:val="0"/>
                <w:sz w:val="24"/>
                <w:szCs w:val="24"/>
              </w:rPr>
              <w:t>重点</w:t>
            </w:r>
            <w:r>
              <w:rPr>
                <w:rFonts w:hint="default" w:ascii="Times New Roman" w:hAnsi="Times New Roman" w:eastAsia="仿宋_GB2312" w:cs="Times New Roman"/>
                <w:i w:val="0"/>
                <w:iCs w:val="0"/>
                <w:caps w:val="0"/>
                <w:color w:val="333333"/>
                <w:spacing w:val="0"/>
                <w:sz w:val="24"/>
                <w:szCs w:val="24"/>
                <w:lang w:val="en-US" w:eastAsia="zh-CN"/>
              </w:rPr>
              <w:t>发展AI+行业大模型、智能算力、具身智能体等，</w:t>
            </w:r>
            <w:r>
              <w:rPr>
                <w:rFonts w:hint="default" w:ascii="Times New Roman" w:hAnsi="Times New Roman" w:eastAsia="仿宋_GB2312" w:cs="Times New Roman"/>
                <w:i w:val="0"/>
                <w:iCs w:val="0"/>
                <w:caps w:val="0"/>
                <w:color w:val="333333"/>
                <w:spacing w:val="0"/>
                <w:sz w:val="24"/>
                <w:szCs w:val="24"/>
              </w:rPr>
              <w:t>推动国家新一代人工智能创新发展试验区建设</w:t>
            </w:r>
            <w:r>
              <w:rPr>
                <w:rFonts w:hint="default" w:ascii="Times New Roman" w:hAnsi="Times New Roman" w:eastAsia="仿宋_GB2312" w:cs="Times New Roman"/>
                <w:i w:val="0"/>
                <w:iCs w:val="0"/>
                <w:caps w:val="0"/>
                <w:color w:val="333333"/>
                <w:spacing w:val="0"/>
                <w:sz w:val="24"/>
                <w:szCs w:val="24"/>
                <w:lang w:eastAsia="zh-CN"/>
              </w:rPr>
              <w:t xml:space="preserve">。 </w:t>
            </w:r>
          </w:p>
          <w:p w14:paraId="39637594">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b w:val="0"/>
                <w:bCs/>
                <w:snapToGrid/>
                <w:color w:val="000000"/>
                <w:kern w:val="0"/>
                <w:sz w:val="24"/>
                <w:szCs w:val="24"/>
                <w:shd w:val="clear" w:color="auto" w:fill="auto"/>
                <w:lang w:val="en-US" w:eastAsia="zh-CN" w:bidi="ar"/>
              </w:rPr>
            </w:pPr>
            <w:r>
              <w:rPr>
                <w:rFonts w:hint="eastAsia" w:ascii="Times New Roman" w:hAnsi="Times New Roman" w:eastAsia="仿宋_GB2312" w:cs="Times New Roman"/>
                <w:b/>
                <w:bCs w:val="0"/>
                <w:snapToGrid/>
                <w:color w:val="000000"/>
                <w:kern w:val="0"/>
                <w:sz w:val="24"/>
                <w:szCs w:val="24"/>
                <w:shd w:val="clear" w:color="auto" w:fill="auto"/>
                <w:lang w:val="en-US" w:eastAsia="zh-CN" w:bidi="ar"/>
              </w:rPr>
              <w:t>9</w:t>
            </w:r>
            <w:r>
              <w:rPr>
                <w:rFonts w:hint="default" w:ascii="Times New Roman" w:hAnsi="Times New Roman" w:eastAsia="仿宋_GB2312" w:cs="Times New Roman"/>
                <w:b/>
                <w:bCs w:val="0"/>
                <w:snapToGrid/>
                <w:color w:val="000000"/>
                <w:kern w:val="0"/>
                <w:sz w:val="24"/>
                <w:szCs w:val="24"/>
                <w:shd w:val="clear" w:color="auto" w:fill="auto"/>
                <w:lang w:val="en-US" w:eastAsia="zh-CN" w:bidi="ar"/>
              </w:rPr>
              <w:t>.物联网与星网</w:t>
            </w:r>
            <w:r>
              <w:rPr>
                <w:rFonts w:hint="default" w:ascii="Times New Roman" w:hAnsi="Times New Roman" w:eastAsia="仿宋_GB2312" w:cs="Times New Roman"/>
                <w:b w:val="0"/>
                <w:bCs/>
                <w:snapToGrid/>
                <w:color w:val="000000"/>
                <w:kern w:val="0"/>
                <w:sz w:val="24"/>
                <w:szCs w:val="24"/>
                <w:shd w:val="clear" w:color="auto" w:fill="auto"/>
                <w:lang w:val="en-US" w:eastAsia="zh-CN" w:bidi="ar"/>
              </w:rPr>
              <w:t>。重点发展无线射频识别（RFID）、近距离无线通信（NFC）、智能传感器、智能终端等产品，建立基于大数据的物联网连接管理平台、设备管理平台、业务分析平台，统筹现有网络、平台，形成基于底层“万物互联”的框架体系；大力发展高精度、快速定位、精准授时、短报文等系统产品，打造涵盖“器件—终端—系统—应用—服务”的北斗卫星导航应用全产业链。</w:t>
            </w:r>
          </w:p>
          <w:p w14:paraId="56BB7AE6">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firstLine="480" w:firstLineChars="200"/>
              <w:jc w:val="both"/>
              <w:textAlignment w:val="baseline"/>
              <w:rPr>
                <w:rFonts w:hint="default" w:ascii="Times New Roman" w:hAnsi="Times New Roman" w:eastAsia="黑体" w:cs="Times New Roman"/>
                <w:b w:val="0"/>
                <w:bCs w:val="0"/>
                <w:i w:val="0"/>
                <w:iCs w:val="0"/>
                <w:caps w:val="0"/>
                <w:color w:val="333333"/>
                <w:spacing w:val="0"/>
                <w:sz w:val="24"/>
                <w:szCs w:val="24"/>
                <w:lang w:val="en-US" w:eastAsia="zh-CN"/>
              </w:rPr>
            </w:pPr>
            <w:r>
              <w:rPr>
                <w:rFonts w:hint="default" w:ascii="Times New Roman" w:hAnsi="Times New Roman" w:eastAsia="黑体" w:cs="Times New Roman"/>
                <w:b w:val="0"/>
                <w:bCs w:val="0"/>
                <w:i w:val="0"/>
                <w:iCs w:val="0"/>
                <w:caps w:val="0"/>
                <w:color w:val="333333"/>
                <w:spacing w:val="0"/>
                <w:sz w:val="24"/>
                <w:szCs w:val="24"/>
                <w:lang w:val="en-US" w:eastAsia="zh-CN"/>
              </w:rPr>
              <w:t>二、重点项目</w:t>
            </w:r>
          </w:p>
          <w:p w14:paraId="1F059D4B">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0"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val="0"/>
                <w:bCs/>
                <w:snapToGrid/>
                <w:color w:val="000000"/>
                <w:kern w:val="0"/>
                <w:sz w:val="24"/>
                <w:szCs w:val="24"/>
                <w:shd w:val="clear" w:color="auto" w:fill="auto"/>
                <w:lang w:val="en-US" w:eastAsia="zh-CN" w:bidi="ar"/>
              </w:rPr>
              <w:t>陕西电信信息枢纽园项目、中科西光遥感星座（一期）、诚迈科技西北总部、易迅通量子科技融合研发中心、长城网西部数据中心、国家网络安全教育技术产业融合发展试验区网络安全产业基地重大基础设施群项目。</w:t>
            </w:r>
          </w:p>
        </w:tc>
      </w:tr>
    </w:tbl>
    <w:p w14:paraId="1E68F30D">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34" w:name="_Toc25304"/>
      <w:r>
        <w:rPr>
          <w:rFonts w:hint="default" w:ascii="Times New Roman" w:hAnsi="Times New Roman" w:eastAsia="仿宋_GB2312" w:cs="Times New Roman"/>
          <w:sz w:val="32"/>
          <w:szCs w:val="32"/>
          <w:lang w:val="en-US" w:eastAsia="zh-CN"/>
        </w:rPr>
        <w:t>2.科技服务业</w:t>
      </w:r>
      <w:bookmarkEnd w:id="34"/>
    </w:p>
    <w:p w14:paraId="15A1A0F9">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kern w:val="0"/>
          <w:sz w:val="32"/>
          <w:szCs w:val="32"/>
          <w:lang w:bidi="ar"/>
        </w:rPr>
        <w:t>聚焦壮大服务主体、优化创新生态、</w:t>
      </w:r>
      <w:r>
        <w:rPr>
          <w:rFonts w:hint="default" w:ascii="Times New Roman" w:hAnsi="Times New Roman" w:eastAsia="仿宋_GB2312" w:cs="Times New Roman"/>
          <w:kern w:val="0"/>
          <w:sz w:val="32"/>
          <w:szCs w:val="32"/>
          <w:lang w:eastAsia="zh-CN" w:bidi="ar"/>
        </w:rPr>
        <w:t>增强</w:t>
      </w:r>
      <w:r>
        <w:rPr>
          <w:rFonts w:hint="default" w:ascii="Times New Roman" w:hAnsi="Times New Roman" w:eastAsia="仿宋_GB2312" w:cs="Times New Roman"/>
          <w:kern w:val="0"/>
          <w:sz w:val="32"/>
          <w:szCs w:val="32"/>
          <w:lang w:bidi="ar"/>
        </w:rPr>
        <w:t>服务能力等关键环节，</w:t>
      </w:r>
      <w:r>
        <w:rPr>
          <w:rFonts w:hint="default" w:ascii="Times New Roman" w:hAnsi="Times New Roman" w:eastAsia="仿宋_GB2312" w:cs="Times New Roman"/>
          <w:kern w:val="0"/>
          <w:sz w:val="32"/>
          <w:szCs w:val="32"/>
          <w:lang w:eastAsia="zh-CN" w:bidi="ar"/>
        </w:rPr>
        <w:t>完善支持政策体系，</w:t>
      </w:r>
      <w:r>
        <w:rPr>
          <w:rFonts w:hint="default" w:ascii="Times New Roman" w:hAnsi="Times New Roman" w:eastAsia="仿宋_GB2312" w:cs="Times New Roman"/>
          <w:sz w:val="32"/>
          <w:szCs w:val="22"/>
          <w:highlight w:val="none"/>
          <w:lang w:val="en-US" w:eastAsia="zh-CN"/>
        </w:rPr>
        <w:t>推进科技创新和产业创新深度融合，</w:t>
      </w:r>
      <w:r>
        <w:rPr>
          <w:rFonts w:hint="eastAsia" w:ascii="Times New Roman" w:hAnsi="Times New Roman" w:eastAsia="仿宋_GB2312" w:cs="Times New Roman"/>
          <w:sz w:val="32"/>
          <w:szCs w:val="22"/>
          <w:highlight w:val="none"/>
          <w:lang w:val="en-US" w:eastAsia="zh-CN"/>
        </w:rPr>
        <w:t>持续</w:t>
      </w:r>
      <w:r>
        <w:rPr>
          <w:rFonts w:hint="default" w:ascii="Times New Roman" w:hAnsi="Times New Roman" w:eastAsia="仿宋_GB2312" w:cs="Times New Roman"/>
          <w:sz w:val="32"/>
          <w:szCs w:val="22"/>
          <w:highlight w:val="none"/>
          <w:lang w:val="en-US" w:eastAsia="zh-CN"/>
        </w:rPr>
        <w:t>提升创新体系整体效能，建设国家重要科研和文教中心。</w:t>
      </w:r>
      <w:r>
        <w:rPr>
          <w:rFonts w:hint="default" w:ascii="Times New Roman" w:hAnsi="Times New Roman" w:eastAsia="仿宋_GB2312" w:cs="Times New Roman"/>
          <w:bCs/>
          <w:snapToGrid/>
          <w:color w:val="000000"/>
          <w:kern w:val="2"/>
          <w:sz w:val="32"/>
          <w:szCs w:val="32"/>
          <w:lang w:val="en-US" w:eastAsia="zh-CN" w:bidi="ar-SA"/>
        </w:rPr>
        <w:t>到2030年，力争科技服务业营业收入</w:t>
      </w:r>
      <w:r>
        <w:rPr>
          <w:rFonts w:hint="eastAsia" w:ascii="Times New Roman" w:hAnsi="Times New Roman" w:eastAsia="仿宋_GB2312" w:cs="Times New Roman"/>
          <w:bCs/>
          <w:snapToGrid/>
          <w:color w:val="000000"/>
          <w:kern w:val="2"/>
          <w:sz w:val="32"/>
          <w:szCs w:val="32"/>
          <w:lang w:val="en-US" w:eastAsia="zh-CN" w:bidi="ar-SA"/>
        </w:rPr>
        <w:t>达到</w:t>
      </w:r>
      <w:r>
        <w:rPr>
          <w:rFonts w:hint="default" w:ascii="Times New Roman" w:hAnsi="Times New Roman" w:eastAsia="仿宋_GB2312" w:cs="Times New Roman"/>
          <w:bCs/>
          <w:snapToGrid/>
          <w:color w:val="000000"/>
          <w:kern w:val="2"/>
          <w:sz w:val="32"/>
          <w:szCs w:val="32"/>
          <w:lang w:val="en-US" w:eastAsia="zh-CN" w:bidi="ar-SA"/>
        </w:rPr>
        <w:t>1600亿元。</w:t>
      </w:r>
    </w:p>
    <w:p w14:paraId="0E2D7C08">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sz w:val="32"/>
          <w:szCs w:val="32"/>
          <w:lang w:val="en-US" w:eastAsia="zh-CN"/>
        </w:rPr>
        <w:t>加速集聚科技创新能力。</w:t>
      </w:r>
      <w:r>
        <w:rPr>
          <w:rFonts w:hint="default" w:ascii="Times New Roman" w:hAnsi="Times New Roman" w:eastAsia="仿宋_GB2312" w:cs="Times New Roman"/>
          <w:bCs/>
          <w:snapToGrid/>
          <w:color w:val="000000"/>
          <w:kern w:val="2"/>
          <w:sz w:val="32"/>
          <w:szCs w:val="32"/>
          <w:lang w:val="en-US" w:eastAsia="zh-CN" w:bidi="ar-SA"/>
        </w:rPr>
        <w:t>推动西安国家区域科技创新中心和秦创原创新驱动平台建设，加快建设</w:t>
      </w:r>
      <w:r>
        <w:rPr>
          <w:rFonts w:hint="default" w:ascii="Times New Roman" w:hAnsi="Times New Roman" w:cs="Times New Roman"/>
          <w:b w:val="0"/>
          <w:color w:val="000000"/>
          <w:kern w:val="2"/>
          <w:sz w:val="32"/>
          <w:szCs w:val="32"/>
          <w:highlight w:val="none"/>
          <w:lang w:val="en-US" w:eastAsia="zh-CN" w:bidi="ar-SA"/>
        </w:rPr>
        <w:t>重大创新平台、高水平研究机构和新型研发机构，</w:t>
      </w:r>
      <w:r>
        <w:rPr>
          <w:rFonts w:hint="default" w:ascii="Times New Roman" w:hAnsi="Times New Roman" w:eastAsia="仿宋_GB2312" w:cs="Times New Roman"/>
          <w:bCs/>
          <w:snapToGrid/>
          <w:color w:val="000000"/>
          <w:kern w:val="2"/>
          <w:sz w:val="32"/>
          <w:szCs w:val="32"/>
          <w:lang w:val="en-US" w:eastAsia="zh-CN" w:bidi="ar-SA"/>
        </w:rPr>
        <w:t>集中布局重大科技创新平台和项目。“一装置一策”推进重大科技基础设施建设，探索建立“沿途下蛋”机制，提升原始创新能力。积极融入国家实验室“基地+网络”体系，培育人工智能陕西实验室。支持西部创新港、三航科技城、未来信息港建设，推动高校与国家级开发区深度协同，探索“有组织科研+有组织转化”新模式。围绕航空航天、新材料、新能源、新一代信息技术等方向加强产学研用</w:t>
      </w:r>
      <w:r>
        <w:rPr>
          <w:rFonts w:hint="eastAsia" w:ascii="Times New Roman" w:hAnsi="Times New Roman" w:eastAsia="仿宋_GB2312" w:cs="Times New Roman"/>
          <w:bCs/>
          <w:snapToGrid/>
          <w:color w:val="000000"/>
          <w:kern w:val="2"/>
          <w:sz w:val="32"/>
          <w:szCs w:val="32"/>
          <w:lang w:val="en-US" w:eastAsia="zh-CN" w:bidi="ar-SA"/>
        </w:rPr>
        <w:t>协作</w:t>
      </w:r>
      <w:r>
        <w:rPr>
          <w:rFonts w:hint="default"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sz w:val="32"/>
          <w:szCs w:val="40"/>
        </w:rPr>
        <w:t>推动</w:t>
      </w:r>
      <w:r>
        <w:rPr>
          <w:rFonts w:hint="default" w:ascii="Times New Roman" w:hAnsi="Times New Roman" w:eastAsia="仿宋_GB2312" w:cs="Times New Roman"/>
          <w:sz w:val="32"/>
          <w:szCs w:val="22"/>
          <w:lang w:eastAsia="zh-CN"/>
        </w:rPr>
        <w:t>重大科研基础设施</w:t>
      </w:r>
      <w:r>
        <w:rPr>
          <w:rFonts w:hint="default" w:ascii="Times New Roman" w:hAnsi="Times New Roman" w:eastAsia="仿宋_GB2312" w:cs="Times New Roman"/>
          <w:sz w:val="32"/>
          <w:szCs w:val="22"/>
        </w:rPr>
        <w:t>、大型</w:t>
      </w:r>
      <w:r>
        <w:rPr>
          <w:rFonts w:hint="default" w:ascii="Times New Roman" w:hAnsi="Times New Roman" w:eastAsia="仿宋_GB2312" w:cs="Times New Roman"/>
          <w:sz w:val="32"/>
          <w:szCs w:val="22"/>
          <w:lang w:eastAsia="zh-CN"/>
        </w:rPr>
        <w:t>科研</w:t>
      </w:r>
      <w:r>
        <w:rPr>
          <w:rFonts w:hint="default" w:ascii="Times New Roman" w:hAnsi="Times New Roman" w:eastAsia="仿宋_GB2312" w:cs="Times New Roman"/>
          <w:sz w:val="32"/>
          <w:szCs w:val="22"/>
        </w:rPr>
        <w:t>仪器设备开放共享</w:t>
      </w:r>
      <w:r>
        <w:rPr>
          <w:rFonts w:hint="default" w:ascii="Times New Roman" w:hAnsi="Times New Roman" w:eastAsia="仿宋_GB2312" w:cs="Times New Roman"/>
          <w:sz w:val="32"/>
          <w:szCs w:val="32"/>
        </w:rPr>
        <w:t>。</w:t>
      </w:r>
    </w:p>
    <w:p w14:paraId="009814CF">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提升全链科技服务效能</w:t>
      </w:r>
      <w:r>
        <w:rPr>
          <w:rFonts w:hint="default" w:ascii="Times New Roman" w:hAnsi="Times New Roman" w:eastAsia="仿宋_GB2312" w:cs="Times New Roman"/>
          <w:bCs/>
          <w:snapToGrid/>
          <w:color w:val="000000"/>
          <w:kern w:val="2"/>
          <w:sz w:val="32"/>
          <w:szCs w:val="32"/>
          <w:lang w:val="en-US" w:eastAsia="zh-CN" w:bidi="ar-SA"/>
        </w:rPr>
        <w:t>。巩固拓展工业设计、科研试验、工程勘察设计等领域优势。支持工业设计嵌入研发制造和品牌塑造全过程，培育工业设计领军企业，在航空航天、高端装备、电子信息等支柱行业，培育认定一批国家级、省级工业设计中心。引导工程技术服务和设计服务数智化发展，</w:t>
      </w:r>
      <w:r>
        <w:rPr>
          <w:rFonts w:hint="default" w:ascii="Times New Roman" w:hAnsi="Times New Roman" w:eastAsia="仿宋_GB2312" w:cs="Times New Roman"/>
          <w:sz w:val="32"/>
          <w:szCs w:val="32"/>
        </w:rPr>
        <w:t>推动市政工程、轨道交通、水利水电等工程设计企业向一体化服务总集成总承包商转型。强化高价值专利培育布局</w:t>
      </w:r>
      <w:r>
        <w:rPr>
          <w:rFonts w:hint="default" w:ascii="Times New Roman" w:hAnsi="Times New Roman" w:eastAsia="仿宋_GB2312" w:cs="Times New Roman"/>
          <w:sz w:val="32"/>
          <w:szCs w:val="32"/>
          <w:lang w:eastAsia="zh-CN"/>
        </w:rPr>
        <w:t>，建设重点产业专利池，</w:t>
      </w:r>
      <w:r>
        <w:rPr>
          <w:rFonts w:hint="default" w:ascii="Times New Roman" w:hAnsi="Times New Roman" w:eastAsia="仿宋_GB2312" w:cs="Times New Roman"/>
          <w:bCs/>
          <w:snapToGrid/>
          <w:color w:val="000000"/>
          <w:kern w:val="2"/>
          <w:sz w:val="32"/>
          <w:szCs w:val="32"/>
          <w:lang w:val="en-US" w:eastAsia="zh-CN" w:bidi="ar-SA"/>
        </w:rPr>
        <w:t>全面提升知识产权服务水平。围绕航空航天、新材料、生物医药等领域“卡脖子”技术，组织产学研联合攻关，力争突破关键技术。重塑能源价值生态，重点发展综合能源集成、清洁能源管理、终端用能创新等业态，积极培育能源数智化、零碳能源等新业态，提升现代能源服务综合竞争力。</w:t>
      </w:r>
    </w:p>
    <w:p w14:paraId="01D692A3">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做强科技成果转化服务。</w:t>
      </w:r>
      <w:r>
        <w:rPr>
          <w:rFonts w:hint="default" w:ascii="Times New Roman" w:hAnsi="Times New Roman" w:eastAsia="仿宋_GB2312" w:cs="Times New Roman"/>
          <w:bCs/>
          <w:snapToGrid/>
          <w:color w:val="000000"/>
          <w:kern w:val="2"/>
          <w:sz w:val="32"/>
          <w:szCs w:val="32"/>
          <w:lang w:val="en-US" w:eastAsia="zh-CN" w:bidi="ar-SA"/>
        </w:rPr>
        <w:t>发挥秦创原总窗口作用，推动“三项改革”拓面提质增效，推广“一院一所一校一港一企”模式，激发各类创新主体新动能。建设专业化技术转移机构，壮大高水平技术经理人队伍，推动更多科技成果从样品变产品。打造高效协同创新平台，加快推进光子、XR、空天动力等产业创新中心建设。支持产业链龙头企业围绕产业发展需求，建设概念验证中心、中试熟化基地，高效转移转化科技成果。持续实施“登高、升规、晋位、上市”工程，培育优质科技企业梯度，承接省科技创新母基金放大效应，加强企业主导的产学研深度融合，推进高校院所面向产业需求研发攻关。探索重点实验室实体化路径，推动原创成果产业化。推进“创新积分制”</w:t>
      </w:r>
      <w:r>
        <w:rPr>
          <w:rFonts w:hint="eastAsia" w:ascii="Times New Roman" w:hAnsi="Times New Roman" w:eastAsia="仿宋_GB2312" w:cs="Times New Roman"/>
          <w:bCs/>
          <w:snapToGrid/>
          <w:color w:val="000000"/>
          <w:kern w:val="2"/>
          <w:sz w:val="32"/>
          <w:szCs w:val="32"/>
          <w:lang w:val="en-US" w:eastAsia="zh-CN" w:bidi="ar-SA"/>
        </w:rPr>
        <w:t>举措</w:t>
      </w:r>
      <w:r>
        <w:rPr>
          <w:rFonts w:hint="default" w:ascii="Times New Roman" w:hAnsi="Times New Roman" w:eastAsia="仿宋_GB2312" w:cs="Times New Roman"/>
          <w:bCs/>
          <w:snapToGrid/>
          <w:color w:val="000000"/>
          <w:kern w:val="2"/>
          <w:sz w:val="32"/>
          <w:szCs w:val="32"/>
          <w:lang w:val="en-US" w:eastAsia="zh-CN" w:bidi="ar-SA"/>
        </w:rPr>
        <w:t>，深化“先投后股”改革。</w:t>
      </w:r>
    </w:p>
    <w:p w14:paraId="26746EAA">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优化科技服务产业生态。</w:t>
      </w:r>
      <w:r>
        <w:rPr>
          <w:rFonts w:hint="default" w:ascii="Times New Roman" w:hAnsi="Times New Roman" w:eastAsia="仿宋_GB2312" w:cs="Times New Roman"/>
          <w:bCs/>
          <w:snapToGrid/>
          <w:color w:val="000000"/>
          <w:kern w:val="2"/>
          <w:sz w:val="32"/>
          <w:szCs w:val="32"/>
          <w:lang w:val="en-US" w:eastAsia="zh-CN" w:bidi="ar-SA"/>
        </w:rPr>
        <w:t>加快检验检测规范化和集聚化发展，巩固提升航空航天、电力装备、有色金属等领域检测权威，加快布局分子医学、生物制造等新兴领域检验检测能力，提升产业体系化创新水平。积极培育“AI+检验检测+产业”融合新模式。实施质量技术基础工程，围绕重点行业创建国家级质检中心和重点实验室。着力推动标准国际化，深化国际标准互认互通。促进跨境认证衔接互认。高标准运行西安知识产权保护中心。高质量推进“一带一路”科技交流合作，加强与国内科技创新中心联动。围绕医疗卫生、养老助残、文化旅游、智慧城市等领域，发布高价值应用场景清单，加快应用场景融合创新和资源开放。</w:t>
      </w:r>
    </w:p>
    <w:tbl>
      <w:tblPr>
        <w:tblStyle w:val="19"/>
        <w:tblW w:w="82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292"/>
      </w:tblGrid>
      <w:tr w14:paraId="09C4D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29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4F8B8221">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spacing w:before="0" w:beforeAutospacing="0" w:after="0" w:afterAutospacing="0" w:line="26" w:lineRule="atLeas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b/>
                <w:bCs/>
                <w:sz w:val="30"/>
                <w:szCs w:val="30"/>
                <w:lang w:val="en-US" w:eastAsia="zh-CN"/>
              </w:rPr>
              <w:t>专栏3 科技服务重点发展方向</w:t>
            </w:r>
          </w:p>
        </w:tc>
      </w:tr>
      <w:tr w14:paraId="1148C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29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502863A7">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b/>
                <w:bCs/>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一、细分行业</w:t>
            </w:r>
          </w:p>
          <w:p w14:paraId="793C477C">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1.研发设计服务</w:t>
            </w:r>
            <w:r>
              <w:rPr>
                <w:rFonts w:hint="default" w:ascii="Times New Roman" w:hAnsi="Times New Roman" w:eastAsia="仿宋_GB2312" w:cs="Times New Roman"/>
                <w:i w:val="0"/>
                <w:iCs w:val="0"/>
                <w:caps w:val="0"/>
                <w:color w:val="333333"/>
                <w:spacing w:val="0"/>
                <w:sz w:val="24"/>
                <w:szCs w:val="24"/>
                <w:lang w:val="en-US" w:eastAsia="zh-CN"/>
              </w:rPr>
              <w:t xml:space="preserve">。瞄准世界科技前沿和产业创新实际需求，强化基础研究与关键核心技术攻关，培育新型研发组织与产业创新联合体，重点发展高端新材料研发与试验、工程设计与技术集成、集成电路设计与测试、复杂系统工业设计与集成、生物医药等研发服务。 </w:t>
            </w:r>
          </w:p>
          <w:p w14:paraId="6B19E405">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lang w:eastAsia="zh-CN"/>
              </w:rPr>
            </w:pPr>
            <w:r>
              <w:rPr>
                <w:rFonts w:hint="default" w:ascii="Times New Roman" w:hAnsi="Times New Roman" w:eastAsia="仿宋_GB2312" w:cs="Times New Roman"/>
                <w:b/>
                <w:bCs/>
                <w:snapToGrid w:val="0"/>
                <w:color w:val="000000"/>
                <w:kern w:val="0"/>
                <w:sz w:val="24"/>
                <w:szCs w:val="24"/>
                <w:lang w:val="en-US" w:eastAsia="zh-CN" w:bidi="ar"/>
              </w:rPr>
              <w:t>3.</w:t>
            </w:r>
            <w:r>
              <w:rPr>
                <w:rFonts w:hint="default" w:ascii="Times New Roman" w:hAnsi="Times New Roman" w:eastAsia="仿宋_GB2312" w:cs="Times New Roman"/>
                <w:b/>
                <w:bCs/>
                <w:i w:val="0"/>
                <w:iCs w:val="0"/>
                <w:caps w:val="0"/>
                <w:color w:val="333333"/>
                <w:spacing w:val="0"/>
                <w:sz w:val="24"/>
                <w:szCs w:val="24"/>
                <w:lang w:val="en-US" w:eastAsia="zh-CN"/>
              </w:rPr>
              <w:t>技术转移转化服务</w:t>
            </w:r>
            <w:r>
              <w:rPr>
                <w:rFonts w:hint="default" w:ascii="Times New Roman" w:hAnsi="Times New Roman" w:eastAsia="仿宋_GB2312" w:cs="Times New Roman"/>
                <w:i w:val="0"/>
                <w:iCs w:val="0"/>
                <w:caps w:val="0"/>
                <w:color w:val="333333"/>
                <w:spacing w:val="0"/>
                <w:sz w:val="24"/>
                <w:szCs w:val="24"/>
                <w:lang w:val="en-US" w:eastAsia="zh-CN"/>
              </w:rPr>
              <w:t>。聚焦科学技术化和技术产品化进程，重点发展市场化的</w:t>
            </w:r>
            <w:r>
              <w:rPr>
                <w:rFonts w:hint="default" w:ascii="Times New Roman" w:hAnsi="Times New Roman" w:eastAsia="仿宋_GB2312" w:cs="Times New Roman"/>
                <w:snapToGrid w:val="0"/>
                <w:color w:val="000000"/>
                <w:kern w:val="0"/>
                <w:sz w:val="24"/>
                <w:szCs w:val="24"/>
                <w:lang w:val="en-US" w:eastAsia="zh-CN" w:bidi="ar"/>
              </w:rPr>
              <w:t>技术市场、技术交易、</w:t>
            </w:r>
            <w:r>
              <w:rPr>
                <w:rFonts w:hint="default" w:ascii="Times New Roman" w:hAnsi="Times New Roman" w:eastAsia="仿宋_GB2312" w:cs="Times New Roman"/>
                <w:i w:val="0"/>
                <w:iCs w:val="0"/>
                <w:caps w:val="0"/>
                <w:color w:val="333333"/>
                <w:spacing w:val="0"/>
                <w:sz w:val="24"/>
                <w:szCs w:val="24"/>
                <w:lang w:val="en-US" w:eastAsia="zh-CN"/>
              </w:rPr>
              <w:t>技术经纪等服务机构，引进培育能</w:t>
            </w:r>
            <w:r>
              <w:rPr>
                <w:rFonts w:hint="default" w:ascii="Times New Roman" w:hAnsi="Times New Roman" w:eastAsia="仿宋_GB2312" w:cs="Times New Roman"/>
                <w:snapToGrid w:val="0"/>
                <w:color w:val="000000"/>
                <w:kern w:val="0"/>
                <w:sz w:val="24"/>
                <w:szCs w:val="24"/>
                <w:lang w:val="en-US" w:eastAsia="zh-CN" w:bidi="ar"/>
              </w:rPr>
              <w:t>提供</w:t>
            </w:r>
            <w:r>
              <w:rPr>
                <w:rFonts w:hint="default" w:ascii="Times New Roman" w:hAnsi="Times New Roman" w:eastAsia="仿宋_GB2312" w:cs="Times New Roman"/>
                <w:i w:val="0"/>
                <w:iCs w:val="0"/>
                <w:caps w:val="0"/>
                <w:color w:val="333333"/>
                <w:spacing w:val="0"/>
                <w:sz w:val="24"/>
                <w:szCs w:val="24"/>
                <w:lang w:val="en-US" w:eastAsia="zh-CN"/>
              </w:rPr>
              <w:t>专业化、</w:t>
            </w:r>
            <w:r>
              <w:rPr>
                <w:rFonts w:hint="default" w:ascii="Times New Roman" w:hAnsi="Times New Roman" w:eastAsia="仿宋_GB2312" w:cs="Times New Roman"/>
                <w:snapToGrid w:val="0"/>
                <w:color w:val="000000"/>
                <w:kern w:val="0"/>
                <w:sz w:val="24"/>
                <w:szCs w:val="24"/>
                <w:lang w:val="en-US" w:eastAsia="zh-CN" w:bidi="ar"/>
              </w:rPr>
              <w:t xml:space="preserve">跨行业、个性化、定制化服务方案的新型机构。 </w:t>
            </w:r>
          </w:p>
          <w:p w14:paraId="0EBA34B2">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4.知识产权服务</w:t>
            </w:r>
            <w:r>
              <w:rPr>
                <w:rFonts w:hint="default" w:ascii="Times New Roman" w:hAnsi="Times New Roman" w:eastAsia="仿宋_GB2312" w:cs="Times New Roman"/>
                <w:i w:val="0"/>
                <w:iCs w:val="0"/>
                <w:caps w:val="0"/>
                <w:color w:val="333333"/>
                <w:spacing w:val="0"/>
                <w:sz w:val="24"/>
                <w:szCs w:val="24"/>
                <w:lang w:val="en-US" w:eastAsia="zh-CN"/>
              </w:rPr>
              <w:t>。落实</w:t>
            </w:r>
            <w:r>
              <w:rPr>
                <w:rFonts w:hint="default" w:ascii="Times New Roman" w:hAnsi="Times New Roman" w:eastAsia="仿宋_GB2312" w:cs="Times New Roman"/>
                <w:snapToGrid w:val="0"/>
                <w:color w:val="000000"/>
                <w:kern w:val="0"/>
                <w:sz w:val="24"/>
                <w:szCs w:val="24"/>
                <w:lang w:val="en-US" w:eastAsia="zh-CN" w:bidi="ar"/>
              </w:rPr>
              <w:t>知识产权强国战略，推动服务主体做大做强，</w:t>
            </w:r>
            <w:r>
              <w:rPr>
                <w:rFonts w:hint="default" w:ascii="Times New Roman" w:hAnsi="Times New Roman" w:eastAsia="仿宋_GB2312" w:cs="Times New Roman"/>
                <w:i w:val="0"/>
                <w:iCs w:val="0"/>
                <w:caps w:val="0"/>
                <w:color w:val="333333"/>
                <w:spacing w:val="0"/>
                <w:sz w:val="24"/>
                <w:szCs w:val="24"/>
                <w:lang w:val="en-US" w:eastAsia="zh-CN"/>
              </w:rPr>
              <w:t>重点开展</w:t>
            </w:r>
            <w:r>
              <w:rPr>
                <w:rFonts w:hint="default" w:ascii="Times New Roman" w:hAnsi="Times New Roman" w:eastAsia="仿宋_GB2312" w:cs="Times New Roman"/>
                <w:snapToGrid w:val="0"/>
                <w:color w:val="000000"/>
                <w:kern w:val="0"/>
                <w:sz w:val="24"/>
                <w:szCs w:val="24"/>
                <w:lang w:val="en-US" w:eastAsia="zh-CN" w:bidi="ar"/>
              </w:rPr>
              <w:t xml:space="preserve">专利与商标两大基础服务，深化知识产权运营、价值评估、风险预警等高价值服务，拓展平台化服务模式，提供全方位一站式知识产权解决方案。 </w:t>
            </w:r>
          </w:p>
          <w:p w14:paraId="1591C4B6">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i w:val="0"/>
                <w:iCs w:val="0"/>
                <w:caps w:val="0"/>
                <w:color w:val="333333"/>
                <w:spacing w:val="0"/>
                <w:sz w:val="24"/>
                <w:szCs w:val="24"/>
                <w:lang w:val="en-US" w:eastAsia="zh-CN"/>
              </w:rPr>
              <w:t>5.企业孵化服务</w:t>
            </w:r>
            <w:r>
              <w:rPr>
                <w:rFonts w:hint="default" w:ascii="Times New Roman" w:hAnsi="Times New Roman" w:eastAsia="仿宋_GB2312" w:cs="Times New Roman"/>
                <w:i w:val="0"/>
                <w:iCs w:val="0"/>
                <w:caps w:val="0"/>
                <w:color w:val="333333"/>
                <w:spacing w:val="0"/>
                <w:sz w:val="24"/>
                <w:szCs w:val="24"/>
                <w:lang w:val="en-US" w:eastAsia="zh-CN"/>
              </w:rPr>
              <w:t>。聚焦</w:t>
            </w:r>
            <w:r>
              <w:rPr>
                <w:rFonts w:hint="default" w:ascii="Times New Roman" w:hAnsi="Times New Roman" w:eastAsia="仿宋_GB2312" w:cs="Times New Roman"/>
                <w:snapToGrid w:val="0"/>
                <w:color w:val="000000"/>
                <w:kern w:val="0"/>
                <w:sz w:val="24"/>
                <w:szCs w:val="24"/>
                <w:lang w:val="en-US" w:eastAsia="zh-CN" w:bidi="ar"/>
              </w:rPr>
              <w:t xml:space="preserve">打造更多高水平专业化孵化器，促进先进成果在孵化器内高效转化，培育创新力强的硬科技企业，重点发展细分领域集成果转化、天使投资、科技企业家“陪跑”、中试验证、场景开发、产业基金等于一体的生态闭环式孵化器，以及人工智能、具身智能、生物医药、量子信息等领域的卓越级孵化器。 </w:t>
            </w:r>
          </w:p>
          <w:p w14:paraId="335F7333">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b/>
                <w:bCs/>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二、重点项目</w:t>
            </w:r>
          </w:p>
          <w:p w14:paraId="32F69D3C">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0"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snapToGrid w:val="0"/>
                <w:color w:val="000000"/>
                <w:kern w:val="0"/>
                <w:sz w:val="24"/>
                <w:szCs w:val="24"/>
                <w:lang w:val="en-US" w:eastAsia="zh-CN" w:bidi="ar"/>
              </w:rPr>
              <w:t>国家分子医学转化科学中心项目、电磁驱动聚变大科学装置项目、先进阿秒激光设施、矩阵式全向脉冲中子源大科学装置、生命科学实验中心、光子科技实验室、西北水电及新能源产业中心（三期）、中建西北创研中心、未来信息港项目、陕西省半导体与集成电路质量技术创新平台、西安能源（油气）产业园、含能材料陕西实验室等。</w:t>
            </w:r>
          </w:p>
        </w:tc>
      </w:tr>
    </w:tbl>
    <w:p w14:paraId="22454051">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35" w:name="_Toc10074"/>
      <w:r>
        <w:rPr>
          <w:rFonts w:hint="default" w:ascii="Times New Roman" w:hAnsi="Times New Roman" w:eastAsia="仿宋_GB2312" w:cs="Times New Roman"/>
          <w:sz w:val="32"/>
          <w:szCs w:val="32"/>
          <w:lang w:val="en-US" w:eastAsia="zh-CN"/>
        </w:rPr>
        <w:t>3.现代金融业</w:t>
      </w:r>
      <w:bookmarkEnd w:id="35"/>
    </w:p>
    <w:p w14:paraId="5BC17AF6">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做好金融“五篇大文章”，提升金融服务实体经济质效，深化金融改革和对外开放，推动金融服务功能向产业赋能者、创新催化者、风险管理者集成，重点发展产业投资、科技金融等，着力培育数字金融、绿色金融等新业态，打造硬科技金融服务高地。到2030年，力争现代金融业营业收入达到1250亿元。</w:t>
      </w:r>
    </w:p>
    <w:p w14:paraId="48AF74E5">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val="0"/>
          <w:snapToGrid/>
          <w:color w:val="000000"/>
          <w:kern w:val="2"/>
          <w:sz w:val="32"/>
          <w:szCs w:val="32"/>
          <w:lang w:val="en-US" w:eastAsia="zh-CN" w:bidi="ar-SA"/>
        </w:rPr>
        <w:t>打造西部科技金融高地。</w:t>
      </w:r>
      <w:r>
        <w:rPr>
          <w:rFonts w:hint="default" w:ascii="Times New Roman" w:hAnsi="Times New Roman" w:eastAsia="仿宋_GB2312" w:cs="Times New Roman"/>
          <w:b w:val="0"/>
          <w:bCs w:val="0"/>
          <w:color w:val="auto"/>
          <w:sz w:val="32"/>
          <w:szCs w:val="32"/>
          <w:lang w:val="en-US" w:eastAsia="zh-CN"/>
        </w:rPr>
        <w:t>深化科技金融服务“五项机制”改革，</w:t>
      </w:r>
      <w:r>
        <w:rPr>
          <w:rFonts w:hint="default" w:ascii="Times New Roman" w:hAnsi="Times New Roman" w:eastAsia="仿宋_GB2312" w:cs="Times New Roman"/>
          <w:b w:val="0"/>
          <w:bCs w:val="0"/>
          <w:color w:val="auto"/>
          <w:sz w:val="32"/>
          <w:szCs w:val="32"/>
          <w:lang w:eastAsia="zh-CN"/>
        </w:rPr>
        <w:t>丰富科技型企业金融服务供给，</w:t>
      </w:r>
      <w:r>
        <w:rPr>
          <w:rFonts w:hint="default" w:ascii="Times New Roman" w:hAnsi="Times New Roman" w:eastAsia="仿宋_GB2312" w:cs="Times New Roman"/>
          <w:b w:val="0"/>
          <w:bCs w:val="0"/>
          <w:color w:val="auto"/>
          <w:sz w:val="32"/>
          <w:szCs w:val="32"/>
          <w:lang w:val="en-US" w:eastAsia="zh-CN"/>
        </w:rPr>
        <w:t>支持金融机构推出一批具有突破性的“首笔、首只、首单”业务，推动硬科技产业与金融产业深度融合。</w:t>
      </w:r>
      <w:r>
        <w:rPr>
          <w:rFonts w:hint="default" w:ascii="Times New Roman" w:hAnsi="Times New Roman" w:eastAsia="仿宋_GB2312" w:cs="Times New Roman"/>
          <w:bCs/>
          <w:snapToGrid/>
          <w:color w:val="000000"/>
          <w:kern w:val="2"/>
          <w:sz w:val="32"/>
          <w:szCs w:val="32"/>
          <w:lang w:val="en-US" w:eastAsia="zh-CN" w:bidi="ar-SA"/>
        </w:rPr>
        <w:t>培育耐心资本，引导社会资本流向高成长性科技企业。</w:t>
      </w:r>
      <w:r>
        <w:rPr>
          <w:rFonts w:hint="default" w:ascii="Times New Roman" w:hAnsi="Times New Roman" w:eastAsia="仿宋_GB2312" w:cs="Times New Roman"/>
          <w:sz w:val="32"/>
          <w:szCs w:val="32"/>
        </w:rPr>
        <w:t>推动西安科技金融公共服务平台建设，完善“</w:t>
      </w:r>
      <w:r>
        <w:rPr>
          <w:rFonts w:hint="default" w:ascii="Times New Roman" w:hAnsi="Times New Roman" w:eastAsia="仿宋_GB2312" w:cs="Times New Roman"/>
          <w:sz w:val="32"/>
          <w:szCs w:val="32"/>
          <w:lang w:eastAsia="zh-CN"/>
        </w:rPr>
        <w:t>投</w:t>
      </w:r>
      <w:r>
        <w:rPr>
          <w:rFonts w:hint="default" w:ascii="Times New Roman" w:hAnsi="Times New Roman" w:eastAsia="仿宋_GB2312" w:cs="Times New Roman"/>
          <w:sz w:val="32"/>
          <w:szCs w:val="32"/>
        </w:rPr>
        <w:t>贷保</w:t>
      </w:r>
      <w:r>
        <w:rPr>
          <w:rFonts w:hint="default" w:ascii="Times New Roman" w:hAnsi="Times New Roman" w:eastAsia="仿宋_GB2312" w:cs="Times New Roman"/>
          <w:sz w:val="32"/>
          <w:szCs w:val="32"/>
          <w:lang w:eastAsia="zh-CN"/>
        </w:rPr>
        <w:t>担</w:t>
      </w:r>
      <w:r>
        <w:rPr>
          <w:rFonts w:hint="default" w:ascii="Times New Roman" w:hAnsi="Times New Roman" w:eastAsia="仿宋_GB2312" w:cs="Times New Roman"/>
          <w:sz w:val="32"/>
          <w:szCs w:val="32"/>
        </w:rPr>
        <w:t>”联动的科技金融服务体系</w:t>
      </w:r>
      <w:r>
        <w:rPr>
          <w:rFonts w:hint="default" w:ascii="Times New Roman" w:hAnsi="Times New Roman" w:eastAsia="仿宋_GB2312" w:cs="Times New Roman"/>
          <w:sz w:val="32"/>
          <w:szCs w:val="22"/>
        </w:rPr>
        <w:t>。</w:t>
      </w:r>
      <w:r>
        <w:rPr>
          <w:rFonts w:hint="default" w:ascii="Times New Roman" w:hAnsi="Times New Roman" w:eastAsia="仿宋_GB2312" w:cs="Times New Roman"/>
          <w:color w:val="000000"/>
          <w:sz w:val="32"/>
          <w:szCs w:val="32"/>
        </w:rPr>
        <w:t>建立健全覆盖天使投资、创业投资、股权投资基金的全链条资本矩阵</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bCs/>
          <w:snapToGrid/>
          <w:color w:val="000000"/>
          <w:kern w:val="2"/>
          <w:sz w:val="32"/>
          <w:szCs w:val="32"/>
          <w:lang w:val="en-US" w:eastAsia="zh-CN" w:bidi="ar-SA"/>
        </w:rPr>
        <w:t>引导更多金融资本投早、投小、投长期、投硬科技。</w:t>
      </w:r>
      <w:r>
        <w:rPr>
          <w:rFonts w:hint="default" w:ascii="Times New Roman" w:hAnsi="Times New Roman" w:eastAsia="仿宋_GB2312" w:cs="Times New Roman"/>
          <w:b w:val="0"/>
          <w:bCs w:val="0"/>
          <w:color w:val="auto"/>
          <w:kern w:val="2"/>
          <w:sz w:val="32"/>
          <w:szCs w:val="32"/>
          <w:lang w:val="en-US" w:eastAsia="zh-CN" w:bidi="ar-SA"/>
        </w:rPr>
        <w:t>推广</w:t>
      </w:r>
      <w:r>
        <w:rPr>
          <w:rFonts w:hint="default" w:ascii="Times New Roman" w:hAnsi="Times New Roman" w:eastAsia="仿宋_GB2312" w:cs="Times New Roman"/>
          <w:bCs/>
          <w:color w:val="000000"/>
          <w:sz w:val="32"/>
          <w:szCs w:val="32"/>
          <w:highlight w:val="none"/>
          <w:lang w:val="en-US" w:eastAsia="zh-CN"/>
        </w:rPr>
        <w:t>浦发银行西安分行硬科技支行</w:t>
      </w:r>
      <w:r>
        <w:rPr>
          <w:rFonts w:hint="default" w:ascii="Times New Roman" w:hAnsi="Times New Roman" w:eastAsia="仿宋_GB2312" w:cs="Times New Roman"/>
          <w:b w:val="0"/>
          <w:bCs w:val="0"/>
          <w:color w:val="auto"/>
          <w:kern w:val="2"/>
          <w:sz w:val="32"/>
          <w:szCs w:val="32"/>
          <w:lang w:val="en-US" w:eastAsia="zh-CN" w:bidi="ar-SA"/>
        </w:rPr>
        <w:t>经验，</w:t>
      </w:r>
      <w:r>
        <w:rPr>
          <w:rFonts w:hint="default" w:ascii="Times New Roman" w:hAnsi="Times New Roman" w:eastAsia="仿宋_GB2312" w:cs="Times New Roman"/>
          <w:color w:val="auto"/>
          <w:sz w:val="32"/>
          <w:szCs w:val="32"/>
          <w:lang w:eastAsia="zh-CN"/>
        </w:rPr>
        <w:t>稳步扩大科技信贷规模</w:t>
      </w:r>
      <w:r>
        <w:rPr>
          <w:rFonts w:hint="default"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color w:val="auto"/>
          <w:sz w:val="32"/>
          <w:szCs w:val="32"/>
          <w:lang w:val="en-US" w:eastAsia="zh-CN"/>
        </w:rPr>
        <w:t>拓展科技保险产品种类，</w:t>
      </w:r>
      <w:r>
        <w:rPr>
          <w:rFonts w:hint="default" w:ascii="Times New Roman" w:hAnsi="Times New Roman" w:eastAsia="仿宋_GB2312" w:cs="Times New Roman"/>
          <w:b w:val="0"/>
          <w:bCs w:val="0"/>
          <w:color w:val="auto"/>
          <w:sz w:val="32"/>
          <w:szCs w:val="32"/>
          <w:lang w:val="en-US" w:eastAsia="zh-CN"/>
        </w:rPr>
        <w:t>推动“</w:t>
      </w:r>
      <w:r>
        <w:rPr>
          <w:rFonts w:hint="eastAsia" w:ascii="Times New Roman" w:hAnsi="Times New Roman" w:eastAsia="仿宋_GB2312" w:cs="Times New Roman"/>
          <w:b w:val="0"/>
          <w:bCs w:val="0"/>
          <w:color w:val="auto"/>
          <w:sz w:val="32"/>
          <w:szCs w:val="32"/>
          <w:lang w:val="en-US" w:eastAsia="zh-CN"/>
        </w:rPr>
        <w:t>秦科保</w:t>
      </w:r>
      <w:r>
        <w:rPr>
          <w:rFonts w:hint="default" w:ascii="Times New Roman" w:hAnsi="Times New Roman" w:eastAsia="仿宋_GB2312" w:cs="Times New Roman"/>
          <w:b w:val="0"/>
          <w:bCs w:val="0"/>
          <w:color w:val="auto"/>
          <w:sz w:val="32"/>
          <w:szCs w:val="32"/>
          <w:lang w:val="en-US" w:eastAsia="zh-CN"/>
        </w:rPr>
        <w:t>”试点。</w:t>
      </w:r>
      <w:r>
        <w:rPr>
          <w:rFonts w:hint="default" w:ascii="Times New Roman" w:hAnsi="Times New Roman" w:eastAsia="仿宋_GB2312" w:cs="Times New Roman"/>
          <w:sz w:val="32"/>
          <w:szCs w:val="32"/>
        </w:rPr>
        <w:t>发挥政府性融资担保机构增信作用</w:t>
      </w:r>
      <w:r>
        <w:rPr>
          <w:rFonts w:hint="default" w:ascii="Times New Roman" w:hAnsi="Times New Roman" w:eastAsia="仿宋_GB2312" w:cs="Times New Roman"/>
          <w:sz w:val="32"/>
          <w:szCs w:val="32"/>
          <w:lang w:eastAsia="zh-CN"/>
        </w:rPr>
        <w:t>。</w:t>
      </w:r>
    </w:p>
    <w:p w14:paraId="7A329008">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val="0"/>
          <w:snapToGrid/>
          <w:color w:val="000000"/>
          <w:kern w:val="2"/>
          <w:sz w:val="32"/>
          <w:szCs w:val="32"/>
          <w:lang w:val="en-US" w:eastAsia="zh-CN" w:bidi="ar-SA"/>
        </w:rPr>
        <w:t>推动金融优质服务供给。</w:t>
      </w:r>
      <w:r>
        <w:rPr>
          <w:rFonts w:hint="default" w:ascii="Times New Roman" w:hAnsi="Times New Roman" w:eastAsia="仿宋_GB2312" w:cs="Times New Roman"/>
          <w:sz w:val="32"/>
          <w:szCs w:val="32"/>
          <w:lang w:val="en-US" w:eastAsia="zh-CN"/>
        </w:rPr>
        <w:t>引育各类高能级金融机构，强化金融服务实体经济能力。</w:t>
      </w:r>
      <w:r>
        <w:rPr>
          <w:rFonts w:hint="default" w:ascii="Times New Roman" w:hAnsi="Times New Roman" w:eastAsia="仿宋_GB2312" w:cs="Times New Roman"/>
          <w:b w:val="0"/>
          <w:bCs w:val="0"/>
          <w:color w:val="auto"/>
          <w:sz w:val="32"/>
          <w:szCs w:val="32"/>
          <w:lang w:val="en-US" w:eastAsia="zh-CN"/>
        </w:rPr>
        <w:t>统筹做好绿色、普惠、养老、数字金融，引导金融资源更加精准投向关键领域和薄弱环节，加快实现金融与产业协同发展。有序推进西咸新区气候投融资试点，</w:t>
      </w:r>
      <w:r>
        <w:rPr>
          <w:rFonts w:hint="default" w:ascii="Times New Roman" w:hAnsi="Times New Roman" w:eastAsia="仿宋_GB2312" w:cs="Times New Roman"/>
          <w:sz w:val="32"/>
          <w:szCs w:val="32"/>
          <w:lang w:val="en-US" w:eastAsia="zh-CN"/>
        </w:rPr>
        <w:t>推动绿色信贷、绿色债券与转型金融协同发力，</w:t>
      </w:r>
      <w:r>
        <w:rPr>
          <w:rFonts w:hint="default" w:ascii="Times New Roman" w:hAnsi="Times New Roman" w:eastAsia="仿宋_GB2312" w:cs="Times New Roman"/>
          <w:b w:val="0"/>
          <w:bCs w:val="0"/>
          <w:color w:val="auto"/>
          <w:sz w:val="32"/>
          <w:szCs w:val="32"/>
          <w:lang w:val="en-US" w:eastAsia="zh-CN"/>
        </w:rPr>
        <w:t>构建多层次、广覆盖的绿色金融服务体系。</w:t>
      </w:r>
      <w:r>
        <w:rPr>
          <w:rFonts w:hint="default" w:ascii="Times New Roman" w:hAnsi="Times New Roman" w:eastAsia="仿宋_GB2312" w:cs="Times New Roman"/>
          <w:sz w:val="32"/>
          <w:szCs w:val="32"/>
          <w:lang w:val="en-US" w:eastAsia="zh-CN"/>
        </w:rPr>
        <w:t>加强对小微企业、个体工商户、新市民、农户和新就业形态群体的首贷、信用贷和中长期贷款支持，提升普惠金融服务覆盖面与便利度。</w:t>
      </w:r>
      <w:r>
        <w:rPr>
          <w:rFonts w:hint="default" w:ascii="Times New Roman" w:hAnsi="Times New Roman" w:eastAsia="仿宋_GB2312" w:cs="Times New Roman"/>
          <w:sz w:val="32"/>
          <w:szCs w:val="32"/>
          <w:rtl w:val="0"/>
          <w:lang w:val="en-US" w:eastAsia="zh-CN"/>
        </w:rPr>
        <w:t>加大对健康产业、养老产业、银发经济的金融支持，引导各银行保险机构不断丰富个人养老金产品供给。</w:t>
      </w:r>
      <w:r>
        <w:rPr>
          <w:rFonts w:hint="default" w:ascii="Times New Roman" w:hAnsi="Times New Roman" w:eastAsia="仿宋_GB2312" w:cs="Times New Roman"/>
          <w:sz w:val="32"/>
          <w:szCs w:val="32"/>
          <w:lang w:val="en-US" w:eastAsia="zh-CN"/>
        </w:rPr>
        <w:t>推进金融机构数字化转型，综合运用人工智能、区块链等数字技术赋能金融服务，稳妥推进数字人民币试点。积极开展集成电路设备等新兴标的租赁业务。</w:t>
      </w:r>
    </w:p>
    <w:p w14:paraId="2F2695E0">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深化现代金融开放合作。</w:t>
      </w:r>
      <w:r>
        <w:rPr>
          <w:rFonts w:hint="default" w:ascii="Times New Roman" w:hAnsi="Times New Roman" w:eastAsia="仿宋_GB2312" w:cs="Times New Roman"/>
          <w:bCs/>
          <w:snapToGrid/>
          <w:color w:val="000000"/>
          <w:kern w:val="2"/>
          <w:sz w:val="32"/>
          <w:szCs w:val="32"/>
          <w:lang w:val="en-US" w:eastAsia="zh-CN" w:bidi="ar-SA"/>
        </w:rPr>
        <w:t>依托</w:t>
      </w:r>
      <w:r>
        <w:rPr>
          <w:rFonts w:hint="default" w:ascii="Times New Roman" w:hAnsi="Times New Roman" w:eastAsia="仿宋_GB2312" w:cs="Times New Roman"/>
          <w:sz w:val="32"/>
          <w:szCs w:val="32"/>
          <w:lang w:val="en-US" w:eastAsia="zh-CN"/>
        </w:rPr>
        <w:t>中欧班列长安号数字金融服务平台、“通丝路”跨境贸易数字化综合服务平台</w:t>
      </w:r>
      <w:r>
        <w:rPr>
          <w:rFonts w:hint="default" w:ascii="Times New Roman" w:hAnsi="Times New Roman" w:eastAsia="仿宋_GB2312" w:cs="Times New Roman"/>
          <w:bCs/>
          <w:snapToGrid/>
          <w:color w:val="000000"/>
          <w:kern w:val="2"/>
          <w:sz w:val="32"/>
          <w:szCs w:val="32"/>
          <w:lang w:val="en-US" w:eastAsia="zh-CN" w:bidi="ar-SA"/>
        </w:rPr>
        <w:t>等，完善建立与共建“一带一路”国家金融市场联动发展的常态化机制，护航企业“出海”所需，有效防范化解金融领域风险。吸引境外金融资本，深化QFLP试点。加强国际金融合作，着力推动本外币合一银行结算账户体系业务平稳运行。提升跨境投融资便利性，开展跨境资金池业务。</w:t>
      </w:r>
      <w:r>
        <w:rPr>
          <w:rFonts w:hint="eastAsia" w:ascii="Times New Roman" w:hAnsi="Times New Roman" w:eastAsia="仿宋_GB2312" w:cs="Times New Roman"/>
          <w:bCs/>
          <w:snapToGrid/>
          <w:color w:val="000000"/>
          <w:kern w:val="2"/>
          <w:sz w:val="32"/>
          <w:szCs w:val="32"/>
          <w:lang w:val="en-US" w:eastAsia="zh-CN" w:bidi="ar-SA"/>
        </w:rPr>
        <w:t>加强与上交所、深交所、全国股转系统的合作，</w:t>
      </w:r>
      <w:r>
        <w:rPr>
          <w:rFonts w:hint="default" w:ascii="Times New Roman" w:hAnsi="Times New Roman" w:eastAsia="仿宋_GB2312" w:cs="Times New Roman"/>
          <w:sz w:val="32"/>
          <w:lang w:val="en-US" w:eastAsia="zh-CN"/>
        </w:rPr>
        <w:t>加快市属国有资产证券化，建立健全REITs项目常态化发行推进机制，支持优质企业通过资本市场多渠道融资，提升证券服务业发展规模。</w:t>
      </w:r>
      <w:r>
        <w:rPr>
          <w:rFonts w:hint="eastAsia" w:ascii="Times New Roman" w:hAnsi="Times New Roman" w:eastAsia="仿宋_GB2312" w:cs="Times New Roman"/>
          <w:sz w:val="32"/>
          <w:szCs w:val="32"/>
          <w:lang w:val="en-US" w:eastAsia="zh-CN"/>
        </w:rPr>
        <w:t>健全与关中城市群的常态化金融协作机制，深化与上海、香港等国际金融中心的战略合作。</w:t>
      </w:r>
    </w:p>
    <w:tbl>
      <w:tblPr>
        <w:tblStyle w:val="19"/>
        <w:tblW w:w="8274" w:type="dxa"/>
        <w:jc w:val="center"/>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274"/>
      </w:tblGrid>
      <w:tr w14:paraId="283B60C8">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274"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531DD829">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spacing w:before="0" w:beforeAutospacing="0" w:after="0" w:afterAutospacing="0" w:line="26" w:lineRule="atLeast"/>
              <w:ind w:left="0" w:right="0"/>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0"/>
                <w:szCs w:val="30"/>
                <w:lang w:val="en-US" w:eastAsia="zh-CN"/>
              </w:rPr>
              <w:t>专栏4 现代金融业重点发展方向</w:t>
            </w:r>
          </w:p>
        </w:tc>
      </w:tr>
      <w:tr w14:paraId="04A467BC">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274"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488E5F83">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b/>
                <w:bCs/>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一、重点领域</w:t>
            </w:r>
          </w:p>
          <w:p w14:paraId="7D8C6CD9">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1.科技金融</w:t>
            </w:r>
            <w:r>
              <w:rPr>
                <w:rFonts w:hint="default" w:ascii="Times New Roman" w:hAnsi="Times New Roman" w:eastAsia="仿宋_GB2312" w:cs="Times New Roman"/>
                <w:snapToGrid w:val="0"/>
                <w:color w:val="000000"/>
                <w:kern w:val="0"/>
                <w:sz w:val="24"/>
                <w:szCs w:val="24"/>
                <w:lang w:val="en-US" w:eastAsia="zh-CN" w:bidi="ar"/>
              </w:rPr>
              <w:t>。发展壮大天使基金、引导基金等长期资本和耐心资本，深化科技金融改革，畅通科技、产业、金融融合发展链路，加大金融产品和服务方式创新，支持五大行金融AIC开展股权投资试点和投贷联动，加快发展知识产权质押融资，重点开展股权质押贷、技术交易信用贷、订单贷、人才专项贷款、技术产权资产证券化（票据化）、科技保险等，开发基于创新积分的科技金融征信产品，探索提供“研发贷+知识产权保险”组合产品。</w:t>
            </w:r>
          </w:p>
          <w:p w14:paraId="2002CD6E">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2.绿色金融</w:t>
            </w:r>
            <w:r>
              <w:rPr>
                <w:rFonts w:hint="default" w:ascii="Times New Roman" w:hAnsi="Times New Roman" w:eastAsia="仿宋_GB2312" w:cs="Times New Roman"/>
                <w:snapToGrid w:val="0"/>
                <w:color w:val="000000"/>
                <w:kern w:val="0"/>
                <w:sz w:val="24"/>
                <w:szCs w:val="24"/>
                <w:lang w:val="en-US" w:eastAsia="zh-CN" w:bidi="ar"/>
              </w:rPr>
              <w:t>。支持西咸新区内符合条件的企业发行绿色公司债、碳中和债、可持续发展挂钩债券。推进碳金融与信贷、债券、基金等工具融合发展，稳妥开展碳排放权、排污权、用水权等环境权益融资产品创新，推动保险机构创新绿色险种，构建支撑绿色、低碳、循环经济发展的绿色金融新业态。</w:t>
            </w:r>
          </w:p>
          <w:p w14:paraId="25BDFF92">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3.普惠金融</w:t>
            </w:r>
            <w:r>
              <w:rPr>
                <w:rFonts w:hint="default" w:ascii="Times New Roman" w:hAnsi="Times New Roman" w:eastAsia="仿宋_GB2312" w:cs="Times New Roman"/>
                <w:snapToGrid w:val="0"/>
                <w:color w:val="000000"/>
                <w:kern w:val="0"/>
                <w:sz w:val="24"/>
                <w:szCs w:val="24"/>
                <w:lang w:val="en-US" w:eastAsia="zh-CN" w:bidi="ar"/>
              </w:rPr>
              <w:t>。积极发展供应链金融，支持产业链供应链上的企业开展信用贷款、订单贷款、存货贷款、仓单质押贷款等动产和权利质押融资业务；规范发展企业供应链票据、应收账款、存货、仓单和订单融资业务；推广“国补贷”“民易贷” 等基于消费场景的信贷产品；推广“整村授信”模式，探索“金融+龙头企业+专业合作社”等融资模式。</w:t>
            </w:r>
          </w:p>
          <w:p w14:paraId="716969F2">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4.养老金融</w:t>
            </w:r>
            <w:r>
              <w:rPr>
                <w:rFonts w:hint="default" w:ascii="Times New Roman" w:hAnsi="Times New Roman" w:eastAsia="仿宋_GB2312" w:cs="Times New Roman"/>
                <w:snapToGrid w:val="0"/>
                <w:color w:val="000000"/>
                <w:kern w:val="0"/>
                <w:sz w:val="24"/>
                <w:szCs w:val="24"/>
                <w:lang w:val="en-US" w:eastAsia="zh-CN" w:bidi="ar"/>
              </w:rPr>
              <w:t>。积极参与陕西省“惠秦养”养老产业品牌培育，在莲湖区、临潼区推动省级旅居养老试点，探索“旅居+金融”综合服务模式。鼓励保险资金参与养老社区建设，探索“养老+文旅”“养老+中医药”等业态。支持具有养老属性的储蓄、理财、保险等产品发展，重点探索包含长期护理服务、健康管理服务的商业健康保险产品。</w:t>
            </w:r>
          </w:p>
          <w:p w14:paraId="086157B7">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5.数字金融</w:t>
            </w:r>
            <w:r>
              <w:rPr>
                <w:rFonts w:hint="default" w:ascii="Times New Roman" w:hAnsi="Times New Roman" w:eastAsia="仿宋_GB2312" w:cs="Times New Roman"/>
                <w:snapToGrid w:val="0"/>
                <w:color w:val="000000"/>
                <w:kern w:val="0"/>
                <w:sz w:val="24"/>
                <w:szCs w:val="24"/>
                <w:lang w:val="en-US" w:eastAsia="zh-CN" w:bidi="ar"/>
              </w:rPr>
              <w:t>。利用大数据、AI、云计算、区块链等技术，重塑金融服务产品形态、业务流程、风控模式和用户体验，重点开展数字支付、数字融资、数字财富管理、数字货币与数字资产等，打造更加智能、更加开放、与实体经济深度融合的“产业互联网金融”。</w:t>
            </w:r>
          </w:p>
          <w:p w14:paraId="6D54D835">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6.</w:t>
            </w:r>
            <w:r>
              <w:rPr>
                <w:rFonts w:hint="eastAsia" w:ascii="Times New Roman" w:hAnsi="Times New Roman" w:eastAsia="仿宋_GB2312" w:cs="Times New Roman"/>
                <w:b/>
                <w:bCs/>
                <w:snapToGrid w:val="0"/>
                <w:color w:val="000000"/>
                <w:kern w:val="0"/>
                <w:sz w:val="24"/>
                <w:szCs w:val="24"/>
                <w:lang w:val="en-US" w:eastAsia="zh-CN" w:bidi="ar"/>
              </w:rPr>
              <w:t>其他重点领域</w:t>
            </w:r>
            <w:r>
              <w:rPr>
                <w:rFonts w:hint="default" w:ascii="Times New Roman" w:hAnsi="Times New Roman" w:eastAsia="仿宋_GB2312" w:cs="Times New Roman"/>
                <w:snapToGrid w:val="0"/>
                <w:color w:val="000000"/>
                <w:kern w:val="0"/>
                <w:sz w:val="24"/>
                <w:szCs w:val="24"/>
                <w:lang w:val="en-US" w:eastAsia="zh-CN" w:bidi="ar"/>
              </w:rPr>
              <w:t>。融资租赁公司积极参与大规模设备更新，重点开展重大智能装备产品租赁、重要生产设备租赁、盘活存量资产回租等，提高直接租赁、经营租赁业务占比。商业保理公司深耕产业链供应链，助力中小企业降低融资成本。积极发展文化金融，重点开展影视剧/动漫项目贷、艺术品抵押贷、众筹等，提供量身定制金融解决方案。</w:t>
            </w:r>
          </w:p>
          <w:p w14:paraId="3C388CFB">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b/>
                <w:bCs/>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二、重点项目</w:t>
            </w:r>
          </w:p>
          <w:p w14:paraId="17254D8A">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0"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snapToGrid w:val="0"/>
                <w:color w:val="000000"/>
                <w:kern w:val="0"/>
                <w:sz w:val="24"/>
                <w:szCs w:val="24"/>
                <w:lang w:val="en-US" w:eastAsia="zh-CN" w:bidi="ar"/>
              </w:rPr>
              <w:t>中国工商银行西安数据中心西咸园区项目、中国工商银行西安数据中心高陵园区项目、中国邮储银行西安分行总部项目。‌</w:t>
            </w:r>
          </w:p>
        </w:tc>
      </w:tr>
    </w:tbl>
    <w:p w14:paraId="355F7BDA">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36" w:name="_Toc23314"/>
      <w:r>
        <w:rPr>
          <w:rFonts w:hint="default" w:ascii="Times New Roman" w:hAnsi="Times New Roman" w:eastAsia="仿宋_GB2312" w:cs="Times New Roman"/>
          <w:sz w:val="32"/>
          <w:szCs w:val="32"/>
          <w:lang w:val="en-US" w:eastAsia="zh-CN"/>
        </w:rPr>
        <w:t>4.现代物流业</w:t>
      </w:r>
      <w:bookmarkEnd w:id="36"/>
    </w:p>
    <w:p w14:paraId="2C0836CD">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强化物流</w:t>
      </w:r>
      <w:r>
        <w:rPr>
          <w:rFonts w:hint="default" w:ascii="Times New Roman" w:hAnsi="Times New Roman" w:eastAsia="仿宋_GB2312" w:cs="Times New Roman"/>
          <w:color w:val="000000"/>
          <w:sz w:val="32"/>
          <w:szCs w:val="32"/>
          <w:lang w:eastAsia="zh-CN"/>
        </w:rPr>
        <w:t>综合</w:t>
      </w:r>
      <w:r>
        <w:rPr>
          <w:rFonts w:hint="eastAsia"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lang w:eastAsia="zh-CN"/>
        </w:rPr>
        <w:t>能级，健全多式联运体系，加快物流智能化、绿色化、融合化发展</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培育壮大枢纽经济，</w:t>
      </w:r>
      <w:r>
        <w:rPr>
          <w:rFonts w:hint="default" w:ascii="Times New Roman" w:hAnsi="Times New Roman" w:eastAsia="仿宋_GB2312" w:cs="Times New Roman"/>
          <w:color w:val="000000"/>
          <w:sz w:val="32"/>
          <w:szCs w:val="32"/>
        </w:rPr>
        <w:t>构建“枢纽</w:t>
      </w:r>
      <w:r>
        <w:rPr>
          <w:rFonts w:hint="default" w:ascii="Times New Roman" w:hAnsi="Times New Roman" w:eastAsia="仿宋_GB2312" w:cs="Times New Roman"/>
          <w:color w:val="000000"/>
          <w:sz w:val="32"/>
          <w:szCs w:val="32"/>
          <w:lang w:eastAsia="zh-CN"/>
        </w:rPr>
        <w:t>高效</w:t>
      </w:r>
      <w:r>
        <w:rPr>
          <w:rFonts w:hint="default" w:ascii="Times New Roman" w:hAnsi="Times New Roman" w:eastAsia="仿宋_GB2312" w:cs="Times New Roman"/>
          <w:color w:val="000000"/>
          <w:sz w:val="32"/>
          <w:szCs w:val="32"/>
        </w:rPr>
        <w:t>协同、</w:t>
      </w:r>
      <w:r>
        <w:rPr>
          <w:rFonts w:hint="default" w:ascii="Times New Roman" w:hAnsi="Times New Roman" w:eastAsia="仿宋_GB2312" w:cs="Times New Roman"/>
          <w:color w:val="000000"/>
          <w:sz w:val="32"/>
          <w:szCs w:val="32"/>
          <w:lang w:eastAsia="zh-CN"/>
        </w:rPr>
        <w:t>通道全球可及、网络智慧韧性</w:t>
      </w:r>
      <w:r>
        <w:rPr>
          <w:rFonts w:hint="default" w:ascii="Times New Roman" w:hAnsi="Times New Roman" w:eastAsia="仿宋_GB2312" w:cs="Times New Roman"/>
          <w:color w:val="000000"/>
          <w:sz w:val="32"/>
          <w:szCs w:val="32"/>
        </w:rPr>
        <w:t>”的现代化物流体系，</w:t>
      </w:r>
      <w:r>
        <w:rPr>
          <w:rFonts w:hint="default" w:ascii="Times New Roman" w:hAnsi="Times New Roman" w:eastAsia="仿宋_GB2312" w:cs="Times New Roman"/>
          <w:color w:val="000000"/>
          <w:sz w:val="32"/>
          <w:szCs w:val="32"/>
          <w:lang w:eastAsia="zh-CN"/>
        </w:rPr>
        <w:t>打造国际物流枢纽。</w:t>
      </w:r>
      <w:r>
        <w:rPr>
          <w:rFonts w:hint="default" w:ascii="Times New Roman" w:hAnsi="Times New Roman" w:eastAsia="仿宋_GB2312" w:cs="Times New Roman"/>
          <w:bCs/>
          <w:snapToGrid/>
          <w:color w:val="000000"/>
          <w:kern w:val="2"/>
          <w:sz w:val="32"/>
          <w:szCs w:val="32"/>
          <w:lang w:val="en-US" w:eastAsia="zh-CN" w:bidi="ar-SA"/>
        </w:rPr>
        <w:t>到2030年，全市社会物流总费用与GDP的比率降低到13%以内，力争物流业</w:t>
      </w:r>
      <w:r>
        <w:rPr>
          <w:rFonts w:hint="eastAsia" w:ascii="Times New Roman" w:hAnsi="Times New Roman" w:eastAsia="仿宋_GB2312" w:cs="Times New Roman"/>
          <w:bCs/>
          <w:snapToGrid/>
          <w:color w:val="000000"/>
          <w:kern w:val="2"/>
          <w:sz w:val="32"/>
          <w:szCs w:val="32"/>
          <w:lang w:val="en-US" w:eastAsia="zh-CN" w:bidi="ar-SA"/>
        </w:rPr>
        <w:t>营业收入</w:t>
      </w:r>
      <w:r>
        <w:rPr>
          <w:rFonts w:hint="default" w:ascii="Times New Roman" w:hAnsi="Times New Roman" w:eastAsia="仿宋_GB2312" w:cs="Times New Roman"/>
          <w:bCs/>
          <w:snapToGrid/>
          <w:color w:val="000000"/>
          <w:kern w:val="2"/>
          <w:sz w:val="32"/>
          <w:szCs w:val="32"/>
          <w:lang w:val="en-US" w:eastAsia="zh-CN" w:bidi="ar-SA"/>
        </w:rPr>
        <w:t>达到1800亿元。</w:t>
      </w:r>
    </w:p>
    <w:p w14:paraId="115D8329">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提升物流承载能力。</w:t>
      </w:r>
      <w:r>
        <w:rPr>
          <w:rFonts w:hint="default" w:ascii="Times New Roman" w:hAnsi="Times New Roman" w:eastAsia="仿宋_GB2312" w:cs="Times New Roman"/>
          <w:bCs/>
          <w:snapToGrid/>
          <w:color w:val="000000"/>
          <w:kern w:val="2"/>
          <w:sz w:val="32"/>
          <w:szCs w:val="32"/>
          <w:lang w:val="en-US" w:eastAsia="zh-CN" w:bidi="ar-SA"/>
        </w:rPr>
        <w:t>主动融入国家物流网建设，支持国家物流“</w:t>
      </w:r>
      <w:r>
        <w:rPr>
          <w:rFonts w:hint="eastAsia"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枢纽</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基地</w:t>
      </w:r>
      <w:r>
        <w:rPr>
          <w:rFonts w:hint="default" w:ascii="Times New Roman" w:hAnsi="Times New Roman" w:eastAsia="仿宋_GB2312" w:cs="Times New Roman"/>
          <w:bCs/>
          <w:snapToGrid/>
          <w:color w:val="000000"/>
          <w:kern w:val="2"/>
          <w:sz w:val="32"/>
          <w:szCs w:val="32"/>
          <w:lang w:val="en-US" w:eastAsia="zh-CN" w:bidi="ar-SA"/>
        </w:rPr>
        <w:t>”功能化补短、数字化转型、智慧化改造，滚动实施现代物流重点项目，推动现代物流与生产力布局协同发展，做强中欧班列西安集结中心，做实西安国际航空枢纽，引导适空适铁产业集聚发展，积极创建国家物流枢纽经济区。加快实施高快速路项目，推进货运铁路网提质升级，推动大宗散货和中长距离货物运输“公转铁”。统筹布局公共型、流通型、功能复合型冷库，推进分布式仓储设施建设，提升高标仓、数智仓占比。谋划储备海外枢纽场站项目，提升国际供应链服务能力。建设应急物流设施和“平急两用”基地，完善城郊仓储、区域物资基地布局。加快创建全球性国际邮政快递枢纽。</w:t>
      </w:r>
    </w:p>
    <w:p w14:paraId="36FB6329">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val="0"/>
          <w:snapToGrid/>
          <w:color w:val="000000"/>
          <w:kern w:val="2"/>
          <w:sz w:val="32"/>
          <w:szCs w:val="32"/>
          <w:lang w:val="en-US" w:eastAsia="zh-CN" w:bidi="ar-SA"/>
        </w:rPr>
        <w:t>增强物流通道质效。</w:t>
      </w:r>
      <w:r>
        <w:rPr>
          <w:rFonts w:hint="default" w:ascii="Times New Roman" w:hAnsi="Times New Roman" w:eastAsia="仿宋_GB2312" w:cs="Times New Roman"/>
          <w:bCs/>
          <w:snapToGrid/>
          <w:color w:val="000000"/>
          <w:kern w:val="2"/>
          <w:sz w:val="32"/>
          <w:szCs w:val="32"/>
          <w:lang w:val="en-US" w:eastAsia="zh-CN" w:bidi="ar-SA"/>
        </w:rPr>
        <w:t>持续完善中欧班列（西安）国际干线，积极融入新亚欧陆海联运通道、西部陆海新通道、跨里海国际运输走廊等通道，</w:t>
      </w:r>
      <w:r>
        <w:rPr>
          <w:rFonts w:hint="eastAsia" w:ascii="Times New Roman" w:hAnsi="Times New Roman" w:eastAsia="仿宋_GB2312" w:cs="Times New Roman"/>
          <w:bCs/>
          <w:snapToGrid/>
          <w:color w:val="000000"/>
          <w:kern w:val="2"/>
          <w:sz w:val="32"/>
          <w:szCs w:val="32"/>
          <w:lang w:val="en-US" w:eastAsia="zh-CN" w:bidi="ar-SA"/>
        </w:rPr>
        <w:t>常态化运行好现有</w:t>
      </w:r>
      <w:r>
        <w:rPr>
          <w:rFonts w:hint="default" w:ascii="Times New Roman" w:hAnsi="Times New Roman" w:eastAsia="仿宋_GB2312" w:cs="Times New Roman"/>
          <w:bCs/>
          <w:snapToGrid/>
          <w:color w:val="000000"/>
          <w:kern w:val="2"/>
          <w:sz w:val="32"/>
          <w:szCs w:val="32"/>
          <w:lang w:val="en-US" w:eastAsia="zh-CN" w:bidi="ar-SA"/>
        </w:rPr>
        <w:t>全程时刻表班列和海铁联运图定班列，稳定开行中亚、俄罗斯、欧洲等主干线路，有序拓展南亚</w:t>
      </w:r>
      <w:r>
        <w:rPr>
          <w:rFonts w:hint="eastAsia" w:ascii="Times New Roman" w:hAnsi="Times New Roman" w:eastAsia="仿宋_GB2312" w:cs="Times New Roman"/>
          <w:bCs/>
          <w:snapToGrid/>
          <w:color w:val="000000"/>
          <w:kern w:val="2"/>
          <w:sz w:val="32"/>
          <w:szCs w:val="32"/>
          <w:lang w:val="en-US" w:eastAsia="zh-CN" w:bidi="ar-SA"/>
        </w:rPr>
        <w:t>、东南亚</w:t>
      </w:r>
      <w:r>
        <w:rPr>
          <w:rFonts w:hint="default" w:ascii="Times New Roman" w:hAnsi="Times New Roman" w:eastAsia="仿宋_GB2312" w:cs="Times New Roman"/>
          <w:bCs/>
          <w:snapToGrid/>
          <w:color w:val="000000"/>
          <w:kern w:val="2"/>
          <w:sz w:val="32"/>
          <w:szCs w:val="32"/>
          <w:lang w:val="en-US" w:eastAsia="zh-CN" w:bidi="ar-SA"/>
        </w:rPr>
        <w:t>等新兴市场，探索开行中东、西亚新线路，深化东部沿海港口合作，完善“干支结合”通道体系。</w:t>
      </w:r>
      <w:r>
        <w:rPr>
          <w:rFonts w:hint="default" w:ascii="Times New Roman" w:hAnsi="Times New Roman" w:eastAsia="仿宋_GB2312" w:cs="Times New Roman"/>
          <w:b w:val="0"/>
          <w:bCs w:val="0"/>
          <w:color w:val="auto"/>
          <w:kern w:val="2"/>
          <w:sz w:val="32"/>
          <w:szCs w:val="32"/>
          <w:lang w:val="en-US" w:eastAsia="zh-CN" w:bidi="ar-SA"/>
        </w:rPr>
        <w:t>深化与共建</w:t>
      </w:r>
      <w:r>
        <w:rPr>
          <w:rFonts w:hint="default" w:ascii="Times New Roman" w:hAnsi="Times New Roman" w:eastAsia="仿宋_GB2312" w:cs="Times New Roman"/>
          <w:b w:val="0"/>
          <w:bCs w:val="0"/>
          <w:color w:val="auto"/>
          <w:sz w:val="32"/>
          <w:szCs w:val="32"/>
        </w:rPr>
        <w:t>“一带一路”</w:t>
      </w:r>
      <w:r>
        <w:rPr>
          <w:rFonts w:hint="default" w:ascii="Times New Roman" w:hAnsi="Times New Roman" w:eastAsia="仿宋_GB2312" w:cs="Times New Roman"/>
          <w:b w:val="0"/>
          <w:bCs w:val="0"/>
          <w:color w:val="auto"/>
          <w:sz w:val="32"/>
          <w:szCs w:val="32"/>
          <w:lang w:eastAsia="zh-CN"/>
        </w:rPr>
        <w:t>国家主要航空枢纽战略合作，</w:t>
      </w:r>
      <w:r>
        <w:rPr>
          <w:rFonts w:hint="default" w:ascii="Times New Roman" w:hAnsi="Times New Roman" w:eastAsia="仿宋_GB2312" w:cs="Times New Roman"/>
          <w:b w:val="0"/>
          <w:bCs w:val="0"/>
          <w:color w:val="auto"/>
          <w:kern w:val="2"/>
          <w:sz w:val="32"/>
          <w:szCs w:val="32"/>
          <w:lang w:val="en-US" w:eastAsia="zh-CN" w:bidi="ar-SA"/>
        </w:rPr>
        <w:t>引进基地货运航司，丰富拓展客货运航线，增开国际通程航班，</w:t>
      </w:r>
      <w:r>
        <w:rPr>
          <w:rFonts w:hint="default" w:ascii="Times New Roman" w:hAnsi="Times New Roman" w:eastAsia="仿宋_GB2312" w:cs="Times New Roman"/>
          <w:b w:val="0"/>
          <w:bCs w:val="0"/>
          <w:color w:val="auto"/>
          <w:sz w:val="32"/>
          <w:szCs w:val="32"/>
          <w:lang w:eastAsia="zh-CN"/>
        </w:rPr>
        <w:t>持续开辟欧美、亚太等主要市场航线，</w:t>
      </w:r>
      <w:r>
        <w:rPr>
          <w:rFonts w:hint="default" w:ascii="Times New Roman" w:hAnsi="Times New Roman" w:eastAsia="仿宋_GB2312" w:cs="Times New Roman"/>
          <w:b w:val="0"/>
          <w:bCs w:val="0"/>
          <w:color w:val="auto"/>
          <w:kern w:val="2"/>
          <w:sz w:val="32"/>
          <w:szCs w:val="32"/>
          <w:lang w:val="en-US" w:eastAsia="zh-CN" w:bidi="ar-SA"/>
        </w:rPr>
        <w:t>构建国际航线、国内干线、区域支线联动航线网络</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拓宽TIR跨境通道。</w:t>
      </w:r>
    </w:p>
    <w:p w14:paraId="3460A5EE">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提升物流网络效能。</w:t>
      </w:r>
      <w:r>
        <w:rPr>
          <w:rFonts w:hint="default" w:ascii="Times New Roman" w:hAnsi="Times New Roman" w:eastAsia="仿宋_GB2312" w:cs="Times New Roman"/>
          <w:bCs/>
          <w:snapToGrid/>
          <w:color w:val="000000"/>
          <w:kern w:val="2"/>
          <w:sz w:val="32"/>
          <w:szCs w:val="32"/>
          <w:lang w:val="en-US" w:eastAsia="zh-CN" w:bidi="ar-SA"/>
        </w:rPr>
        <w:t>优化班列省内集结布局，培育“一港多站”组货基地，建立班列集结分拨体系，加快构建“物流+贸易+金融+产业”的中欧班列经济圈。织密“+西欧”集结网络，强化国内主要货源地合作。推进“班列+海外仓”一体化布局，构建规模化智能化海外仓服务网络。拓展全货运航线网络，发展国际客运航班腹舱载货，构建“内外联通、客货互补”的航空物流格局。畅通多式联运体系，纵深推进一单制、一箱制，打造多联快车、铁海快线、城际班列等品牌。完善“分拨中心+城区配送+社区配送站”三级配送体系，优化即时配送新模式，构建智慧物流配送网络。</w:t>
      </w:r>
    </w:p>
    <w:p w14:paraId="6E7062E5">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推动物流降本增效。</w:t>
      </w:r>
      <w:r>
        <w:rPr>
          <w:rFonts w:hint="default" w:ascii="Times New Roman" w:hAnsi="Times New Roman" w:eastAsia="仿宋_GB2312" w:cs="Times New Roman"/>
          <w:bCs/>
          <w:snapToGrid/>
          <w:color w:val="000000"/>
          <w:kern w:val="2"/>
          <w:sz w:val="32"/>
          <w:szCs w:val="32"/>
          <w:lang w:val="en-US" w:eastAsia="zh-CN" w:bidi="ar-SA"/>
        </w:rPr>
        <w:t>推动现代物流与先进制造、现代商贸、现代农业深度融合，创新“线边物流+供应链管理”</w:t>
      </w:r>
      <w:r>
        <w:rPr>
          <w:rFonts w:hint="default" w:ascii="Times New Roman" w:hAnsi="Times New Roman" w:eastAsia="仿宋_GB2312" w:cs="Times New Roman"/>
          <w:color w:val="000000"/>
          <w:sz w:val="32"/>
          <w:szCs w:val="32"/>
        </w:rPr>
        <w:t>“统仓共配”</w:t>
      </w:r>
      <w:r>
        <w:rPr>
          <w:rFonts w:hint="default" w:ascii="Times New Roman" w:hAnsi="Times New Roman" w:eastAsia="仿宋_GB2312" w:cs="Times New Roman"/>
          <w:color w:val="000000"/>
          <w:sz w:val="32"/>
          <w:szCs w:val="32"/>
          <w:lang w:eastAsia="zh-CN"/>
        </w:rPr>
        <w:t>“无人机</w:t>
      </w:r>
      <w:r>
        <w:rPr>
          <w:rFonts w:hint="default" w:ascii="Times New Roman" w:hAnsi="Times New Roman" w:eastAsia="仿宋_GB2312" w:cs="Times New Roman"/>
          <w:color w:val="000000"/>
          <w:sz w:val="32"/>
          <w:szCs w:val="32"/>
          <w:lang w:val="en-US" w:eastAsia="zh-CN"/>
        </w:rPr>
        <w:t>+冷链</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bCs/>
          <w:snapToGrid/>
          <w:color w:val="000000"/>
          <w:kern w:val="2"/>
          <w:sz w:val="32"/>
          <w:szCs w:val="32"/>
          <w:lang w:val="en-US" w:eastAsia="zh-CN" w:bidi="ar-SA"/>
        </w:rPr>
        <w:t>模式，</w:t>
      </w:r>
      <w:r>
        <w:rPr>
          <w:rFonts w:hint="eastAsia" w:ascii="Times New Roman" w:hAnsi="Times New Roman" w:eastAsia="仿宋_GB2312" w:cs="Times New Roman"/>
          <w:color w:val="000000"/>
          <w:sz w:val="32"/>
          <w:szCs w:val="32"/>
          <w:lang w:eastAsia="zh-CN"/>
        </w:rPr>
        <w:t>提升</w:t>
      </w:r>
      <w:r>
        <w:rPr>
          <w:rFonts w:hint="default" w:ascii="Times New Roman" w:hAnsi="Times New Roman" w:eastAsia="仿宋_GB2312" w:cs="Times New Roman"/>
          <w:color w:val="000000"/>
          <w:sz w:val="32"/>
          <w:szCs w:val="32"/>
        </w:rPr>
        <w:t>新质生产力供应链组织</w:t>
      </w:r>
      <w:r>
        <w:rPr>
          <w:rFonts w:hint="eastAsia" w:ascii="Times New Roman" w:hAnsi="Times New Roman" w:eastAsia="仿宋_GB2312" w:cs="Times New Roman"/>
          <w:color w:val="000000"/>
          <w:sz w:val="32"/>
          <w:szCs w:val="32"/>
          <w:lang w:eastAsia="zh-CN"/>
        </w:rPr>
        <w:t>能力</w:t>
      </w:r>
      <w:r>
        <w:rPr>
          <w:rFonts w:hint="default" w:ascii="Times New Roman" w:hAnsi="Times New Roman" w:eastAsia="仿宋_GB2312" w:cs="Times New Roman"/>
          <w:color w:val="000000"/>
          <w:sz w:val="32"/>
          <w:szCs w:val="32"/>
          <w:lang w:eastAsia="zh-CN"/>
        </w:rPr>
        <w:t>，引领供应链物流、冷链物流、电商物流扩容提质。</w:t>
      </w:r>
      <w:r>
        <w:rPr>
          <w:rFonts w:hint="default" w:ascii="Times New Roman" w:hAnsi="Times New Roman" w:eastAsia="仿宋_GB2312" w:cs="Times New Roman"/>
          <w:bCs/>
          <w:snapToGrid/>
          <w:color w:val="000000"/>
          <w:kern w:val="2"/>
          <w:sz w:val="32"/>
          <w:szCs w:val="32"/>
          <w:lang w:val="en-US" w:eastAsia="zh-CN" w:bidi="ar-SA"/>
        </w:rPr>
        <w:t>实施数字化供应链工程，推广无人车、无人机、无人仓、无人装卸等技术装备，推进物流包装减量化可循环，建立健全现代物流标准体系。培育壮大低空物流。积极申报金属大宗商品期货交割库，提升大宗商品批发、供应链集成服务，打造大宗商品贸易集聚区。加速传统商贸批发市场转型，优化农产品批发市场体系，推动农贸市场改造升级。</w:t>
      </w:r>
    </w:p>
    <w:tbl>
      <w:tblPr>
        <w:tblStyle w:val="19"/>
        <w:tblW w:w="8298" w:type="dxa"/>
        <w:jc w:val="center"/>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298"/>
      </w:tblGrid>
      <w:tr w14:paraId="6302E506">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298"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0BEC9381">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spacing w:before="0" w:beforeAutospacing="0" w:after="0" w:afterAutospacing="0" w:line="26" w:lineRule="atLeast"/>
              <w:ind w:left="0" w:right="0"/>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0"/>
                <w:szCs w:val="30"/>
                <w:lang w:val="en-US" w:eastAsia="zh-CN"/>
              </w:rPr>
              <w:t>专栏5 现代物流重点发展方向</w:t>
            </w:r>
          </w:p>
        </w:tc>
      </w:tr>
      <w:tr w14:paraId="6B360D55">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298"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045A9D64">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1.供应链物流</w:t>
            </w:r>
            <w:r>
              <w:rPr>
                <w:rFonts w:hint="default" w:ascii="Times New Roman" w:hAnsi="Times New Roman" w:eastAsia="仿宋_GB2312" w:cs="Times New Roman"/>
                <w:b w:val="0"/>
                <w:bCs w:val="0"/>
                <w:i w:val="0"/>
                <w:iCs w:val="0"/>
                <w:caps w:val="0"/>
                <w:color w:val="333333"/>
                <w:spacing w:val="0"/>
                <w:sz w:val="24"/>
                <w:szCs w:val="24"/>
                <w:lang w:val="en-US" w:eastAsia="zh-CN"/>
              </w:rPr>
              <w:t>。做优生产服务型国家物流枢纽</w:t>
            </w:r>
            <w:r>
              <w:rPr>
                <w:rFonts w:hint="default" w:ascii="Times New Roman" w:hAnsi="Times New Roman" w:eastAsia="仿宋_GB2312" w:cs="Times New Roman"/>
                <w:i w:val="0"/>
                <w:iCs w:val="0"/>
                <w:caps w:val="0"/>
                <w:color w:val="333333"/>
                <w:spacing w:val="0"/>
                <w:sz w:val="24"/>
                <w:szCs w:val="24"/>
                <w:lang w:val="en-US" w:eastAsia="zh-CN"/>
              </w:rPr>
              <w:t>，全面提升市政路、快高速路、铁路、航空等交通运输通道能力，服务全市重点产业链群，特别是行业龙头企业，重点发展集中采购、供应商管理库存、零部件直送、仓配一体化、供应链金融、逆向物流等服务，促进物流、信息流、资金流、服务流协同整合，培育制造业供应链集成商，打造制造业供应链标杆场景，增强产业链供应链韧性和竞争力。</w:t>
            </w:r>
          </w:p>
          <w:p w14:paraId="7D28377D">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重点项目</w:t>
            </w:r>
            <w:r>
              <w:rPr>
                <w:rFonts w:hint="default" w:ascii="Times New Roman" w:hAnsi="Times New Roman" w:eastAsia="仿宋_GB2312" w:cs="Times New Roman"/>
                <w:i w:val="0"/>
                <w:iCs w:val="0"/>
                <w:caps w:val="0"/>
                <w:color w:val="333333"/>
                <w:spacing w:val="0"/>
                <w:sz w:val="24"/>
                <w:szCs w:val="24"/>
                <w:lang w:val="en-US" w:eastAsia="zh-CN"/>
              </w:rPr>
              <w:t>：中国物流制造业供应链集成服务综合体项目一期、西安空港国际保税航材供应链服务基地、盘龙医药物流及研发中心改扩建项目、重庆医药集团医药科技产业园、陕汽通汇物流仓储设施智能化升级改造项目、兵器西北集中采购中心及现代物流项目（二期）、西安高新综保区保税仓库及产业链配套厂房项目等‌。</w:t>
            </w:r>
          </w:p>
          <w:p w14:paraId="3D51E4F2">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2.商贸物流</w:t>
            </w:r>
            <w:r>
              <w:rPr>
                <w:rFonts w:hint="default" w:ascii="Times New Roman" w:hAnsi="Times New Roman" w:eastAsia="仿宋_GB2312" w:cs="Times New Roman"/>
                <w:b w:val="0"/>
                <w:bCs w:val="0"/>
                <w:i w:val="0"/>
                <w:iCs w:val="0"/>
                <w:caps w:val="0"/>
                <w:color w:val="333333"/>
                <w:spacing w:val="0"/>
                <w:sz w:val="24"/>
                <w:szCs w:val="24"/>
                <w:lang w:val="en-US" w:eastAsia="zh-CN"/>
              </w:rPr>
              <w:t>。做实商贸服务型国际物流枢纽，强化</w:t>
            </w:r>
            <w:r>
              <w:rPr>
                <w:rFonts w:hint="default" w:ascii="Times New Roman" w:hAnsi="Times New Roman" w:eastAsia="仿宋_GB2312" w:cs="Times New Roman"/>
                <w:i w:val="0"/>
                <w:iCs w:val="0"/>
                <w:caps w:val="0"/>
                <w:color w:val="333333"/>
                <w:spacing w:val="0"/>
                <w:sz w:val="24"/>
                <w:szCs w:val="24"/>
                <w:lang w:val="en-US" w:eastAsia="zh-CN"/>
              </w:rPr>
              <w:t>商贸流通辐射西北功能，服务商贸领域三项国家级试点，高效匹配电商高速发展引领的物流需求，紧跟农产品批发市场、商贸市场格局调整优化物流设施布局，构建多业融合、数智赋能、民生保障的商贸物流网络，提高商贸物流供给与人民美好生活需要的适配性，加快绿色物流与商贸流通融合发展。</w:t>
            </w:r>
          </w:p>
          <w:p w14:paraId="0240DE51">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重大项目</w:t>
            </w:r>
            <w:r>
              <w:rPr>
                <w:rFonts w:hint="default" w:ascii="Times New Roman" w:hAnsi="Times New Roman" w:eastAsia="仿宋_GB2312" w:cs="Times New Roman"/>
                <w:i w:val="0"/>
                <w:iCs w:val="0"/>
                <w:caps w:val="0"/>
                <w:color w:val="333333"/>
                <w:spacing w:val="0"/>
                <w:sz w:val="24"/>
                <w:szCs w:val="24"/>
                <w:lang w:val="en-US" w:eastAsia="zh-CN"/>
              </w:rPr>
              <w:t>：中国（西安）国际农产品物流园项目</w:t>
            </w:r>
            <w:r>
              <w:rPr>
                <w:rFonts w:hint="eastAsia" w:ascii="Times New Roman" w:hAnsi="Times New Roman" w:eastAsia="仿宋_GB2312" w:cs="Times New Roman"/>
                <w:i w:val="0"/>
                <w:iCs w:val="0"/>
                <w:caps w:val="0"/>
                <w:color w:val="333333"/>
                <w:spacing w:val="0"/>
                <w:sz w:val="24"/>
                <w:szCs w:val="24"/>
                <w:lang w:val="en-US" w:eastAsia="zh-CN"/>
              </w:rPr>
              <w:t>（一期）</w:t>
            </w:r>
            <w:r>
              <w:rPr>
                <w:rFonts w:hint="default" w:ascii="Times New Roman" w:hAnsi="Times New Roman" w:eastAsia="仿宋_GB2312" w:cs="Times New Roman"/>
                <w:i w:val="0"/>
                <w:iCs w:val="0"/>
                <w:caps w:val="0"/>
                <w:color w:val="333333"/>
                <w:spacing w:val="0"/>
                <w:sz w:val="24"/>
                <w:szCs w:val="24"/>
                <w:lang w:val="en-US" w:eastAsia="zh-CN"/>
              </w:rPr>
              <w:t>、圆通亚太科技中心暨圆通西部总部基地、中通西北陆空联运枢纽项目、中国邮政西安邮件处理中心项目二期、中通快递集团西北（蓝田）智能科技产业园项目、嘉品云市总部及数字商贸产业基地项目</w:t>
            </w:r>
            <w:r>
              <w:rPr>
                <w:rFonts w:hint="eastAsia" w:ascii="Times New Roman" w:hAnsi="Times New Roman" w:eastAsia="仿宋_GB2312" w:cs="Times New Roman"/>
                <w:i w:val="0"/>
                <w:iCs w:val="0"/>
                <w:caps w:val="0"/>
                <w:color w:val="333333"/>
                <w:spacing w:val="0"/>
                <w:sz w:val="24"/>
                <w:szCs w:val="24"/>
                <w:lang w:val="en-US" w:eastAsia="zh-CN"/>
              </w:rPr>
              <w:t>、周至县物流服务中心项目、陕西丝路农贸港</w:t>
            </w:r>
            <w:r>
              <w:rPr>
                <w:rFonts w:hint="default" w:ascii="Times New Roman" w:hAnsi="Times New Roman" w:eastAsia="仿宋_GB2312" w:cs="Times New Roman"/>
                <w:i w:val="0"/>
                <w:iCs w:val="0"/>
                <w:caps w:val="0"/>
                <w:color w:val="333333"/>
                <w:spacing w:val="0"/>
                <w:sz w:val="24"/>
                <w:szCs w:val="24"/>
                <w:lang w:val="en-US" w:eastAsia="zh-CN"/>
              </w:rPr>
              <w:t>等。</w:t>
            </w:r>
          </w:p>
          <w:p w14:paraId="7AD01D33">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3.冷链物流</w:t>
            </w:r>
            <w:r>
              <w:rPr>
                <w:rFonts w:hint="default" w:ascii="Times New Roman" w:hAnsi="Times New Roman" w:eastAsia="仿宋_GB2312" w:cs="Times New Roman"/>
                <w:b w:val="0"/>
                <w:bCs w:val="0"/>
                <w:i w:val="0"/>
                <w:iCs w:val="0"/>
                <w:caps w:val="0"/>
                <w:color w:val="333333"/>
                <w:spacing w:val="0"/>
                <w:sz w:val="24"/>
                <w:szCs w:val="24"/>
                <w:lang w:val="en-US" w:eastAsia="zh-CN"/>
              </w:rPr>
              <w:t>。夯实国家骨干冷链物流基地</w:t>
            </w:r>
            <w:r>
              <w:rPr>
                <w:rFonts w:hint="default" w:ascii="Times New Roman" w:hAnsi="Times New Roman" w:eastAsia="仿宋_GB2312" w:cs="Times New Roman"/>
                <w:i w:val="0"/>
                <w:iCs w:val="0"/>
                <w:caps w:val="0"/>
                <w:color w:val="333333"/>
                <w:spacing w:val="0"/>
                <w:sz w:val="24"/>
                <w:szCs w:val="24"/>
                <w:lang w:val="en-US" w:eastAsia="zh-CN"/>
              </w:rPr>
              <w:t>，强化国际国内冷链运输中转功能，增强农产品产地冷藏保鲜、产后预冷、清洗包装等服务能力，深度赋能现代农业、乳制品、生物医药、速冻食品等重点行业，加快打造“一带一路”国际冷链物流中心。</w:t>
            </w:r>
          </w:p>
          <w:p w14:paraId="58256C6A">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重大项目</w:t>
            </w:r>
            <w:r>
              <w:rPr>
                <w:rFonts w:hint="default" w:ascii="Times New Roman" w:hAnsi="Times New Roman" w:eastAsia="仿宋_GB2312" w:cs="Times New Roman"/>
                <w:i w:val="0"/>
                <w:iCs w:val="0"/>
                <w:caps w:val="0"/>
                <w:color w:val="333333"/>
                <w:spacing w:val="0"/>
                <w:sz w:val="24"/>
                <w:szCs w:val="24"/>
                <w:lang w:val="en-US" w:eastAsia="zh-CN"/>
              </w:rPr>
              <w:t>：数字医药产业园（荣晟朗）</w:t>
            </w:r>
            <w:r>
              <w:rPr>
                <w:rFonts w:hint="eastAsia" w:ascii="Times New Roman" w:hAnsi="Times New Roman" w:eastAsia="仿宋_GB2312" w:cs="Times New Roman"/>
                <w:i w:val="0"/>
                <w:iCs w:val="0"/>
                <w:caps w:val="0"/>
                <w:color w:val="333333"/>
                <w:spacing w:val="0"/>
                <w:sz w:val="24"/>
                <w:szCs w:val="24"/>
                <w:lang w:val="en-US" w:eastAsia="zh-CN"/>
              </w:rPr>
              <w:t>项目</w:t>
            </w:r>
            <w:r>
              <w:rPr>
                <w:rFonts w:hint="default" w:ascii="Times New Roman" w:hAnsi="Times New Roman" w:eastAsia="仿宋_GB2312" w:cs="Times New Roman"/>
                <w:i w:val="0"/>
                <w:iCs w:val="0"/>
                <w:caps w:val="0"/>
                <w:color w:val="333333"/>
                <w:spacing w:val="0"/>
                <w:sz w:val="24"/>
                <w:szCs w:val="24"/>
                <w:lang w:val="en-US" w:eastAsia="zh-CN"/>
              </w:rPr>
              <w:t>、西安农投11万立方米数智冷链仓储项目、华瀚物流冷链设施设备改扩建项目、沣东冷鲜加工中心绿色升级与智慧物流项目等。</w:t>
            </w:r>
          </w:p>
          <w:p w14:paraId="551A62A7">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4.铁路物流</w:t>
            </w:r>
            <w:r>
              <w:rPr>
                <w:rFonts w:hint="default" w:ascii="Times New Roman" w:hAnsi="Times New Roman" w:eastAsia="仿宋_GB2312" w:cs="Times New Roman"/>
                <w:b w:val="0"/>
                <w:bCs w:val="0"/>
                <w:i w:val="0"/>
                <w:iCs w:val="0"/>
                <w:caps w:val="0"/>
                <w:color w:val="333333"/>
                <w:spacing w:val="0"/>
                <w:sz w:val="24"/>
                <w:szCs w:val="24"/>
                <w:lang w:val="en-US" w:eastAsia="zh-CN"/>
              </w:rPr>
              <w:t>。做强陆港型国家物流枢纽</w:t>
            </w:r>
            <w:r>
              <w:rPr>
                <w:rFonts w:hint="default" w:ascii="Times New Roman" w:hAnsi="Times New Roman" w:eastAsia="仿宋_GB2312" w:cs="Times New Roman"/>
                <w:i w:val="0"/>
                <w:iCs w:val="0"/>
                <w:caps w:val="0"/>
                <w:color w:val="333333"/>
                <w:spacing w:val="0"/>
                <w:sz w:val="24"/>
                <w:szCs w:val="24"/>
                <w:lang w:val="en-US" w:eastAsia="zh-CN"/>
              </w:rPr>
              <w:t>，提高枢纽协同联动水平，强化陆港功能外溢，提升中欧班列西安集结中心智能化水平和中欧班列（西安）运行效能，重点发展铁路干线运输、国际物流服务和多式联运，推动“港产港贸港城”深度融合，高质量建设中欧班列经济圈，助力国际物流枢纽建设。</w:t>
            </w:r>
          </w:p>
          <w:p w14:paraId="18460DE6">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重大项目</w:t>
            </w:r>
            <w:r>
              <w:rPr>
                <w:rFonts w:hint="default" w:ascii="Times New Roman" w:hAnsi="Times New Roman" w:eastAsia="仿宋_GB2312" w:cs="Times New Roman"/>
                <w:i w:val="0"/>
                <w:iCs w:val="0"/>
                <w:caps w:val="0"/>
                <w:color w:val="333333"/>
                <w:spacing w:val="0"/>
                <w:sz w:val="24"/>
                <w:szCs w:val="24"/>
                <w:lang w:val="en-US" w:eastAsia="zh-CN"/>
              </w:rPr>
              <w:t>：</w:t>
            </w:r>
            <w:r>
              <w:rPr>
                <w:rFonts w:hint="eastAsia" w:ascii="Times New Roman" w:hAnsi="Times New Roman" w:eastAsia="仿宋_GB2312" w:cs="Times New Roman"/>
                <w:i w:val="0"/>
                <w:iCs w:val="0"/>
                <w:caps w:val="0"/>
                <w:color w:val="333333"/>
                <w:spacing w:val="0"/>
                <w:sz w:val="24"/>
                <w:szCs w:val="24"/>
                <w:lang w:val="en-US" w:eastAsia="zh-CN"/>
              </w:rPr>
              <w:t>西安东高铁物流基地</w:t>
            </w:r>
            <w:r>
              <w:rPr>
                <w:rFonts w:hint="default" w:ascii="Times New Roman" w:hAnsi="Times New Roman" w:eastAsia="仿宋_GB2312" w:cs="Times New Roman"/>
                <w:i w:val="0"/>
                <w:iCs w:val="0"/>
                <w:caps w:val="0"/>
                <w:color w:val="333333"/>
                <w:spacing w:val="0"/>
                <w:sz w:val="24"/>
                <w:szCs w:val="24"/>
                <w:lang w:val="en-US" w:eastAsia="zh-CN"/>
              </w:rPr>
              <w:t>、西安国际港辅助作业站窑村物流基地</w:t>
            </w:r>
            <w:r>
              <w:rPr>
                <w:rFonts w:hint="eastAsia" w:ascii="Times New Roman" w:hAnsi="Times New Roman" w:eastAsia="仿宋_GB2312" w:cs="Times New Roman"/>
                <w:i w:val="0"/>
                <w:iCs w:val="0"/>
                <w:caps w:val="0"/>
                <w:color w:val="333333"/>
                <w:spacing w:val="0"/>
                <w:sz w:val="24"/>
                <w:szCs w:val="24"/>
                <w:lang w:val="en-US" w:eastAsia="zh-CN"/>
              </w:rPr>
              <w:t>、草堂工业区铁路货运专用线、草堂铁路专用线二期（文义村至兴平）</w:t>
            </w:r>
            <w:r>
              <w:rPr>
                <w:rFonts w:hint="default" w:ascii="Times New Roman" w:hAnsi="Times New Roman" w:eastAsia="仿宋_GB2312" w:cs="Times New Roman"/>
                <w:i w:val="0"/>
                <w:iCs w:val="0"/>
                <w:caps w:val="0"/>
                <w:color w:val="333333"/>
                <w:spacing w:val="0"/>
                <w:sz w:val="24"/>
                <w:szCs w:val="24"/>
                <w:lang w:val="en-US" w:eastAsia="zh-CN"/>
              </w:rPr>
              <w:t>、中欧班列西安集结中心集疏运体系南向连接线工程</w:t>
            </w:r>
            <w:r>
              <w:rPr>
                <w:rFonts w:hint="eastAsia" w:ascii="Times New Roman" w:hAnsi="Times New Roman" w:eastAsia="仿宋_GB2312" w:cs="Times New Roman"/>
                <w:i w:val="0"/>
                <w:iCs w:val="0"/>
                <w:caps w:val="0"/>
                <w:color w:val="333333"/>
                <w:spacing w:val="0"/>
                <w:sz w:val="24"/>
                <w:szCs w:val="24"/>
                <w:lang w:val="en-US" w:eastAsia="zh-CN"/>
              </w:rPr>
              <w:t>、</w:t>
            </w:r>
            <w:r>
              <w:rPr>
                <w:rFonts w:hint="default" w:ascii="Times New Roman" w:hAnsi="Times New Roman" w:eastAsia="仿宋_GB2312" w:cs="Times New Roman"/>
                <w:i w:val="0"/>
                <w:iCs w:val="0"/>
                <w:caps w:val="0"/>
                <w:color w:val="333333"/>
                <w:spacing w:val="0"/>
                <w:sz w:val="24"/>
                <w:szCs w:val="24"/>
                <w:lang w:val="en-US" w:eastAsia="zh-CN"/>
              </w:rPr>
              <w:t>中欧班列西安集结中心港贸联动、西安南站铁路仓储物流货场项目等。</w:t>
            </w:r>
          </w:p>
          <w:p w14:paraId="3AFF983B">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5.航空物流</w:t>
            </w:r>
            <w:r>
              <w:rPr>
                <w:rFonts w:hint="default" w:ascii="Times New Roman" w:hAnsi="Times New Roman" w:eastAsia="仿宋_GB2312" w:cs="Times New Roman"/>
                <w:b w:val="0"/>
                <w:bCs w:val="0"/>
                <w:i w:val="0"/>
                <w:iCs w:val="0"/>
                <w:caps w:val="0"/>
                <w:color w:val="333333"/>
                <w:spacing w:val="0"/>
                <w:sz w:val="24"/>
                <w:szCs w:val="24"/>
                <w:lang w:val="en-US" w:eastAsia="zh-CN"/>
              </w:rPr>
              <w:t>。做大空港型国家物流枢纽</w:t>
            </w:r>
            <w:r>
              <w:rPr>
                <w:rFonts w:hint="default" w:ascii="Times New Roman" w:hAnsi="Times New Roman" w:eastAsia="仿宋_GB2312" w:cs="Times New Roman"/>
                <w:i w:val="0"/>
                <w:iCs w:val="0"/>
                <w:caps w:val="0"/>
                <w:color w:val="333333"/>
                <w:spacing w:val="0"/>
                <w:sz w:val="24"/>
                <w:szCs w:val="24"/>
                <w:lang w:val="en-US" w:eastAsia="zh-CN"/>
              </w:rPr>
              <w:t>，强化与东部航空物流枢纽节点战略合作，提升通关效率、货站设备设施智能化水平和国际货邮吞吐保障能力，服务高时效、高附加值货品，加快培育本地综合性航空物流企业，推广“枢纽+物流集成商+产业”货运发展模式，重点发展跨境电商物流、保税物流、“航空+”，加快打造国际航空物流枢纽。</w:t>
            </w:r>
          </w:p>
          <w:p w14:paraId="0E444A68">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color w:val="333333"/>
                <w:spacing w:val="0"/>
                <w:sz w:val="24"/>
                <w:szCs w:val="24"/>
                <w:lang w:val="en-US" w:eastAsia="zh-CN"/>
              </w:rPr>
            </w:pPr>
            <w:r>
              <w:rPr>
                <w:rFonts w:hint="default" w:ascii="Times New Roman" w:hAnsi="Times New Roman" w:eastAsia="仿宋_GB2312" w:cs="Times New Roman"/>
                <w:b/>
                <w:bCs/>
                <w:i w:val="0"/>
                <w:iCs w:val="0"/>
                <w:caps w:val="0"/>
                <w:color w:val="333333"/>
                <w:spacing w:val="0"/>
                <w:sz w:val="24"/>
                <w:szCs w:val="24"/>
                <w:lang w:val="en-US" w:eastAsia="zh-CN"/>
              </w:rPr>
              <w:t>重大项目</w:t>
            </w:r>
            <w:r>
              <w:rPr>
                <w:rFonts w:hint="default" w:ascii="Times New Roman" w:hAnsi="Times New Roman" w:eastAsia="仿宋_GB2312" w:cs="Times New Roman"/>
                <w:i w:val="0"/>
                <w:iCs w:val="0"/>
                <w:caps w:val="0"/>
                <w:color w:val="333333"/>
                <w:spacing w:val="0"/>
                <w:sz w:val="24"/>
                <w:szCs w:val="24"/>
                <w:lang w:val="en-US" w:eastAsia="zh-CN"/>
              </w:rPr>
              <w:t>：东航空港总部保障基地项目、顺丰航空转运中心扩建项目、中国邮政速递西北（西安）航空电商物流中心三期、西安咸阳国际机场口岸国际物流园区改造项目、顺丰航空转运中心扩建项目、保税物流产业园扩容项目等。‌</w:t>
            </w:r>
          </w:p>
        </w:tc>
      </w:tr>
    </w:tbl>
    <w:p w14:paraId="0D15B370">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37" w:name="_Toc8029"/>
      <w:bookmarkStart w:id="38" w:name="_Toc21566"/>
      <w:r>
        <w:rPr>
          <w:rFonts w:hint="default" w:ascii="Times New Roman" w:hAnsi="Times New Roman" w:eastAsia="仿宋_GB2312" w:cs="Times New Roman"/>
          <w:sz w:val="32"/>
          <w:szCs w:val="32"/>
          <w:lang w:val="en-US" w:eastAsia="zh-CN"/>
        </w:rPr>
        <w:t>5.人力资源服务业</w:t>
      </w:r>
      <w:bookmarkEnd w:id="37"/>
    </w:p>
    <w:p w14:paraId="5B09AF42">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Cs/>
          <w:snapToGrid/>
          <w:color w:val="000000" w:themeColor="text1"/>
          <w:kern w:val="2"/>
          <w:sz w:val="32"/>
          <w:szCs w:val="32"/>
          <w:lang w:val="en-US" w:eastAsia="zh-CN" w:bidi="ar-SA"/>
          <w14:textFill>
            <w14:solidFill>
              <w14:schemeClr w14:val="tx1"/>
            </w14:solidFill>
          </w14:textFill>
        </w:rPr>
        <w:t>落实就业优先战略、人才强市战略，以促进高质量充分就业为宗旨，提高人力资源要素配置效率，推动行业向专业化和价值链高端延伸，实现人力资源与实体经济、科技创新协同发展，加快建设全国有影响力的人力资源服务高地。到2030年，力争人力资源服务业营业收入达到850亿元。</w:t>
      </w:r>
    </w:p>
    <w:p w14:paraId="739EC10F">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val="0"/>
          <w:snapToGrid/>
          <w:color w:val="000000" w:themeColor="text1"/>
          <w:kern w:val="2"/>
          <w:sz w:val="32"/>
          <w:szCs w:val="32"/>
          <w:lang w:val="en-US" w:eastAsia="zh-CN" w:bidi="ar-SA"/>
          <w14:textFill>
            <w14:solidFill>
              <w14:schemeClr w14:val="tx1"/>
            </w14:solidFill>
          </w14:textFill>
        </w:rPr>
        <w:t>构建产才融合发展体系。</w:t>
      </w:r>
      <w:r>
        <w:rPr>
          <w:rFonts w:hint="default" w:ascii="Times New Roman" w:hAnsi="Times New Roman" w:eastAsia="仿宋_GB2312" w:cs="Times New Roman"/>
          <w:bCs/>
          <w:snapToGrid/>
          <w:color w:val="000000" w:themeColor="text1"/>
          <w:kern w:val="2"/>
          <w:sz w:val="32"/>
          <w:szCs w:val="32"/>
          <w:lang w:val="en-US" w:eastAsia="zh-CN" w:bidi="ar-SA"/>
          <w14:textFill>
            <w14:solidFill>
              <w14:schemeClr w14:val="tx1"/>
            </w14:solidFill>
          </w14:textFill>
        </w:rPr>
        <w:t>深入推进国家人力资源服务业与制造业融合发展试点，积极探索产才融合发展新机制新模式新路径，支持多主体联合组建“先进制造业招聘用工联合体”“创新联合体”“人才服务集团”，建强专业化产教融合实训基地，围绕制造业重点区域建设公共实训基地，基于人工智能技术开发制造领域招聘大模型、智能面试、虚拟现实培训等新产品，支持有条件的企业申请对外劳务合作资质，鼓励人力资源服务企业主动嵌入制造业全生命周期，提供一体化、定制化、专业化解决方案，构建人力资源服务业与制造业协同发展体系。</w:t>
      </w:r>
    </w:p>
    <w:p w14:paraId="4ECB4325">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val="0"/>
          <w:snapToGrid/>
          <w:color w:val="000000" w:themeColor="text1"/>
          <w:kern w:val="2"/>
          <w:sz w:val="32"/>
          <w:szCs w:val="32"/>
          <w:lang w:val="en-US" w:eastAsia="zh-CN" w:bidi="ar-SA"/>
          <w14:textFill>
            <w14:solidFill>
              <w14:schemeClr w14:val="tx1"/>
            </w14:solidFill>
          </w14:textFill>
        </w:rPr>
        <w:t>推动人资服务提质增效。</w:t>
      </w:r>
      <w:r>
        <w:rPr>
          <w:rFonts w:hint="default" w:ascii="Times New Roman" w:hAnsi="Times New Roman" w:eastAsia="仿宋_GB2312" w:cs="Times New Roman"/>
          <w:bCs/>
          <w:snapToGrid/>
          <w:color w:val="000000" w:themeColor="text1"/>
          <w:kern w:val="2"/>
          <w:sz w:val="32"/>
          <w:szCs w:val="32"/>
          <w:lang w:val="en-US" w:eastAsia="zh-CN" w:bidi="ar-SA"/>
          <w14:textFill>
            <w14:solidFill>
              <w14:schemeClr w14:val="tx1"/>
            </w14:solidFill>
          </w14:textFill>
        </w:rPr>
        <w:t>培育壮大人力资源服务业优质市场主体，推动中国西安人力资源服务产业园</w:t>
      </w:r>
      <w:r>
        <w:rPr>
          <w:rFonts w:hint="default" w:ascii="Times New Roman" w:hAnsi="Times New Roman" w:eastAsia="仿宋_GB2312" w:cs="Times New Roman"/>
          <w:sz w:val="32"/>
          <w:szCs w:val="32"/>
          <w:lang w:val="en-US" w:eastAsia="zh-CN"/>
        </w:rPr>
        <w:t>提质增效</w:t>
      </w:r>
      <w:r>
        <w:rPr>
          <w:rFonts w:hint="default" w:ascii="Times New Roman" w:hAnsi="Times New Roman" w:eastAsia="仿宋_GB2312" w:cs="Times New Roman"/>
          <w:bCs/>
          <w:snapToGrid/>
          <w:color w:val="000000" w:themeColor="text1"/>
          <w:kern w:val="2"/>
          <w:sz w:val="32"/>
          <w:szCs w:val="32"/>
          <w:lang w:val="en-US" w:eastAsia="zh-CN" w:bidi="ar-SA"/>
          <w14:textFill>
            <w14:solidFill>
              <w14:schemeClr w14:val="tx1"/>
            </w14:solidFill>
          </w14:textFill>
        </w:rPr>
        <w:t>。聚焦建设具有西安特色的现代化产业体系，</w:t>
      </w:r>
      <w:r>
        <w:rPr>
          <w:rFonts w:hint="default" w:ascii="Times New Roman" w:hAnsi="Times New Roman" w:eastAsia="仿宋_GB2312" w:cs="Times New Roman"/>
          <w:sz w:val="32"/>
          <w:szCs w:val="32"/>
          <w:lang w:val="en-US" w:eastAsia="zh-CN"/>
        </w:rPr>
        <w:t>重点发展猎头服务、人才测评、管理咨询、服务外包、薪酬绩效管理等业态，打造多层次多元化的现代化人力资源服务业产业格局</w:t>
      </w:r>
      <w:r>
        <w:rPr>
          <w:rFonts w:hint="default" w:ascii="Times New Roman" w:hAnsi="Times New Roman" w:eastAsia="仿宋_GB2312" w:cs="Times New Roman"/>
          <w:bCs/>
          <w:snapToGrid/>
          <w:color w:val="000000" w:themeColor="text1"/>
          <w:kern w:val="2"/>
          <w:sz w:val="32"/>
          <w:szCs w:val="32"/>
          <w:lang w:val="en-US" w:eastAsia="zh-CN" w:bidi="ar-SA"/>
          <w14:textFill>
            <w14:solidFill>
              <w14:schemeClr w14:val="tx1"/>
            </w14:solidFill>
          </w14:textFill>
        </w:rPr>
        <w:t>。推动行业数字化转型发展，充分运用大数据、人工智能、区块链、云计算等新技术创新服务模式。发展数字人力资源市场，提高社会化服务能力。支持龙头企业打造一体化数字平台。积极开发老年人力资源，出台促进老年人再就业配套政策。建好国家级人力资源服务出口基地，支持人力资源服务机构在“一带一路”国家设立研发中心和分支机构，做好“一带一路”海外重大工程人力资源服务保障。</w:t>
      </w:r>
    </w:p>
    <w:tbl>
      <w:tblPr>
        <w:tblStyle w:val="19"/>
        <w:tblW w:w="8422" w:type="dxa"/>
        <w:jc w:val="center"/>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422"/>
      </w:tblGrid>
      <w:tr w14:paraId="5460BDD0">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422"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29556493">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spacing w:before="0" w:beforeAutospacing="0" w:after="0" w:afterAutospacing="0" w:line="26" w:lineRule="atLeast"/>
              <w:ind w:left="0" w:right="0"/>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0"/>
                <w:szCs w:val="30"/>
                <w:lang w:val="en-US" w:eastAsia="zh-CN"/>
              </w:rPr>
              <w:t>专栏6人力资源服务发展方向</w:t>
            </w:r>
          </w:p>
        </w:tc>
      </w:tr>
      <w:tr w14:paraId="3E69FAC2">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422"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37BDA0C3">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一、重点发展领域</w:t>
            </w:r>
          </w:p>
          <w:p w14:paraId="7F3BBF44">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1.猎头服务。</w:t>
            </w:r>
            <w:r>
              <w:rPr>
                <w:rFonts w:hint="default" w:ascii="Times New Roman" w:hAnsi="Times New Roman" w:eastAsia="仿宋_GB2312" w:cs="Times New Roman"/>
                <w:snapToGrid w:val="0"/>
                <w:color w:val="000000"/>
                <w:kern w:val="0"/>
                <w:sz w:val="24"/>
                <w:szCs w:val="24"/>
                <w:lang w:val="en-US" w:eastAsia="zh-CN" w:bidi="ar"/>
              </w:rPr>
              <w:t>重点面向新兴产业与未来产业领域，深入推行“校/院招企用”引才模式，构建涵盖需求深度分析、人才画像精准勾勒、目标人选定向寻访、专业评估与背景核实、面试协调与录用谈判、入职跟进及保证期服务在内的全流程闭环体系。</w:t>
            </w:r>
          </w:p>
          <w:p w14:paraId="683810B6">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2.人才派遣服务。</w:t>
            </w:r>
            <w:r>
              <w:rPr>
                <w:rFonts w:hint="default" w:ascii="Times New Roman" w:hAnsi="Times New Roman" w:eastAsia="仿宋_GB2312" w:cs="Times New Roman"/>
                <w:snapToGrid w:val="0"/>
                <w:color w:val="000000"/>
                <w:kern w:val="0"/>
                <w:sz w:val="24"/>
                <w:szCs w:val="24"/>
                <w:lang w:val="en-US" w:eastAsia="zh-CN" w:bidi="ar"/>
              </w:rPr>
              <w:t>依法合规开展劳务派遣业务，重点围绕制造业、现代服务业、公共事业等领域，开发人才派遣典型应用场景，开展全流程价值评估与风险研判，提供风险可控、灵活适配的谱系化派遣产品与解决方案，满足企业弹性用工需求。</w:t>
            </w:r>
          </w:p>
          <w:p w14:paraId="38B42DEC">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3.人资培训服务。</w:t>
            </w:r>
            <w:r>
              <w:rPr>
                <w:rFonts w:hint="default" w:ascii="Times New Roman" w:hAnsi="Times New Roman" w:eastAsia="仿宋_GB2312" w:cs="Times New Roman"/>
                <w:snapToGrid w:val="0"/>
                <w:color w:val="000000"/>
                <w:kern w:val="0"/>
                <w:sz w:val="24"/>
                <w:szCs w:val="24"/>
                <w:lang w:val="en-US" w:eastAsia="zh-CN" w:bidi="ar"/>
              </w:rPr>
              <w:t>适配智能经济发展新范式，整合优质培训资源，分层分类开展面向管理人才、技术骨干、一线员工等不同群体的能力提升培训，提供增值性培训服务，为创新主体健康发展提供人才能力保障。</w:t>
            </w:r>
          </w:p>
          <w:p w14:paraId="5B2656A0">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4.人资管理服务。</w:t>
            </w:r>
            <w:r>
              <w:rPr>
                <w:rFonts w:hint="default" w:ascii="Times New Roman" w:hAnsi="Times New Roman" w:eastAsia="仿宋_GB2312" w:cs="Times New Roman"/>
                <w:snapToGrid w:val="0"/>
                <w:color w:val="000000"/>
                <w:kern w:val="0"/>
                <w:sz w:val="24"/>
                <w:szCs w:val="24"/>
                <w:lang w:val="en-US" w:eastAsia="zh-CN" w:bidi="ar"/>
              </w:rPr>
              <w:t>重点开展人力资源服务外包、人力资源规划、招聘与配置、培训与开发、绩效管理、薪酬福利管理、员工关系管理等全模块服务，加快向战略伙伴角色转型，构建与企业协同发展的长期战略合作关系。</w:t>
            </w:r>
          </w:p>
          <w:p w14:paraId="6912E059">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5.灵活用工服务。</w:t>
            </w:r>
            <w:r>
              <w:rPr>
                <w:rFonts w:hint="default" w:ascii="Times New Roman" w:hAnsi="Times New Roman" w:eastAsia="仿宋_GB2312" w:cs="Times New Roman"/>
                <w:snapToGrid w:val="0"/>
                <w:color w:val="000000"/>
                <w:kern w:val="0"/>
                <w:sz w:val="24"/>
                <w:szCs w:val="24"/>
                <w:lang w:val="en-US" w:eastAsia="zh-CN" w:bidi="ar"/>
              </w:rPr>
              <w:t>适应新经济、新业态发展需求，重点面向平台经济、零工经济等领域，开发灵活用工服务平台，提供用工需求智能匹配、电子签约、在线考勤、薪酬结算、商业保险等一站式服务，构建合规、高效、有保障的灵活用工生态。</w:t>
            </w:r>
          </w:p>
          <w:p w14:paraId="6005713E">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二、着力培育领域</w:t>
            </w:r>
          </w:p>
          <w:p w14:paraId="60486E34">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6.HR咨询与评测服务。</w:t>
            </w:r>
            <w:r>
              <w:rPr>
                <w:rFonts w:hint="default" w:ascii="Times New Roman" w:hAnsi="Times New Roman" w:eastAsia="仿宋_GB2312" w:cs="Times New Roman"/>
                <w:snapToGrid w:val="0"/>
                <w:color w:val="000000"/>
                <w:kern w:val="0"/>
                <w:sz w:val="24"/>
                <w:szCs w:val="24"/>
                <w:lang w:val="en-US" w:eastAsia="zh-CN" w:bidi="ar"/>
              </w:rPr>
              <w:t>重点开展战略与组织咨询、薪酬与绩效咨询、职业指导与规划咨询、文化与变革咨询等专业服务，同步发展认知能力测评、个性与动机测评、行为面试与情景判断、敬业度与满意度调研等测评服务，通过“咨询+测评”双轮驱动，系统提升组织效能与人才价值。</w:t>
            </w:r>
          </w:p>
          <w:p w14:paraId="49217E49">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7.HR大数据服务。</w:t>
            </w:r>
            <w:r>
              <w:rPr>
                <w:rFonts w:hint="default" w:ascii="Times New Roman" w:hAnsi="Times New Roman" w:eastAsia="仿宋_GB2312" w:cs="Times New Roman"/>
                <w:snapToGrid w:val="0"/>
                <w:color w:val="000000"/>
                <w:kern w:val="0"/>
                <w:sz w:val="24"/>
                <w:szCs w:val="24"/>
                <w:lang w:val="en-US" w:eastAsia="zh-CN" w:bidi="ar"/>
              </w:rPr>
              <w:t>重点开发集数据整合、智能分析与业务应用于一体的“人才管理智慧大脑”，推动分散、孤立的人力资源数据向结构化、标准化、价值化的数据资产转化，为组织提供人才画像、流失预警、人岗匹配、招聘效果评估等深度洞察与行动建议，赋能人力资源决策智能化。</w:t>
            </w:r>
          </w:p>
          <w:p w14:paraId="0872BE92">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snapToGrid w:val="0"/>
                <w:color w:val="000000"/>
                <w:kern w:val="0"/>
                <w:sz w:val="24"/>
                <w:szCs w:val="24"/>
                <w:lang w:val="en-US" w:eastAsia="zh-CN" w:bidi="ar"/>
              </w:rPr>
            </w:pPr>
            <w:r>
              <w:rPr>
                <w:rFonts w:hint="default" w:ascii="Times New Roman" w:hAnsi="Times New Roman" w:eastAsia="仿宋_GB2312" w:cs="Times New Roman"/>
                <w:b/>
                <w:bCs/>
                <w:snapToGrid w:val="0"/>
                <w:color w:val="000000"/>
                <w:kern w:val="0"/>
                <w:sz w:val="24"/>
                <w:szCs w:val="24"/>
                <w:lang w:val="en-US" w:eastAsia="zh-CN" w:bidi="ar"/>
              </w:rPr>
              <w:t>8.人力资源服务出口</w:t>
            </w:r>
            <w:r>
              <w:rPr>
                <w:rFonts w:hint="default" w:ascii="Times New Roman" w:hAnsi="Times New Roman" w:eastAsia="仿宋_GB2312" w:cs="Times New Roman"/>
                <w:snapToGrid w:val="0"/>
                <w:color w:val="000000"/>
                <w:kern w:val="0"/>
                <w:sz w:val="24"/>
                <w:szCs w:val="24"/>
                <w:lang w:val="en-US" w:eastAsia="zh-CN" w:bidi="ar"/>
              </w:rPr>
              <w:t>。</w:t>
            </w:r>
            <w:r>
              <w:rPr>
                <w:rFonts w:hint="eastAsia" w:ascii="Times New Roman" w:hAnsi="Times New Roman" w:eastAsia="仿宋_GB2312" w:cs="Times New Roman"/>
                <w:snapToGrid w:val="0"/>
                <w:color w:val="000000"/>
                <w:kern w:val="0"/>
                <w:sz w:val="24"/>
                <w:szCs w:val="24"/>
                <w:lang w:val="en-US" w:eastAsia="zh-CN" w:bidi="ar"/>
              </w:rPr>
              <w:t>服务融入共建</w:t>
            </w:r>
            <w:r>
              <w:rPr>
                <w:rFonts w:hint="default" w:ascii="Times New Roman" w:hAnsi="Times New Roman" w:eastAsia="仿宋_GB2312" w:cs="Times New Roman"/>
                <w:snapToGrid w:val="0"/>
                <w:color w:val="000000"/>
                <w:kern w:val="0"/>
                <w:sz w:val="24"/>
                <w:szCs w:val="24"/>
                <w:lang w:val="en-US" w:eastAsia="zh-CN" w:bidi="ar"/>
              </w:rPr>
              <w:t>“一带一路”，重点面向出海企业提供海外人才招聘、跨境劳务派遣、国际薪酬管理、跨文化培训等国际化人力资源服务，推动建立与中亚、东南亚等重点区域的人才合作机制与资格互认通道。‌‌</w:t>
            </w:r>
          </w:p>
        </w:tc>
      </w:tr>
    </w:tbl>
    <w:p w14:paraId="43DCA6CC">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39" w:name="_Toc19093"/>
      <w:r>
        <w:rPr>
          <w:rFonts w:hint="default" w:ascii="Times New Roman" w:hAnsi="Times New Roman" w:eastAsia="仿宋_GB2312" w:cs="Times New Roman"/>
          <w:sz w:val="32"/>
          <w:szCs w:val="32"/>
          <w:lang w:val="en-US" w:eastAsia="zh-CN"/>
        </w:rPr>
        <w:t>6.专业服务业</w:t>
      </w:r>
      <w:bookmarkEnd w:id="39"/>
    </w:p>
    <w:p w14:paraId="20879E9A">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FF"/>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激活存量空间资源，引导专业服务集聚发展，加快发展楼宇经济、总部经济，建设一批标志性服务业集聚区，</w:t>
      </w:r>
      <w:r>
        <w:rPr>
          <w:rFonts w:hint="default" w:ascii="Times New Roman" w:hAnsi="Times New Roman" w:eastAsia="仿宋_GB2312" w:cs="Times New Roman"/>
          <w:bCs/>
          <w:snapToGrid/>
          <w:color w:val="000000" w:themeColor="text1"/>
          <w:kern w:val="2"/>
          <w:sz w:val="32"/>
          <w:szCs w:val="32"/>
          <w:lang w:val="en-US" w:eastAsia="zh-CN" w:bidi="ar-SA"/>
          <w14:textFill>
            <w14:solidFill>
              <w14:schemeClr w14:val="tx1"/>
            </w14:solidFill>
          </w14:textFill>
        </w:rPr>
        <w:t>推动专业服务与先进制造、科技创新、公共事业深度耦合，加快构建适配现代化产业体系的高端专业服务体系，全面推动专业服务向市场化、国际化、品牌化纵深进阶。到2030年，力争全市专业服务业营业收入达到1300亿元。</w:t>
      </w:r>
    </w:p>
    <w:p w14:paraId="35BEDE3B">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楷体" w:cs="Times New Roman"/>
          <w:b/>
          <w:bCs/>
          <w:snapToGrid w:val="0"/>
          <w:color w:val="000000"/>
          <w:kern w:val="0"/>
          <w:sz w:val="32"/>
          <w:szCs w:val="32"/>
          <w:lang w:val="en-US" w:eastAsia="zh-CN" w:bidi="ar-SA"/>
        </w:rPr>
        <w:t>会议会展服务</w:t>
      </w:r>
      <w:r>
        <w:rPr>
          <w:rFonts w:hint="default" w:ascii="Times New Roman" w:hAnsi="Times New Roman" w:cs="Times New Roman"/>
          <w:b/>
          <w:bCs/>
          <w:sz w:val="32"/>
          <w:szCs w:val="32"/>
          <w:lang w:val="en-US" w:eastAsia="zh-CN"/>
        </w:rPr>
        <w:t>。</w:t>
      </w:r>
      <w:r>
        <w:rPr>
          <w:rFonts w:hint="default" w:ascii="Times New Roman" w:hAnsi="Times New Roman" w:eastAsia="仿宋_GB2312" w:cs="Times New Roman"/>
          <w:bCs/>
          <w:snapToGrid/>
          <w:color w:val="000000"/>
          <w:kern w:val="2"/>
          <w:sz w:val="32"/>
          <w:szCs w:val="32"/>
          <w:lang w:val="en-US" w:eastAsia="zh-CN" w:bidi="ar-SA"/>
        </w:rPr>
        <w:t>提升会展服务能级，持续放大中国—中亚西安峰会效应，高质量举办丝博会、欧亚经济论坛、西部数博会等品牌展会，常态化举办中欧班列全球资源对接大会等活动，支持引进国内外高端首展及品牌展会，加快建设“一带一路”国际会展名城。壮大会展经济规模，</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规划建设会展产业园区，</w:t>
      </w:r>
      <w:r>
        <w:rPr>
          <w:rFonts w:hint="default" w:ascii="Times New Roman" w:hAnsi="Times New Roman" w:eastAsia="仿宋_GB2312" w:cs="Times New Roman"/>
          <w:bCs/>
          <w:snapToGrid/>
          <w:color w:val="000000"/>
          <w:kern w:val="2"/>
          <w:sz w:val="32"/>
          <w:szCs w:val="32"/>
          <w:lang w:val="en-US" w:eastAsia="zh-CN" w:bidi="ar-SA"/>
        </w:rPr>
        <w:t>实施名企名展培育工程，</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支持本土会展企业加入UFI、ICCA等国际行业组织，</w:t>
      </w:r>
      <w:r>
        <w:rPr>
          <w:rFonts w:hint="default" w:ascii="Times New Roman" w:hAnsi="Times New Roman" w:eastAsia="仿宋_GB2312" w:cs="Times New Roman"/>
          <w:bCs/>
          <w:snapToGrid/>
          <w:color w:val="000000"/>
          <w:kern w:val="2"/>
          <w:sz w:val="32"/>
          <w:szCs w:val="32"/>
          <w:lang w:val="en-US" w:eastAsia="zh-CN" w:bidi="ar-SA"/>
        </w:rPr>
        <w:t>培育汽车、高新技术、文化创意等专题展会，</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支持大宗商品消费类展会举办首发首秀首展活动。促进会展转型升级，鼓励企业运用信息技术，创新组展办会模式，开展绿色会展认证，深化展产融合发展，深耕全省优势产业集群，引进培育特色会展项目，</w:t>
      </w:r>
      <w:r>
        <w:rPr>
          <w:rFonts w:hint="default" w:ascii="Times New Roman" w:hAnsi="Times New Roman" w:eastAsia="仿宋_GB2312" w:cs="Times New Roman"/>
          <w:sz w:val="32"/>
          <w:szCs w:val="32"/>
          <w:lang w:val="en-US" w:eastAsia="zh-CN"/>
        </w:rPr>
        <w:t>构建全链条协同的会展生态圈</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w:t>
      </w:r>
    </w:p>
    <w:p w14:paraId="4B8520BD">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楷体" w:cs="Times New Roman"/>
          <w:b/>
          <w:bCs/>
          <w:snapToGrid w:val="0"/>
          <w:color w:val="000000"/>
          <w:kern w:val="0"/>
          <w:sz w:val="32"/>
          <w:szCs w:val="32"/>
          <w:lang w:val="en-US" w:eastAsia="zh-CN" w:bidi="ar-SA"/>
        </w:rPr>
        <w:t>广告服务。</w:t>
      </w:r>
      <w:r>
        <w:rPr>
          <w:rFonts w:hint="default" w:ascii="Times New Roman" w:hAnsi="Times New Roman" w:eastAsia="仿宋_GB2312" w:cs="Times New Roman"/>
          <w:bCs/>
          <w:snapToGrid/>
          <w:color w:val="000000"/>
          <w:kern w:val="2"/>
          <w:sz w:val="32"/>
          <w:szCs w:val="32"/>
          <w:lang w:val="en-US" w:eastAsia="zh-CN" w:bidi="ar-SA"/>
        </w:rPr>
        <w:t>实施“广告+”行动，</w:t>
      </w:r>
      <w:r>
        <w:rPr>
          <w:rFonts w:hint="default" w:ascii="Times New Roman" w:hAnsi="Times New Roman" w:eastAsia="仿宋_GB2312" w:cs="Times New Roman"/>
          <w:sz w:val="32"/>
          <w:szCs w:val="32"/>
        </w:rPr>
        <w:t>深化广告业与文化旅游、先进制造、科技创新、会展经济等优势产业融合</w:t>
      </w:r>
      <w:r>
        <w:rPr>
          <w:rFonts w:hint="default" w:ascii="Times New Roman" w:hAnsi="Times New Roman" w:eastAsia="仿宋_GB2312" w:cs="Times New Roman"/>
          <w:sz w:val="32"/>
          <w:szCs w:val="32"/>
          <w:lang w:eastAsia="zh-CN"/>
        </w:rPr>
        <w:t>发展，</w:t>
      </w:r>
      <w:r>
        <w:rPr>
          <w:rFonts w:hint="default" w:ascii="Times New Roman" w:hAnsi="Times New Roman" w:eastAsia="仿宋_GB2312" w:cs="Times New Roman"/>
          <w:bCs/>
          <w:snapToGrid/>
          <w:color w:val="000000"/>
          <w:kern w:val="2"/>
          <w:sz w:val="32"/>
          <w:szCs w:val="32"/>
          <w:lang w:val="en-US" w:eastAsia="zh-CN" w:bidi="ar-SA"/>
        </w:rPr>
        <w:t>促进产业链供给与市场端需求有效对接，拓展广告赋能实体经济发展路径。</w:t>
      </w:r>
      <w:r>
        <w:rPr>
          <w:rFonts w:hint="default" w:ascii="Times New Roman" w:hAnsi="Times New Roman" w:eastAsia="仿宋_GB2312" w:cs="Times New Roman"/>
          <w:sz w:val="32"/>
          <w:szCs w:val="32"/>
        </w:rPr>
        <w:t>推动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园区+产业链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发展模式，完善以翠华里省级广告产业园为核心的产业</w:t>
      </w:r>
      <w:r>
        <w:rPr>
          <w:rFonts w:hint="default" w:ascii="Times New Roman" w:hAnsi="Times New Roman" w:eastAsia="仿宋_GB2312" w:cs="Times New Roman"/>
          <w:sz w:val="32"/>
          <w:szCs w:val="32"/>
          <w:lang w:eastAsia="zh-CN"/>
        </w:rPr>
        <w:t>园区</w:t>
      </w:r>
      <w:r>
        <w:rPr>
          <w:rFonts w:hint="default" w:ascii="Times New Roman" w:hAnsi="Times New Roman" w:eastAsia="仿宋_GB2312" w:cs="Times New Roman"/>
          <w:sz w:val="32"/>
          <w:szCs w:val="32"/>
        </w:rPr>
        <w:t>布局，</w:t>
      </w:r>
      <w:r>
        <w:rPr>
          <w:rFonts w:hint="default" w:ascii="Times New Roman" w:hAnsi="Times New Roman" w:eastAsia="仿宋_GB2312" w:cs="Times New Roman"/>
          <w:sz w:val="32"/>
          <w:szCs w:val="32"/>
          <w:lang w:eastAsia="zh-CN"/>
        </w:rPr>
        <w:t>打造数字广告、直播电商、影视传媒等业态集聚的产业高地。</w:t>
      </w:r>
      <w:r>
        <w:rPr>
          <w:rFonts w:hint="default" w:ascii="Times New Roman" w:hAnsi="Times New Roman" w:eastAsia="仿宋_GB2312" w:cs="Times New Roman"/>
          <w:sz w:val="32"/>
          <w:szCs w:val="32"/>
        </w:rPr>
        <w:t>加速广告业数智化转型，推动AIGC、大数据技术深度融入广告素材生成、跨平台智能投放、效果实时归因全链路，赋能品牌数智化营销与出海布局，</w:t>
      </w:r>
      <w:r>
        <w:rPr>
          <w:rFonts w:hint="default" w:ascii="Times New Roman" w:hAnsi="Times New Roman" w:eastAsia="仿宋_GB2312" w:cs="Times New Roman"/>
          <w:bCs/>
          <w:snapToGrid/>
          <w:color w:val="000000"/>
          <w:kern w:val="2"/>
          <w:sz w:val="32"/>
          <w:szCs w:val="32"/>
          <w:lang w:val="en-US" w:eastAsia="zh-CN" w:bidi="ar-SA"/>
        </w:rPr>
        <w:t>扶持AI创意生成、虚拟代言、智能精准投放等业态</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推动重点广告企业提质升级，积极</w:t>
      </w:r>
      <w:r>
        <w:rPr>
          <w:rFonts w:hint="default" w:ascii="Times New Roman" w:hAnsi="Times New Roman" w:eastAsia="仿宋_GB2312" w:cs="Times New Roman"/>
          <w:sz w:val="32"/>
          <w:szCs w:val="32"/>
        </w:rPr>
        <w:t>培育CNAAI广告企业</w:t>
      </w:r>
      <w:r>
        <w:rPr>
          <w:rFonts w:hint="default" w:ascii="Times New Roman" w:hAnsi="Times New Roman" w:eastAsia="仿宋_GB2312" w:cs="Times New Roman"/>
          <w:sz w:val="32"/>
          <w:szCs w:val="32"/>
          <w:lang w:eastAsia="zh-CN"/>
        </w:rPr>
        <w:t>。</w:t>
      </w:r>
    </w:p>
    <w:p w14:paraId="3F7C6235">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bCs/>
          <w:snapToGrid w:val="0"/>
          <w:color w:val="000000"/>
          <w:kern w:val="0"/>
          <w:sz w:val="32"/>
          <w:szCs w:val="32"/>
          <w:lang w:val="en-US" w:eastAsia="zh-CN" w:bidi="ar-SA"/>
        </w:rPr>
        <w:t>法律和咨询服务。</w:t>
      </w:r>
      <w:r>
        <w:rPr>
          <w:rFonts w:hint="default" w:ascii="Times New Roman" w:hAnsi="Times New Roman" w:eastAsia="仿宋_GB2312" w:cs="Times New Roman"/>
          <w:sz w:val="32"/>
          <w:szCs w:val="32"/>
          <w:lang w:val="en-US" w:eastAsia="zh-CN"/>
        </w:rPr>
        <w:t>支持培育“三个一流”律师事务所，</w:t>
      </w:r>
      <w:r>
        <w:rPr>
          <w:rFonts w:hint="default" w:ascii="Times New Roman" w:hAnsi="Times New Roman" w:eastAsia="仿宋_GB2312" w:cs="Times New Roman"/>
          <w:bCs/>
          <w:snapToGrid/>
          <w:color w:val="000000"/>
          <w:kern w:val="2"/>
          <w:sz w:val="32"/>
          <w:szCs w:val="32"/>
          <w:lang w:val="en-US" w:eastAsia="zh-CN" w:bidi="ar-SA"/>
        </w:rPr>
        <w:t>将西安仲裁委员会打造成服务“一带一路”的国际一流仲裁机构，加强商事调解品牌建设，</w:t>
      </w:r>
      <w:r>
        <w:rPr>
          <w:rFonts w:hint="default" w:ascii="Times New Roman" w:hAnsi="Times New Roman" w:eastAsia="仿宋_GB2312" w:cs="Times New Roman"/>
          <w:sz w:val="32"/>
          <w:szCs w:val="32"/>
          <w:lang w:val="en-US" w:eastAsia="zh-CN"/>
        </w:rPr>
        <w:t>大力发展诉讼、仲裁、公证、法律服务、司法鉴定等法律服务业，积极发展涉外法律服务。建强公共法律服务平台，优化“半小时公共法律服务圈”。</w:t>
      </w:r>
      <w:r>
        <w:rPr>
          <w:rFonts w:hint="default" w:ascii="Times New Roman" w:hAnsi="Times New Roman" w:eastAsia="仿宋_GB2312" w:cs="Times New Roman"/>
          <w:sz w:val="32"/>
          <w:szCs w:val="32"/>
          <w:lang w:eastAsia="zh-CN"/>
        </w:rPr>
        <w:t>增强</w:t>
      </w:r>
      <w:r>
        <w:rPr>
          <w:rFonts w:hint="default" w:ascii="Times New Roman" w:hAnsi="Times New Roman" w:eastAsia="仿宋_GB2312" w:cs="Times New Roman"/>
          <w:sz w:val="32"/>
          <w:szCs w:val="32"/>
        </w:rPr>
        <w:t>咨询业服务能力，鼓励工程咨询、管理咨询、</w:t>
      </w:r>
      <w:r>
        <w:rPr>
          <w:rFonts w:hint="default" w:ascii="Times New Roman" w:hAnsi="Times New Roman" w:eastAsia="仿宋_GB2312" w:cs="Times New Roman"/>
          <w:sz w:val="32"/>
          <w:szCs w:val="32"/>
          <w:lang w:eastAsia="zh-CN"/>
        </w:rPr>
        <w:t>商务咨询、质量咨询、</w:t>
      </w:r>
      <w:r>
        <w:rPr>
          <w:rFonts w:hint="default" w:ascii="Times New Roman" w:hAnsi="Times New Roman" w:eastAsia="仿宋_GB2312" w:cs="Times New Roman"/>
          <w:sz w:val="32"/>
          <w:szCs w:val="32"/>
        </w:rPr>
        <w:t>会计审计、税务服务等行业</w:t>
      </w:r>
      <w:r>
        <w:rPr>
          <w:rFonts w:hint="default" w:ascii="Times New Roman" w:hAnsi="Times New Roman" w:eastAsia="仿宋_GB2312" w:cs="Times New Roman"/>
          <w:sz w:val="32"/>
          <w:szCs w:val="32"/>
          <w:lang w:eastAsia="zh-CN"/>
        </w:rPr>
        <w:t>龙头企业，</w:t>
      </w:r>
      <w:r>
        <w:rPr>
          <w:rFonts w:hint="default" w:ascii="Times New Roman" w:hAnsi="Times New Roman" w:eastAsia="仿宋_GB2312" w:cs="Times New Roman"/>
          <w:sz w:val="32"/>
          <w:szCs w:val="32"/>
        </w:rPr>
        <w:t>建设数智化咨询服务平台。吸引</w:t>
      </w:r>
      <w:r>
        <w:rPr>
          <w:rFonts w:hint="default" w:ascii="Times New Roman" w:hAnsi="Times New Roman" w:eastAsia="仿宋_GB2312" w:cs="Times New Roman"/>
          <w:sz w:val="32"/>
          <w:szCs w:val="32"/>
          <w:lang w:eastAsia="zh-CN"/>
        </w:rPr>
        <w:t>国际</w:t>
      </w:r>
      <w:r>
        <w:rPr>
          <w:rFonts w:hint="default" w:ascii="Times New Roman" w:hAnsi="Times New Roman" w:eastAsia="仿宋_GB2312" w:cs="Times New Roman"/>
          <w:sz w:val="32"/>
          <w:szCs w:val="32"/>
        </w:rPr>
        <w:t>咨询服务机构落户，鼓励本土机构在境外设立分支机构或取得执业资格许可，拓展海外业务。</w:t>
      </w:r>
    </w:p>
    <w:p w14:paraId="5C818A4F">
      <w:pPr>
        <w:keepNext/>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76" w:lineRule="exact"/>
        <w:ind w:firstLine="643" w:firstLineChars="200"/>
        <w:jc w:val="both"/>
        <w:textAlignment w:val="auto"/>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楷体" w:cs="Times New Roman"/>
          <w:b/>
          <w:bCs/>
          <w:snapToGrid w:val="0"/>
          <w:color w:val="000000"/>
          <w:kern w:val="0"/>
          <w:sz w:val="32"/>
          <w:szCs w:val="32"/>
          <w:lang w:val="en-US" w:eastAsia="zh-CN" w:bidi="ar-SA"/>
        </w:rPr>
        <w:t>节能环保服务。</w:t>
      </w:r>
      <w:r>
        <w:rPr>
          <w:rFonts w:hint="default" w:ascii="Times New Roman" w:hAnsi="Times New Roman" w:eastAsia="仿宋_GB2312" w:cs="Times New Roman"/>
          <w:sz w:val="32"/>
          <w:szCs w:val="32"/>
          <w:lang w:val="en-US" w:eastAsia="zh-CN"/>
        </w:rPr>
        <w:t>引育碳监测、碳核算、碳认证、碳交易等技术服务和碳资产管理服务机构。</w:t>
      </w:r>
      <w:r>
        <w:rPr>
          <w:rFonts w:hint="default" w:ascii="Times New Roman" w:hAnsi="Times New Roman" w:eastAsia="仿宋_GB2312" w:cs="Times New Roman"/>
          <w:bCs/>
          <w:snapToGrid/>
          <w:color w:val="000000"/>
          <w:kern w:val="2"/>
          <w:sz w:val="32"/>
          <w:szCs w:val="32"/>
          <w:lang w:val="en-US" w:eastAsia="zh-CN" w:bidi="ar-SA"/>
        </w:rPr>
        <w:t>面向重点行业，提供节能技改、碳资产管理、低碳方案设计全链条服务，加快提升能效诊断、设计、改造等综合服务能力。深入开展公共机构和大型公共建筑节能降碳改造。</w:t>
      </w:r>
      <w:r>
        <w:rPr>
          <w:rFonts w:hint="default" w:ascii="Times New Roman" w:hAnsi="Times New Roman" w:eastAsia="仿宋_GB2312" w:cs="Times New Roman"/>
          <w:sz w:val="32"/>
          <w:szCs w:val="32"/>
          <w:lang w:eastAsia="zh-CN"/>
        </w:rPr>
        <w:t>深化</w:t>
      </w:r>
      <w:r>
        <w:rPr>
          <w:rFonts w:hint="default" w:ascii="Times New Roman" w:hAnsi="Times New Roman" w:eastAsia="仿宋_GB2312" w:cs="Times New Roman"/>
          <w:sz w:val="32"/>
          <w:szCs w:val="32"/>
        </w:rPr>
        <w:t>企业院校合作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建立绿色技术创新联合体，推动节能技术</w:t>
      </w:r>
      <w:r>
        <w:rPr>
          <w:rFonts w:hint="default" w:ascii="Times New Roman" w:hAnsi="Times New Roman" w:eastAsia="仿宋_GB2312" w:cs="Times New Roman"/>
          <w:sz w:val="32"/>
          <w:szCs w:val="32"/>
          <w:lang w:eastAsia="zh-CN"/>
        </w:rPr>
        <w:t>广泛</w:t>
      </w:r>
      <w:r>
        <w:rPr>
          <w:rFonts w:hint="default" w:ascii="Times New Roman" w:hAnsi="Times New Roman" w:eastAsia="仿宋_GB2312" w:cs="Times New Roman"/>
          <w:sz w:val="32"/>
          <w:szCs w:val="32"/>
        </w:rPr>
        <w:t>应用，重点发展合同能源管理、节能评估、节能技术改造、节能咨询与设计等节能服务业。推动节能环保服务向咨询、管理、投融资等多领域、全周期的综合服务延伸拓展。鼓励节能设备制造企业加大节能技术和产品研发，向综合节能服务提供商转变。</w:t>
      </w:r>
      <w:r>
        <w:rPr>
          <w:rFonts w:hint="default" w:ascii="Times New Roman" w:hAnsi="Times New Roman" w:eastAsia="仿宋_GB2312" w:cs="Times New Roman"/>
          <w:sz w:val="32"/>
          <w:szCs w:val="32"/>
          <w:lang w:val="en-US" w:eastAsia="zh-CN"/>
        </w:rPr>
        <w:t>支持企业突破关键洁净技术，重点发展节水评估、生态修复、环评监测、环境风险与损害评价、排污权交易、绿色认证等环保服务业。</w:t>
      </w:r>
      <w:r>
        <w:rPr>
          <w:rFonts w:hint="default" w:ascii="Times New Roman" w:hAnsi="Times New Roman" w:eastAsia="仿宋_GB2312" w:cs="Times New Roman"/>
          <w:kern w:val="0"/>
          <w:sz w:val="32"/>
          <w:szCs w:val="32"/>
        </w:rPr>
        <w:t>加强城乡再生资源回收网络建设，提升回收点、中转站、分拣中心绿色化、专业</w:t>
      </w:r>
      <w:r>
        <w:rPr>
          <w:rFonts w:hint="default" w:ascii="Times New Roman" w:hAnsi="Times New Roman" w:eastAsia="仿宋_GB2312" w:cs="Times New Roman"/>
          <w:sz w:val="32"/>
          <w:szCs w:val="32"/>
          <w:lang w:val="en-US" w:eastAsia="zh-CN"/>
        </w:rPr>
        <w:t>化发展水平，加快发展“互联网+”回收模式，培育一批新型再</w:t>
      </w:r>
      <w:r>
        <w:rPr>
          <w:rFonts w:hint="default" w:ascii="Times New Roman" w:hAnsi="Times New Roman" w:eastAsia="仿宋_GB2312" w:cs="Times New Roman"/>
          <w:kern w:val="0"/>
          <w:sz w:val="32"/>
          <w:szCs w:val="32"/>
        </w:rPr>
        <w:t>生资源回收企业。</w:t>
      </w:r>
    </w:p>
    <w:p w14:paraId="2D5E378A">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40" w:name="_Toc23894"/>
      <w:r>
        <w:rPr>
          <w:rFonts w:hint="default" w:ascii="Times New Roman" w:hAnsi="Times New Roman" w:eastAsia="楷体" w:cs="Times New Roman"/>
          <w:b w:val="0"/>
          <w:bCs/>
          <w:lang w:val="en-US" w:eastAsia="zh-CN"/>
        </w:rPr>
        <w:t>（二）推动生活性服务业品质升级</w:t>
      </w:r>
      <w:bookmarkEnd w:id="40"/>
    </w:p>
    <w:p w14:paraId="23DC0514">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41" w:name="_Toc12742"/>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.零售住餐业</w:t>
      </w:r>
      <w:bookmarkEnd w:id="41"/>
    </w:p>
    <w:p w14:paraId="564220D7">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eastAsia" w:ascii="Times New Roman" w:hAnsi="Times New Roman" w:eastAsia="仿宋_GB2312" w:cs="Times New Roman"/>
          <w:bCs/>
          <w:snapToGrid/>
          <w:color w:val="000000"/>
          <w:kern w:val="2"/>
          <w:sz w:val="32"/>
          <w:szCs w:val="32"/>
          <w:lang w:val="en-US" w:eastAsia="zh-CN" w:bidi="ar-SA"/>
        </w:rPr>
        <w:t>充分发挥现代商贸对扩大内需、提振消费、保障民生、稳定就业的重要作用，以供给与需求良性互动为导向，</w:t>
      </w:r>
      <w:r>
        <w:rPr>
          <w:rFonts w:hint="default" w:ascii="Times New Roman" w:hAnsi="Times New Roman" w:eastAsia="仿宋_GB2312" w:cs="Times New Roman"/>
          <w:bCs/>
          <w:snapToGrid/>
          <w:color w:val="000000"/>
          <w:kern w:val="2"/>
          <w:sz w:val="32"/>
          <w:szCs w:val="32"/>
          <w:lang w:val="en-US" w:eastAsia="zh-CN" w:bidi="ar-SA"/>
        </w:rPr>
        <w:t>推进零售业与消费品制造业深度融合，</w:t>
      </w:r>
      <w:r>
        <w:rPr>
          <w:rFonts w:hint="eastAsia" w:ascii="Times New Roman" w:hAnsi="Times New Roman" w:eastAsia="仿宋_GB2312" w:cs="Times New Roman"/>
          <w:bCs/>
          <w:snapToGrid/>
          <w:color w:val="000000"/>
          <w:kern w:val="2"/>
          <w:sz w:val="32"/>
          <w:szCs w:val="32"/>
          <w:lang w:val="en-US" w:eastAsia="zh-CN" w:bidi="ar-SA"/>
        </w:rPr>
        <w:t>加快零售业创新发展，提升住宿业发展品质，推动餐饮业做强做优，更好满足人民群众高品质服务需求。</w:t>
      </w:r>
      <w:r>
        <w:rPr>
          <w:rFonts w:hint="default" w:ascii="Times New Roman" w:hAnsi="Times New Roman" w:eastAsia="仿宋_GB2312" w:cs="Times New Roman"/>
          <w:bCs/>
          <w:snapToGrid/>
          <w:color w:val="000000"/>
          <w:kern w:val="2"/>
          <w:sz w:val="32"/>
          <w:szCs w:val="32"/>
          <w:lang w:val="en-US" w:eastAsia="zh-CN" w:bidi="ar-SA"/>
        </w:rPr>
        <w:t>到2030年，力争商业零售、住宿和餐饮业营业总收入达到</w:t>
      </w:r>
      <w:r>
        <w:rPr>
          <w:rFonts w:hint="eastAsia" w:ascii="Times New Roman" w:hAnsi="Times New Roman" w:eastAsia="仿宋_GB2312" w:cs="Times New Roman"/>
          <w:bCs/>
          <w:snapToGrid/>
          <w:color w:val="000000"/>
          <w:kern w:val="2"/>
          <w:sz w:val="32"/>
          <w:szCs w:val="32"/>
          <w:lang w:val="en-US" w:eastAsia="zh-CN" w:bidi="ar-SA"/>
        </w:rPr>
        <w:t>35</w:t>
      </w:r>
      <w:r>
        <w:rPr>
          <w:rFonts w:hint="default" w:ascii="Times New Roman" w:hAnsi="Times New Roman" w:eastAsia="仿宋_GB2312" w:cs="Times New Roman"/>
          <w:bCs/>
          <w:snapToGrid/>
          <w:color w:val="000000"/>
          <w:kern w:val="2"/>
          <w:sz w:val="32"/>
          <w:szCs w:val="32"/>
          <w:lang w:val="en-US" w:eastAsia="zh-CN" w:bidi="ar-SA"/>
        </w:rPr>
        <w:t>00亿元。</w:t>
      </w:r>
    </w:p>
    <w:p w14:paraId="506AD58B">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构建层次化空间载体</w:t>
      </w:r>
      <w:r>
        <w:rPr>
          <w:rFonts w:hint="default"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推进城市步行街（商圈）布局优化和功能升级，</w:t>
      </w:r>
      <w:r>
        <w:rPr>
          <w:rFonts w:hint="default" w:ascii="Times New Roman" w:hAnsi="Times New Roman" w:eastAsia="仿宋_GB2312" w:cs="Times New Roman"/>
          <w:color w:val="000000" w:themeColor="text1"/>
          <w:kern w:val="2"/>
          <w:sz w:val="32"/>
          <w:szCs w:val="32"/>
          <w:highlight w:val="none"/>
          <w:lang w:val="en-US" w:eastAsia="zh-CN"/>
          <w14:textFill>
            <w14:solidFill>
              <w14:schemeClr w14:val="tx1"/>
            </w14:solidFill>
          </w14:textFill>
        </w:rPr>
        <w:t>完善</w:t>
      </w:r>
      <w:r>
        <w:rPr>
          <w:rFonts w:hint="default" w:ascii="Times New Roman" w:hAnsi="Times New Roman" w:eastAsia="仿宋_GB2312" w:cs="Times New Roman"/>
          <w:color w:val="000000" w:themeColor="text1"/>
          <w:kern w:val="2"/>
          <w:sz w:val="32"/>
          <w:szCs w:val="32"/>
          <w:highlight w:val="none"/>
          <w14:textFill>
            <w14:solidFill>
              <w14:schemeClr w14:val="tx1"/>
            </w14:solidFill>
          </w14:textFill>
        </w:rPr>
        <w:t>“国际级</w:t>
      </w:r>
      <w:r>
        <w:rPr>
          <w:rFonts w:hint="default" w:ascii="Times New Roman" w:hAnsi="Times New Roman" w:eastAsia="仿宋_GB2312" w:cs="Times New Roman"/>
          <w:color w:val="000000" w:themeColor="text1"/>
          <w:kern w:val="2"/>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highlight w:val="none"/>
          <w14:textFill>
            <w14:solidFill>
              <w14:schemeClr w14:val="tx1"/>
            </w14:solidFill>
          </w14:textFill>
        </w:rPr>
        <w:t>城市级</w:t>
      </w:r>
      <w:r>
        <w:rPr>
          <w:rFonts w:hint="default" w:ascii="Times New Roman" w:hAnsi="Times New Roman" w:eastAsia="仿宋_GB2312" w:cs="Times New Roman"/>
          <w:color w:val="000000" w:themeColor="text1"/>
          <w:kern w:val="2"/>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highlight w:val="none"/>
          <w14:textFill>
            <w14:solidFill>
              <w14:schemeClr w14:val="tx1"/>
            </w14:solidFill>
          </w14:textFill>
        </w:rPr>
        <w:t>区域级</w:t>
      </w:r>
      <w:r>
        <w:rPr>
          <w:rFonts w:hint="default" w:ascii="Times New Roman" w:hAnsi="Times New Roman" w:eastAsia="仿宋_GB2312" w:cs="Times New Roman"/>
          <w:color w:val="000000" w:themeColor="text1"/>
          <w:kern w:val="2"/>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highlight w:val="none"/>
          <w14:textFill>
            <w14:solidFill>
              <w14:schemeClr w14:val="tx1"/>
            </w14:solidFill>
          </w14:textFill>
        </w:rPr>
        <w:t>社区级”四级城市商业体系</w:t>
      </w:r>
      <w:r>
        <w:rPr>
          <w:rFonts w:hint="default" w:ascii="Times New Roman" w:hAnsi="Times New Roman" w:eastAsia="仿宋_GB2312" w:cs="Times New Roman"/>
          <w:color w:val="000000" w:themeColor="text1"/>
          <w:kern w:val="2"/>
          <w:sz w:val="32"/>
          <w:szCs w:val="32"/>
          <w:highlight w:val="none"/>
          <w:lang w:eastAsia="zh-CN"/>
          <w14:textFill>
            <w14:solidFill>
              <w14:schemeClr w14:val="tx1"/>
            </w14:solidFill>
          </w14:textFill>
        </w:rPr>
        <w:t>，</w:t>
      </w:r>
      <w:r>
        <w:rPr>
          <w:rFonts w:hint="default" w:ascii="Times New Roman" w:hAnsi="Times New Roman" w:eastAsia="仿宋_GB2312" w:cs="Times New Roman"/>
          <w:bCs/>
          <w:snapToGrid/>
          <w:color w:val="000000"/>
          <w:kern w:val="2"/>
          <w:sz w:val="32"/>
          <w:szCs w:val="32"/>
          <w:lang w:val="en-US" w:eastAsia="zh-CN" w:bidi="ar-SA"/>
        </w:rPr>
        <w:t>持续提升小寨、南门、钟楼、大雁塔、行政中心</w:t>
      </w:r>
      <w:r>
        <w:rPr>
          <w:rFonts w:hint="eastAsia" w:ascii="Times New Roman" w:hAnsi="Times New Roman" w:eastAsia="仿宋_GB2312" w:cs="Times New Roman"/>
          <w:bCs/>
          <w:snapToGrid/>
          <w:color w:val="000000"/>
          <w:kern w:val="2"/>
          <w:sz w:val="32"/>
          <w:szCs w:val="32"/>
          <w:lang w:val="en-US" w:eastAsia="zh-CN" w:bidi="ar-SA"/>
        </w:rPr>
        <w:t>等</w:t>
      </w:r>
      <w:r>
        <w:rPr>
          <w:rFonts w:hint="default" w:ascii="Times New Roman" w:hAnsi="Times New Roman" w:eastAsia="仿宋_GB2312" w:cs="Times New Roman"/>
          <w:bCs/>
          <w:snapToGrid/>
          <w:color w:val="000000"/>
          <w:kern w:val="2"/>
          <w:sz w:val="32"/>
          <w:szCs w:val="32"/>
          <w:lang w:val="en-US" w:eastAsia="zh-CN" w:bidi="ar-SA"/>
        </w:rPr>
        <w:t>全国百强商圈的硬件设施和</w:t>
      </w:r>
      <w:r>
        <w:rPr>
          <w:rFonts w:hint="eastAsia" w:ascii="Times New Roman" w:hAnsi="Times New Roman" w:eastAsia="仿宋_GB2312" w:cs="Times New Roman"/>
          <w:bCs/>
          <w:snapToGrid/>
          <w:color w:val="000000"/>
          <w:kern w:val="2"/>
          <w:sz w:val="32"/>
          <w:szCs w:val="32"/>
          <w:lang w:val="en-US" w:eastAsia="zh-CN" w:bidi="ar-SA"/>
        </w:rPr>
        <w:t>品质服务</w:t>
      </w:r>
      <w:r>
        <w:rPr>
          <w:rFonts w:hint="default" w:ascii="Times New Roman" w:hAnsi="Times New Roman" w:eastAsia="仿宋_GB2312" w:cs="Times New Roman"/>
          <w:bCs/>
          <w:snapToGrid/>
          <w:color w:val="000000"/>
          <w:kern w:val="2"/>
          <w:sz w:val="32"/>
          <w:szCs w:val="32"/>
          <w:lang w:val="en-US" w:eastAsia="zh-CN" w:bidi="ar-SA"/>
        </w:rPr>
        <w:t>，加速</w:t>
      </w:r>
      <w:r>
        <w:rPr>
          <w:rFonts w:hint="eastAsia" w:ascii="Times New Roman" w:hAnsi="Times New Roman" w:eastAsia="仿宋_GB2312" w:cs="Times New Roman"/>
          <w:bCs/>
          <w:snapToGrid/>
          <w:color w:val="000000"/>
          <w:kern w:val="2"/>
          <w:sz w:val="32"/>
          <w:szCs w:val="32"/>
          <w:lang w:val="en-US" w:eastAsia="zh-CN" w:bidi="ar-SA"/>
        </w:rPr>
        <w:t>商贸领域重点</w:t>
      </w:r>
      <w:r>
        <w:rPr>
          <w:rFonts w:hint="default" w:ascii="Times New Roman" w:hAnsi="Times New Roman" w:eastAsia="仿宋_GB2312" w:cs="Times New Roman"/>
          <w:bCs/>
          <w:snapToGrid/>
          <w:color w:val="000000"/>
          <w:kern w:val="2"/>
          <w:sz w:val="32"/>
          <w:szCs w:val="32"/>
          <w:lang w:val="en-US" w:eastAsia="zh-CN" w:bidi="ar-SA"/>
        </w:rPr>
        <w:t>项目建设，</w:t>
      </w:r>
      <w:r>
        <w:rPr>
          <w:rFonts w:hint="eastAsia" w:ascii="Times New Roman" w:hAnsi="Times New Roman" w:eastAsia="仿宋_GB2312" w:cs="Times New Roman"/>
          <w:bCs/>
          <w:snapToGrid/>
          <w:color w:val="000000"/>
          <w:kern w:val="2"/>
          <w:sz w:val="32"/>
          <w:szCs w:val="32"/>
          <w:lang w:val="en-US" w:eastAsia="zh-CN" w:bidi="ar-SA"/>
        </w:rPr>
        <w:t>拓展智慧商圈、智慧街区、智慧门店等消费新空间，加快推进国际化消费环境建设，加速构建现代商贸空间矩阵。</w:t>
      </w:r>
      <w:r>
        <w:rPr>
          <w:rFonts w:hint="default" w:ascii="Times New Roman" w:hAnsi="Times New Roman" w:eastAsia="仿宋_GB2312" w:cs="Times New Roman"/>
          <w:bCs/>
          <w:snapToGrid/>
          <w:color w:val="000000"/>
          <w:kern w:val="2"/>
          <w:sz w:val="32"/>
          <w:szCs w:val="32"/>
          <w:lang w:val="en-US" w:eastAsia="zh-CN" w:bidi="ar-SA"/>
        </w:rPr>
        <w:t>优化升级</w:t>
      </w:r>
      <w:r>
        <w:rPr>
          <w:rFonts w:hint="eastAsia" w:ascii="Times New Roman" w:hAnsi="Times New Roman" w:eastAsia="仿宋_GB2312" w:cs="Times New Roman"/>
          <w:bCs/>
          <w:snapToGrid/>
          <w:color w:val="000000"/>
          <w:kern w:val="2"/>
          <w:sz w:val="32"/>
          <w:szCs w:val="32"/>
          <w:lang w:val="en-US" w:eastAsia="zh-CN" w:bidi="ar-SA"/>
        </w:rPr>
        <w:t>一刻钟</w:t>
      </w:r>
      <w:r>
        <w:rPr>
          <w:rFonts w:hint="default" w:ascii="Times New Roman" w:hAnsi="Times New Roman" w:eastAsia="仿宋_GB2312" w:cs="Times New Roman"/>
          <w:bCs/>
          <w:snapToGrid/>
          <w:color w:val="000000"/>
          <w:kern w:val="2"/>
          <w:sz w:val="32"/>
          <w:szCs w:val="32"/>
          <w:lang w:val="en-US" w:eastAsia="zh-CN" w:bidi="ar-SA"/>
        </w:rPr>
        <w:t>便民生活圈，提升社区商业服务功能。</w:t>
      </w:r>
      <w:r>
        <w:rPr>
          <w:rFonts w:hint="eastAsia" w:ascii="Times New Roman" w:hAnsi="Times New Roman" w:eastAsia="仿宋_GB2312" w:cs="Times New Roman"/>
          <w:bCs/>
          <w:snapToGrid/>
          <w:color w:val="000000"/>
          <w:kern w:val="2"/>
          <w:sz w:val="32"/>
          <w:szCs w:val="32"/>
          <w:lang w:val="en-US" w:eastAsia="zh-CN" w:bidi="ar-SA"/>
        </w:rPr>
        <w:t>引导大型商贸流通企业下沉农村市场布局，焕新升级县域商业设施。</w:t>
      </w:r>
    </w:p>
    <w:p w14:paraId="3AE77485">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eastAsia" w:eastAsia="仿宋_GB2312"/>
          <w:sz w:val="32"/>
          <w:szCs w:val="32"/>
          <w:lang w:eastAsia="zh-CN"/>
        </w:rPr>
      </w:pPr>
      <w:r>
        <w:rPr>
          <w:rFonts w:hint="default" w:ascii="Times New Roman" w:hAnsi="Times New Roman" w:eastAsia="仿宋_GB2312" w:cs="Times New Roman"/>
          <w:b/>
          <w:bCs w:val="0"/>
          <w:snapToGrid/>
          <w:color w:val="000000"/>
          <w:kern w:val="2"/>
          <w:sz w:val="32"/>
          <w:szCs w:val="32"/>
          <w:lang w:val="en-US" w:eastAsia="zh-CN" w:bidi="ar-SA"/>
        </w:rPr>
        <w:t>加快零售业创新发展。</w:t>
      </w:r>
      <w:r>
        <w:rPr>
          <w:rFonts w:hint="eastAsia" w:eastAsia="仿宋_GB2312"/>
          <w:kern w:val="0"/>
          <w:sz w:val="32"/>
          <w:szCs w:val="32"/>
        </w:rPr>
        <w:t>深化国家</w:t>
      </w:r>
      <w:r>
        <w:rPr>
          <w:rFonts w:eastAsia="仿宋_GB2312"/>
          <w:sz w:val="32"/>
          <w:szCs w:val="32"/>
        </w:rPr>
        <w:t>零售业创新提升试点，</w:t>
      </w:r>
      <w:r>
        <w:rPr>
          <w:rFonts w:hint="eastAsia" w:eastAsia="仿宋_GB2312"/>
          <w:sz w:val="32"/>
          <w:szCs w:val="32"/>
          <w:lang w:eastAsia="zh-CN"/>
        </w:rPr>
        <w:t>支持符合条件的线下消费</w:t>
      </w:r>
      <w:r>
        <w:rPr>
          <w:rFonts w:eastAsia="仿宋_GB2312"/>
          <w:sz w:val="32"/>
          <w:szCs w:val="32"/>
        </w:rPr>
        <w:t>商业设施设备更新，推动百货店和购物中心开展“一店一策”场景化改造</w:t>
      </w:r>
      <w:r>
        <w:rPr>
          <w:rFonts w:hint="eastAsia" w:eastAsia="仿宋_GB2312"/>
          <w:sz w:val="32"/>
          <w:szCs w:val="32"/>
          <w:lang w:eastAsia="zh-CN"/>
        </w:rPr>
        <w:t>。</w:t>
      </w:r>
      <w:r>
        <w:rPr>
          <w:rFonts w:hint="default" w:ascii="Times New Roman" w:hAnsi="Times New Roman" w:eastAsia="仿宋_GB2312" w:cs="Times New Roman"/>
          <w:bCs/>
          <w:snapToGrid/>
          <w:color w:val="000000"/>
          <w:kern w:val="2"/>
          <w:sz w:val="32"/>
          <w:szCs w:val="32"/>
          <w:lang w:val="en-US" w:eastAsia="zh-CN" w:bidi="ar-SA"/>
        </w:rPr>
        <w:t>大力发展融合型新零售，打造“零售+”新生态。</w:t>
      </w:r>
      <w:r>
        <w:rPr>
          <w:rFonts w:hint="eastAsia" w:ascii="Times New Roman" w:hAnsi="Times New Roman" w:eastAsia="仿宋_GB2312" w:cs="Times New Roman"/>
          <w:bCs/>
          <w:snapToGrid/>
          <w:color w:val="000000"/>
          <w:kern w:val="2"/>
          <w:sz w:val="32"/>
          <w:szCs w:val="32"/>
          <w:lang w:val="en-US" w:eastAsia="zh-CN" w:bidi="ar-SA"/>
        </w:rPr>
        <w:t>推广线上线下融合的即时零售，</w:t>
      </w:r>
      <w:r>
        <w:rPr>
          <w:rFonts w:hint="eastAsia" w:eastAsia="仿宋_GB2312"/>
          <w:sz w:val="32"/>
          <w:szCs w:val="32"/>
          <w:lang w:eastAsia="zh-CN"/>
        </w:rPr>
        <w:t>积极探索“店仓一体”“预售</w:t>
      </w:r>
      <w:r>
        <w:rPr>
          <w:rFonts w:hint="eastAsia" w:eastAsia="仿宋_GB2312"/>
          <w:sz w:val="32"/>
          <w:szCs w:val="32"/>
          <w:lang w:val="en-US" w:eastAsia="zh-CN"/>
        </w:rPr>
        <w:t>+集采集配</w:t>
      </w:r>
      <w:r>
        <w:rPr>
          <w:rFonts w:hint="eastAsia" w:eastAsia="仿宋_GB2312"/>
          <w:sz w:val="32"/>
          <w:szCs w:val="32"/>
          <w:lang w:eastAsia="zh-CN"/>
        </w:rPr>
        <w:t>”等新模式。加快发展社区微冷仓、前置仓等即时配送业态。提质增效开展消费品以旧换新，持续释放</w:t>
      </w:r>
      <w:r>
        <w:rPr>
          <w:rFonts w:hint="default" w:ascii="Times New Roman" w:hAnsi="Times New Roman" w:eastAsia="仿宋_GB2312" w:cs="Times New Roman"/>
          <w:i w:val="0"/>
          <w:iCs w:val="0"/>
          <w:caps w:val="0"/>
          <w:color w:val="000000" w:themeColor="text1"/>
          <w:spacing w:val="0"/>
          <w:sz w:val="32"/>
          <w:szCs w:val="32"/>
          <w:highlight w:val="none"/>
          <w:shd w:val="clear" w:fill="FFFFFF"/>
          <w14:textFill>
            <w14:solidFill>
              <w14:schemeClr w14:val="tx1"/>
            </w14:solidFill>
          </w14:textFill>
        </w:rPr>
        <w:t>汽车、家电</w:t>
      </w:r>
      <w:r>
        <w:rPr>
          <w:rFonts w:hint="default" w:ascii="Times New Roman" w:hAnsi="Times New Roman" w:eastAsia="仿宋_GB2312" w:cs="Times New Roman"/>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数码和智能产品</w:t>
      </w:r>
      <w:r>
        <w:rPr>
          <w:rFonts w:hint="default" w:ascii="Times New Roman" w:hAnsi="Times New Roman" w:eastAsia="仿宋_GB2312"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等</w:t>
      </w:r>
      <w:r>
        <w:rPr>
          <w:rFonts w:hint="eastAsia" w:ascii="Times New Roman" w:hAnsi="Times New Roman" w:eastAsia="仿宋_GB2312" w:cs="Times New Roman"/>
          <w:i w:val="0"/>
          <w:iCs w:val="0"/>
          <w:caps w:val="0"/>
          <w:color w:val="000000" w:themeColor="text1"/>
          <w:spacing w:val="0"/>
          <w:sz w:val="32"/>
          <w:szCs w:val="32"/>
          <w:highlight w:val="none"/>
          <w:shd w:val="clear" w:fill="FFFFFF"/>
          <w:lang w:val="en-US" w:eastAsia="zh-CN"/>
          <w14:textFill>
            <w14:solidFill>
              <w14:schemeClr w14:val="tx1"/>
            </w14:solidFill>
          </w14:textFill>
        </w:rPr>
        <w:t>消费潜力。</w:t>
      </w:r>
      <w:r>
        <w:rPr>
          <w:rFonts w:hint="eastAsia" w:eastAsia="仿宋_GB2312"/>
          <w:sz w:val="32"/>
          <w:szCs w:val="32"/>
          <w:lang w:eastAsia="zh-CN"/>
        </w:rPr>
        <w:t>发展直播电商、社交电商等业态，实施农村电子商务高质量发展工程。支持零售经营主体数字化改造。</w:t>
      </w:r>
    </w:p>
    <w:p w14:paraId="37ADAC9D">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eastAsia"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提升住宿业发展品质</w:t>
      </w:r>
      <w:r>
        <w:rPr>
          <w:rFonts w:hint="default"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加快</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住宿业特色化发展，</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将秦砖汉瓦、唐鎏关中等元素融入空间设计和服务体验，</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打造文化主题酒店、度假酒店、康养酒店、特色民宿等多元业态，</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推出“唐式早餐+汉服晨拍”增值服务</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发展“住宿+”模式，推动住宿与文娱、旅游、健康、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研学</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等产业融合发展，</w:t>
      </w:r>
      <w:r>
        <w:rPr>
          <w:rFonts w:hint="eastAsia" w:eastAsia="仿宋_GB2312"/>
          <w:kern w:val="0"/>
          <w:sz w:val="32"/>
          <w:szCs w:val="32"/>
          <w:lang w:eastAsia="zh-CN"/>
        </w:rPr>
        <w:t>发展具有历史文化、科技、亲子等元素的住宿新业态</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引导住宿经营主体开展数字化转型，</w:t>
      </w:r>
      <w:r>
        <w:rPr>
          <w:rFonts w:hint="eastAsia" w:eastAsia="仿宋_GB2312"/>
          <w:kern w:val="0"/>
          <w:sz w:val="32"/>
          <w:szCs w:val="32"/>
        </w:rPr>
        <w:t>推动住宿业标准化、连锁化、品牌化发展</w:t>
      </w:r>
      <w:r>
        <w:rPr>
          <w:rFonts w:hint="eastAsia" w:eastAsia="仿宋_GB2312"/>
          <w:kern w:val="0"/>
          <w:sz w:val="32"/>
          <w:szCs w:val="32"/>
          <w:lang w:eastAsia="zh-CN"/>
        </w:rPr>
        <w:t>，</w:t>
      </w:r>
      <w:r>
        <w:rPr>
          <w:rFonts w:eastAsia="仿宋_GB2312"/>
          <w:kern w:val="0"/>
          <w:sz w:val="32"/>
          <w:szCs w:val="32"/>
        </w:rPr>
        <w:t>提升住宿服务品质和涉外服务水平</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Cs/>
          <w:snapToGrid/>
          <w:color w:val="000000"/>
          <w:kern w:val="2"/>
          <w:sz w:val="32"/>
          <w:szCs w:val="32"/>
          <w:lang w:val="en-US" w:eastAsia="zh-CN" w:bidi="ar-SA"/>
        </w:rPr>
        <w:t>在城墙内着力培育古都特色IP主题民宿酒店群</w:t>
      </w:r>
      <w:r>
        <w:rPr>
          <w:rFonts w:hint="eastAsia" w:ascii="Times New Roman" w:hAnsi="Times New Roman" w:eastAsia="仿宋_GB2312" w:cs="Times New Roman"/>
          <w:bCs/>
          <w:snapToGrid/>
          <w:color w:val="000000"/>
          <w:kern w:val="2"/>
          <w:sz w:val="32"/>
          <w:szCs w:val="32"/>
          <w:lang w:val="en-US" w:eastAsia="zh-CN" w:bidi="ar-SA"/>
        </w:rPr>
        <w:t>，围绕</w:t>
      </w:r>
      <w:r>
        <w:rPr>
          <w:rFonts w:hint="default" w:ascii="Times New Roman" w:hAnsi="Times New Roman" w:eastAsia="仿宋_GB2312" w:cs="Times New Roman"/>
          <w:bCs/>
          <w:snapToGrid/>
          <w:color w:val="000000"/>
          <w:kern w:val="2"/>
          <w:sz w:val="32"/>
          <w:szCs w:val="32"/>
          <w:lang w:val="en-US" w:eastAsia="zh-CN" w:bidi="ar-SA"/>
        </w:rPr>
        <w:t>秦岭着力培育生态度假与</w:t>
      </w:r>
      <w:r>
        <w:rPr>
          <w:rFonts w:hint="eastAsia" w:ascii="Times New Roman" w:hAnsi="Times New Roman" w:eastAsia="仿宋_GB2312" w:cs="Times New Roman"/>
          <w:bCs/>
          <w:snapToGrid/>
          <w:color w:val="000000"/>
          <w:kern w:val="2"/>
          <w:sz w:val="32"/>
          <w:szCs w:val="32"/>
          <w:lang w:val="en-US" w:eastAsia="zh-CN" w:bidi="ar-SA"/>
        </w:rPr>
        <w:t>民宿</w:t>
      </w:r>
      <w:r>
        <w:rPr>
          <w:rFonts w:hint="default" w:ascii="Times New Roman" w:hAnsi="Times New Roman" w:eastAsia="仿宋_GB2312" w:cs="Times New Roman"/>
          <w:bCs/>
          <w:snapToGrid/>
          <w:color w:val="000000"/>
          <w:kern w:val="2"/>
          <w:sz w:val="32"/>
          <w:szCs w:val="32"/>
          <w:lang w:val="en-US" w:eastAsia="zh-CN" w:bidi="ar-SA"/>
        </w:rPr>
        <w:t>酒店。</w:t>
      </w:r>
    </w:p>
    <w:p w14:paraId="7651C3F6">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推动餐饮业做强做优</w:t>
      </w:r>
      <w:r>
        <w:rPr>
          <w:rFonts w:hint="default" w:ascii="Times New Roman" w:hAnsi="Times New Roman" w:eastAsia="仿宋_GB2312" w:cs="Times New Roman"/>
          <w:bCs/>
          <w:snapToGrid/>
          <w:color w:val="000000"/>
          <w:kern w:val="2"/>
          <w:sz w:val="32"/>
          <w:szCs w:val="32"/>
          <w:lang w:val="en-US" w:eastAsia="zh-CN" w:bidi="ar-SA"/>
        </w:rPr>
        <w:t>。</w:t>
      </w:r>
      <w:r>
        <w:rPr>
          <w:rFonts w:eastAsia="仿宋_GB2312"/>
          <w:kern w:val="0"/>
          <w:sz w:val="32"/>
          <w:szCs w:val="32"/>
        </w:rPr>
        <w:t>大力培育名菜、名小吃</w:t>
      </w:r>
      <w:r>
        <w:rPr>
          <w:rFonts w:hint="eastAsia" w:eastAsia="仿宋_GB2312"/>
          <w:kern w:val="0"/>
          <w:sz w:val="32"/>
          <w:szCs w:val="32"/>
          <w:lang w:eastAsia="zh-CN"/>
        </w:rPr>
        <w:t>、</w:t>
      </w:r>
      <w:r>
        <w:rPr>
          <w:rFonts w:eastAsia="仿宋_GB2312"/>
          <w:kern w:val="0"/>
          <w:sz w:val="32"/>
          <w:szCs w:val="32"/>
        </w:rPr>
        <w:t>名厨、名店，</w:t>
      </w:r>
      <w:r>
        <w:rPr>
          <w:rFonts w:hint="eastAsia" w:eastAsia="仿宋_GB2312"/>
          <w:kern w:val="0"/>
          <w:sz w:val="32"/>
          <w:szCs w:val="32"/>
        </w:rPr>
        <w:t>积极推出小份产品，</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推动“美食+文旅</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+演艺+观展</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”深度融合，</w:t>
      </w:r>
      <w:r>
        <w:rPr>
          <w:rFonts w:eastAsia="仿宋_GB2312"/>
          <w:kern w:val="0"/>
          <w:sz w:val="32"/>
          <w:szCs w:val="32"/>
        </w:rPr>
        <w:t>打造“美食名镇”“美食街区”等地标，</w:t>
      </w:r>
      <w:r>
        <w:rPr>
          <w:rFonts w:hint="eastAsia" w:eastAsia="仿宋_GB2312"/>
          <w:kern w:val="0"/>
          <w:sz w:val="32"/>
          <w:szCs w:val="32"/>
        </w:rPr>
        <w:t>做实“碳水之都”</w:t>
      </w:r>
      <w:r>
        <w:rPr>
          <w:rFonts w:hint="eastAsia" w:eastAsia="仿宋_GB2312"/>
          <w:kern w:val="0"/>
          <w:sz w:val="32"/>
          <w:szCs w:val="32"/>
          <w:lang w:eastAsia="zh-CN"/>
        </w:rPr>
        <w:t>。</w:t>
      </w:r>
      <w:r>
        <w:rPr>
          <w:rFonts w:eastAsia="仿宋_GB2312"/>
          <w:kern w:val="0"/>
          <w:sz w:val="32"/>
          <w:szCs w:val="32"/>
        </w:rPr>
        <w:t>扶持中小餐饮企业发展，加大中华老字号、</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陕西老字号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eastAsia="仿宋_GB2312"/>
          <w:kern w:val="0"/>
          <w:sz w:val="32"/>
          <w:szCs w:val="32"/>
        </w:rPr>
        <w:t>西安老字号培育力度</w:t>
      </w:r>
      <w:r>
        <w:rPr>
          <w:rFonts w:hint="eastAsia" w:eastAsia="仿宋_GB2312"/>
          <w:kern w:val="0"/>
          <w:sz w:val="32"/>
          <w:szCs w:val="32"/>
          <w:lang w:eastAsia="zh-CN"/>
        </w:rPr>
        <w:t>，</w:t>
      </w:r>
      <w:r>
        <w:rPr>
          <w:rFonts w:hint="default" w:ascii="Times New Roman" w:hAnsi="Times New Roman" w:eastAsia="仿宋_GB2312" w:cs="Times New Roman"/>
          <w:bCs/>
          <w:snapToGrid/>
          <w:color w:val="000000"/>
          <w:kern w:val="2"/>
          <w:sz w:val="32"/>
          <w:szCs w:val="32"/>
          <w:lang w:val="en-US" w:eastAsia="zh-CN" w:bidi="ar-SA"/>
        </w:rPr>
        <w:t>发展泰熙家、池奈、兰湘子、茶话弄、魏斯理等品牌餐饮，</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内培外引中外特色菜系企业和国际知名餐企，开发“丝绸之路美食之旅”“大唐美食寻踪”“钟鼓楼－大雁塔美食走廊”等主题文旅线路，持续办好西安国际美食文化节、陕菜美食文化交流节等品牌活动，</w:t>
      </w:r>
      <w:r>
        <w:rPr>
          <w:rFonts w:eastAsia="仿宋_GB2312"/>
          <w:kern w:val="0"/>
          <w:sz w:val="32"/>
          <w:szCs w:val="32"/>
        </w:rPr>
        <w:t>做强</w:t>
      </w:r>
      <w:r>
        <w:rPr>
          <w:rFonts w:hint="eastAsia" w:eastAsia="仿宋_GB2312"/>
          <w:kern w:val="0"/>
          <w:sz w:val="32"/>
          <w:szCs w:val="32"/>
          <w:lang w:eastAsia="zh-CN"/>
        </w:rPr>
        <w:t>西安</w:t>
      </w:r>
      <w:r>
        <w:rPr>
          <w:rFonts w:eastAsia="仿宋_GB2312"/>
          <w:kern w:val="0"/>
          <w:sz w:val="32"/>
          <w:szCs w:val="32"/>
        </w:rPr>
        <w:t>国际美食之都。</w:t>
      </w:r>
    </w:p>
    <w:p w14:paraId="28618A7D">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42" w:name="_Toc28815"/>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.文旅体娱业</w:t>
      </w:r>
      <w:bookmarkEnd w:id="42"/>
    </w:p>
    <w:p w14:paraId="77121918">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eastAsia" w:ascii="Times New Roman" w:hAnsi="Times New Roman" w:eastAsia="仿宋_GB2312" w:cs="Times New Roman"/>
          <w:bCs/>
          <w:snapToGrid/>
          <w:color w:val="000000"/>
          <w:kern w:val="2"/>
          <w:sz w:val="32"/>
          <w:szCs w:val="32"/>
          <w:lang w:val="en-US" w:eastAsia="zh-CN" w:bidi="ar-SA"/>
        </w:rPr>
        <w:t>加强文化资源挖掘阐释利用，深入推进文商旅体健融合发展，统筹政府与市场、供给与需求、国内和国际，提升产业智能化、绿色化、融合化水平，着力完善现代化产业体系，加快打造旅游枢纽城市，</w:t>
      </w:r>
      <w:r>
        <w:rPr>
          <w:rFonts w:hint="default" w:ascii="Times New Roman" w:hAnsi="Times New Roman" w:eastAsia="仿宋_GB2312" w:cs="Times New Roman"/>
          <w:bCs/>
          <w:snapToGrid/>
          <w:color w:val="000000"/>
          <w:kern w:val="2"/>
          <w:sz w:val="32"/>
          <w:szCs w:val="32"/>
          <w:lang w:val="en-US" w:eastAsia="zh-CN" w:bidi="ar-SA"/>
        </w:rPr>
        <w:t>到2030年，力争文化旅游、演艺娱乐、赛事经济等营业总收入达到3000亿元。</w:t>
      </w:r>
    </w:p>
    <w:p w14:paraId="16ED0348">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楷体" w:cs="Times New Roman"/>
          <w:b/>
          <w:bCs/>
          <w:snapToGrid w:val="0"/>
          <w:color w:val="000000"/>
          <w:kern w:val="0"/>
          <w:sz w:val="32"/>
          <w:szCs w:val="32"/>
          <w:lang w:val="en-US" w:eastAsia="zh-CN" w:bidi="ar-SA"/>
        </w:rPr>
        <w:t>文化服务</w:t>
      </w:r>
      <w:r>
        <w:rPr>
          <w:rFonts w:hint="default" w:ascii="Times New Roman" w:hAnsi="Times New Roman" w:eastAsia="仿宋" w:cs="Times New Roman"/>
          <w:snapToGrid w:val="0"/>
          <w:color w:val="000000"/>
          <w:kern w:val="0"/>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推进历史文化传承与现代创意产业深度融合，着力培育AI+数字内容、演艺经济、次元经济等新业态。依托曲江新区，建设文化产业创新和应用场景集聚区</w:t>
      </w:r>
      <w:r>
        <w:rPr>
          <w:rFonts w:hint="eastAsia"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加快文化产业基地转型升级，推动西安国家文化和科技融合示范基地、数字出版基地、文化出口基地等</w:t>
      </w:r>
      <w:r>
        <w:rPr>
          <w:rFonts w:hint="eastAsia" w:ascii="Times New Roman" w:hAnsi="Times New Roman" w:eastAsia="仿宋_GB2312" w:cs="Times New Roman"/>
          <w:bCs/>
          <w:snapToGrid/>
          <w:color w:val="000000"/>
          <w:kern w:val="2"/>
          <w:sz w:val="32"/>
          <w:szCs w:val="32"/>
          <w:lang w:val="en-US" w:eastAsia="zh-CN" w:bidi="ar-SA"/>
        </w:rPr>
        <w:t>载体产业裂变。</w:t>
      </w:r>
      <w:r>
        <w:rPr>
          <w:rFonts w:hint="default" w:ascii="Times New Roman" w:hAnsi="Times New Roman" w:eastAsia="仿宋_GB2312" w:cs="Times New Roman"/>
          <w:bCs/>
          <w:snapToGrid/>
          <w:color w:val="000000"/>
          <w:kern w:val="2"/>
          <w:sz w:val="32"/>
          <w:szCs w:val="32"/>
          <w:lang w:val="en-US" w:eastAsia="zh-CN" w:bidi="ar-SA"/>
        </w:rPr>
        <w:t>实施“微短剧+”计划，</w:t>
      </w:r>
      <w:r>
        <w:rPr>
          <w:rFonts w:hint="eastAsia" w:ascii="Times New Roman" w:hAnsi="Times New Roman" w:eastAsia="仿宋_GB2312" w:cs="Times New Roman"/>
          <w:bCs/>
          <w:snapToGrid/>
          <w:color w:val="000000"/>
          <w:kern w:val="2"/>
          <w:sz w:val="32"/>
          <w:szCs w:val="32"/>
          <w:lang w:val="en-US" w:eastAsia="zh-CN" w:bidi="ar-SA"/>
        </w:rPr>
        <w:t>聚焦人才、企业、载体、作品和环境等方面，加快实景拍摄剧集与AI数字短剧双轮驱动，打造微短剧产业集聚高地。加速构建具有技术主导权的XR产业链群，着力打造XR电影先锋城市。</w:t>
      </w:r>
      <w:r>
        <w:rPr>
          <w:rFonts w:eastAsia="仿宋_GB2312"/>
          <w:kern w:val="0"/>
          <w:sz w:val="32"/>
          <w:szCs w:val="32"/>
        </w:rPr>
        <w:t>加快唐诗文化创造性转化、创新性发展，打造具有国际影响力的“唐诗之都”。</w:t>
      </w:r>
    </w:p>
    <w:p w14:paraId="0D14BA60">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eastAsia" w:ascii="Times New Roman" w:hAnsi="Times New Roman" w:eastAsia="仿宋_GB2312" w:cs="Times New Roman"/>
          <w:bCs/>
          <w:snapToGrid/>
          <w:color w:val="000000"/>
          <w:kern w:val="2"/>
          <w:sz w:val="32"/>
          <w:szCs w:val="32"/>
          <w:lang w:val="en-US" w:eastAsia="zh-CN" w:bidi="ar-SA"/>
        </w:rPr>
      </w:pPr>
      <w:r>
        <w:rPr>
          <w:rFonts w:hint="eastAsia" w:ascii="Times New Roman" w:hAnsi="Times New Roman" w:eastAsia="楷体" w:cs="Times New Roman"/>
          <w:b/>
          <w:bCs/>
          <w:snapToGrid w:val="0"/>
          <w:color w:val="000000"/>
          <w:kern w:val="0"/>
          <w:sz w:val="32"/>
          <w:szCs w:val="32"/>
          <w:lang w:val="en-US" w:eastAsia="zh-CN" w:bidi="ar-SA"/>
        </w:rPr>
        <w:t>旅游服务。</w:t>
      </w:r>
      <w:r>
        <w:rPr>
          <w:rFonts w:eastAsia="仿宋_GB2312"/>
          <w:kern w:val="0"/>
          <w:sz w:val="32"/>
          <w:szCs w:val="32"/>
        </w:rPr>
        <w:t>加快完善汉服全产业链，做优沉浸式“汉服体验游”，打造汉服妆造产业集聚区，</w:t>
      </w:r>
      <w:r>
        <w:rPr>
          <w:rFonts w:hint="eastAsia" w:eastAsia="仿宋_GB2312"/>
          <w:kern w:val="0"/>
          <w:sz w:val="32"/>
          <w:szCs w:val="32"/>
          <w:lang w:eastAsia="zh-CN"/>
        </w:rPr>
        <w:t>加快</w:t>
      </w:r>
      <w:r>
        <w:rPr>
          <w:rFonts w:eastAsia="仿宋_GB2312"/>
          <w:kern w:val="0"/>
          <w:sz w:val="32"/>
          <w:szCs w:val="32"/>
        </w:rPr>
        <w:t>“汉服之都”建设。发放“畅游西安”消费券</w:t>
      </w:r>
      <w:r>
        <w:rPr>
          <w:rFonts w:eastAsia="仿宋_GB2312"/>
          <w:sz w:val="32"/>
          <w:szCs w:val="32"/>
        </w:rPr>
        <w:t>，激活本地游市场。</w:t>
      </w:r>
      <w:r>
        <w:rPr>
          <w:rFonts w:eastAsia="仿宋_GB2312"/>
          <w:kern w:val="0"/>
          <w:sz w:val="32"/>
          <w:szCs w:val="32"/>
        </w:rPr>
        <w:t>高水平举办大型演唱会、音乐节、影视节等活动，放大“长恨歌”“驼铃传奇”“赳赳大秦”等品牌效应，推进“西安演艺”“博物馆之城”建设，</w:t>
      </w:r>
      <w:r>
        <w:rPr>
          <w:rFonts w:eastAsia="仿宋_GB2312"/>
          <w:sz w:val="32"/>
          <w:szCs w:val="32"/>
        </w:rPr>
        <w:t>鼓励兵马俑、陕历博等景区延长开放时间。</w:t>
      </w:r>
      <w:r>
        <w:rPr>
          <w:rFonts w:hint="eastAsia" w:ascii="Times New Roman" w:hAnsi="Times New Roman" w:eastAsia="仿宋_GB2312" w:cs="Times New Roman"/>
          <w:bCs/>
          <w:snapToGrid/>
          <w:color w:val="000000"/>
          <w:kern w:val="2"/>
          <w:sz w:val="32"/>
          <w:szCs w:val="32"/>
          <w:lang w:val="en-US" w:eastAsia="zh-CN" w:bidi="ar-SA"/>
        </w:rPr>
        <w:t>聚焦“三河一山”等重点区域，打造高品质房车露营基地。</w:t>
      </w:r>
      <w:bookmarkStart w:id="43" w:name="OLE_LINK7"/>
      <w:bookmarkStart w:id="44" w:name="OLE_LINK5"/>
      <w:r>
        <w:rPr>
          <w:rFonts w:eastAsia="仿宋_GB2312"/>
          <w:sz w:val="32"/>
          <w:szCs w:val="32"/>
        </w:rPr>
        <w:t>开展西安文旅全球精准化推广</w:t>
      </w:r>
      <w:r>
        <w:rPr>
          <w:rFonts w:hint="eastAsia" w:eastAsia="仿宋_GB2312"/>
          <w:sz w:val="32"/>
          <w:szCs w:val="32"/>
          <w:lang w:eastAsia="zh-CN"/>
        </w:rPr>
        <w:t>。</w:t>
      </w:r>
      <w:r>
        <w:rPr>
          <w:rFonts w:eastAsia="仿宋_GB2312"/>
          <w:sz w:val="32"/>
          <w:szCs w:val="32"/>
        </w:rPr>
        <w:t>常态化开行中国—中亚国际人文旅游班列</w:t>
      </w:r>
      <w:bookmarkEnd w:id="43"/>
      <w:bookmarkEnd w:id="44"/>
      <w:r>
        <w:rPr>
          <w:rFonts w:eastAsia="仿宋_GB2312"/>
          <w:sz w:val="32"/>
          <w:szCs w:val="32"/>
        </w:rPr>
        <w:t>，打造一批精品旅游线路。</w:t>
      </w:r>
      <w:r>
        <w:rPr>
          <w:rFonts w:hint="eastAsia" w:ascii="Times New Roman" w:hAnsi="Times New Roman" w:eastAsia="仿宋_GB2312" w:cs="Times New Roman"/>
          <w:bCs/>
          <w:snapToGrid/>
          <w:color w:val="000000"/>
          <w:kern w:val="2"/>
          <w:sz w:val="32"/>
          <w:szCs w:val="32"/>
          <w:lang w:val="en-US" w:eastAsia="zh-CN" w:bidi="ar-SA"/>
        </w:rPr>
        <w:t>推进国际化消费环境建设试点，完善入境旅游全链条便利化措施，</w:t>
      </w:r>
      <w:r>
        <w:rPr>
          <w:rFonts w:hint="eastAsia" w:eastAsia="仿宋_GB2312"/>
          <w:sz w:val="32"/>
          <w:szCs w:val="32"/>
        </w:rPr>
        <w:t>优化提升离境退税服务水平</w:t>
      </w:r>
      <w:r>
        <w:rPr>
          <w:rFonts w:hint="eastAsia" w:ascii="Times New Roman" w:hAnsi="Times New Roman" w:eastAsia="仿宋_GB2312" w:cs="Times New Roman"/>
          <w:bCs/>
          <w:snapToGrid/>
          <w:color w:val="000000"/>
          <w:kern w:val="2"/>
          <w:sz w:val="32"/>
          <w:szCs w:val="32"/>
          <w:lang w:val="en-US" w:eastAsia="zh-CN" w:bidi="ar-SA"/>
        </w:rPr>
        <w:t>，将西安培育成入境旅游重点城市。</w:t>
      </w:r>
    </w:p>
    <w:p w14:paraId="3AA9AC53">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eastAsia" w:ascii="Times New Roman" w:hAnsi="Times New Roman" w:eastAsia="仿宋_GB2312" w:cs="Times New Roman"/>
          <w:b/>
          <w:bCs w:val="0"/>
          <w:snapToGrid/>
          <w:color w:val="000000"/>
          <w:kern w:val="2"/>
          <w:sz w:val="32"/>
          <w:szCs w:val="32"/>
          <w:lang w:val="en-US" w:eastAsia="zh-CN" w:bidi="ar-SA"/>
        </w:rPr>
        <w:t>体育健身服务</w:t>
      </w:r>
      <w:r>
        <w:rPr>
          <w:rFonts w:hint="eastAsia" w:ascii="Times New Roman" w:hAnsi="Times New Roman" w:eastAsia="仿宋_GB2312" w:cs="Times New Roman"/>
          <w:bCs/>
          <w:snapToGrid/>
          <w:color w:val="000000"/>
          <w:kern w:val="2"/>
          <w:sz w:val="32"/>
          <w:szCs w:val="32"/>
          <w:lang w:val="en-US" w:eastAsia="zh-CN" w:bidi="ar-SA"/>
        </w:rPr>
        <w:t>。推进全民健身设施补短板行动，优化健身设施布局，打造多功能健身绿道体系，广发开展全民健身运动。依托户外运动优势资源，重点发展水上运动、冰雪、自行车等户外项目。推动赛事活动进景区、进街区、进商圈，加快赛事经济高品质发展。支持商业综合体、景区、商圈、街区等引入体育健身业态，培育智能化、定制化、体验式体育消费新模式。</w:t>
      </w:r>
      <w:r>
        <w:rPr>
          <w:rFonts w:hint="default" w:ascii="Times New Roman" w:hAnsi="Times New Roman" w:eastAsia="仿宋_GB2312" w:cs="Times New Roman"/>
          <w:bCs/>
          <w:snapToGrid/>
          <w:color w:val="000000"/>
          <w:kern w:val="2"/>
          <w:sz w:val="32"/>
          <w:szCs w:val="32"/>
          <w:lang w:val="en-US" w:eastAsia="zh-CN" w:bidi="ar-SA"/>
        </w:rPr>
        <w:t>用好</w:t>
      </w:r>
      <w:r>
        <w:rPr>
          <w:rFonts w:hint="eastAsia" w:ascii="Times New Roman" w:hAnsi="Times New Roman" w:eastAsia="仿宋_GB2312" w:cs="Times New Roman"/>
          <w:bCs/>
          <w:snapToGrid/>
          <w:color w:val="000000"/>
          <w:kern w:val="2"/>
          <w:sz w:val="32"/>
          <w:szCs w:val="32"/>
          <w:lang w:val="en-US" w:eastAsia="zh-CN" w:bidi="ar-SA"/>
        </w:rPr>
        <w:t>各类体育</w:t>
      </w:r>
      <w:r>
        <w:rPr>
          <w:rFonts w:hint="default" w:ascii="Times New Roman" w:hAnsi="Times New Roman" w:eastAsia="仿宋_GB2312" w:cs="Times New Roman"/>
          <w:bCs/>
          <w:snapToGrid/>
          <w:color w:val="000000"/>
          <w:kern w:val="2"/>
          <w:sz w:val="32"/>
          <w:szCs w:val="32"/>
          <w:lang w:val="en-US" w:eastAsia="zh-CN" w:bidi="ar-SA"/>
        </w:rPr>
        <w:t>场馆，举办承办各类体育赛事，</w:t>
      </w:r>
      <w:r>
        <w:rPr>
          <w:rFonts w:hint="eastAsia" w:ascii="Times New Roman" w:hAnsi="Times New Roman" w:eastAsia="仿宋_GB2312" w:cs="Times New Roman"/>
          <w:bCs/>
          <w:snapToGrid/>
          <w:color w:val="000000"/>
          <w:kern w:val="2"/>
          <w:sz w:val="32"/>
          <w:szCs w:val="32"/>
          <w:lang w:val="en-US" w:eastAsia="zh-CN" w:bidi="ar-SA"/>
        </w:rPr>
        <w:t>持续打造自主赛事品牌，</w:t>
      </w:r>
      <w:r>
        <w:rPr>
          <w:rFonts w:hint="default" w:ascii="Times New Roman" w:hAnsi="Times New Roman" w:eastAsia="仿宋_GB2312" w:cs="Times New Roman"/>
          <w:bCs/>
          <w:snapToGrid/>
          <w:color w:val="000000"/>
          <w:kern w:val="2"/>
          <w:sz w:val="32"/>
          <w:szCs w:val="32"/>
          <w:lang w:val="en-US" w:eastAsia="zh-CN" w:bidi="ar-SA"/>
        </w:rPr>
        <w:t>打造世界赛事名城。</w:t>
      </w:r>
    </w:p>
    <w:p w14:paraId="6F370D69">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eastAsia" w:ascii="Times New Roman" w:hAnsi="Times New Roman" w:eastAsia="仿宋_GB2312" w:cs="Times New Roman"/>
          <w:b/>
          <w:bCs w:val="0"/>
          <w:snapToGrid/>
          <w:color w:val="000000"/>
          <w:kern w:val="2"/>
          <w:sz w:val="32"/>
          <w:szCs w:val="32"/>
          <w:lang w:val="en-US" w:eastAsia="zh-CN" w:bidi="ar-SA"/>
        </w:rPr>
        <w:t>多业态融合发展。</w:t>
      </w:r>
      <w:r>
        <w:rPr>
          <w:rFonts w:hint="eastAsia" w:ascii="Times New Roman" w:hAnsi="Times New Roman" w:eastAsia="仿宋_GB2312" w:cs="Times New Roman"/>
          <w:bCs/>
          <w:snapToGrid/>
          <w:color w:val="000000"/>
          <w:kern w:val="2"/>
          <w:sz w:val="32"/>
          <w:szCs w:val="32"/>
          <w:lang w:val="en-US" w:eastAsia="zh-CN" w:bidi="ar-SA"/>
        </w:rPr>
        <w:t>推动文旅与一二三产业跨界联动，积极培育农业旅游、工业旅游、体育旅游、康养旅游等融合业态，有效延伸产业链、创造新价值，培新新的增长点，加快建设文旅服务特色集聚区。打破传统产业壁垒，构建文商旅体复合型产业生态，鼓励商业街区、商圈、旅游景区等引入非遗体验、文创市集、演艺、特色餐饮等场景，推动赛事票根联动景区参观、餐饮消费、商业购物等，释放文旅消费乘数效应，形成多业态协同发展格局。推动文化精品轻量化，让艺术展览、小型演出、体育健身等更好走进商圈、社区，升级城市空间的场景复合利用水平。</w:t>
      </w:r>
    </w:p>
    <w:tbl>
      <w:tblPr>
        <w:tblStyle w:val="19"/>
        <w:tblW w:w="8322" w:type="dxa"/>
        <w:jc w:val="center"/>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22"/>
      </w:tblGrid>
      <w:tr w14:paraId="0C873CA1">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322"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0C304867">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spacing w:before="0" w:beforeAutospacing="0" w:after="0" w:afterAutospacing="0" w:line="26" w:lineRule="atLeast"/>
              <w:ind w:left="0" w:right="0"/>
              <w:jc w:val="center"/>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b/>
                <w:bCs/>
                <w:sz w:val="30"/>
                <w:szCs w:val="30"/>
                <w:lang w:val="en-US" w:eastAsia="zh-CN"/>
              </w:rPr>
              <w:t>专栏</w:t>
            </w:r>
            <w:r>
              <w:rPr>
                <w:rFonts w:hint="eastAsia" w:ascii="Times New Roman" w:hAnsi="Times New Roman" w:eastAsia="仿宋_GB2312" w:cs="Times New Roman"/>
                <w:b/>
                <w:bCs/>
                <w:sz w:val="30"/>
                <w:szCs w:val="30"/>
                <w:lang w:val="en-US" w:eastAsia="zh-CN"/>
              </w:rPr>
              <w:t>7</w:t>
            </w:r>
            <w:r>
              <w:rPr>
                <w:rFonts w:hint="default" w:ascii="Times New Roman" w:hAnsi="Times New Roman" w:eastAsia="仿宋_GB2312" w:cs="Times New Roman"/>
                <w:b/>
                <w:bCs/>
                <w:sz w:val="30"/>
                <w:szCs w:val="30"/>
                <w:lang w:val="en-US" w:eastAsia="zh-CN"/>
              </w:rPr>
              <w:t xml:space="preserve"> 文旅服务特色集聚区发展方向</w:t>
            </w:r>
          </w:p>
        </w:tc>
      </w:tr>
      <w:tr w14:paraId="548655B1">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322"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327A54F4">
            <w:pPr>
              <w:keepNext/>
              <w:keepLines w:val="0"/>
              <w:pageBreakBefore w:val="0"/>
              <w:widowControl w:val="0"/>
              <w:numPr>
                <w:ilvl w:val="0"/>
                <w:numId w:val="0"/>
              </w:numPr>
              <w:kinsoku/>
              <w:wordWrap/>
              <w:overflowPunct w:val="0"/>
              <w:topLinePunct w:val="0"/>
              <w:autoSpaceDE/>
              <w:autoSpaceDN/>
              <w:bidi w:val="0"/>
              <w:adjustRightInd/>
              <w:snapToGrid/>
              <w:spacing w:line="288" w:lineRule="auto"/>
              <w:ind w:firstLine="482" w:firstLineChars="200"/>
              <w:jc w:val="both"/>
              <w:textAlignment w:val="auto"/>
              <w:rPr>
                <w:rFonts w:hint="default" w:ascii="Times New Roman" w:hAnsi="Times New Roman" w:eastAsia="仿宋_GB2312" w:cs="Times New Roman"/>
                <w:i w:val="0"/>
                <w:iCs w:val="0"/>
                <w:caps w:val="0"/>
                <w:snapToGrid w:val="0"/>
                <w:color w:val="333333"/>
                <w:spacing w:val="0"/>
                <w:kern w:val="0"/>
                <w:sz w:val="24"/>
                <w:szCs w:val="24"/>
                <w:lang w:val="en-US" w:eastAsia="zh-CN" w:bidi="ar"/>
              </w:rPr>
            </w:pP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1.秦岭文脉</w:t>
            </w:r>
            <w:r>
              <w:rPr>
                <w:rFonts w:hint="eastAsia" w:ascii="Times New Roman" w:hAnsi="Times New Roman" w:eastAsia="仿宋_GB2312" w:cs="Times New Roman"/>
                <w:b/>
                <w:bCs/>
                <w:i w:val="0"/>
                <w:iCs w:val="0"/>
                <w:caps w:val="0"/>
                <w:snapToGrid w:val="0"/>
                <w:color w:val="333333"/>
                <w:spacing w:val="0"/>
                <w:kern w:val="0"/>
                <w:sz w:val="24"/>
                <w:szCs w:val="24"/>
                <w:lang w:val="en-US" w:eastAsia="zh-CN" w:bidi="ar"/>
              </w:rPr>
              <w:t>集聚</w:t>
            </w: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区。</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依托秦岭北麓临潼秦唐历史文化、蓝田史前历史文化、辋川民俗与诗词文化、葛牌红色革命文化、终南民俗文化、鄠邑人文艺术、楼观传统文化，拓展文化研学、非遗体验、户外探险、休闲康养、农事体验等新业态，打造生态文化休闲旅游</w:t>
            </w:r>
            <w:r>
              <w:rPr>
                <w:rFonts w:hint="eastAsia" w:ascii="Times New Roman" w:hAnsi="Times New Roman" w:eastAsia="仿宋_GB2312" w:cs="Times New Roman"/>
                <w:i w:val="0"/>
                <w:iCs w:val="0"/>
                <w:caps w:val="0"/>
                <w:snapToGrid w:val="0"/>
                <w:color w:val="333333"/>
                <w:spacing w:val="0"/>
                <w:kern w:val="0"/>
                <w:sz w:val="24"/>
                <w:szCs w:val="24"/>
                <w:lang w:val="en-US" w:eastAsia="zh-CN" w:bidi="ar"/>
              </w:rPr>
              <w:t>集聚区</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，培育一批文化和旅游“金名片”、乡村旅游集群和全国乡村旅游重点村。</w:t>
            </w:r>
          </w:p>
          <w:p w14:paraId="01BD0C2C">
            <w:pPr>
              <w:keepNext/>
              <w:keepLines w:val="0"/>
              <w:pageBreakBefore w:val="0"/>
              <w:widowControl w:val="0"/>
              <w:numPr>
                <w:ilvl w:val="0"/>
                <w:numId w:val="0"/>
              </w:numPr>
              <w:kinsoku/>
              <w:wordWrap/>
              <w:overflowPunct w:val="0"/>
              <w:topLinePunct w:val="0"/>
              <w:autoSpaceDE/>
              <w:autoSpaceDN/>
              <w:bidi w:val="0"/>
              <w:adjustRightInd/>
              <w:snapToGrid/>
              <w:spacing w:line="288" w:lineRule="auto"/>
              <w:ind w:firstLine="482" w:firstLineChars="200"/>
              <w:jc w:val="both"/>
              <w:textAlignment w:val="auto"/>
              <w:rPr>
                <w:rFonts w:hint="default" w:ascii="Times New Roman" w:hAnsi="Times New Roman" w:eastAsia="仿宋_GB2312" w:cs="Times New Roman"/>
                <w:i w:val="0"/>
                <w:iCs w:val="0"/>
                <w:caps w:val="0"/>
                <w:snapToGrid w:val="0"/>
                <w:color w:val="333333"/>
                <w:spacing w:val="0"/>
                <w:kern w:val="0"/>
                <w:sz w:val="24"/>
                <w:szCs w:val="24"/>
                <w:lang w:val="en-US" w:eastAsia="zh-CN" w:bidi="ar"/>
              </w:rPr>
            </w:pP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2.渭河生态</w:t>
            </w:r>
            <w:r>
              <w:rPr>
                <w:rFonts w:hint="eastAsia" w:ascii="Times New Roman" w:hAnsi="Times New Roman" w:eastAsia="仿宋_GB2312" w:cs="Times New Roman"/>
                <w:b/>
                <w:bCs/>
                <w:i w:val="0"/>
                <w:iCs w:val="0"/>
                <w:caps w:val="0"/>
                <w:snapToGrid w:val="0"/>
                <w:color w:val="333333"/>
                <w:spacing w:val="0"/>
                <w:kern w:val="0"/>
                <w:sz w:val="24"/>
                <w:szCs w:val="24"/>
                <w:lang w:val="en-US" w:eastAsia="zh-CN" w:bidi="ar"/>
              </w:rPr>
              <w:t>集聚区</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。串联流域人文历史与自然生态资源，重点发展城市滨水休闲游，着力培育沿渭生态旅游线路和产品，</w:t>
            </w:r>
            <w:r>
              <w:rPr>
                <w:rFonts w:hint="eastAsia" w:ascii="Times New Roman" w:hAnsi="Times New Roman" w:eastAsia="仿宋_GB2312" w:cs="Times New Roman"/>
                <w:i w:val="0"/>
                <w:iCs w:val="0"/>
                <w:caps w:val="0"/>
                <w:snapToGrid w:val="0"/>
                <w:color w:val="333333"/>
                <w:spacing w:val="0"/>
                <w:kern w:val="0"/>
                <w:sz w:val="24"/>
                <w:szCs w:val="24"/>
                <w:lang w:val="en-US" w:eastAsia="zh-CN" w:bidi="ar"/>
              </w:rPr>
              <w:t>丰富</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河畔体验、星空露营、</w:t>
            </w:r>
            <w:r>
              <w:rPr>
                <w:rFonts w:hint="eastAsia" w:ascii="Times New Roman" w:hAnsi="Times New Roman" w:eastAsia="仿宋_GB2312" w:cs="Times New Roman"/>
                <w:i w:val="0"/>
                <w:iCs w:val="0"/>
                <w:caps w:val="0"/>
                <w:snapToGrid w:val="0"/>
                <w:color w:val="333333"/>
                <w:spacing w:val="0"/>
                <w:kern w:val="0"/>
                <w:sz w:val="24"/>
                <w:szCs w:val="24"/>
                <w:lang w:val="en-US" w:eastAsia="zh-CN" w:bidi="ar"/>
              </w:rPr>
              <w:t>休闲垂钓</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‌、童趣IP乐园等</w:t>
            </w:r>
            <w:r>
              <w:rPr>
                <w:rFonts w:hint="eastAsia" w:ascii="Times New Roman" w:hAnsi="Times New Roman" w:eastAsia="仿宋_GB2312" w:cs="Times New Roman"/>
                <w:i w:val="0"/>
                <w:iCs w:val="0"/>
                <w:caps w:val="0"/>
                <w:snapToGrid w:val="0"/>
                <w:color w:val="333333"/>
                <w:spacing w:val="0"/>
                <w:kern w:val="0"/>
                <w:sz w:val="24"/>
                <w:szCs w:val="24"/>
                <w:lang w:val="en-US" w:eastAsia="zh-CN" w:bidi="ar"/>
              </w:rPr>
              <w:t>业态</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w:t>
            </w:r>
            <w:r>
              <w:rPr>
                <w:rFonts w:hint="eastAsia" w:ascii="Times New Roman" w:hAnsi="Times New Roman" w:eastAsia="仿宋_GB2312" w:cs="Times New Roman"/>
                <w:i w:val="0"/>
                <w:iCs w:val="0"/>
                <w:caps w:val="0"/>
                <w:snapToGrid w:val="0"/>
                <w:color w:val="333333"/>
                <w:spacing w:val="0"/>
                <w:kern w:val="0"/>
                <w:sz w:val="24"/>
                <w:szCs w:val="24"/>
                <w:lang w:val="en-US" w:eastAsia="zh-CN" w:bidi="ar"/>
              </w:rPr>
              <w:t>拓展</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夜游消费、文创体验等新场景，构建历史与自然相融的沉浸式游览区。</w:t>
            </w:r>
          </w:p>
          <w:p w14:paraId="1982A8B3">
            <w:pPr>
              <w:keepNext/>
              <w:keepLines w:val="0"/>
              <w:pageBreakBefore w:val="0"/>
              <w:widowControl w:val="0"/>
              <w:kinsoku/>
              <w:wordWrap/>
              <w:overflowPunct w:val="0"/>
              <w:topLinePunct w:val="0"/>
              <w:autoSpaceDE/>
              <w:autoSpaceDN/>
              <w:bidi w:val="0"/>
              <w:adjustRightInd/>
              <w:snapToGrid/>
              <w:spacing w:line="288" w:lineRule="auto"/>
              <w:ind w:firstLine="482" w:firstLineChars="200"/>
              <w:jc w:val="both"/>
              <w:textAlignment w:val="auto"/>
              <w:rPr>
                <w:rFonts w:hint="default" w:ascii="Times New Roman" w:hAnsi="Times New Roman" w:eastAsia="仿宋_GB2312" w:cs="Times New Roman"/>
                <w:i w:val="0"/>
                <w:iCs w:val="0"/>
                <w:caps w:val="0"/>
                <w:snapToGrid w:val="0"/>
                <w:color w:val="333333"/>
                <w:spacing w:val="0"/>
                <w:kern w:val="0"/>
                <w:sz w:val="24"/>
                <w:szCs w:val="24"/>
                <w:lang w:val="en-US" w:eastAsia="zh-CN" w:bidi="ar"/>
              </w:rPr>
            </w:pPr>
            <w:r>
              <w:rPr>
                <w:rFonts w:hint="eastAsia" w:ascii="Times New Roman" w:hAnsi="Times New Roman" w:eastAsia="仿宋_GB2312" w:cs="Times New Roman"/>
                <w:b/>
                <w:bCs/>
                <w:i w:val="0"/>
                <w:iCs w:val="0"/>
                <w:caps w:val="0"/>
                <w:snapToGrid w:val="0"/>
                <w:color w:val="333333"/>
                <w:spacing w:val="0"/>
                <w:kern w:val="0"/>
                <w:sz w:val="24"/>
                <w:szCs w:val="24"/>
                <w:lang w:val="en-US" w:eastAsia="zh-CN" w:bidi="ar"/>
              </w:rPr>
              <w:t>3</w:t>
            </w: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.工业文旅创新区</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聚焦“工业遗产活化+先进制造体验”双轮驱动，推出智能工厂、食品工坊等精品一日游线路，加快建设风雷年代影视基地，规划建设阎良沉浸式航空体验、纺织城工业遗产活化、幸福路兵器工业博览体验等工业文旅项目，让工业文化融入城市生活‌，带动新的体验式消费。</w:t>
            </w:r>
          </w:p>
          <w:p w14:paraId="383D9E63">
            <w:pPr>
              <w:keepNext/>
              <w:keepLines w:val="0"/>
              <w:pageBreakBefore w:val="0"/>
              <w:widowControl w:val="0"/>
              <w:kinsoku/>
              <w:wordWrap/>
              <w:overflowPunct w:val="0"/>
              <w:topLinePunct w:val="0"/>
              <w:autoSpaceDE/>
              <w:autoSpaceDN/>
              <w:bidi w:val="0"/>
              <w:adjustRightInd/>
              <w:snapToGrid/>
              <w:spacing w:line="288" w:lineRule="auto"/>
              <w:ind w:firstLine="482" w:firstLineChars="200"/>
              <w:jc w:val="both"/>
              <w:textAlignment w:val="auto"/>
              <w:rPr>
                <w:rFonts w:hint="eastAsia" w:ascii="Times New Roman" w:hAnsi="Times New Roman" w:eastAsia="仿宋_GB2312" w:cs="Times New Roman"/>
                <w:i w:val="0"/>
                <w:iCs w:val="0"/>
                <w:caps w:val="0"/>
                <w:snapToGrid w:val="0"/>
                <w:color w:val="333333"/>
                <w:spacing w:val="0"/>
                <w:kern w:val="0"/>
                <w:sz w:val="24"/>
                <w:szCs w:val="24"/>
                <w:lang w:val="en-US" w:eastAsia="zh-CN" w:bidi="ar"/>
              </w:rPr>
            </w:pPr>
            <w:r>
              <w:rPr>
                <w:rFonts w:hint="eastAsia" w:ascii="Times New Roman" w:hAnsi="Times New Roman" w:eastAsia="仿宋_GB2312" w:cs="Times New Roman"/>
                <w:b/>
                <w:bCs/>
                <w:i w:val="0"/>
                <w:iCs w:val="0"/>
                <w:caps w:val="0"/>
                <w:snapToGrid w:val="0"/>
                <w:color w:val="333333"/>
                <w:spacing w:val="0"/>
                <w:kern w:val="0"/>
                <w:sz w:val="24"/>
                <w:szCs w:val="24"/>
                <w:lang w:val="en-US" w:eastAsia="zh-CN" w:bidi="ar"/>
              </w:rPr>
              <w:t>4</w:t>
            </w: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w:t>
            </w:r>
            <w:r>
              <w:rPr>
                <w:rFonts w:hint="eastAsia" w:ascii="Times New Roman" w:hAnsi="Times New Roman" w:eastAsia="仿宋_GB2312" w:cs="Times New Roman"/>
                <w:b/>
                <w:bCs/>
                <w:i w:val="0"/>
                <w:iCs w:val="0"/>
                <w:caps w:val="0"/>
                <w:snapToGrid w:val="0"/>
                <w:color w:val="333333"/>
                <w:spacing w:val="0"/>
                <w:kern w:val="0"/>
                <w:sz w:val="24"/>
                <w:szCs w:val="24"/>
                <w:lang w:val="en-US" w:eastAsia="zh-CN" w:bidi="ar"/>
              </w:rPr>
              <w:t>大型活动承载</w:t>
            </w: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区</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。依托浐灞国际港</w:t>
            </w:r>
            <w:r>
              <w:rPr>
                <w:rFonts w:hint="eastAsia" w:ascii="Times New Roman" w:hAnsi="Times New Roman" w:eastAsia="仿宋_GB2312" w:cs="Times New Roman"/>
                <w:i w:val="0"/>
                <w:iCs w:val="0"/>
                <w:caps w:val="0"/>
                <w:snapToGrid w:val="0"/>
                <w:color w:val="333333"/>
                <w:spacing w:val="0"/>
                <w:kern w:val="0"/>
                <w:sz w:val="24"/>
                <w:szCs w:val="24"/>
                <w:lang w:val="en-US" w:eastAsia="zh-CN" w:bidi="ar"/>
              </w:rPr>
              <w:t>对外开放平台优势，以西安奥体中心、西安国际会议中心、西安国际会展中心等优势场馆资源为牵引，以“优质演艺+高水平赛事+高规格会议会展”为核心，打造以演艺、赛事、会议、会展为鲜明风向标的服务业新增长点。挖掘“一带一路”系列会展会议资源，办好丝博会、</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欧亚经济论坛等重大活动</w:t>
            </w:r>
            <w:r>
              <w:rPr>
                <w:rFonts w:hint="eastAsia" w:ascii="Times New Roman" w:hAnsi="Times New Roman" w:eastAsia="仿宋_GB2312" w:cs="Times New Roman"/>
                <w:i w:val="0"/>
                <w:iCs w:val="0"/>
                <w:caps w:val="0"/>
                <w:snapToGrid w:val="0"/>
                <w:color w:val="333333"/>
                <w:spacing w:val="0"/>
                <w:kern w:val="0"/>
                <w:sz w:val="24"/>
                <w:szCs w:val="24"/>
                <w:lang w:val="en-US" w:eastAsia="zh-CN" w:bidi="ar"/>
              </w:rPr>
              <w:t>，</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举办丝路历史特色演艺项目，</w:t>
            </w:r>
            <w:r>
              <w:rPr>
                <w:rFonts w:hint="eastAsia" w:ascii="Times New Roman" w:hAnsi="Times New Roman" w:eastAsia="仿宋_GB2312" w:cs="Times New Roman"/>
                <w:i w:val="0"/>
                <w:iCs w:val="0"/>
                <w:caps w:val="0"/>
                <w:snapToGrid w:val="0"/>
                <w:color w:val="333333"/>
                <w:spacing w:val="0"/>
                <w:kern w:val="0"/>
                <w:sz w:val="24"/>
                <w:szCs w:val="24"/>
                <w:lang w:val="en-US" w:eastAsia="zh-CN" w:bidi="ar"/>
              </w:rPr>
              <w:t>完善文旅展会交流动线。</w:t>
            </w:r>
          </w:p>
          <w:p w14:paraId="17B46F20">
            <w:pPr>
              <w:keepNext/>
              <w:keepLines w:val="0"/>
              <w:pageBreakBefore w:val="0"/>
              <w:widowControl w:val="0"/>
              <w:kinsoku/>
              <w:wordWrap/>
              <w:overflowPunct w:val="0"/>
              <w:topLinePunct w:val="0"/>
              <w:autoSpaceDE/>
              <w:autoSpaceDN/>
              <w:bidi w:val="0"/>
              <w:adjustRightInd/>
              <w:snapToGrid/>
              <w:spacing w:line="288" w:lineRule="auto"/>
              <w:ind w:firstLine="482" w:firstLineChars="200"/>
              <w:jc w:val="both"/>
              <w:textAlignment w:val="auto"/>
              <w:rPr>
                <w:rFonts w:hint="default" w:ascii="Times New Roman" w:hAnsi="Times New Roman" w:eastAsia="仿宋" w:cs="Times New Roman"/>
                <w:b w:val="0"/>
                <w:bCs w:val="0"/>
                <w:sz w:val="24"/>
                <w:szCs w:val="24"/>
                <w:lang w:val="en-US" w:eastAsia="zh-CN"/>
              </w:rPr>
            </w:pPr>
            <w:r>
              <w:rPr>
                <w:rFonts w:hint="eastAsia" w:ascii="Times New Roman" w:hAnsi="Times New Roman" w:eastAsia="仿宋_GB2312" w:cs="Times New Roman"/>
                <w:b/>
                <w:bCs/>
                <w:i w:val="0"/>
                <w:iCs w:val="0"/>
                <w:caps w:val="0"/>
                <w:snapToGrid w:val="0"/>
                <w:color w:val="333333"/>
                <w:spacing w:val="0"/>
                <w:kern w:val="0"/>
                <w:sz w:val="24"/>
                <w:szCs w:val="24"/>
                <w:lang w:val="en-US" w:eastAsia="zh-CN" w:bidi="ar"/>
              </w:rPr>
              <w:t>5</w:t>
            </w: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.产业升级核心区。</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依托曲江新区，‌聚焦小剧场领域，引进“沉浸式戏剧+”“元宇宙剧场”等新业态，通过未来科技、数字赋能、高品质服务推动文旅产品升级，打造未来景区、度假区和小微文旅场景。加快飞行剧院、十大VR体验等文旅项目建设，着力打造现象级小剧场新地标，激活消费新动能，构建现象级消费场景。</w:t>
            </w:r>
          </w:p>
        </w:tc>
      </w:tr>
    </w:tbl>
    <w:p w14:paraId="0322B9F2">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45" w:name="_Toc6493"/>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.健康养老业</w:t>
      </w:r>
      <w:bookmarkEnd w:id="45"/>
    </w:p>
    <w:p w14:paraId="400F1541">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规范和</w:t>
      </w:r>
      <w:r>
        <w:rPr>
          <w:rFonts w:hint="eastAsia" w:ascii="Times New Roman" w:hAnsi="Times New Roman" w:eastAsia="仿宋_GB2312" w:cs="Times New Roman"/>
          <w:bCs/>
          <w:snapToGrid/>
          <w:color w:val="000000"/>
          <w:kern w:val="2"/>
          <w:sz w:val="32"/>
          <w:szCs w:val="32"/>
          <w:lang w:val="en-US" w:eastAsia="zh-CN" w:bidi="ar-SA"/>
        </w:rPr>
        <w:t>引导</w:t>
      </w:r>
      <w:r>
        <w:rPr>
          <w:rFonts w:hint="default" w:ascii="Times New Roman" w:hAnsi="Times New Roman" w:eastAsia="仿宋_GB2312" w:cs="Times New Roman"/>
          <w:bCs/>
          <w:snapToGrid/>
          <w:color w:val="000000"/>
          <w:kern w:val="2"/>
          <w:sz w:val="32"/>
          <w:szCs w:val="32"/>
          <w:lang w:val="en-US" w:eastAsia="zh-CN" w:bidi="ar-SA"/>
        </w:rPr>
        <w:t>社会办医，力争更多社会办医疗机构达到三级甲等医院水平，支持基层医疗机构建成医养服务中心，大力发展银发经济，建立健全养老服务标准体系，扩大养老服务人才规模，促进养老事业与养老产业融合发展，推进“人工智能+养老服务”有机融合，加强社区嵌入式服务设施和多功能融合场景建设，支持居家和社区适老化改造，到2030年，力争健康服务、养老服务和银发经济产业增加值达2000亿元。</w:t>
      </w:r>
    </w:p>
    <w:p w14:paraId="4395ABC1">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养老服务。</w:t>
      </w:r>
      <w:r>
        <w:rPr>
          <w:rFonts w:hint="default" w:ascii="Times New Roman" w:hAnsi="Times New Roman" w:eastAsia="仿宋_GB2312" w:cs="Times New Roman"/>
          <w:bCs/>
          <w:snapToGrid/>
          <w:color w:val="000000"/>
          <w:kern w:val="2"/>
          <w:sz w:val="32"/>
          <w:szCs w:val="32"/>
          <w:lang w:val="en-US" w:eastAsia="zh-CN" w:bidi="ar-SA"/>
        </w:rPr>
        <w:t>促进居家社区机构养老贯通融合，发展嵌入式社区养老服务</w:t>
      </w:r>
      <w:r>
        <w:rPr>
          <w:rFonts w:hint="eastAsia" w:ascii="Times New Roman" w:hAnsi="Times New Roman" w:eastAsia="仿宋_GB2312" w:cs="Times New Roman"/>
          <w:bCs/>
          <w:snapToGrid/>
          <w:color w:val="000000"/>
          <w:kern w:val="2"/>
          <w:sz w:val="32"/>
          <w:szCs w:val="32"/>
          <w:lang w:val="en-US" w:eastAsia="zh-CN" w:bidi="ar-SA"/>
        </w:rPr>
        <w:t>。按照“一社区一站点、一镇（街）一中心、一区（县）一院”养老服务网络，整合盘活存量资源，健全多元养老服务供给体系，实现基本养老服务全覆盖。扩大康复护理、医养结合、长期照护等服务供给，发展旅居养老等新型服务。完善老年服务政策制度，优化落实基本养老服务清单，逐步构建权责清晰的养老照护体系。持续健全农村互助养老服务网络。搭建层次分明的养老服务人才培养体系，提升从业人员职业荣誉感与社会认同感。大力发展银发经济，推广智能适老产品在养老领域落地应用，推动养老服务产业规模化、集群化、品牌化发展，持续扩大普惠养老服务供给。</w:t>
      </w:r>
    </w:p>
    <w:p w14:paraId="231CE1BA">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健康服务。</w:t>
      </w:r>
      <w:r>
        <w:rPr>
          <w:rFonts w:hint="default" w:ascii="Times New Roman" w:hAnsi="Times New Roman" w:eastAsia="仿宋_GB2312" w:cs="Times New Roman"/>
          <w:bCs/>
          <w:snapToGrid/>
          <w:color w:val="000000"/>
          <w:kern w:val="2"/>
          <w:sz w:val="32"/>
          <w:szCs w:val="32"/>
          <w:lang w:val="en-US" w:eastAsia="zh-CN" w:bidi="ar-SA"/>
        </w:rPr>
        <w:t>扩大区域医疗中心溢出效应，以满足全生命周期健康需求为核心，推进健康服务与科技创新深度融合，探索“健康+”融合发展新模式，提供高水准康复护理、心理健康、</w:t>
      </w:r>
      <w:r>
        <w:rPr>
          <w:rFonts w:hint="eastAsia" w:ascii="Times New Roman" w:hAnsi="Times New Roman" w:eastAsia="仿宋_GB2312" w:cs="Times New Roman"/>
          <w:bCs/>
          <w:snapToGrid/>
          <w:color w:val="000000"/>
          <w:kern w:val="2"/>
          <w:sz w:val="32"/>
          <w:szCs w:val="32"/>
          <w:lang w:val="en-US" w:eastAsia="zh-CN" w:bidi="ar-SA"/>
        </w:rPr>
        <w:t>健康养生</w:t>
      </w:r>
      <w:r>
        <w:rPr>
          <w:rFonts w:hint="default" w:ascii="Times New Roman" w:hAnsi="Times New Roman" w:eastAsia="仿宋_GB2312" w:cs="Times New Roman"/>
          <w:bCs/>
          <w:snapToGrid/>
          <w:color w:val="000000"/>
          <w:kern w:val="2"/>
          <w:sz w:val="32"/>
          <w:szCs w:val="32"/>
          <w:lang w:val="en-US" w:eastAsia="zh-CN" w:bidi="ar-SA"/>
        </w:rPr>
        <w:t>等服务</w:t>
      </w:r>
      <w:r>
        <w:rPr>
          <w:rFonts w:hint="eastAsia" w:ascii="Times New Roman" w:hAnsi="Times New Roman" w:eastAsia="仿宋_GB2312" w:cs="Times New Roman"/>
          <w:bCs/>
          <w:snapToGrid/>
          <w:color w:val="000000"/>
          <w:kern w:val="2"/>
          <w:sz w:val="32"/>
          <w:szCs w:val="32"/>
          <w:lang w:val="en-US" w:eastAsia="zh-CN" w:bidi="ar-SA"/>
        </w:rPr>
        <w:t>。积极发展中医养生保健、药膳食疗等中医治未病服务，加快发展运动数据分析、营养咨询、健康管理等服务。完善妇幼健康服务网络，优化女性全生命周期服务模式，提供涵盖生理、心理和社会适应的整合型医疗保健服务。开展儿童生长发育监测和评价，加强运动指导和知识普及，提升儿童保健服务质量。</w:t>
      </w:r>
      <w:r>
        <w:rPr>
          <w:rFonts w:hint="default" w:ascii="Times New Roman" w:hAnsi="Times New Roman" w:eastAsia="仿宋_GB2312" w:cs="Times New Roman"/>
          <w:bCs/>
          <w:snapToGrid/>
          <w:color w:val="000000"/>
          <w:kern w:val="2"/>
          <w:sz w:val="32"/>
          <w:szCs w:val="32"/>
          <w:lang w:val="en-US" w:eastAsia="zh-CN" w:bidi="ar-SA"/>
        </w:rPr>
        <w:t>推进医疗健康与生物医药、中医药、健康食品等制造业联动发展。</w:t>
      </w:r>
    </w:p>
    <w:p w14:paraId="2AFB5B5B">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医疗服务。</w:t>
      </w:r>
      <w:r>
        <w:rPr>
          <w:rFonts w:hint="default" w:ascii="Times New Roman" w:hAnsi="Times New Roman" w:eastAsia="仿宋_GB2312" w:cs="Times New Roman"/>
          <w:bCs/>
          <w:snapToGrid/>
          <w:color w:val="000000"/>
          <w:kern w:val="2"/>
          <w:sz w:val="32"/>
          <w:szCs w:val="32"/>
          <w:lang w:val="en-US" w:eastAsia="zh-CN" w:bidi="ar-SA"/>
        </w:rPr>
        <w:t>规范和</w:t>
      </w:r>
      <w:r>
        <w:rPr>
          <w:rFonts w:hint="eastAsia" w:ascii="Times New Roman" w:hAnsi="Times New Roman" w:eastAsia="仿宋_GB2312" w:cs="Times New Roman"/>
          <w:bCs/>
          <w:snapToGrid/>
          <w:color w:val="000000"/>
          <w:kern w:val="2"/>
          <w:sz w:val="32"/>
          <w:szCs w:val="32"/>
          <w:lang w:val="en-US" w:eastAsia="zh-CN" w:bidi="ar-SA"/>
        </w:rPr>
        <w:t>引导</w:t>
      </w:r>
      <w:r>
        <w:rPr>
          <w:rFonts w:hint="default" w:ascii="Times New Roman" w:hAnsi="Times New Roman" w:eastAsia="仿宋_GB2312" w:cs="Times New Roman"/>
          <w:bCs/>
          <w:snapToGrid/>
          <w:color w:val="000000"/>
          <w:kern w:val="2"/>
          <w:sz w:val="32"/>
          <w:szCs w:val="32"/>
          <w:lang w:val="en-US" w:eastAsia="zh-CN" w:bidi="ar-SA"/>
        </w:rPr>
        <w:t>社会办医，推动高水平民营医院集团化发展</w:t>
      </w:r>
      <w:r>
        <w:rPr>
          <w:rFonts w:hint="eastAsia" w:ascii="Times New Roman" w:hAnsi="Times New Roman" w:eastAsia="仿宋_GB2312" w:cs="Times New Roman"/>
          <w:bCs/>
          <w:snapToGrid/>
          <w:color w:val="000000"/>
          <w:kern w:val="2"/>
          <w:sz w:val="32"/>
          <w:szCs w:val="32"/>
          <w:lang w:val="en-US" w:eastAsia="zh-CN" w:bidi="ar-SA"/>
        </w:rPr>
        <w:t>。支持</w:t>
      </w:r>
      <w:r>
        <w:rPr>
          <w:rFonts w:hint="default" w:ascii="Times New Roman" w:hAnsi="Times New Roman" w:eastAsia="仿宋_GB2312" w:cs="Times New Roman"/>
          <w:bCs/>
          <w:snapToGrid/>
          <w:color w:val="000000"/>
          <w:kern w:val="2"/>
          <w:sz w:val="32"/>
          <w:szCs w:val="32"/>
          <w:lang w:val="en-US" w:eastAsia="zh-CN" w:bidi="ar-SA"/>
        </w:rPr>
        <w:t>创建国家医学中心，拓展前沿医疗治疗服务，打造区域医疗“首位”品牌。</w:t>
      </w:r>
      <w:r>
        <w:rPr>
          <w:rFonts w:hint="eastAsia" w:eastAsia="仿宋_GB2312"/>
          <w:sz w:val="32"/>
          <w:szCs w:val="32"/>
          <w:lang w:eastAsia="zh-CN"/>
        </w:rPr>
        <w:t>支持医疗机构开展个性化家庭医生签约服务。</w:t>
      </w:r>
      <w:r>
        <w:rPr>
          <w:rFonts w:hint="default" w:ascii="Times New Roman" w:hAnsi="Times New Roman" w:eastAsia="仿宋_GB2312" w:cs="Times New Roman"/>
          <w:bCs/>
          <w:snapToGrid/>
          <w:color w:val="000000"/>
          <w:kern w:val="2"/>
          <w:sz w:val="32"/>
          <w:szCs w:val="32"/>
          <w:lang w:val="en-US" w:eastAsia="zh-CN" w:bidi="ar-SA"/>
        </w:rPr>
        <w:t>支持企业研发重大生物制品</w:t>
      </w:r>
      <w:r>
        <w:rPr>
          <w:rFonts w:hint="eastAsia"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高端仿制药、化学创新药。</w:t>
      </w:r>
      <w:r>
        <w:rPr>
          <w:rFonts w:hint="eastAsia" w:ascii="Times New Roman" w:hAnsi="Times New Roman" w:eastAsia="仿宋_GB2312" w:cs="Times New Roman"/>
          <w:bCs/>
          <w:snapToGrid/>
          <w:color w:val="000000"/>
          <w:kern w:val="2"/>
          <w:sz w:val="32"/>
          <w:szCs w:val="32"/>
          <w:lang w:val="en-US" w:eastAsia="zh-CN" w:bidi="ar-SA"/>
        </w:rPr>
        <w:t>鼓励大型公立三甲医院综合运用先进治疗技术，</w:t>
      </w:r>
      <w:r>
        <w:rPr>
          <w:rFonts w:hint="default" w:ascii="Times New Roman" w:hAnsi="Times New Roman" w:eastAsia="仿宋_GB2312" w:cs="Times New Roman"/>
          <w:bCs/>
          <w:snapToGrid/>
          <w:color w:val="000000"/>
          <w:kern w:val="2"/>
          <w:sz w:val="32"/>
          <w:szCs w:val="32"/>
          <w:lang w:val="en-US" w:eastAsia="zh-CN" w:bidi="ar-SA"/>
        </w:rPr>
        <w:t>联动开发组织修复产品以及再生型人工器官。建设高水平医院、高层次人才和高水准科研创新转化平台，提升重特大疾病、危急重症和疑难杂症的诊疗水平，</w:t>
      </w:r>
      <w:r>
        <w:rPr>
          <w:rFonts w:hint="eastAsia" w:ascii="Times New Roman" w:hAnsi="Times New Roman" w:eastAsia="仿宋_GB2312" w:cs="Times New Roman"/>
          <w:bCs/>
          <w:snapToGrid/>
          <w:color w:val="000000"/>
          <w:kern w:val="2"/>
          <w:sz w:val="32"/>
          <w:szCs w:val="32"/>
          <w:lang w:val="en-US" w:eastAsia="zh-CN" w:bidi="ar-SA"/>
        </w:rPr>
        <w:t>强化</w:t>
      </w:r>
      <w:r>
        <w:rPr>
          <w:rFonts w:hint="default" w:ascii="Times New Roman" w:hAnsi="Times New Roman" w:eastAsia="仿宋_GB2312" w:cs="Times New Roman"/>
          <w:bCs/>
          <w:snapToGrid/>
          <w:color w:val="000000"/>
          <w:kern w:val="2"/>
          <w:sz w:val="32"/>
          <w:szCs w:val="32"/>
          <w:lang w:val="en-US" w:eastAsia="zh-CN" w:bidi="ar-SA"/>
        </w:rPr>
        <w:t>跨境医疗健康服务辐射能力</w:t>
      </w:r>
      <w:r>
        <w:rPr>
          <w:rFonts w:hint="eastAsia"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重点发展普惠医疗、精准医疗、中西医结合等，着力培育智慧医疗，引导医疗机构自办联办康复、康养机构</w:t>
      </w:r>
      <w:r>
        <w:rPr>
          <w:rFonts w:hint="eastAsia"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发展壮大生物医疗产业链群。</w:t>
      </w:r>
    </w:p>
    <w:tbl>
      <w:tblPr>
        <w:tblStyle w:val="19"/>
        <w:tblW w:w="8453" w:type="dxa"/>
        <w:jc w:val="center"/>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453"/>
      </w:tblGrid>
      <w:tr w14:paraId="579CC5A3">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453"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563CF2CC">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spacing w:before="0" w:beforeAutospacing="0" w:after="0" w:afterAutospacing="0" w:line="26" w:lineRule="atLeast"/>
              <w:ind w:left="0" w:right="0"/>
              <w:jc w:val="center"/>
              <w:rPr>
                <w:rFonts w:hint="default" w:ascii="Times New Roman" w:hAnsi="Times New Roman" w:eastAsia="仿宋" w:cs="Times New Roman"/>
                <w:sz w:val="32"/>
                <w:szCs w:val="32"/>
                <w:lang w:val="en-US" w:eastAsia="zh-CN"/>
              </w:rPr>
            </w:pPr>
            <w:r>
              <w:rPr>
                <w:rFonts w:hint="default" w:ascii="Times New Roman" w:hAnsi="Times New Roman" w:eastAsia="宋体" w:cs="Times New Roman"/>
                <w:b/>
                <w:bCs/>
                <w:sz w:val="30"/>
                <w:szCs w:val="30"/>
                <w:lang w:val="en-US" w:eastAsia="zh-CN"/>
              </w:rPr>
              <w:t>专栏</w:t>
            </w:r>
            <w:r>
              <w:rPr>
                <w:rFonts w:hint="eastAsia" w:ascii="Times New Roman" w:hAnsi="Times New Roman" w:eastAsia="宋体" w:cs="Times New Roman"/>
                <w:b/>
                <w:bCs/>
                <w:sz w:val="30"/>
                <w:szCs w:val="30"/>
                <w:lang w:val="en-US" w:eastAsia="zh-CN"/>
              </w:rPr>
              <w:t xml:space="preserve">8 </w:t>
            </w:r>
            <w:r>
              <w:rPr>
                <w:rFonts w:hint="default" w:ascii="Times New Roman" w:hAnsi="Times New Roman" w:eastAsia="宋体" w:cs="Times New Roman"/>
                <w:b/>
                <w:bCs/>
                <w:sz w:val="30"/>
                <w:szCs w:val="30"/>
                <w:lang w:val="en-US" w:eastAsia="zh-CN"/>
              </w:rPr>
              <w:t>医疗服务重点发展方向</w:t>
            </w:r>
          </w:p>
        </w:tc>
      </w:tr>
      <w:tr w14:paraId="4BE01844">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453"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425F7C5C">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b/>
                <w:bCs/>
                <w:snapToGrid w:val="0"/>
                <w:color w:val="000000"/>
                <w:kern w:val="0"/>
                <w:sz w:val="24"/>
                <w:szCs w:val="24"/>
                <w:lang w:val="en-US" w:eastAsia="zh-CN" w:bidi="ar"/>
              </w:rPr>
            </w:pPr>
            <w:r>
              <w:rPr>
                <w:rFonts w:hint="default" w:ascii="Times New Roman" w:hAnsi="Times New Roman" w:eastAsia="宋体" w:cs="Times New Roman"/>
                <w:b/>
                <w:bCs/>
                <w:snapToGrid w:val="0"/>
                <w:color w:val="000000"/>
                <w:kern w:val="0"/>
                <w:sz w:val="24"/>
                <w:szCs w:val="24"/>
                <w:lang w:val="en-US" w:eastAsia="zh-CN" w:bidi="ar"/>
              </w:rPr>
              <w:t>一、重点发展领域</w:t>
            </w:r>
          </w:p>
          <w:p w14:paraId="057FC3B2">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b/>
                <w:bCs/>
                <w:snapToGrid w:val="0"/>
                <w:color w:val="000000"/>
                <w:kern w:val="0"/>
                <w:sz w:val="24"/>
                <w:szCs w:val="24"/>
                <w:lang w:val="en-US" w:eastAsia="zh-CN" w:bidi="ar"/>
              </w:rPr>
            </w:pPr>
            <w:r>
              <w:rPr>
                <w:rFonts w:hint="default" w:ascii="Times New Roman" w:hAnsi="Times New Roman" w:eastAsia="宋体" w:cs="Times New Roman"/>
                <w:b/>
                <w:bCs/>
                <w:snapToGrid w:val="0"/>
                <w:color w:val="000000"/>
                <w:kern w:val="0"/>
                <w:sz w:val="24"/>
                <w:szCs w:val="24"/>
                <w:lang w:val="en-US" w:eastAsia="zh-CN" w:bidi="ar"/>
              </w:rPr>
              <w:t>1.普惠医疗</w:t>
            </w:r>
            <w:r>
              <w:rPr>
                <w:rFonts w:hint="default" w:ascii="Times New Roman" w:hAnsi="Times New Roman" w:eastAsia="宋体" w:cs="Times New Roman"/>
                <w:b w:val="0"/>
                <w:bCs w:val="0"/>
                <w:snapToGrid w:val="0"/>
                <w:color w:val="000000"/>
                <w:kern w:val="0"/>
                <w:sz w:val="24"/>
                <w:szCs w:val="24"/>
                <w:lang w:val="en-US" w:eastAsia="zh-CN" w:bidi="ar"/>
              </w:rPr>
              <w:t>。构建以基层医疗卫生机构为基础、以全民医保为保障、以质量和安全为生命线、以公平可及为最终目标的全民健康保障体系。</w:t>
            </w:r>
          </w:p>
          <w:p w14:paraId="7F3805D1">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b w:val="0"/>
                <w:bCs w:val="0"/>
                <w:snapToGrid w:val="0"/>
                <w:color w:val="000000"/>
                <w:kern w:val="0"/>
                <w:sz w:val="24"/>
                <w:szCs w:val="24"/>
                <w:lang w:val="en-US" w:eastAsia="zh-CN" w:bidi="ar"/>
              </w:rPr>
            </w:pPr>
            <w:r>
              <w:rPr>
                <w:rFonts w:hint="default" w:ascii="Times New Roman" w:hAnsi="Times New Roman" w:eastAsia="宋体" w:cs="Times New Roman"/>
                <w:b/>
                <w:bCs/>
                <w:snapToGrid w:val="0"/>
                <w:color w:val="000000"/>
                <w:kern w:val="0"/>
                <w:sz w:val="24"/>
                <w:szCs w:val="24"/>
                <w:lang w:val="en-US" w:eastAsia="zh-CN" w:bidi="ar"/>
              </w:rPr>
              <w:t>2.分子医疗</w:t>
            </w:r>
            <w:r>
              <w:rPr>
                <w:rFonts w:hint="default" w:ascii="Times New Roman" w:hAnsi="Times New Roman" w:eastAsia="宋体" w:cs="Times New Roman"/>
                <w:b w:val="0"/>
                <w:bCs w:val="0"/>
                <w:snapToGrid w:val="0"/>
                <w:color w:val="000000"/>
                <w:kern w:val="0"/>
                <w:sz w:val="24"/>
                <w:szCs w:val="24"/>
                <w:lang w:val="en-US" w:eastAsia="zh-CN" w:bidi="ar"/>
              </w:rPr>
              <w:t>。重点从DNA、RNA、蛋白质等分子层面去理解疾病，从生命最基本的运作逻辑中去寻找疾病根源、进行诊断、指导治疗和预测预后，从“对症”治疗迈向“对因”治疗，为患者提供最合适的个体化精准诊疗方案。</w:t>
            </w:r>
          </w:p>
          <w:p w14:paraId="2998D91D">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eastAsia" w:ascii="Times New Roman" w:hAnsi="Times New Roman" w:eastAsia="宋体" w:cs="Times New Roman"/>
                <w:b w:val="0"/>
                <w:bCs w:val="0"/>
                <w:snapToGrid w:val="0"/>
                <w:color w:val="000000"/>
                <w:kern w:val="0"/>
                <w:sz w:val="24"/>
                <w:szCs w:val="24"/>
                <w:lang w:val="en-US" w:eastAsia="zh-CN" w:bidi="ar"/>
              </w:rPr>
            </w:pPr>
            <w:r>
              <w:rPr>
                <w:rFonts w:hint="eastAsia" w:ascii="Times New Roman" w:hAnsi="Times New Roman" w:eastAsia="宋体" w:cs="Times New Roman"/>
                <w:b/>
                <w:bCs/>
                <w:snapToGrid w:val="0"/>
                <w:color w:val="000000"/>
                <w:kern w:val="0"/>
                <w:sz w:val="24"/>
                <w:szCs w:val="24"/>
                <w:lang w:val="en-US" w:eastAsia="zh-CN" w:bidi="ar"/>
              </w:rPr>
              <w:t>3</w:t>
            </w:r>
            <w:r>
              <w:rPr>
                <w:rFonts w:hint="default" w:ascii="Times New Roman" w:hAnsi="Times New Roman" w:eastAsia="宋体" w:cs="Times New Roman"/>
                <w:b/>
                <w:bCs/>
                <w:snapToGrid w:val="0"/>
                <w:color w:val="000000"/>
                <w:kern w:val="0"/>
                <w:sz w:val="24"/>
                <w:szCs w:val="24"/>
                <w:lang w:val="en-US" w:eastAsia="zh-CN" w:bidi="ar"/>
              </w:rPr>
              <w:t>.中西医结合</w:t>
            </w:r>
            <w:r>
              <w:rPr>
                <w:rFonts w:hint="default" w:ascii="Times New Roman" w:hAnsi="Times New Roman" w:eastAsia="宋体" w:cs="Times New Roman"/>
                <w:b w:val="0"/>
                <w:bCs w:val="0"/>
                <w:snapToGrid w:val="0"/>
                <w:color w:val="000000"/>
                <w:kern w:val="0"/>
                <w:sz w:val="24"/>
                <w:szCs w:val="24"/>
                <w:lang w:val="en-US" w:eastAsia="zh-CN" w:bidi="ar"/>
              </w:rPr>
              <w:t>：</w:t>
            </w:r>
            <w:r>
              <w:rPr>
                <w:rFonts w:hint="eastAsia" w:ascii="Times New Roman" w:hAnsi="Times New Roman" w:eastAsia="宋体" w:cs="Times New Roman"/>
                <w:b w:val="0"/>
                <w:bCs w:val="0"/>
                <w:snapToGrid w:val="0"/>
                <w:color w:val="000000"/>
                <w:kern w:val="0"/>
                <w:sz w:val="24"/>
                <w:szCs w:val="24"/>
                <w:lang w:val="en-US" w:eastAsia="zh-CN" w:bidi="ar"/>
              </w:rPr>
              <w:t>完善中西医协同救治体系，加强综合医院、专科医院、传染病医院、妇幼保健院中医临床科室建设，建设国家级、省级、市级中西医协同“旗舰”医院、“旗舰”科室。探索中西医结合新模式，开展中西医临床协作，提升重大疑难疾病中西医协同防治能力。</w:t>
            </w:r>
          </w:p>
          <w:p w14:paraId="21F199AE">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eastAsia" w:ascii="Times New Roman" w:hAnsi="Times New Roman" w:eastAsia="宋体" w:cs="Times New Roman"/>
                <w:b/>
                <w:bCs/>
                <w:snapToGrid w:val="0"/>
                <w:color w:val="000000"/>
                <w:kern w:val="0"/>
                <w:sz w:val="24"/>
                <w:szCs w:val="24"/>
                <w:lang w:val="en-US" w:eastAsia="zh-CN" w:bidi="ar"/>
              </w:rPr>
              <w:t>4</w:t>
            </w:r>
            <w:r>
              <w:rPr>
                <w:rFonts w:hint="default" w:ascii="Times New Roman" w:hAnsi="Times New Roman" w:eastAsia="宋体" w:cs="Times New Roman"/>
                <w:b/>
                <w:bCs/>
                <w:snapToGrid w:val="0"/>
                <w:color w:val="000000"/>
                <w:kern w:val="0"/>
                <w:sz w:val="24"/>
                <w:szCs w:val="24"/>
                <w:lang w:val="en-US" w:eastAsia="zh-CN" w:bidi="ar"/>
              </w:rPr>
              <w:t>.</w:t>
            </w:r>
            <w:r>
              <w:rPr>
                <w:rFonts w:hint="eastAsia" w:ascii="Times New Roman" w:hAnsi="Times New Roman" w:eastAsia="宋体" w:cs="Times New Roman"/>
                <w:b/>
                <w:bCs/>
                <w:snapToGrid w:val="0"/>
                <w:color w:val="000000"/>
                <w:kern w:val="0"/>
                <w:sz w:val="24"/>
                <w:szCs w:val="24"/>
                <w:lang w:val="en-US" w:eastAsia="zh-CN" w:bidi="ar"/>
              </w:rPr>
              <w:t>公共</w:t>
            </w:r>
            <w:r>
              <w:rPr>
                <w:rFonts w:hint="default" w:ascii="Times New Roman" w:hAnsi="Times New Roman" w:eastAsia="宋体" w:cs="Times New Roman"/>
                <w:b/>
                <w:bCs/>
                <w:snapToGrid w:val="0"/>
                <w:color w:val="000000"/>
                <w:kern w:val="0"/>
                <w:sz w:val="24"/>
                <w:szCs w:val="24"/>
                <w:lang w:val="en-US" w:eastAsia="zh-CN" w:bidi="ar"/>
              </w:rPr>
              <w:t>医疗服务</w:t>
            </w:r>
            <w:r>
              <w:rPr>
                <w:rFonts w:hint="default" w:ascii="Times New Roman" w:hAnsi="Times New Roman" w:eastAsia="宋体" w:cs="Times New Roman"/>
                <w:snapToGrid w:val="0"/>
                <w:color w:val="000000"/>
                <w:kern w:val="0"/>
                <w:sz w:val="24"/>
                <w:szCs w:val="24"/>
                <w:lang w:val="en-US" w:eastAsia="zh-CN" w:bidi="ar"/>
              </w:rPr>
              <w:t>。重点开展预防与公共卫生、诊断与评估、治疗与干预、康复与长期照护等服务，特别是人类辅助生殖技术、中医药传承创新等服务。</w:t>
            </w:r>
          </w:p>
          <w:p w14:paraId="7B510203">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eastAsia" w:ascii="Times New Roman" w:hAnsi="Times New Roman" w:eastAsia="宋体" w:cs="Times New Roman"/>
                <w:b/>
                <w:bCs/>
                <w:snapToGrid w:val="0"/>
                <w:color w:val="000000"/>
                <w:kern w:val="0"/>
                <w:sz w:val="24"/>
                <w:szCs w:val="24"/>
                <w:lang w:val="en-US" w:eastAsia="zh-CN" w:bidi="ar"/>
              </w:rPr>
              <w:t>5</w:t>
            </w:r>
            <w:r>
              <w:rPr>
                <w:rFonts w:hint="default" w:ascii="Times New Roman" w:hAnsi="Times New Roman" w:eastAsia="宋体" w:cs="Times New Roman"/>
                <w:b/>
                <w:bCs/>
                <w:snapToGrid w:val="0"/>
                <w:color w:val="000000"/>
                <w:kern w:val="0"/>
                <w:sz w:val="24"/>
                <w:szCs w:val="24"/>
                <w:lang w:val="en-US" w:eastAsia="zh-CN" w:bidi="ar"/>
              </w:rPr>
              <w:t>.健康医美</w:t>
            </w:r>
            <w:r>
              <w:rPr>
                <w:rFonts w:hint="default" w:ascii="Times New Roman" w:hAnsi="Times New Roman" w:eastAsia="宋体" w:cs="Times New Roman"/>
                <w:snapToGrid w:val="0"/>
                <w:color w:val="000000"/>
                <w:kern w:val="0"/>
                <w:sz w:val="24"/>
                <w:szCs w:val="24"/>
                <w:lang w:val="en-US" w:eastAsia="zh-CN" w:bidi="ar"/>
              </w:rPr>
              <w:t>。发展高端医学美容、美容咨询与评估、非侵入性与微创技术、美容器械开发与服务等，释放本地医疗资源潜力，开展高品质医美服务，打造规范化、专业化、特色化的健康医美服务品牌。</w:t>
            </w:r>
          </w:p>
          <w:p w14:paraId="237B45BB">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b/>
                <w:bCs/>
                <w:snapToGrid w:val="0"/>
                <w:color w:val="000000"/>
                <w:kern w:val="0"/>
                <w:sz w:val="24"/>
                <w:szCs w:val="24"/>
                <w:lang w:val="en-US" w:eastAsia="zh-CN" w:bidi="ar"/>
              </w:rPr>
              <w:t>二、着力培育领域</w:t>
            </w:r>
          </w:p>
          <w:p w14:paraId="2F04848E">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eastAsia" w:ascii="Times New Roman" w:hAnsi="Times New Roman" w:eastAsia="宋体" w:cs="Times New Roman"/>
                <w:b/>
                <w:bCs/>
                <w:snapToGrid w:val="0"/>
                <w:color w:val="000000"/>
                <w:kern w:val="0"/>
                <w:sz w:val="24"/>
                <w:szCs w:val="24"/>
                <w:lang w:val="en-US" w:eastAsia="zh-CN" w:bidi="ar"/>
              </w:rPr>
              <w:t>6</w:t>
            </w:r>
            <w:r>
              <w:rPr>
                <w:rFonts w:hint="default" w:ascii="Times New Roman" w:hAnsi="Times New Roman" w:eastAsia="宋体" w:cs="Times New Roman"/>
                <w:b/>
                <w:bCs/>
                <w:snapToGrid w:val="0"/>
                <w:color w:val="000000"/>
                <w:kern w:val="0"/>
                <w:sz w:val="24"/>
                <w:szCs w:val="24"/>
                <w:lang w:val="en-US" w:eastAsia="zh-CN" w:bidi="ar"/>
              </w:rPr>
              <w:t>.智慧医疗</w:t>
            </w:r>
            <w:r>
              <w:rPr>
                <w:rFonts w:hint="default" w:ascii="Times New Roman" w:hAnsi="Times New Roman" w:eastAsia="宋体" w:cs="Times New Roman"/>
                <w:b w:val="0"/>
                <w:bCs w:val="0"/>
                <w:snapToGrid w:val="0"/>
                <w:color w:val="000000"/>
                <w:kern w:val="0"/>
                <w:sz w:val="24"/>
                <w:szCs w:val="24"/>
                <w:lang w:val="en-US" w:eastAsia="zh-CN" w:bidi="ar"/>
              </w:rPr>
              <w:t>。重点开发智慧就医、智慧临床诊疗、智慧患者管理、智慧医院管理等协同体系，推进现代医疗与大数据、AI、物联网等深度融合，重塑医疗业务流程和医学研究</w:t>
            </w:r>
            <w:r>
              <w:rPr>
                <w:rFonts w:hint="default" w:ascii="Times New Roman" w:hAnsi="Times New Roman" w:eastAsia="宋体" w:cs="Times New Roman"/>
                <w:snapToGrid w:val="0"/>
                <w:color w:val="000000"/>
                <w:kern w:val="0"/>
                <w:sz w:val="24"/>
                <w:szCs w:val="24"/>
                <w:lang w:val="en-US" w:eastAsia="zh-CN" w:bidi="ar"/>
              </w:rPr>
              <w:t>范式，以数据驱动为核心，构建智慧健康生态系统。</w:t>
            </w:r>
          </w:p>
          <w:p w14:paraId="1E332A96">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 w:cs="Times New Roman"/>
                <w:b w:val="0"/>
                <w:bCs w:val="0"/>
                <w:snapToGrid w:val="0"/>
                <w:color w:val="000000"/>
                <w:kern w:val="0"/>
                <w:sz w:val="24"/>
                <w:szCs w:val="24"/>
                <w:lang w:val="en-US" w:eastAsia="zh-CN" w:bidi="ar"/>
              </w:rPr>
            </w:pPr>
            <w:r>
              <w:rPr>
                <w:rFonts w:hint="eastAsia" w:ascii="Times New Roman" w:hAnsi="Times New Roman" w:eastAsia="宋体" w:cs="Times New Roman"/>
                <w:b/>
                <w:bCs/>
                <w:snapToGrid w:val="0"/>
                <w:color w:val="000000"/>
                <w:kern w:val="0"/>
                <w:sz w:val="24"/>
                <w:szCs w:val="24"/>
                <w:lang w:val="en-US" w:eastAsia="zh-CN" w:bidi="ar"/>
              </w:rPr>
              <w:t>7</w:t>
            </w:r>
            <w:r>
              <w:rPr>
                <w:rFonts w:hint="default" w:ascii="Times New Roman" w:hAnsi="Times New Roman" w:eastAsia="宋体" w:cs="Times New Roman"/>
                <w:b/>
                <w:bCs/>
                <w:snapToGrid w:val="0"/>
                <w:color w:val="000000"/>
                <w:kern w:val="0"/>
                <w:sz w:val="24"/>
                <w:szCs w:val="24"/>
                <w:lang w:val="en-US" w:eastAsia="zh-CN" w:bidi="ar"/>
              </w:rPr>
              <w:t>.医疗大数据</w:t>
            </w:r>
            <w:r>
              <w:rPr>
                <w:rFonts w:hint="default" w:ascii="Times New Roman" w:hAnsi="Times New Roman" w:eastAsia="宋体" w:cs="Times New Roman"/>
                <w:snapToGrid w:val="0"/>
                <w:color w:val="000000"/>
                <w:kern w:val="0"/>
                <w:sz w:val="24"/>
                <w:szCs w:val="24"/>
                <w:lang w:val="en-US" w:eastAsia="zh-CN" w:bidi="ar"/>
              </w:rPr>
              <w:t>。重点研发医疗认知、语音、影像、图文识别、多模态等自主可控的医学垂类大模型，建设医疗高质量数据</w:t>
            </w:r>
            <w:r>
              <w:rPr>
                <w:rFonts w:hint="eastAsia" w:ascii="Times New Roman" w:hAnsi="Times New Roman" w:eastAsia="宋体" w:cs="Times New Roman"/>
                <w:snapToGrid w:val="0"/>
                <w:color w:val="000000"/>
                <w:kern w:val="0"/>
                <w:sz w:val="24"/>
                <w:szCs w:val="24"/>
                <w:lang w:val="en-US" w:eastAsia="zh-CN" w:bidi="ar"/>
              </w:rPr>
              <w:t>集</w:t>
            </w:r>
            <w:r>
              <w:rPr>
                <w:rFonts w:hint="default" w:ascii="Times New Roman" w:hAnsi="Times New Roman" w:eastAsia="宋体" w:cs="Times New Roman"/>
                <w:snapToGrid w:val="0"/>
                <w:color w:val="000000"/>
                <w:kern w:val="0"/>
                <w:sz w:val="24"/>
                <w:szCs w:val="24"/>
                <w:lang w:val="en-US" w:eastAsia="zh-CN" w:bidi="ar"/>
              </w:rPr>
              <w:t>，开展数据汇聚与治理、数据分析与AI建模等服务，推动医疗服务迈向精准化、智能化。</w:t>
            </w:r>
          </w:p>
        </w:tc>
      </w:tr>
    </w:tbl>
    <w:p w14:paraId="4F2FF266">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46" w:name="_Toc25383"/>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.教育培训业</w:t>
      </w:r>
      <w:bookmarkEnd w:id="46"/>
    </w:p>
    <w:p w14:paraId="64E75E46">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推动高等院校、科研机构、社会组织开放优质教育资源，提升社会培训机构服务质量，统筹发挥职业院校、技工院校、职业技能培训机构等作用，加强先进制造业、生产性服务业、新就业形态劳动者职业技能培训，构建更高质量、更富活力、普惠多元、服务终身学习和城市发展的现代化教育体系，到2030年，力争教育培训业增加值达到1000亿元。</w:t>
      </w:r>
    </w:p>
    <w:p w14:paraId="0AC62064">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推进职业教育产教融合。</w:t>
      </w:r>
      <w:r>
        <w:rPr>
          <w:rFonts w:hint="default" w:ascii="Times New Roman" w:hAnsi="Times New Roman" w:eastAsia="仿宋_GB2312" w:cs="Times New Roman"/>
          <w:bCs/>
          <w:snapToGrid/>
          <w:color w:val="000000"/>
          <w:kern w:val="2"/>
          <w:sz w:val="32"/>
          <w:szCs w:val="32"/>
          <w:lang w:val="en-US" w:eastAsia="zh-CN" w:bidi="ar-SA"/>
        </w:rPr>
        <w:t>支持职业院校增设数字经济、康养护理、家政服务、低空经济等紧缺专业</w:t>
      </w:r>
      <w:r>
        <w:rPr>
          <w:rFonts w:hint="eastAsia" w:ascii="Times New Roman" w:hAnsi="Times New Roman" w:eastAsia="仿宋_GB2312" w:cs="Times New Roman"/>
          <w:bCs/>
          <w:snapToGrid/>
          <w:color w:val="000000"/>
          <w:kern w:val="2"/>
          <w:sz w:val="32"/>
          <w:szCs w:val="32"/>
          <w:lang w:val="en-US" w:eastAsia="zh-CN" w:bidi="ar-SA"/>
        </w:rPr>
        <w:t>，建立以产业发展和社会需求为导向的专业动态调整机制，推动职业院校“双高计划”及“双示范”项目建设，打造特色职业教育品牌。争</w:t>
      </w:r>
      <w:r>
        <w:rPr>
          <w:rFonts w:hint="default" w:ascii="Times New Roman" w:hAnsi="Times New Roman" w:eastAsia="仿宋_GB2312" w:cs="Times New Roman"/>
          <w:bCs/>
          <w:snapToGrid/>
          <w:color w:val="000000"/>
          <w:kern w:val="2"/>
          <w:sz w:val="32"/>
          <w:szCs w:val="32"/>
          <w:lang w:val="en-US" w:eastAsia="zh-CN" w:bidi="ar-SA"/>
        </w:rPr>
        <w:t>创国家产教融合试点城市</w:t>
      </w:r>
      <w:r>
        <w:rPr>
          <w:rFonts w:hint="eastAsia"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聚焦</w:t>
      </w:r>
      <w:r>
        <w:rPr>
          <w:rFonts w:hint="eastAsia" w:ascii="Times New Roman" w:hAnsi="Times New Roman" w:eastAsia="仿宋_GB2312" w:cs="Times New Roman"/>
          <w:bCs/>
          <w:snapToGrid/>
          <w:color w:val="000000"/>
          <w:kern w:val="2"/>
          <w:sz w:val="32"/>
          <w:szCs w:val="32"/>
          <w:lang w:val="en-US" w:eastAsia="zh-CN" w:bidi="ar-SA"/>
        </w:rPr>
        <w:t>全市重点</w:t>
      </w:r>
      <w:r>
        <w:rPr>
          <w:rFonts w:hint="default" w:ascii="Times New Roman" w:hAnsi="Times New Roman" w:eastAsia="仿宋_GB2312" w:cs="Times New Roman"/>
          <w:bCs/>
          <w:snapToGrid/>
          <w:color w:val="000000"/>
          <w:kern w:val="2"/>
          <w:sz w:val="32"/>
          <w:szCs w:val="32"/>
          <w:lang w:val="en-US" w:eastAsia="zh-CN" w:bidi="ar-SA"/>
        </w:rPr>
        <w:t>产业集群，支持行业协会、龙头企业联合职业院校组建市域产教联合体、行业产教融合共同体</w:t>
      </w:r>
      <w:r>
        <w:rPr>
          <w:rFonts w:hint="eastAsia" w:ascii="Times New Roman" w:hAnsi="Times New Roman" w:eastAsia="仿宋_GB2312" w:cs="Times New Roman"/>
          <w:bCs/>
          <w:snapToGrid/>
          <w:color w:val="000000"/>
          <w:kern w:val="2"/>
          <w:sz w:val="32"/>
          <w:szCs w:val="32"/>
          <w:lang w:val="en-US" w:eastAsia="zh-CN" w:bidi="ar-SA"/>
        </w:rPr>
        <w:t>。深化“科技副总”“产业教授”选派机制，扩容“科学家+工程师”团队。</w:t>
      </w:r>
    </w:p>
    <w:p w14:paraId="7A29C3F3">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完善终身教育培训体系</w:t>
      </w:r>
      <w:r>
        <w:rPr>
          <w:rFonts w:hint="default" w:ascii="Times New Roman" w:hAnsi="Times New Roman" w:eastAsia="仿宋_GB2312" w:cs="Times New Roman"/>
          <w:bCs/>
          <w:snapToGrid/>
          <w:color w:val="000000"/>
          <w:kern w:val="2"/>
          <w:sz w:val="32"/>
          <w:szCs w:val="32"/>
          <w:lang w:val="en-US" w:eastAsia="zh-CN" w:bidi="ar-SA"/>
        </w:rPr>
        <w:t>。鼓励社会培训机构针对多元化市场需求开发特色课程体系，加强家政、养老、育幼等生活性服务业从业人员培训</w:t>
      </w:r>
      <w:r>
        <w:rPr>
          <w:rFonts w:hint="eastAsia"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建设“15分钟教育圈”，优化继续教育、在线教育等资源，鼓励发展终身教育和老年教育，丰富中小学生课后公益培训内容。完善技能人才培养体系，健全从中职、高职到应用型本科的职业人才成长通道，推动热门职业资格与学历教育相衔接，探索在学历教育中融入职业资格认证内容，实现技能人才培养与评价体系贯通。完善“新农人”教育培训体系，依托职业培训机构，加快高素质职业农民培育。</w:t>
      </w:r>
    </w:p>
    <w:p w14:paraId="25277FC5">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促进高等教育溢出发展。</w:t>
      </w:r>
      <w:r>
        <w:rPr>
          <w:rFonts w:hint="default" w:ascii="Times New Roman" w:hAnsi="Times New Roman" w:eastAsia="仿宋_GB2312" w:cs="Times New Roman"/>
          <w:bCs/>
          <w:snapToGrid/>
          <w:color w:val="000000"/>
          <w:kern w:val="2"/>
          <w:sz w:val="32"/>
          <w:szCs w:val="32"/>
          <w:lang w:val="en-US" w:eastAsia="zh-CN" w:bidi="ar-SA"/>
        </w:rPr>
        <w:t>推动西安文理学院向高水平应用型城市大学转型发展，推广“校招共用”“双导师制”等模式。</w:t>
      </w:r>
      <w:r>
        <w:rPr>
          <w:rFonts w:eastAsia="仿宋_GB2312"/>
          <w:kern w:val="0"/>
          <w:sz w:val="32"/>
          <w:szCs w:val="32"/>
        </w:rPr>
        <w:t>支持西交大、西工大、西北大学等在地高校联合各类国企、知名民企举办专题培训班，促进新一代民营企业家、国企高管和中层干部健康成长。</w:t>
      </w:r>
      <w:r>
        <w:rPr>
          <w:rFonts w:hint="default" w:ascii="Times New Roman" w:hAnsi="Times New Roman" w:eastAsia="仿宋_GB2312" w:cs="Times New Roman"/>
          <w:bCs/>
          <w:snapToGrid/>
          <w:color w:val="000000"/>
          <w:kern w:val="2"/>
          <w:sz w:val="32"/>
          <w:szCs w:val="32"/>
          <w:lang w:val="en-US" w:eastAsia="zh-CN" w:bidi="ar-SA"/>
        </w:rPr>
        <w:t>支持高校与企业共建概念验证中心和中试熟化基地，加速人才培养、科学研究、成果转化一体化发展，打造校企地联合创新平台。建设国际产学研用合作平台，推动构建与“一带一路”沿线国家学分互认机制，培养学生跨文化交流与合作能力。</w:t>
      </w:r>
    </w:p>
    <w:tbl>
      <w:tblPr>
        <w:tblStyle w:val="19"/>
        <w:tblW w:w="8453" w:type="dxa"/>
        <w:jc w:val="center"/>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453"/>
      </w:tblGrid>
      <w:tr w14:paraId="6BA737F2">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453"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149E0630">
            <w:pPr>
              <w:pStyle w:val="17"/>
              <w:keepNext/>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spacing w:before="0" w:beforeAutospacing="0" w:after="0" w:afterAutospacing="0" w:line="26" w:lineRule="atLeast"/>
              <w:ind w:left="0" w:right="0"/>
              <w:jc w:val="center"/>
              <w:rPr>
                <w:rFonts w:hint="default" w:ascii="Times New Roman" w:hAnsi="Times New Roman" w:eastAsia="仿宋" w:cs="Times New Roman"/>
                <w:sz w:val="32"/>
                <w:szCs w:val="32"/>
                <w:lang w:val="en-US" w:eastAsia="zh-CN"/>
              </w:rPr>
            </w:pPr>
            <w:r>
              <w:rPr>
                <w:rFonts w:hint="default" w:ascii="Times New Roman" w:hAnsi="Times New Roman" w:eastAsia="宋体" w:cs="Times New Roman"/>
                <w:b/>
                <w:bCs/>
                <w:sz w:val="30"/>
                <w:szCs w:val="30"/>
                <w:lang w:val="en-US" w:eastAsia="zh-CN"/>
              </w:rPr>
              <w:t>专栏</w:t>
            </w:r>
            <w:r>
              <w:rPr>
                <w:rFonts w:hint="eastAsia" w:ascii="Times New Roman" w:hAnsi="Times New Roman" w:eastAsia="宋体" w:cs="Times New Roman"/>
                <w:b/>
                <w:bCs/>
                <w:sz w:val="30"/>
                <w:szCs w:val="30"/>
                <w:lang w:val="en-US" w:eastAsia="zh-CN"/>
              </w:rPr>
              <w:t>9</w:t>
            </w:r>
            <w:r>
              <w:rPr>
                <w:rFonts w:hint="default" w:ascii="Times New Roman" w:hAnsi="Times New Roman" w:eastAsia="宋体" w:cs="Times New Roman"/>
                <w:b/>
                <w:bCs/>
                <w:sz w:val="30"/>
                <w:szCs w:val="30"/>
                <w:lang w:val="en-US" w:eastAsia="zh-CN"/>
              </w:rPr>
              <w:t xml:space="preserve"> 教育培训服务重点发展方向</w:t>
            </w:r>
          </w:p>
        </w:tc>
      </w:tr>
      <w:tr w14:paraId="635F1877">
        <w:tblPrEx>
          <w:tblBorders>
            <w:top w:val="single" w:color="333333" w:sz="6" w:space="0"/>
            <w:left w:val="none" w:color="333333" w:sz="0" w:space="0"/>
            <w:bottom w:val="none" w:color="333333" w:sz="0" w:space="0"/>
            <w:right w:val="single" w:color="333333" w:sz="6"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453" w:type="dxa"/>
            <w:tcBorders>
              <w:left w:val="single" w:color="333333" w:sz="6" w:space="0"/>
              <w:bottom w:val="single" w:color="333333" w:sz="6" w:space="0"/>
            </w:tcBorders>
            <w:shd w:val="clear" w:color="auto" w:fill="auto"/>
            <w:tcMar>
              <w:top w:w="75" w:type="dxa"/>
              <w:left w:w="75" w:type="dxa"/>
              <w:bottom w:w="75" w:type="dxa"/>
              <w:right w:w="75" w:type="dxa"/>
            </w:tcMar>
            <w:vAlign w:val="center"/>
          </w:tcPr>
          <w:p w14:paraId="4CEEFFBC">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b/>
                <w:bCs/>
                <w:snapToGrid w:val="0"/>
                <w:color w:val="000000"/>
                <w:kern w:val="0"/>
                <w:sz w:val="24"/>
                <w:szCs w:val="24"/>
                <w:lang w:val="en-US" w:eastAsia="zh-CN" w:bidi="ar"/>
              </w:rPr>
              <w:t>1.专长培训。</w:t>
            </w:r>
            <w:r>
              <w:rPr>
                <w:rFonts w:hint="default" w:ascii="Times New Roman" w:hAnsi="Times New Roman" w:eastAsia="宋体" w:cs="Times New Roman"/>
                <w:snapToGrid w:val="0"/>
                <w:color w:val="000000"/>
                <w:kern w:val="0"/>
                <w:sz w:val="24"/>
                <w:szCs w:val="24"/>
                <w:lang w:val="en-US" w:eastAsia="zh-CN" w:bidi="ar"/>
              </w:rPr>
              <w:t>聚焦儿童、青少年的兴趣</w:t>
            </w:r>
            <w:r>
              <w:rPr>
                <w:rFonts w:hint="eastAsia" w:ascii="Times New Roman" w:hAnsi="Times New Roman" w:eastAsia="宋体" w:cs="Times New Roman"/>
                <w:snapToGrid w:val="0"/>
                <w:color w:val="000000"/>
                <w:kern w:val="0"/>
                <w:sz w:val="24"/>
                <w:szCs w:val="24"/>
                <w:lang w:val="en-US" w:eastAsia="zh-CN" w:bidi="ar"/>
              </w:rPr>
              <w:t>、</w:t>
            </w:r>
            <w:r>
              <w:rPr>
                <w:rFonts w:hint="default" w:ascii="Times New Roman" w:hAnsi="Times New Roman" w:eastAsia="宋体" w:cs="Times New Roman"/>
                <w:snapToGrid w:val="0"/>
                <w:color w:val="000000"/>
                <w:kern w:val="0"/>
                <w:sz w:val="24"/>
                <w:szCs w:val="24"/>
                <w:lang w:val="en-US" w:eastAsia="zh-CN" w:bidi="ar"/>
              </w:rPr>
              <w:t>素养</w:t>
            </w:r>
            <w:r>
              <w:rPr>
                <w:rFonts w:hint="eastAsia" w:ascii="Times New Roman" w:hAnsi="Times New Roman" w:eastAsia="宋体" w:cs="Times New Roman"/>
                <w:snapToGrid w:val="0"/>
                <w:color w:val="000000"/>
                <w:kern w:val="0"/>
                <w:sz w:val="24"/>
                <w:szCs w:val="24"/>
                <w:lang w:val="en-US" w:eastAsia="zh-CN" w:bidi="ar"/>
              </w:rPr>
              <w:t>、</w:t>
            </w:r>
            <w:r>
              <w:rPr>
                <w:rFonts w:hint="default" w:ascii="Times New Roman" w:hAnsi="Times New Roman" w:eastAsia="宋体" w:cs="Times New Roman"/>
                <w:snapToGrid w:val="0"/>
                <w:color w:val="000000"/>
                <w:kern w:val="0"/>
                <w:sz w:val="24"/>
                <w:szCs w:val="24"/>
                <w:lang w:val="en-US" w:eastAsia="zh-CN" w:bidi="ar"/>
              </w:rPr>
              <w:t>性格养成</w:t>
            </w:r>
            <w:r>
              <w:rPr>
                <w:rFonts w:hint="eastAsia" w:ascii="Times New Roman" w:hAnsi="Times New Roman" w:eastAsia="宋体" w:cs="Times New Roman"/>
                <w:snapToGrid w:val="0"/>
                <w:color w:val="000000"/>
                <w:kern w:val="0"/>
                <w:sz w:val="24"/>
                <w:szCs w:val="24"/>
                <w:lang w:val="en-US" w:eastAsia="zh-CN" w:bidi="ar"/>
              </w:rPr>
              <w:t>等</w:t>
            </w:r>
            <w:r>
              <w:rPr>
                <w:rFonts w:hint="default" w:ascii="Times New Roman" w:hAnsi="Times New Roman" w:eastAsia="宋体" w:cs="Times New Roman"/>
                <w:snapToGrid w:val="0"/>
                <w:color w:val="000000"/>
                <w:kern w:val="0"/>
                <w:sz w:val="24"/>
                <w:szCs w:val="24"/>
                <w:lang w:val="en-US" w:eastAsia="zh-CN" w:bidi="ar"/>
              </w:rPr>
              <w:t>，重点开展针对3-5岁儿童的兴趣辨识与开发服务、6岁及以后的专长持续培训，培育专长</w:t>
            </w:r>
            <w:r>
              <w:rPr>
                <w:rFonts w:hint="eastAsia" w:ascii="Times New Roman" w:hAnsi="Times New Roman" w:eastAsia="宋体" w:cs="Times New Roman"/>
                <w:snapToGrid w:val="0"/>
                <w:color w:val="000000"/>
                <w:kern w:val="0"/>
                <w:sz w:val="24"/>
                <w:szCs w:val="24"/>
                <w:lang w:val="en-US" w:eastAsia="zh-CN" w:bidi="ar"/>
              </w:rPr>
              <w:t>培训</w:t>
            </w:r>
            <w:r>
              <w:rPr>
                <w:rFonts w:hint="default" w:ascii="Times New Roman" w:hAnsi="Times New Roman" w:eastAsia="宋体" w:cs="Times New Roman"/>
                <w:snapToGrid w:val="0"/>
                <w:color w:val="000000"/>
                <w:kern w:val="0"/>
                <w:sz w:val="24"/>
                <w:szCs w:val="24"/>
                <w:lang w:val="en-US" w:eastAsia="zh-CN" w:bidi="ar"/>
              </w:rPr>
              <w:t>品牌。</w:t>
            </w:r>
          </w:p>
          <w:p w14:paraId="0311C2BE">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b/>
                <w:bCs/>
                <w:snapToGrid w:val="0"/>
                <w:color w:val="000000"/>
                <w:kern w:val="0"/>
                <w:sz w:val="24"/>
                <w:szCs w:val="24"/>
                <w:lang w:val="en-US" w:eastAsia="zh-CN" w:bidi="ar"/>
              </w:rPr>
              <w:t>2.老年教育</w:t>
            </w:r>
            <w:r>
              <w:rPr>
                <w:rFonts w:hint="default" w:ascii="Times New Roman" w:hAnsi="Times New Roman" w:eastAsia="宋体" w:cs="Times New Roman"/>
                <w:snapToGrid w:val="0"/>
                <w:color w:val="000000"/>
                <w:kern w:val="0"/>
                <w:sz w:val="24"/>
                <w:szCs w:val="24"/>
                <w:lang w:val="en-US" w:eastAsia="zh-CN" w:bidi="ar"/>
              </w:rPr>
              <w:t>。重点开展人文艺术与生活美学、健康管理与数字生活、历史地理与旅游研学等服务，构建关注其身心健康、社会适应和精神追求的生态系统，提供更有质量、更有尊严、更丰富多彩的价值生活。</w:t>
            </w:r>
          </w:p>
          <w:p w14:paraId="5D6900CD">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snapToGrid w:val="0"/>
                <w:color w:val="000000"/>
                <w:kern w:val="0"/>
                <w:sz w:val="24"/>
                <w:szCs w:val="24"/>
                <w:lang w:val="en-US" w:eastAsia="zh-CN" w:bidi="ar"/>
              </w:rPr>
            </w:pPr>
            <w:r>
              <w:rPr>
                <w:rFonts w:hint="default" w:ascii="Times New Roman" w:hAnsi="Times New Roman" w:eastAsia="宋体" w:cs="Times New Roman"/>
                <w:b/>
                <w:bCs/>
                <w:snapToGrid w:val="0"/>
                <w:color w:val="000000"/>
                <w:kern w:val="0"/>
                <w:sz w:val="24"/>
                <w:szCs w:val="24"/>
                <w:lang w:val="en-US" w:eastAsia="zh-CN" w:bidi="ar"/>
              </w:rPr>
              <w:t>3.专业培训</w:t>
            </w:r>
            <w:r>
              <w:rPr>
                <w:rFonts w:hint="default" w:ascii="Times New Roman" w:hAnsi="Times New Roman" w:eastAsia="宋体" w:cs="Times New Roman"/>
                <w:snapToGrid w:val="0"/>
                <w:color w:val="000000"/>
                <w:kern w:val="0"/>
                <w:sz w:val="24"/>
                <w:szCs w:val="24"/>
                <w:lang w:val="en-US" w:eastAsia="zh-CN" w:bidi="ar"/>
              </w:rPr>
              <w:t>。重点开展高考补习、考研、考公、雅思、托福等非学科类培训服务，以及软件开发、集成电路设计、工业设计、嵌入式编程、PLC、机器人等工作技能培训服务，鼓励优质培训机构通过连锁经营、集团化发展扩大规模，实现品牌化发展。</w:t>
            </w:r>
          </w:p>
          <w:p w14:paraId="2AA3418A">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宋体" w:cs="Times New Roman"/>
                <w:b w:val="0"/>
                <w:bCs w:val="0"/>
                <w:snapToGrid w:val="0"/>
                <w:color w:val="000000"/>
                <w:kern w:val="0"/>
                <w:sz w:val="24"/>
                <w:szCs w:val="24"/>
                <w:lang w:val="en-US" w:eastAsia="zh-CN" w:bidi="ar"/>
              </w:rPr>
            </w:pPr>
            <w:r>
              <w:rPr>
                <w:rFonts w:hint="default" w:ascii="Times New Roman" w:hAnsi="Times New Roman" w:eastAsia="宋体" w:cs="Times New Roman"/>
                <w:b/>
                <w:bCs/>
                <w:snapToGrid w:val="0"/>
                <w:color w:val="000000"/>
                <w:kern w:val="0"/>
                <w:sz w:val="24"/>
                <w:szCs w:val="24"/>
                <w:lang w:val="en-US" w:eastAsia="zh-CN" w:bidi="ar"/>
              </w:rPr>
              <w:t>4.企业培训。</w:t>
            </w:r>
            <w:r>
              <w:rPr>
                <w:rFonts w:hint="default" w:ascii="Times New Roman" w:hAnsi="Times New Roman" w:eastAsia="宋体" w:cs="Times New Roman"/>
                <w:b w:val="0"/>
                <w:bCs w:val="0"/>
                <w:snapToGrid w:val="0"/>
                <w:color w:val="000000"/>
                <w:kern w:val="0"/>
                <w:sz w:val="24"/>
                <w:szCs w:val="24"/>
                <w:lang w:val="en-US" w:eastAsia="zh-CN" w:bidi="ar"/>
              </w:rPr>
              <w:t>重点开展通用素质培训、领导力与管理发展培训、专业技能与认证培训，以及战略与运营咨询、HR与IT咨询、专业服务咨询等，推动企业咨询与培训融合发展，为企业提供一体化咨询培训解决方案。</w:t>
            </w:r>
          </w:p>
        </w:tc>
      </w:tr>
    </w:tbl>
    <w:p w14:paraId="62034584">
      <w:pPr>
        <w:pStyle w:val="4"/>
        <w:keepNext/>
        <w:keepLines w:val="0"/>
        <w:pageBreakBefore w:val="0"/>
        <w:widowControl w:val="0"/>
        <w:kinsoku/>
        <w:wordWrap/>
        <w:overflowPunct w:val="0"/>
        <w:topLinePunct w:val="0"/>
        <w:autoSpaceDE/>
        <w:autoSpaceDN/>
        <w:bidi w:val="0"/>
        <w:adjustRightInd w:val="0"/>
        <w:snapToGrid w:val="0"/>
        <w:spacing w:before="0" w:beforeAutospacing="0" w:afterAutospacing="0" w:line="576" w:lineRule="exact"/>
        <w:ind w:firstLine="643" w:firstLineChars="200"/>
        <w:textAlignment w:val="baseline"/>
        <w:rPr>
          <w:rFonts w:hint="default" w:ascii="Times New Roman" w:hAnsi="Times New Roman" w:eastAsia="仿宋_GB2312" w:cs="Times New Roman"/>
          <w:sz w:val="32"/>
          <w:szCs w:val="32"/>
          <w:lang w:val="en-US" w:eastAsia="zh-CN"/>
        </w:rPr>
      </w:pPr>
      <w:bookmarkStart w:id="47" w:name="_Toc7707"/>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.居民服务业</w:t>
      </w:r>
      <w:bookmarkEnd w:id="47"/>
    </w:p>
    <w:p w14:paraId="6B1C7C12">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推动房地产业高质量发展，开展家政服务提质扩容行动，强化科技赋能</w:t>
      </w:r>
      <w:r>
        <w:rPr>
          <w:rFonts w:hint="eastAsia" w:ascii="Times New Roman" w:hAnsi="Times New Roman" w:eastAsia="仿宋_GB2312" w:cs="Times New Roman"/>
          <w:bCs/>
          <w:snapToGrid/>
          <w:color w:val="000000"/>
          <w:kern w:val="2"/>
          <w:sz w:val="32"/>
          <w:szCs w:val="32"/>
          <w:lang w:val="en-US" w:eastAsia="zh-CN" w:bidi="ar-SA"/>
        </w:rPr>
        <w:t>，着力</w:t>
      </w:r>
      <w:r>
        <w:rPr>
          <w:rFonts w:hint="default" w:ascii="Times New Roman" w:hAnsi="Times New Roman" w:eastAsia="仿宋_GB2312" w:cs="Times New Roman"/>
          <w:bCs/>
          <w:snapToGrid/>
          <w:color w:val="000000"/>
          <w:kern w:val="2"/>
          <w:sz w:val="32"/>
          <w:szCs w:val="32"/>
          <w:lang w:val="en-US" w:eastAsia="zh-CN" w:bidi="ar-SA"/>
        </w:rPr>
        <w:t>培育智能社区、智能生活</w:t>
      </w:r>
      <w:r>
        <w:rPr>
          <w:rFonts w:hint="eastAsia" w:ascii="Times New Roman" w:hAnsi="Times New Roman" w:eastAsia="仿宋_GB2312" w:cs="Times New Roman"/>
          <w:bCs/>
          <w:snapToGrid/>
          <w:color w:val="000000"/>
          <w:kern w:val="2"/>
          <w:sz w:val="32"/>
          <w:szCs w:val="32"/>
          <w:lang w:val="en-US" w:eastAsia="zh-CN" w:bidi="ar-SA"/>
        </w:rPr>
        <w:t>，将社区打造为安全、便捷、舒适的现代化生活单元，</w:t>
      </w:r>
      <w:r>
        <w:rPr>
          <w:rFonts w:hint="default" w:ascii="Times New Roman" w:hAnsi="Times New Roman" w:eastAsia="仿宋_GB2312" w:cs="Times New Roman"/>
          <w:bCs/>
          <w:snapToGrid/>
          <w:color w:val="000000"/>
          <w:kern w:val="2"/>
          <w:sz w:val="32"/>
          <w:szCs w:val="32"/>
          <w:lang w:val="en-US" w:eastAsia="zh-CN" w:bidi="ar-SA"/>
        </w:rPr>
        <w:t>大力发展社区经济。到2030年，力争房地产和家庭社区服务业增加值超过1000亿元。</w:t>
      </w:r>
    </w:p>
    <w:p w14:paraId="4DC5F0BA">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eastAsia" w:ascii="Times New Roman" w:hAnsi="Times New Roman" w:eastAsia="仿宋_GB2312" w:cs="Times New Roman"/>
          <w:b/>
          <w:bCs w:val="0"/>
          <w:snapToGrid/>
          <w:color w:val="000000"/>
          <w:kern w:val="2"/>
          <w:sz w:val="32"/>
          <w:szCs w:val="32"/>
          <w:lang w:val="en-US" w:eastAsia="zh-CN" w:bidi="ar-SA"/>
        </w:rPr>
        <w:t>住房服务</w:t>
      </w:r>
      <w:r>
        <w:rPr>
          <w:rFonts w:hint="default" w:ascii="Times New Roman" w:hAnsi="Times New Roman" w:eastAsia="仿宋_GB2312" w:cs="Times New Roman"/>
          <w:b/>
          <w:bCs w:val="0"/>
          <w:snapToGrid/>
          <w:color w:val="000000"/>
          <w:kern w:val="2"/>
          <w:sz w:val="32"/>
          <w:szCs w:val="32"/>
          <w:lang w:val="en-US" w:eastAsia="zh-CN" w:bidi="ar-SA"/>
        </w:rPr>
        <w:t>。</w:t>
      </w:r>
      <w:r>
        <w:rPr>
          <w:rFonts w:hint="eastAsia" w:ascii="Times New Roman" w:hAnsi="Times New Roman" w:eastAsia="仿宋_GB2312" w:cs="Times New Roman"/>
          <w:bCs/>
          <w:snapToGrid/>
          <w:color w:val="000000"/>
          <w:kern w:val="2"/>
          <w:sz w:val="32"/>
          <w:szCs w:val="32"/>
          <w:lang w:val="en-US" w:eastAsia="zh-CN" w:bidi="ar-SA"/>
        </w:rPr>
        <w:t>发挥设计引领作用，</w:t>
      </w:r>
      <w:r>
        <w:rPr>
          <w:rFonts w:hint="default" w:ascii="Times New Roman" w:hAnsi="Times New Roman" w:eastAsia="仿宋_GB2312" w:cs="Times New Roman"/>
          <w:bCs/>
          <w:snapToGrid/>
          <w:color w:val="000000"/>
          <w:kern w:val="2"/>
          <w:sz w:val="32"/>
          <w:szCs w:val="32"/>
          <w:lang w:val="en-US" w:eastAsia="zh-CN" w:bidi="ar-SA"/>
        </w:rPr>
        <w:t>实施房屋品质提升工程</w:t>
      </w:r>
      <w:r>
        <w:rPr>
          <w:rFonts w:hint="eastAsia" w:ascii="Times New Roman" w:hAnsi="Times New Roman" w:eastAsia="仿宋_GB2312" w:cs="Times New Roman"/>
          <w:bCs/>
          <w:snapToGrid/>
          <w:color w:val="000000"/>
          <w:kern w:val="2"/>
          <w:sz w:val="32"/>
          <w:szCs w:val="32"/>
          <w:lang w:val="en-US" w:eastAsia="zh-CN" w:bidi="ar-SA"/>
        </w:rPr>
        <w:t>。实施</w:t>
      </w:r>
      <w:r>
        <w:rPr>
          <w:rFonts w:hint="default" w:ascii="Times New Roman" w:hAnsi="Times New Roman" w:eastAsia="仿宋_GB2312" w:cs="Times New Roman"/>
          <w:bCs/>
          <w:snapToGrid/>
          <w:color w:val="000000"/>
          <w:kern w:val="2"/>
          <w:sz w:val="32"/>
          <w:szCs w:val="32"/>
          <w:lang w:val="en-US" w:eastAsia="zh-CN" w:bidi="ar-SA"/>
        </w:rPr>
        <w:t>物业服务质量提升行动，</w:t>
      </w:r>
      <w:r>
        <w:rPr>
          <w:rFonts w:hint="eastAsia" w:ascii="Times New Roman" w:hAnsi="Times New Roman" w:eastAsia="仿宋_GB2312" w:cs="Times New Roman"/>
          <w:bCs/>
          <w:snapToGrid/>
          <w:color w:val="000000"/>
          <w:kern w:val="2"/>
          <w:sz w:val="32"/>
          <w:szCs w:val="32"/>
          <w:lang w:val="en-US" w:eastAsia="zh-CN" w:bidi="ar-SA"/>
        </w:rPr>
        <w:t>扩大物业服务覆盖面，探索</w:t>
      </w:r>
      <w:r>
        <w:rPr>
          <w:rFonts w:hint="default" w:ascii="Times New Roman" w:hAnsi="Times New Roman" w:eastAsia="仿宋_GB2312" w:cs="Times New Roman"/>
          <w:bCs/>
          <w:snapToGrid/>
          <w:color w:val="000000"/>
          <w:kern w:val="2"/>
          <w:sz w:val="32"/>
          <w:szCs w:val="32"/>
          <w:lang w:val="en-US" w:eastAsia="zh-CN" w:bidi="ar-SA"/>
        </w:rPr>
        <w:t>“物业服务+生活服务”模式，推动“物业服务进家庭”。</w:t>
      </w:r>
      <w:r>
        <w:rPr>
          <w:rFonts w:hint="eastAsia" w:ascii="Times New Roman" w:hAnsi="Times New Roman" w:eastAsia="仿宋_GB2312" w:cs="Times New Roman"/>
          <w:bCs/>
          <w:snapToGrid/>
          <w:color w:val="000000"/>
          <w:kern w:val="2"/>
          <w:sz w:val="32"/>
          <w:szCs w:val="32"/>
          <w:lang w:val="en-US" w:eastAsia="zh-CN" w:bidi="ar-SA"/>
        </w:rPr>
        <w:t>建立住房供需平衡机制，逐步建立“人、房、地、钱”四位一体联动长效机制，</w:t>
      </w:r>
      <w:r>
        <w:rPr>
          <w:rFonts w:hint="default" w:ascii="Times New Roman" w:hAnsi="Times New Roman" w:eastAsia="仿宋_GB2312" w:cs="Times New Roman"/>
          <w:bCs/>
          <w:snapToGrid/>
          <w:color w:val="000000"/>
          <w:kern w:val="2"/>
          <w:sz w:val="32"/>
          <w:szCs w:val="32"/>
          <w:lang w:val="en-US" w:eastAsia="zh-CN" w:bidi="ar-SA"/>
        </w:rPr>
        <w:t>完善房屋全生命周期标准，建设“好房子、好小区”</w:t>
      </w:r>
      <w:r>
        <w:rPr>
          <w:rFonts w:hint="eastAsia"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推动房地产业向绿色化、数字化、智慧化、品质化转型，加快构建房地产发展新模式。</w:t>
      </w:r>
      <w:r>
        <w:rPr>
          <w:rFonts w:hint="eastAsia" w:ascii="Times New Roman" w:hAnsi="Times New Roman" w:eastAsia="仿宋_GB2312" w:cs="Times New Roman"/>
          <w:bCs/>
          <w:snapToGrid/>
          <w:color w:val="000000"/>
          <w:kern w:val="2"/>
          <w:sz w:val="32"/>
          <w:szCs w:val="32"/>
          <w:lang w:val="en-US" w:eastAsia="zh-CN" w:bidi="ar-SA"/>
        </w:rPr>
        <w:t>规范发展租赁市场，依法维护租赁双方合法权益。</w:t>
      </w:r>
      <w:r>
        <w:rPr>
          <w:rFonts w:hint="default" w:ascii="Times New Roman" w:hAnsi="Times New Roman" w:eastAsia="仿宋_GB2312" w:cs="Times New Roman"/>
          <w:bCs/>
          <w:snapToGrid/>
          <w:color w:val="000000"/>
          <w:kern w:val="2"/>
          <w:sz w:val="32"/>
          <w:szCs w:val="32"/>
          <w:lang w:val="en-US" w:eastAsia="zh-CN" w:bidi="ar-SA"/>
        </w:rPr>
        <w:t>优化居住配套服务，保障“一老一小”服务承载空间。</w:t>
      </w:r>
    </w:p>
    <w:p w14:paraId="7A643430">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eastAsia"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家政服务</w:t>
      </w:r>
      <w:r>
        <w:rPr>
          <w:rFonts w:hint="eastAsia" w:ascii="Times New Roman" w:hAnsi="Times New Roman" w:eastAsia="仿宋_GB2312" w:cs="Times New Roman"/>
          <w:b/>
          <w:bCs w:val="0"/>
          <w:snapToGrid/>
          <w:color w:val="000000"/>
          <w:kern w:val="2"/>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创新社区集成服务模式，深化一刻钟便民生活圈和城市社区嵌入式服务设施建设，完善居民基本需求类服务业态，构建城市便民生活圈，加快发展社区经济。</w:t>
      </w:r>
      <w:r>
        <w:rPr>
          <w:rFonts w:hint="eastAsia" w:ascii="Times New Roman" w:hAnsi="Times New Roman" w:eastAsia="仿宋_GB2312" w:cs="Times New Roman"/>
          <w:bCs/>
          <w:snapToGrid/>
          <w:color w:val="000000"/>
          <w:kern w:val="2"/>
          <w:sz w:val="32"/>
          <w:szCs w:val="32"/>
          <w:lang w:val="en-US" w:eastAsia="zh-CN" w:bidi="ar-SA"/>
        </w:rPr>
        <w:t>开展家政服务业制度和模式创新，</w:t>
      </w:r>
      <w:r>
        <w:rPr>
          <w:rFonts w:hint="default" w:ascii="Times New Roman" w:hAnsi="Times New Roman" w:eastAsia="仿宋_GB2312" w:cs="Times New Roman"/>
          <w:bCs/>
          <w:snapToGrid/>
          <w:color w:val="000000"/>
          <w:kern w:val="2"/>
          <w:sz w:val="32"/>
          <w:szCs w:val="32"/>
          <w:lang w:val="en-US" w:eastAsia="zh-CN" w:bidi="ar-SA"/>
        </w:rPr>
        <w:t>以信息化平台为纽带拓展新型到家服务，培育“家政+物业”“家政+社区服务”“家政+养老”等新业态，深化家政服务劳务对接，</w:t>
      </w:r>
      <w:r>
        <w:rPr>
          <w:rFonts w:hint="eastAsia" w:ascii="Times New Roman" w:hAnsi="Times New Roman" w:eastAsia="仿宋_GB2312" w:cs="Times New Roman"/>
          <w:bCs/>
          <w:snapToGrid/>
          <w:color w:val="000000"/>
          <w:kern w:val="2"/>
          <w:sz w:val="32"/>
          <w:szCs w:val="32"/>
          <w:lang w:val="en-US" w:eastAsia="zh-CN" w:bidi="ar-SA"/>
        </w:rPr>
        <w:t>提升从业人员素质和专业化服务水平，</w:t>
      </w:r>
      <w:r>
        <w:rPr>
          <w:rFonts w:hint="default" w:ascii="Times New Roman" w:hAnsi="Times New Roman" w:eastAsia="仿宋_GB2312" w:cs="Times New Roman"/>
          <w:bCs/>
          <w:snapToGrid/>
          <w:color w:val="000000"/>
          <w:kern w:val="2"/>
          <w:sz w:val="32"/>
          <w:szCs w:val="32"/>
          <w:lang w:val="en-US" w:eastAsia="zh-CN" w:bidi="ar-SA"/>
        </w:rPr>
        <w:t>完善家政信用体系建设，支持</w:t>
      </w:r>
      <w:r>
        <w:rPr>
          <w:rFonts w:hint="eastAsia" w:ascii="Times New Roman" w:hAnsi="Times New Roman" w:eastAsia="仿宋_GB2312" w:cs="Times New Roman"/>
          <w:bCs/>
          <w:snapToGrid/>
          <w:color w:val="000000"/>
          <w:kern w:val="2"/>
          <w:sz w:val="32"/>
          <w:szCs w:val="32"/>
          <w:lang w:val="en-US" w:eastAsia="zh-CN" w:bidi="ar-SA"/>
        </w:rPr>
        <w:t>家政</w:t>
      </w:r>
      <w:r>
        <w:rPr>
          <w:rFonts w:hint="default" w:ascii="Times New Roman" w:hAnsi="Times New Roman" w:eastAsia="仿宋_GB2312" w:cs="Times New Roman"/>
          <w:bCs/>
          <w:snapToGrid/>
          <w:color w:val="000000"/>
          <w:kern w:val="2"/>
          <w:sz w:val="32"/>
          <w:szCs w:val="32"/>
          <w:lang w:val="en-US" w:eastAsia="zh-CN" w:bidi="ar-SA"/>
        </w:rPr>
        <w:t>企业员工制转型，推进家政服务业专业化、规模化、网络化、规范化发展</w:t>
      </w:r>
      <w:r>
        <w:rPr>
          <w:rFonts w:hint="eastAsia" w:ascii="Times New Roman" w:hAnsi="Times New Roman" w:eastAsia="仿宋_GB2312" w:cs="Times New Roman"/>
          <w:bCs/>
          <w:snapToGrid/>
          <w:color w:val="000000"/>
          <w:kern w:val="2"/>
          <w:sz w:val="32"/>
          <w:szCs w:val="32"/>
          <w:lang w:val="en-US" w:eastAsia="zh-CN" w:bidi="ar-SA"/>
        </w:rPr>
        <w:t>。到2030年，培育24个四星级家政企业。</w:t>
      </w:r>
    </w:p>
    <w:p w14:paraId="51897778">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3" w:firstLineChars="200"/>
        <w:jc w:val="both"/>
        <w:textAlignment w:val="baseline"/>
        <w:rPr>
          <w:rFonts w:hint="eastAsia"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
          <w:bCs w:val="0"/>
          <w:snapToGrid/>
          <w:color w:val="000000"/>
          <w:kern w:val="2"/>
          <w:sz w:val="32"/>
          <w:szCs w:val="32"/>
          <w:lang w:val="en-US" w:eastAsia="zh-CN" w:bidi="ar-SA"/>
        </w:rPr>
        <w:t>托育</w:t>
      </w:r>
      <w:r>
        <w:rPr>
          <w:rFonts w:hint="eastAsia" w:ascii="Times New Roman" w:hAnsi="Times New Roman" w:eastAsia="仿宋_GB2312" w:cs="Times New Roman"/>
          <w:b/>
          <w:bCs w:val="0"/>
          <w:snapToGrid/>
          <w:color w:val="000000"/>
          <w:kern w:val="2"/>
          <w:sz w:val="32"/>
          <w:szCs w:val="32"/>
          <w:lang w:val="en-US" w:eastAsia="zh-CN" w:bidi="ar-SA"/>
        </w:rPr>
        <w:t>托幼</w:t>
      </w:r>
      <w:r>
        <w:rPr>
          <w:rFonts w:hint="default" w:ascii="Times New Roman" w:hAnsi="Times New Roman" w:eastAsia="仿宋_GB2312" w:cs="Times New Roman"/>
          <w:b/>
          <w:bCs w:val="0"/>
          <w:snapToGrid/>
          <w:color w:val="000000"/>
          <w:kern w:val="2"/>
          <w:sz w:val="32"/>
          <w:szCs w:val="32"/>
          <w:lang w:val="en-US" w:eastAsia="zh-CN" w:bidi="ar-SA"/>
        </w:rPr>
        <w:t>服务。</w:t>
      </w:r>
      <w:r>
        <w:rPr>
          <w:rFonts w:hint="default" w:ascii="Times New Roman" w:hAnsi="Times New Roman" w:eastAsia="仿宋_GB2312" w:cs="Times New Roman"/>
          <w:bCs/>
          <w:snapToGrid/>
          <w:color w:val="000000"/>
          <w:kern w:val="2"/>
          <w:sz w:val="32"/>
          <w:szCs w:val="32"/>
          <w:lang w:val="en-US" w:eastAsia="zh-CN" w:bidi="ar-SA"/>
        </w:rPr>
        <w:t>统筹</w:t>
      </w:r>
      <w:r>
        <w:rPr>
          <w:rFonts w:hint="eastAsia" w:ascii="Times New Roman" w:hAnsi="Times New Roman" w:eastAsia="仿宋_GB2312" w:cs="Times New Roman"/>
          <w:bCs/>
          <w:snapToGrid/>
          <w:color w:val="000000"/>
          <w:kern w:val="2"/>
          <w:sz w:val="32"/>
          <w:szCs w:val="32"/>
          <w:lang w:val="en-US" w:eastAsia="zh-CN" w:bidi="ar-SA"/>
        </w:rPr>
        <w:t>布局</w:t>
      </w:r>
      <w:r>
        <w:rPr>
          <w:rFonts w:hint="default" w:ascii="Times New Roman" w:hAnsi="Times New Roman" w:eastAsia="仿宋_GB2312" w:cs="Times New Roman"/>
          <w:bCs/>
          <w:snapToGrid/>
          <w:color w:val="000000"/>
          <w:kern w:val="2"/>
          <w:sz w:val="32"/>
          <w:szCs w:val="32"/>
          <w:lang w:val="en-US" w:eastAsia="zh-CN" w:bidi="ar-SA"/>
        </w:rPr>
        <w:t>普惠性托育服务圈，</w:t>
      </w:r>
      <w:r>
        <w:rPr>
          <w:rFonts w:hint="eastAsia" w:ascii="Times New Roman" w:hAnsi="Times New Roman" w:eastAsia="仿宋_GB2312" w:cs="Times New Roman"/>
          <w:bCs/>
          <w:snapToGrid/>
          <w:color w:val="000000"/>
          <w:kern w:val="2"/>
          <w:sz w:val="32"/>
          <w:szCs w:val="32"/>
          <w:lang w:val="en-US" w:eastAsia="zh-CN" w:bidi="ar-SA"/>
        </w:rPr>
        <w:t>持续做好“长安养育”托育品牌，加快建设城乡普惠托育服务体系。</w:t>
      </w:r>
      <w:r>
        <w:rPr>
          <w:rFonts w:hint="default" w:ascii="Times New Roman" w:hAnsi="Times New Roman" w:eastAsia="仿宋_GB2312" w:cs="Times New Roman"/>
          <w:bCs/>
          <w:snapToGrid/>
          <w:color w:val="000000"/>
          <w:kern w:val="2"/>
          <w:sz w:val="32"/>
          <w:szCs w:val="32"/>
          <w:lang w:val="en-US" w:eastAsia="zh-CN" w:bidi="ar-SA"/>
        </w:rPr>
        <w:t>探索医育结合、临时托管、社区共享育幼等新模式，构建科学、规范的保育体系。建设集机构、报名、监管、育儿知识等功能为一体的西安托育服务政府线上平台，提高行业透明度和管理效率。</w:t>
      </w:r>
      <w:r>
        <w:rPr>
          <w:rFonts w:hint="eastAsia" w:ascii="Times New Roman" w:hAnsi="Times New Roman" w:eastAsia="仿宋_GB2312" w:cs="Times New Roman"/>
          <w:bCs/>
          <w:snapToGrid/>
          <w:color w:val="000000"/>
          <w:kern w:val="2"/>
          <w:sz w:val="32"/>
          <w:szCs w:val="32"/>
          <w:lang w:val="en-US" w:eastAsia="zh-CN" w:bidi="ar-SA"/>
        </w:rPr>
        <w:t>优化布局“向日葵亲子小屋”。支持儿童福利机构拓展社会服务功能，为有需求的残疾儿童提供养护、康复、特教等服务。</w:t>
      </w:r>
      <w:r>
        <w:rPr>
          <w:rFonts w:hint="default" w:ascii="Times New Roman" w:hAnsi="Times New Roman" w:eastAsia="仿宋_GB2312" w:cs="Times New Roman"/>
          <w:bCs/>
          <w:snapToGrid/>
          <w:color w:val="000000"/>
          <w:kern w:val="2"/>
          <w:sz w:val="32"/>
          <w:szCs w:val="32"/>
          <w:lang w:val="en-US" w:eastAsia="zh-CN" w:bidi="ar-SA"/>
        </w:rPr>
        <w:t>探索建设集日间照料、老年助餐、普惠托育等功能于一体的“一老一小综合体”</w:t>
      </w:r>
      <w:r>
        <w:rPr>
          <w:rFonts w:hint="eastAsia" w:ascii="Times New Roman" w:hAnsi="Times New Roman" w:eastAsia="仿宋_GB2312" w:cs="Times New Roman"/>
          <w:bCs/>
          <w:snapToGrid/>
          <w:color w:val="000000"/>
          <w:kern w:val="2"/>
          <w:sz w:val="32"/>
          <w:szCs w:val="32"/>
          <w:lang w:val="en-US" w:eastAsia="zh-CN" w:bidi="ar-SA"/>
        </w:rPr>
        <w:t>。</w:t>
      </w:r>
    </w:p>
    <w:p w14:paraId="4258D42C">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48" w:name="_Toc13686"/>
      <w:r>
        <w:rPr>
          <w:rFonts w:hint="eastAsia" w:ascii="Times New Roman" w:hAnsi="Times New Roman" w:eastAsia="楷体" w:cs="Times New Roman"/>
          <w:b w:val="0"/>
          <w:bCs/>
          <w:lang w:val="en-US" w:eastAsia="zh-CN"/>
        </w:rPr>
        <w:t>（三）</w:t>
      </w:r>
      <w:r>
        <w:rPr>
          <w:rFonts w:hint="default" w:ascii="Times New Roman" w:hAnsi="Times New Roman" w:eastAsia="楷体" w:cs="Times New Roman"/>
          <w:b w:val="0"/>
          <w:bCs/>
          <w:lang w:val="en-US" w:eastAsia="zh-CN"/>
        </w:rPr>
        <w:t>引导服务业融合化发展</w:t>
      </w:r>
      <w:bookmarkEnd w:id="48"/>
    </w:p>
    <w:p w14:paraId="32B6A929">
      <w:pPr>
        <w:pStyle w:val="18"/>
        <w:keepNext/>
        <w:keepLines w:val="0"/>
        <w:pageBreakBefore w:val="0"/>
        <w:widowControl w:val="0"/>
        <w:numPr>
          <w:ilvl w:val="0"/>
          <w:numId w:val="0"/>
        </w:numPr>
        <w:kinsoku/>
        <w:wordWrap/>
        <w:overflowPunct w:val="0"/>
        <w:topLinePunct w:val="0"/>
        <w:autoSpaceDE/>
        <w:autoSpaceDN/>
        <w:bidi w:val="0"/>
        <w:adjustRightInd/>
        <w:snapToGrid/>
        <w:spacing w:line="576" w:lineRule="exact"/>
        <w:ind w:firstLine="640" w:firstLineChars="200"/>
        <w:jc w:val="both"/>
        <w:textAlignment w:val="baseline"/>
        <w:rPr>
          <w:rFonts w:hint="default" w:ascii="Times New Roman" w:hAnsi="Times New Roman" w:eastAsia="仿宋_GB2312" w:cs="Times New Roman"/>
          <w:bCs/>
          <w:snapToGrid/>
          <w:color w:val="000000"/>
          <w:kern w:val="2"/>
          <w:sz w:val="32"/>
          <w:szCs w:val="32"/>
          <w:lang w:val="en-US" w:eastAsia="zh-CN" w:bidi="ar-SA"/>
        </w:rPr>
      </w:pPr>
      <w:r>
        <w:rPr>
          <w:rFonts w:hint="default" w:ascii="Times New Roman" w:hAnsi="Times New Roman" w:eastAsia="仿宋_GB2312" w:cs="Times New Roman"/>
          <w:bCs/>
          <w:snapToGrid/>
          <w:color w:val="000000"/>
          <w:kern w:val="2"/>
          <w:sz w:val="32"/>
          <w:szCs w:val="32"/>
          <w:lang w:val="en-US" w:eastAsia="zh-CN" w:bidi="ar-SA"/>
        </w:rPr>
        <w:t>顺应服务业多维融合发展趋势，探索构建服务业融合发展新机制，实施包容审慎监管，支持需求侧与供给侧共同拓展应用场景，推动服务业细分</w:t>
      </w:r>
      <w:r>
        <w:rPr>
          <w:rFonts w:hint="eastAsia" w:ascii="Times New Roman" w:hAnsi="Times New Roman" w:eastAsia="仿宋_GB2312" w:cs="Times New Roman"/>
          <w:bCs/>
          <w:snapToGrid/>
          <w:color w:val="000000"/>
          <w:kern w:val="2"/>
          <w:sz w:val="32"/>
          <w:szCs w:val="32"/>
          <w:lang w:val="en-US" w:eastAsia="zh-CN" w:bidi="ar-SA"/>
        </w:rPr>
        <w:t>行业</w:t>
      </w:r>
      <w:r>
        <w:rPr>
          <w:rFonts w:hint="default" w:ascii="Times New Roman" w:hAnsi="Times New Roman" w:eastAsia="仿宋_GB2312" w:cs="Times New Roman"/>
          <w:bCs/>
          <w:snapToGrid/>
          <w:color w:val="000000"/>
          <w:kern w:val="2"/>
          <w:sz w:val="32"/>
          <w:szCs w:val="32"/>
          <w:lang w:val="en-US" w:eastAsia="zh-CN" w:bidi="ar-SA"/>
        </w:rPr>
        <w:t>跨界联动、耦合共生，深化服务业产业集群与城市核心功能适配协同，打造特色化复合型服务业融合集群</w:t>
      </w:r>
      <w:r>
        <w:rPr>
          <w:rFonts w:hint="eastAsia" w:ascii="Times New Roman" w:hAnsi="Times New Roman" w:eastAsia="仿宋_GB2312" w:cs="Times New Roman"/>
          <w:bCs/>
          <w:snapToGrid/>
          <w:color w:val="000000"/>
          <w:kern w:val="2"/>
          <w:sz w:val="32"/>
          <w:szCs w:val="32"/>
          <w:lang w:val="en-US" w:eastAsia="zh-CN" w:bidi="ar-SA"/>
        </w:rPr>
        <w:t>，</w:t>
      </w:r>
      <w:r>
        <w:rPr>
          <w:rFonts w:hint="default" w:ascii="Times New Roman" w:hAnsi="Times New Roman" w:eastAsia="仿宋_GB2312" w:cs="Times New Roman"/>
          <w:bCs/>
          <w:snapToGrid/>
          <w:color w:val="000000"/>
          <w:kern w:val="2"/>
          <w:sz w:val="32"/>
          <w:szCs w:val="32"/>
          <w:lang w:val="en-US" w:eastAsia="zh-CN" w:bidi="ar-SA"/>
        </w:rPr>
        <w:t>纵深推进服务业与先进制造业、现代农业、新经济业态跨界融合，聚力培优融合型市场服务主体，持续拓宽服务业发展维度，迭代培育特色化服务业新业态、新集群。</w:t>
      </w:r>
    </w:p>
    <w:tbl>
      <w:tblPr>
        <w:tblStyle w:val="19"/>
        <w:tblW w:w="85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512"/>
      </w:tblGrid>
      <w:tr w14:paraId="190FD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51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14:paraId="1DFFA036">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jc w:val="center"/>
              <w:textAlignment w:val="baseline"/>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b/>
                <w:bCs/>
                <w:sz w:val="30"/>
                <w:szCs w:val="30"/>
                <w:lang w:val="en-US" w:eastAsia="zh-CN"/>
              </w:rPr>
              <w:t>专栏1</w:t>
            </w:r>
            <w:r>
              <w:rPr>
                <w:rFonts w:hint="eastAsia" w:ascii="Times New Roman" w:hAnsi="Times New Roman" w:eastAsia="仿宋_GB2312" w:cs="Times New Roman"/>
                <w:b/>
                <w:bCs/>
                <w:sz w:val="30"/>
                <w:szCs w:val="30"/>
                <w:lang w:val="en-US" w:eastAsia="zh-CN"/>
              </w:rPr>
              <w:t>0</w:t>
            </w:r>
            <w:r>
              <w:rPr>
                <w:rFonts w:hint="default" w:ascii="Times New Roman" w:hAnsi="Times New Roman" w:eastAsia="仿宋_GB2312" w:cs="Times New Roman"/>
                <w:b/>
                <w:bCs/>
                <w:sz w:val="30"/>
                <w:szCs w:val="30"/>
                <w:lang w:val="en-US" w:eastAsia="zh-CN"/>
              </w:rPr>
              <w:t xml:space="preserve"> 融合性服务业重点发展方向</w:t>
            </w:r>
          </w:p>
        </w:tc>
      </w:tr>
      <w:tr w14:paraId="7ADAF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51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top"/>
          </w:tcPr>
          <w:p w14:paraId="0F9272E6">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left="0" w:leftChars="0" w:right="0" w:rightChars="0" w:firstLine="480" w:firstLineChars="200"/>
              <w:jc w:val="both"/>
              <w:textAlignment w:val="baseline"/>
              <w:rPr>
                <w:rFonts w:hint="default" w:ascii="Times New Roman" w:hAnsi="Times New Roman" w:eastAsia="仿宋_GB2312" w:cs="Times New Roman"/>
                <w:i w:val="0"/>
                <w:iCs w:val="0"/>
                <w:caps w:val="0"/>
                <w:snapToGrid w:val="0"/>
                <w:color w:val="333333"/>
                <w:spacing w:val="0"/>
                <w:kern w:val="0"/>
                <w:sz w:val="24"/>
                <w:szCs w:val="24"/>
                <w:lang w:val="en-US" w:eastAsia="zh-CN" w:bidi="ar"/>
              </w:rPr>
            </w:pP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1</w:t>
            </w: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w:t>
            </w:r>
            <w:r>
              <w:rPr>
                <w:rFonts w:hint="default" w:ascii="Times New Roman" w:hAnsi="Times New Roman" w:eastAsia="仿宋_GB2312" w:cs="Times New Roman"/>
                <w:b/>
                <w:bCs/>
                <w:i w:val="0"/>
                <w:iCs w:val="0"/>
                <w:caps w:val="0"/>
                <w:color w:val="333333"/>
                <w:spacing w:val="0"/>
                <w:sz w:val="24"/>
                <w:szCs w:val="24"/>
                <w:lang w:val="en-US" w:eastAsia="zh-CN"/>
              </w:rPr>
              <w:t>制造融合型服务业</w:t>
            </w:r>
            <w:r>
              <w:rPr>
                <w:rFonts w:hint="default" w:ascii="Times New Roman" w:hAnsi="Times New Roman" w:eastAsia="仿宋_GB2312" w:cs="Times New Roman"/>
                <w:i w:val="0"/>
                <w:iCs w:val="0"/>
                <w:caps w:val="0"/>
                <w:color w:val="333333"/>
                <w:spacing w:val="0"/>
                <w:sz w:val="24"/>
                <w:szCs w:val="24"/>
                <w:lang w:val="en-US" w:eastAsia="zh-CN"/>
              </w:rPr>
              <w:t>。</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以装备制造业为根基，陕鼓动力为样本，重点突破智能再造、研发设计、检验检测、现代物流、供应链管理等生产性服务业与新一代电子信息、先进材料、智能网联新能源汽车、智能制造等产业的协同创新，壮大“产品+服务+数据”一体化解决方案的新业态，打通“制造即服务、服务即制造”的无界生态。</w:t>
            </w:r>
          </w:p>
          <w:p w14:paraId="5E431C4D">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288" w:lineRule="auto"/>
              <w:ind w:firstLine="480" w:firstLineChars="200"/>
              <w:textAlignment w:val="baseline"/>
              <w:rPr>
                <w:rFonts w:hint="default" w:ascii="Times New Roman" w:hAnsi="Times New Roman" w:eastAsia="仿宋_GB2312" w:cs="Times New Roman"/>
                <w:i w:val="0"/>
                <w:iCs w:val="0"/>
                <w:caps w:val="0"/>
                <w:snapToGrid w:val="0"/>
                <w:color w:val="333333"/>
                <w:spacing w:val="0"/>
                <w:kern w:val="0"/>
                <w:sz w:val="24"/>
                <w:szCs w:val="24"/>
                <w:lang w:val="en-US" w:eastAsia="zh-CN" w:bidi="ar"/>
              </w:rPr>
            </w:pPr>
            <w:r>
              <w:rPr>
                <w:rFonts w:hint="default" w:ascii="Times New Roman" w:hAnsi="Times New Roman" w:eastAsia="仿宋_GB2312" w:cs="Times New Roman"/>
                <w:i w:val="0"/>
                <w:iCs w:val="0"/>
                <w:caps w:val="0"/>
                <w:color w:val="333333"/>
                <w:spacing w:val="0"/>
                <w:sz w:val="24"/>
                <w:szCs w:val="24"/>
                <w:lang w:val="en-US" w:eastAsia="zh-CN"/>
              </w:rPr>
              <w:t>2.</w:t>
            </w: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数字融合型服务业。</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以数据标注为关键生产要素，依托‌西安“数据要素X”产业基地和西交大、西电等高校数据要素重点实验室，重点推动数字技术在现代物流、健康医疗、文化旅游、商贸流通等领域的应用，打造大模型+金融、大模型+物流、大模型+文旅、大模型+商贸融合场景。</w:t>
            </w:r>
          </w:p>
          <w:p w14:paraId="0ED8BF27">
            <w:pPr>
              <w:pStyle w:val="17"/>
              <w:keepNext/>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88" w:lineRule="auto"/>
              <w:ind w:right="0" w:rightChars="0" w:firstLine="482" w:firstLineChars="200"/>
              <w:jc w:val="both"/>
              <w:textAlignment w:val="baseline"/>
              <w:rPr>
                <w:rFonts w:hint="default" w:ascii="Times New Roman" w:hAnsi="Times New Roman" w:eastAsia="仿宋_GB2312" w:cs="Times New Roman"/>
                <w:i w:val="0"/>
                <w:iCs w:val="0"/>
                <w:caps w:val="0"/>
                <w:snapToGrid w:val="0"/>
                <w:color w:val="333333"/>
                <w:spacing w:val="0"/>
                <w:kern w:val="0"/>
                <w:sz w:val="24"/>
                <w:szCs w:val="24"/>
                <w:lang w:val="en-US" w:eastAsia="zh-CN" w:bidi="ar"/>
              </w:rPr>
            </w:pP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3.低空融合型服务业。</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重点打造数字空域地图、低空智联网、动态调度系统、量子加密传输、检验检测认证及“低空+物流”、“低空+应急”、“低空+文旅”等服务，将浩瀚天空升维为立体服务大走廊，构建空间重构、流程再造、价值倍增的服务业新生态。</w:t>
            </w:r>
          </w:p>
          <w:p w14:paraId="5E607FCE">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288" w:lineRule="auto"/>
              <w:ind w:firstLine="482" w:firstLineChars="200"/>
              <w:textAlignment w:val="baseline"/>
              <w:rPr>
                <w:rFonts w:hint="default" w:ascii="Times New Roman" w:hAnsi="Times New Roman" w:eastAsia="仿宋_GB2312" w:cs="Times New Roman"/>
                <w:i w:val="0"/>
                <w:iCs w:val="0"/>
                <w:caps w:val="0"/>
                <w:snapToGrid w:val="0"/>
                <w:color w:val="333333"/>
                <w:spacing w:val="0"/>
                <w:kern w:val="0"/>
                <w:sz w:val="24"/>
                <w:szCs w:val="24"/>
                <w:lang w:val="en-US" w:eastAsia="zh-CN" w:bidi="ar"/>
              </w:rPr>
            </w:pP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4.社区融合型服务业。</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依托存量适老化社区，深度融合生活服务、智慧治理与商业创新，重点发展“社区+医疗”、“医养结合+康养”、“文化+休憩”、托育养老等集成式、智能化、绿色化社区服务综合体，打造集一站式服务、多元要素融合、老幼关怀于一体的有温度社区服务共生体。</w:t>
            </w:r>
          </w:p>
          <w:p w14:paraId="626B1E68">
            <w:pPr>
              <w:pStyle w:val="18"/>
              <w:keepNext/>
              <w:keepLines w:val="0"/>
              <w:pageBreakBefore w:val="0"/>
              <w:widowControl w:val="0"/>
              <w:numPr>
                <w:ilvl w:val="0"/>
                <w:numId w:val="0"/>
              </w:numPr>
              <w:tabs>
                <w:tab w:val="left" w:pos="307"/>
              </w:tabs>
              <w:kinsoku/>
              <w:wordWrap/>
              <w:overflowPunct w:val="0"/>
              <w:topLinePunct w:val="0"/>
              <w:autoSpaceDE/>
              <w:autoSpaceDN/>
              <w:bidi w:val="0"/>
              <w:adjustRightInd/>
              <w:snapToGrid/>
              <w:spacing w:line="288" w:lineRule="auto"/>
              <w:ind w:firstLine="482" w:firstLineChars="200"/>
              <w:textAlignment w:val="baseline"/>
              <w:rPr>
                <w:rFonts w:hint="default" w:ascii="Times New Roman" w:hAnsi="Times New Roman" w:eastAsia="仿宋_GB2312" w:cs="Times New Roman"/>
                <w:i w:val="0"/>
                <w:iCs w:val="0"/>
                <w:caps w:val="0"/>
                <w:snapToGrid w:val="0"/>
                <w:color w:val="333333"/>
                <w:spacing w:val="0"/>
                <w:kern w:val="0"/>
                <w:sz w:val="24"/>
                <w:szCs w:val="24"/>
                <w:lang w:val="en-US" w:eastAsia="zh-CN" w:bidi="ar"/>
              </w:rPr>
            </w:pPr>
            <w:r>
              <w:rPr>
                <w:rFonts w:hint="default" w:ascii="Times New Roman" w:hAnsi="Times New Roman" w:eastAsia="仿宋_GB2312" w:cs="Times New Roman"/>
                <w:b/>
                <w:bCs/>
                <w:i w:val="0"/>
                <w:iCs w:val="0"/>
                <w:caps w:val="0"/>
                <w:snapToGrid w:val="0"/>
                <w:color w:val="333333"/>
                <w:spacing w:val="0"/>
                <w:kern w:val="0"/>
                <w:sz w:val="24"/>
                <w:szCs w:val="24"/>
                <w:lang w:val="en-US" w:eastAsia="zh-CN" w:bidi="ar"/>
              </w:rPr>
              <w:t>5..农业融合型服务业</w:t>
            </w:r>
            <w:r>
              <w:rPr>
                <w:rFonts w:hint="default" w:ascii="Times New Roman" w:hAnsi="Times New Roman" w:eastAsia="仿宋_GB2312" w:cs="Times New Roman"/>
                <w:i w:val="0"/>
                <w:iCs w:val="0"/>
                <w:caps w:val="0"/>
                <w:snapToGrid w:val="0"/>
                <w:color w:val="333333"/>
                <w:spacing w:val="0"/>
                <w:kern w:val="0"/>
                <w:sz w:val="24"/>
                <w:szCs w:val="24"/>
                <w:lang w:val="en-US" w:eastAsia="zh-CN" w:bidi="ar"/>
              </w:rPr>
              <w:t>。加快现代农业与服务业的融合升级，重点发展涵盖农业生产管理、观光体验全链条的农业服务，特别是经济作物的智能机器人采摘服务、无人机植保服务、农文旅服务等，构建“种养结合、农旅互促”新业态，打造“农业基地+中央厨房+餐饮终端+食育服务”的全产业链模式。</w:t>
            </w:r>
          </w:p>
        </w:tc>
      </w:tr>
      <w:bookmarkEnd w:id="38"/>
    </w:tbl>
    <w:p w14:paraId="744180FF">
      <w:pPr>
        <w:pStyle w:val="3"/>
        <w:keepNext/>
        <w:keepLines w:val="0"/>
        <w:pageBreakBefore w:val="0"/>
        <w:widowControl w:val="0"/>
        <w:kinsoku/>
        <w:wordWrap/>
        <w:overflowPunct w:val="0"/>
        <w:topLinePunct w:val="0"/>
        <w:autoSpaceDE/>
        <w:autoSpaceDN/>
        <w:bidi w:val="0"/>
        <w:adjustRightInd w:val="0"/>
        <w:snapToGrid w:val="0"/>
        <w:spacing w:line="600" w:lineRule="exact"/>
        <w:ind w:leftChars="0"/>
        <w:jc w:val="left"/>
        <w:textAlignment w:val="baseline"/>
        <w:rPr>
          <w:rFonts w:hint="default" w:ascii="Times New Roman" w:hAnsi="Times New Roman" w:eastAsia="黑体" w:cs="Times New Roman"/>
          <w:b w:val="0"/>
          <w:bCs/>
          <w:sz w:val="32"/>
          <w:szCs w:val="32"/>
          <w:lang w:val="en-US" w:eastAsia="zh-CN"/>
        </w:rPr>
      </w:pPr>
      <w:bookmarkStart w:id="49" w:name="_Toc29380"/>
      <w:bookmarkStart w:id="50" w:name="_Toc4851"/>
      <w:bookmarkStart w:id="51" w:name="_Toc9005"/>
      <w:r>
        <w:rPr>
          <w:rFonts w:hint="default" w:ascii="Times New Roman" w:hAnsi="Times New Roman" w:eastAsia="黑体" w:cs="Times New Roman"/>
          <w:b w:val="0"/>
          <w:bCs/>
          <w:sz w:val="32"/>
          <w:szCs w:val="32"/>
          <w:lang w:val="en-US" w:eastAsia="zh-CN"/>
        </w:rPr>
        <w:t>五、</w:t>
      </w:r>
      <w:bookmarkEnd w:id="49"/>
      <w:bookmarkEnd w:id="50"/>
      <w:r>
        <w:rPr>
          <w:rFonts w:hint="default" w:ascii="Times New Roman" w:hAnsi="Times New Roman" w:eastAsia="黑体" w:cs="Times New Roman"/>
          <w:b w:val="0"/>
          <w:bCs/>
          <w:sz w:val="32"/>
          <w:szCs w:val="32"/>
          <w:lang w:val="en-US" w:eastAsia="zh-CN"/>
        </w:rPr>
        <w:t>重点行动</w:t>
      </w:r>
      <w:bookmarkEnd w:id="51"/>
    </w:p>
    <w:p w14:paraId="3CE36179">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52" w:name="_Toc22883"/>
      <w:bookmarkStart w:id="53" w:name="_Toc6708"/>
      <w:bookmarkStart w:id="54" w:name="_Toc20779"/>
      <w:bookmarkStart w:id="55" w:name="_Toc12681"/>
      <w:bookmarkStart w:id="56" w:name="_Toc20682"/>
      <w:bookmarkStart w:id="57" w:name="_Toc2570"/>
      <w:bookmarkStart w:id="58" w:name="_Toc6414"/>
      <w:r>
        <w:rPr>
          <w:rFonts w:hint="default" w:ascii="Times New Roman" w:hAnsi="Times New Roman" w:eastAsia="楷体" w:cs="Times New Roman"/>
          <w:b w:val="0"/>
          <w:bCs/>
          <w:lang w:val="en-US" w:eastAsia="zh-CN"/>
        </w:rPr>
        <w:t>（一）加大场景开放</w:t>
      </w:r>
      <w:r>
        <w:rPr>
          <w:rFonts w:hint="eastAsia" w:ascii="Times New Roman" w:hAnsi="Times New Roman" w:eastAsia="楷体" w:cs="Times New Roman"/>
          <w:b w:val="0"/>
          <w:bCs/>
          <w:lang w:val="en-US" w:eastAsia="zh-CN"/>
        </w:rPr>
        <w:t>应用</w:t>
      </w:r>
      <w:r>
        <w:rPr>
          <w:rFonts w:hint="default" w:ascii="Times New Roman" w:hAnsi="Times New Roman" w:eastAsia="楷体" w:cs="Times New Roman"/>
          <w:b w:val="0"/>
          <w:bCs/>
          <w:lang w:val="en-US" w:eastAsia="zh-CN"/>
        </w:rPr>
        <w:t>行动</w:t>
      </w:r>
      <w:bookmarkEnd w:id="52"/>
    </w:p>
    <w:bookmarkEnd w:id="53"/>
    <w:bookmarkEnd w:id="54"/>
    <w:bookmarkEnd w:id="55"/>
    <w:bookmarkEnd w:id="56"/>
    <w:p w14:paraId="6D074AB0">
      <w:pPr>
        <w:keepLines w:val="0"/>
        <w:pageBreakBefore w:val="0"/>
        <w:widowControl w:val="0"/>
        <w:kinsoku/>
        <w:wordWrap/>
        <w:overflowPunct w:val="0"/>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r>
        <w:rPr>
          <w:rFonts w:hint="default" w:ascii="Times New Roman" w:hAnsi="Times New Roman" w:eastAsia="仿宋_GB2312" w:cs="Times New Roman"/>
          <w:b w:val="0"/>
          <w:bCs w:val="0"/>
          <w:snapToGrid/>
          <w:kern w:val="0"/>
          <w:sz w:val="32"/>
          <w:szCs w:val="32"/>
          <w:lang w:val="en-US" w:eastAsia="zh-CN" w:bidi="ar-SA"/>
        </w:rPr>
        <w:t>推动科技创新与产业创新深度融合，立足特大城市丰富应用场景优势和重点产业链群广阔的需求市场，持续放宽市场准入、畅通要素自由流动，完善新业态新领域制度体系和市场环境，聚焦先进制造、数字经济、智慧物流、文旅融合、智慧城市、清洁能源等重点赛道打造一批标志性服务场景，推动新技术、新产品规模化、产业化落地应用，构建“新需求牵引、新供给准入、新场景验证、新品牌突围”协同创新体系，充分激活创新要素活力、释放内生发展动力，做强智能经济、扩容服务消费，加快构筑服务业高质量发展新支撑。</w:t>
      </w:r>
    </w:p>
    <w:p w14:paraId="74E18AC1">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59" w:name="_Toc10401"/>
      <w:r>
        <w:rPr>
          <w:rFonts w:hint="default" w:ascii="Times New Roman" w:hAnsi="Times New Roman" w:eastAsia="楷体" w:cs="Times New Roman"/>
          <w:b w:val="0"/>
          <w:bCs/>
          <w:lang w:val="en-US" w:eastAsia="zh-CN"/>
        </w:rPr>
        <w:t>（二）开展</w:t>
      </w:r>
      <w:r>
        <w:rPr>
          <w:rFonts w:hint="eastAsia" w:ascii="Times New Roman" w:hAnsi="Times New Roman" w:eastAsia="楷体" w:cs="Times New Roman"/>
          <w:b w:val="0"/>
          <w:bCs/>
          <w:lang w:val="en-US" w:eastAsia="zh-CN"/>
        </w:rPr>
        <w:t>数智转型赋能</w:t>
      </w:r>
      <w:r>
        <w:rPr>
          <w:rFonts w:hint="default" w:ascii="Times New Roman" w:hAnsi="Times New Roman" w:eastAsia="楷体" w:cs="Times New Roman"/>
          <w:b w:val="0"/>
          <w:bCs/>
          <w:lang w:val="en-US" w:eastAsia="zh-CN"/>
        </w:rPr>
        <w:t>行动</w:t>
      </w:r>
      <w:bookmarkEnd w:id="59"/>
    </w:p>
    <w:p w14:paraId="4C9FB69C">
      <w:pPr>
        <w:pStyle w:val="17"/>
        <w:keepNext/>
        <w:keepLines w:val="0"/>
        <w:pageBreakBefore w:val="0"/>
        <w:widowControl w:val="0"/>
        <w:kinsoku/>
        <w:wordWrap/>
        <w:overflowPunct w:val="0"/>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snapToGrid/>
          <w:kern w:val="0"/>
          <w:sz w:val="32"/>
          <w:szCs w:val="32"/>
          <w:lang w:val="en-US" w:eastAsia="zh-CN" w:bidi="ar-SA"/>
        </w:rPr>
      </w:pPr>
      <w:r>
        <w:rPr>
          <w:rFonts w:eastAsia="仿宋_GB2312"/>
          <w:kern w:val="0"/>
          <w:sz w:val="32"/>
          <w:szCs w:val="32"/>
        </w:rPr>
        <w:t>加快服务业数智化发展，推动金融服务、现代物流、检验检测等生产性服务业数字化转型，大力发展数智供应链。</w:t>
      </w:r>
      <w:r>
        <w:rPr>
          <w:rFonts w:hint="default" w:ascii="Times New Roman" w:hAnsi="Times New Roman" w:eastAsia="仿宋_GB2312" w:cs="Times New Roman"/>
          <w:snapToGrid/>
          <w:kern w:val="0"/>
          <w:sz w:val="32"/>
          <w:szCs w:val="32"/>
          <w:lang w:val="en-US" w:eastAsia="zh-CN" w:bidi="ar-SA"/>
        </w:rPr>
        <w:t>构建全市一体化数字资源管理服务中枢平台，畅通数据要素流通渠道，高效释放数据资源价值</w:t>
      </w:r>
      <w:r>
        <w:rPr>
          <w:rFonts w:hint="eastAsia" w:ascii="Times New Roman" w:hAnsi="Times New Roman" w:eastAsia="仿宋_GB2312" w:cs="Times New Roman"/>
          <w:snapToGrid/>
          <w:kern w:val="0"/>
          <w:sz w:val="32"/>
          <w:szCs w:val="32"/>
          <w:lang w:val="en-US" w:eastAsia="zh-CN" w:bidi="ar-SA"/>
        </w:rPr>
        <w:t>，</w:t>
      </w:r>
      <w:r>
        <w:rPr>
          <w:rFonts w:hint="default" w:ascii="Times New Roman" w:hAnsi="Times New Roman" w:eastAsia="仿宋_GB2312" w:cs="Times New Roman"/>
          <w:snapToGrid/>
          <w:kern w:val="0"/>
          <w:sz w:val="32"/>
          <w:szCs w:val="32"/>
          <w:lang w:val="en-US" w:eastAsia="zh-CN" w:bidi="ar-SA"/>
        </w:rPr>
        <w:t>赋能产业开发利用。</w:t>
      </w:r>
      <w:r>
        <w:rPr>
          <w:rFonts w:eastAsia="仿宋_GB2312"/>
          <w:kern w:val="0"/>
          <w:sz w:val="32"/>
          <w:szCs w:val="32"/>
        </w:rPr>
        <w:t>丰富商贸、文化、旅游、健康、托育、家政、体育等生活性服务业数字化应用场景</w:t>
      </w:r>
      <w:r>
        <w:rPr>
          <w:rFonts w:hint="default" w:ascii="Times New Roman" w:hAnsi="Times New Roman" w:eastAsia="仿宋_GB2312" w:cs="Times New Roman"/>
          <w:snapToGrid/>
          <w:kern w:val="0"/>
          <w:sz w:val="32"/>
          <w:szCs w:val="32"/>
          <w:lang w:val="en-US" w:eastAsia="zh-CN" w:bidi="ar-SA"/>
        </w:rPr>
        <w:t>，扶持电竞经济、社交电商、直播电商等产业健康发展。纵深推进数字家庭建设，完善智慧居住配套服务，持续提升群众高品质生活宜居水平。</w:t>
      </w:r>
    </w:p>
    <w:p w14:paraId="049AFBFB">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60" w:name="_Toc21884"/>
      <w:r>
        <w:rPr>
          <w:rFonts w:hint="default" w:ascii="Times New Roman" w:hAnsi="Times New Roman" w:eastAsia="楷体" w:cs="Times New Roman"/>
          <w:b w:val="0"/>
          <w:bCs/>
          <w:lang w:val="en-US" w:eastAsia="zh-CN"/>
        </w:rPr>
        <w:t>（三）提升产业融合质效行动</w:t>
      </w:r>
      <w:bookmarkEnd w:id="60"/>
    </w:p>
    <w:p w14:paraId="253D2925">
      <w:pPr>
        <w:keepLines w:val="0"/>
        <w:pageBreakBefore w:val="0"/>
        <w:widowControl w:val="0"/>
        <w:kinsoku/>
        <w:wordWrap/>
        <w:overflowPunct w:val="0"/>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r>
        <w:rPr>
          <w:rFonts w:hint="default" w:ascii="Times New Roman" w:hAnsi="Times New Roman" w:eastAsia="仿宋_GB2312" w:cs="Times New Roman"/>
          <w:snapToGrid/>
          <w:kern w:val="0"/>
          <w:sz w:val="32"/>
          <w:szCs w:val="32"/>
          <w:lang w:val="en-US" w:eastAsia="zh-CN" w:bidi="ar-SA"/>
        </w:rPr>
        <w:t>全面推进产业数字化转型，推动传统制造装备联网升级、关键工序数控化改造，迭代优化生产工艺流程与核心装备技术，统筹</w:t>
      </w:r>
      <w:r>
        <w:rPr>
          <w:rFonts w:hint="eastAsia" w:ascii="Times New Roman" w:hAnsi="Times New Roman" w:eastAsia="仿宋_GB2312" w:cs="Times New Roman"/>
          <w:snapToGrid/>
          <w:kern w:val="0"/>
          <w:sz w:val="32"/>
          <w:szCs w:val="32"/>
          <w:lang w:val="en-US" w:eastAsia="zh-CN" w:bidi="ar-SA"/>
        </w:rPr>
        <w:t>推进智能工厂梯度培育</w:t>
      </w:r>
      <w:r>
        <w:rPr>
          <w:rFonts w:hint="default" w:ascii="Times New Roman" w:hAnsi="Times New Roman" w:eastAsia="仿宋_GB2312" w:cs="Times New Roman"/>
          <w:snapToGrid/>
          <w:kern w:val="0"/>
          <w:sz w:val="32"/>
          <w:szCs w:val="32"/>
          <w:lang w:val="en-US" w:eastAsia="zh-CN" w:bidi="ar-SA"/>
        </w:rPr>
        <w:t>。</w:t>
      </w:r>
      <w:r>
        <w:rPr>
          <w:rFonts w:eastAsia="仿宋_GB2312"/>
          <w:kern w:val="0"/>
          <w:sz w:val="32"/>
          <w:szCs w:val="32"/>
        </w:rPr>
        <w:t>推动人工智能、软件和信息服务、研发设计、节能环保、金融服务、商务服务等现代服务业赋能制造业发展，提升先进制造业核心竞争力。推动汽车、航空航天、工业母机、光伏、医疗器械、传感器、先进材料等制造业向服务业延伸产业链条，发展定制化服务、专业化配套等融合业态。</w:t>
      </w:r>
    </w:p>
    <w:p w14:paraId="1BB4DCE4">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61" w:name="_Toc28315"/>
      <w:r>
        <w:rPr>
          <w:rFonts w:hint="default" w:ascii="Times New Roman" w:hAnsi="Times New Roman" w:eastAsia="楷体" w:cs="Times New Roman"/>
          <w:b w:val="0"/>
          <w:bCs/>
          <w:lang w:val="en-US" w:eastAsia="zh-CN"/>
        </w:rPr>
        <w:t>（四）实施服务消费惠民行动</w:t>
      </w:r>
      <w:bookmarkEnd w:id="61"/>
    </w:p>
    <w:p w14:paraId="43AF9FC3">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仿宋_GB2312" w:cs="Times New Roman"/>
          <w:bCs/>
          <w:snapToGrid/>
          <w:kern w:val="2"/>
          <w:sz w:val="32"/>
          <w:szCs w:val="32"/>
          <w:lang w:eastAsia="zh-CN"/>
        </w:rPr>
      </w:pPr>
      <w:r>
        <w:rPr>
          <w:rFonts w:hint="default" w:ascii="Times New Roman" w:hAnsi="Times New Roman" w:eastAsia="仿宋_GB2312" w:cs="Times New Roman"/>
          <w:bCs/>
          <w:snapToGrid/>
          <w:kern w:val="2"/>
          <w:sz w:val="32"/>
          <w:szCs w:val="32"/>
          <w:lang w:eastAsia="zh-CN"/>
        </w:rPr>
        <w:t>常态化推进消费品以旧换新，</w:t>
      </w:r>
      <w:r>
        <w:rPr>
          <w:rFonts w:hint="eastAsia" w:ascii="Times New Roman" w:hAnsi="Times New Roman" w:eastAsia="仿宋_GB2312" w:cs="Times New Roman"/>
          <w:bCs/>
          <w:snapToGrid/>
          <w:kern w:val="2"/>
          <w:sz w:val="32"/>
          <w:szCs w:val="32"/>
          <w:lang w:eastAsia="zh-CN"/>
        </w:rPr>
        <w:t>促进</w:t>
      </w:r>
      <w:r>
        <w:rPr>
          <w:rFonts w:hint="default" w:ascii="Times New Roman" w:hAnsi="Times New Roman" w:eastAsia="仿宋_GB2312" w:cs="Times New Roman"/>
          <w:bCs/>
          <w:snapToGrid/>
          <w:kern w:val="2"/>
          <w:sz w:val="32"/>
          <w:szCs w:val="32"/>
          <w:lang w:eastAsia="zh-CN"/>
        </w:rPr>
        <w:t>消费结构提质升级、惠民利民。持续深化“西安好物”“夜西安”城市消费品牌建设，聚焦民生关联紧密、市场空间广阔、产业带动性强的重点领域，组织开展“服务消费季”系列促消费主题活动，系统培育特色服务消费品牌，聚力打造集聚度高、辐射力强的服务消费热点。积极培育壮大“互联网+”新型消费业态，以数字技术赋能培育消费新增量，以业态跨界融合创新消费供给体系，以优质品牌引领消费品质升级，打造一批必购、必吃、可玩、可观的特色消费场景，全面激活区域消费内生动力。</w:t>
      </w:r>
    </w:p>
    <w:p w14:paraId="3D34B886">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62" w:name="_Toc13786"/>
      <w:r>
        <w:rPr>
          <w:rFonts w:hint="default" w:ascii="Times New Roman" w:hAnsi="Times New Roman" w:eastAsia="楷体" w:cs="Times New Roman"/>
          <w:b w:val="0"/>
          <w:bCs/>
          <w:lang w:val="en-US" w:eastAsia="zh-CN"/>
        </w:rPr>
        <w:t>（五）推进</w:t>
      </w:r>
      <w:r>
        <w:rPr>
          <w:rFonts w:hint="eastAsia" w:ascii="Times New Roman" w:hAnsi="Times New Roman" w:eastAsia="楷体" w:cs="Times New Roman"/>
          <w:b w:val="0"/>
          <w:bCs/>
          <w:lang w:val="en-US" w:eastAsia="zh-CN"/>
        </w:rPr>
        <w:t>扩大</w:t>
      </w:r>
      <w:r>
        <w:rPr>
          <w:rFonts w:hint="default" w:ascii="Times New Roman" w:hAnsi="Times New Roman" w:eastAsia="楷体" w:cs="Times New Roman"/>
          <w:b w:val="0"/>
          <w:bCs/>
          <w:lang w:val="en-US" w:eastAsia="zh-CN"/>
        </w:rPr>
        <w:t>开放试点行动</w:t>
      </w:r>
      <w:bookmarkEnd w:id="62"/>
    </w:p>
    <w:p w14:paraId="39D60741">
      <w:pPr>
        <w:keepLines w:val="0"/>
        <w:pageBreakBefore w:val="0"/>
        <w:widowControl w:val="0"/>
        <w:kinsoku/>
        <w:wordWrap/>
        <w:overflowPunct w:val="0"/>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r>
        <w:rPr>
          <w:rFonts w:hint="default" w:ascii="Times New Roman" w:hAnsi="Times New Roman" w:eastAsia="仿宋_GB2312" w:cs="Times New Roman"/>
          <w:b w:val="0"/>
          <w:bCs w:val="0"/>
          <w:snapToGrid/>
          <w:kern w:val="0"/>
          <w:sz w:val="32"/>
          <w:szCs w:val="32"/>
          <w:lang w:val="en-US" w:eastAsia="zh-CN" w:bidi="ar-SA"/>
        </w:rPr>
        <w:t>推进服务业扩大开放综合试点，</w:t>
      </w:r>
      <w:r>
        <w:rPr>
          <w:rFonts w:eastAsia="仿宋_GB2312"/>
          <w:sz w:val="32"/>
          <w:szCs w:val="32"/>
        </w:rPr>
        <w:t>健全制度保障、优化平台支撑、突出场景承载、坚持项目推进，深入</w:t>
      </w:r>
      <w:r>
        <w:rPr>
          <w:rFonts w:hint="eastAsia" w:ascii="Times New Roman" w:hAnsi="Times New Roman" w:eastAsia="仿宋_GB2312" w:cs="Times New Roman"/>
          <w:b w:val="0"/>
          <w:bCs w:val="0"/>
          <w:snapToGrid/>
          <w:kern w:val="0"/>
          <w:sz w:val="32"/>
          <w:szCs w:val="32"/>
          <w:lang w:val="en-US" w:eastAsia="zh-CN" w:bidi="ar-SA"/>
        </w:rPr>
        <w:t>推进</w:t>
      </w:r>
      <w:r>
        <w:rPr>
          <w:rFonts w:hint="eastAsia" w:ascii="仿宋_GB2312" w:hAnsi="仿宋_GB2312" w:eastAsia="仿宋_GB2312" w:cs="仿宋_GB2312"/>
          <w:b w:val="0"/>
          <w:bCs/>
          <w:snapToGrid/>
          <w:color w:val="000000"/>
          <w:kern w:val="2"/>
          <w:sz w:val="32"/>
          <w:szCs w:val="32"/>
          <w:lang w:val="en-US" w:eastAsia="zh-CN" w:bidi="ar-SA"/>
        </w:rPr>
        <w:t>电信服务、数字产业、医疗康养、金融服务、交通运输、商贸文旅</w:t>
      </w:r>
      <w:r>
        <w:rPr>
          <w:rFonts w:hint="default" w:ascii="Times New Roman" w:hAnsi="Times New Roman" w:eastAsia="仿宋_GB2312" w:cs="Times New Roman"/>
          <w:b w:val="0"/>
          <w:bCs w:val="0"/>
          <w:snapToGrid/>
          <w:kern w:val="0"/>
          <w:sz w:val="32"/>
          <w:szCs w:val="32"/>
          <w:lang w:val="en-US" w:eastAsia="zh-CN" w:bidi="ar-SA"/>
        </w:rPr>
        <w:t>等领域任务，有序扩大规则、规制、管理、标准等制度型开放。重点围绕西安区域科技创新中心和中欧班列经济圈建设，深化与共建“一带一路”国家务实合作。</w:t>
      </w:r>
      <w:r>
        <w:rPr>
          <w:rFonts w:hint="eastAsia" w:ascii="Times New Roman" w:hAnsi="Times New Roman" w:eastAsia="仿宋_GB2312" w:cs="Times New Roman"/>
          <w:b w:val="0"/>
          <w:bCs w:val="0"/>
          <w:snapToGrid/>
          <w:kern w:val="0"/>
          <w:sz w:val="32"/>
          <w:szCs w:val="32"/>
          <w:lang w:val="en-US" w:eastAsia="zh-CN" w:bidi="ar-SA"/>
        </w:rPr>
        <w:t>统筹</w:t>
      </w:r>
      <w:r>
        <w:rPr>
          <w:rFonts w:hint="default" w:ascii="Times New Roman" w:hAnsi="Times New Roman" w:eastAsia="仿宋_GB2312" w:cs="Times New Roman"/>
          <w:b w:val="0"/>
          <w:bCs w:val="0"/>
          <w:snapToGrid/>
          <w:kern w:val="0"/>
          <w:sz w:val="32"/>
          <w:szCs w:val="32"/>
          <w:lang w:val="en-US" w:eastAsia="zh-CN" w:bidi="ar-SA"/>
        </w:rPr>
        <w:t>人力资源、中医药、地理信息</w:t>
      </w:r>
      <w:r>
        <w:rPr>
          <w:rFonts w:hint="eastAsia" w:ascii="Times New Roman" w:hAnsi="Times New Roman" w:eastAsia="仿宋_GB2312" w:cs="Times New Roman"/>
          <w:b w:val="0"/>
          <w:bCs w:val="0"/>
          <w:snapToGrid/>
          <w:kern w:val="0"/>
          <w:sz w:val="32"/>
          <w:szCs w:val="32"/>
          <w:lang w:val="en-US" w:eastAsia="zh-CN" w:bidi="ar-SA"/>
        </w:rPr>
        <w:t>等</w:t>
      </w:r>
      <w:r>
        <w:rPr>
          <w:rFonts w:hint="default" w:ascii="Times New Roman" w:hAnsi="Times New Roman" w:eastAsia="仿宋_GB2312" w:cs="Times New Roman"/>
          <w:b w:val="0"/>
          <w:bCs w:val="0"/>
          <w:snapToGrid/>
          <w:kern w:val="0"/>
          <w:sz w:val="32"/>
          <w:szCs w:val="32"/>
          <w:lang w:val="en-US" w:eastAsia="zh-CN" w:bidi="ar-SA"/>
        </w:rPr>
        <w:t>服务出口基地资源，建设国家服务贸易创新发展示范区。</w:t>
      </w:r>
    </w:p>
    <w:p w14:paraId="4E3044B5">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63" w:name="_Toc4916"/>
      <w:r>
        <w:rPr>
          <w:rFonts w:hint="default" w:ascii="Times New Roman" w:hAnsi="Times New Roman" w:eastAsia="楷体" w:cs="Times New Roman"/>
          <w:b w:val="0"/>
          <w:bCs/>
          <w:lang w:val="en-US" w:eastAsia="zh-CN"/>
        </w:rPr>
        <w:t>（六）倡导服务绿色发展行动</w:t>
      </w:r>
      <w:bookmarkEnd w:id="63"/>
    </w:p>
    <w:p w14:paraId="182A1E0E">
      <w:pPr>
        <w:keepLines w:val="0"/>
        <w:pageBreakBefore w:val="0"/>
        <w:widowControl w:val="0"/>
        <w:kinsoku/>
        <w:wordWrap/>
        <w:overflowPunct w:val="0"/>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r>
        <w:rPr>
          <w:rFonts w:hint="default" w:ascii="Times New Roman" w:hAnsi="Times New Roman" w:eastAsia="仿宋_GB2312" w:cs="Times New Roman"/>
          <w:b w:val="0"/>
          <w:bCs w:val="0"/>
          <w:snapToGrid/>
          <w:kern w:val="0"/>
          <w:sz w:val="32"/>
          <w:szCs w:val="32"/>
          <w:lang w:val="en-US" w:eastAsia="zh-CN" w:bidi="ar-SA"/>
        </w:rPr>
        <w:t>全域推广新能源与清洁能源规模化应用，严格落实废旧物资回收目标责任制。全面宣贯绿色低碳服务标准、认证及标识体系，推广普及先进绿色低碳技术装备，布局建设低碳社区服务</w:t>
      </w:r>
      <w:r>
        <w:rPr>
          <w:rFonts w:hint="eastAsia" w:ascii="Times New Roman" w:hAnsi="Times New Roman" w:eastAsia="仿宋_GB2312" w:cs="Times New Roman"/>
          <w:b w:val="0"/>
          <w:bCs w:val="0"/>
          <w:snapToGrid/>
          <w:kern w:val="0"/>
          <w:sz w:val="32"/>
          <w:szCs w:val="32"/>
          <w:lang w:val="en-US" w:eastAsia="zh-CN" w:bidi="ar-SA"/>
        </w:rPr>
        <w:t>点</w:t>
      </w:r>
      <w:r>
        <w:rPr>
          <w:rFonts w:hint="default" w:ascii="Times New Roman" w:hAnsi="Times New Roman" w:eastAsia="仿宋_GB2312" w:cs="Times New Roman"/>
          <w:b w:val="0"/>
          <w:bCs w:val="0"/>
          <w:snapToGrid/>
          <w:kern w:val="0"/>
          <w:sz w:val="32"/>
          <w:szCs w:val="32"/>
          <w:lang w:val="en-US" w:eastAsia="zh-CN" w:bidi="ar-SA"/>
        </w:rPr>
        <w:t>，持续提升家装改造、交通出行、文旅消费、快递物流等领域绿色化发展水平，推动供应链上下游协同降碳减碳。健全再生资源回收利用体系，规范发展资源回收循环利用产业。</w:t>
      </w:r>
      <w:r>
        <w:rPr>
          <w:rFonts w:hint="eastAsia" w:ascii="Times New Roman" w:hAnsi="Times New Roman" w:eastAsia="仿宋_GB2312" w:cs="Times New Roman"/>
          <w:b w:val="0"/>
          <w:bCs w:val="0"/>
          <w:snapToGrid/>
          <w:kern w:val="0"/>
          <w:sz w:val="32"/>
          <w:szCs w:val="32"/>
          <w:lang w:val="en-US" w:eastAsia="zh-CN" w:bidi="ar-SA"/>
        </w:rPr>
        <w:t>积极</w:t>
      </w:r>
      <w:r>
        <w:rPr>
          <w:rFonts w:hint="default" w:ascii="Times New Roman" w:hAnsi="Times New Roman" w:eastAsia="仿宋_GB2312" w:cs="Times New Roman"/>
          <w:b w:val="0"/>
          <w:bCs w:val="0"/>
          <w:snapToGrid/>
          <w:kern w:val="0"/>
          <w:sz w:val="32"/>
          <w:szCs w:val="32"/>
          <w:lang w:val="en-US" w:eastAsia="zh-CN" w:bidi="ar-SA"/>
        </w:rPr>
        <w:t>落地国家绿色发展财税、金融、投资等扶持政策，全方位夯实产业绿色低碳转型发展支撑。</w:t>
      </w:r>
    </w:p>
    <w:p w14:paraId="78E21B60">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64" w:name="_Toc24853"/>
      <w:r>
        <w:rPr>
          <w:rFonts w:hint="default" w:ascii="Times New Roman" w:hAnsi="Times New Roman" w:eastAsia="楷体" w:cs="Times New Roman"/>
          <w:b w:val="0"/>
          <w:bCs/>
          <w:lang w:val="en-US" w:eastAsia="zh-CN"/>
        </w:rPr>
        <w:t>（七）加快服务集聚发展行动</w:t>
      </w:r>
      <w:bookmarkEnd w:id="64"/>
    </w:p>
    <w:p w14:paraId="01075211">
      <w:pPr>
        <w:keepLines w:val="0"/>
        <w:pageBreakBefore w:val="0"/>
        <w:widowControl w:val="0"/>
        <w:kinsoku/>
        <w:wordWrap/>
        <w:overflowPunct w:val="0"/>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r>
        <w:rPr>
          <w:rFonts w:hint="eastAsia" w:ascii="Times New Roman" w:hAnsi="Times New Roman" w:eastAsia="仿宋_GB2312" w:cs="Times New Roman"/>
          <w:b w:val="0"/>
          <w:bCs w:val="0"/>
          <w:snapToGrid/>
          <w:kern w:val="0"/>
          <w:sz w:val="32"/>
          <w:szCs w:val="32"/>
          <w:lang w:val="en-US" w:eastAsia="zh-CN" w:bidi="ar-SA"/>
        </w:rPr>
        <w:t>狠抓</w:t>
      </w:r>
      <w:r>
        <w:rPr>
          <w:rFonts w:hint="default" w:ascii="Times New Roman" w:hAnsi="Times New Roman" w:eastAsia="仿宋_GB2312" w:cs="Times New Roman"/>
          <w:b w:val="0"/>
          <w:bCs w:val="0"/>
          <w:snapToGrid/>
          <w:kern w:val="0"/>
          <w:sz w:val="32"/>
          <w:szCs w:val="32"/>
          <w:lang w:val="en-US" w:eastAsia="zh-CN" w:bidi="ar-SA"/>
        </w:rPr>
        <w:t>服务业</w:t>
      </w:r>
      <w:r>
        <w:rPr>
          <w:rFonts w:hint="eastAsia" w:ascii="Times New Roman" w:hAnsi="Times New Roman" w:eastAsia="仿宋_GB2312" w:cs="Times New Roman"/>
          <w:b w:val="0"/>
          <w:bCs w:val="0"/>
          <w:snapToGrid/>
          <w:kern w:val="0"/>
          <w:sz w:val="32"/>
          <w:szCs w:val="32"/>
          <w:lang w:val="en-US" w:eastAsia="zh-CN" w:bidi="ar-SA"/>
        </w:rPr>
        <w:t>发展载体提升，</w:t>
      </w:r>
      <w:r>
        <w:rPr>
          <w:rFonts w:eastAsia="仿宋_GB2312"/>
          <w:sz w:val="32"/>
          <w:szCs w:val="32"/>
        </w:rPr>
        <w:t>聚</w:t>
      </w:r>
      <w:r>
        <w:rPr>
          <w:rFonts w:eastAsia="仿宋_GB2312"/>
          <w:bCs/>
          <w:sz w:val="32"/>
          <w:szCs w:val="32"/>
        </w:rPr>
        <w:t>焦</w:t>
      </w:r>
      <w:r>
        <w:rPr>
          <w:rFonts w:hint="eastAsia" w:ascii="Times New Roman" w:hAnsi="Times New Roman" w:eastAsia="仿宋_GB2312" w:cs="Times New Roman"/>
          <w:b w:val="0"/>
          <w:bCs w:val="0"/>
          <w:snapToGrid/>
          <w:kern w:val="0"/>
          <w:sz w:val="32"/>
          <w:szCs w:val="32"/>
          <w:lang w:val="en-US" w:eastAsia="zh-CN" w:bidi="ar-SA"/>
        </w:rPr>
        <w:t>研发设计</w:t>
      </w:r>
      <w:r>
        <w:rPr>
          <w:rFonts w:hint="default" w:ascii="Times New Roman" w:hAnsi="Times New Roman" w:eastAsia="仿宋_GB2312" w:cs="Times New Roman"/>
          <w:b w:val="0"/>
          <w:bCs w:val="0"/>
          <w:snapToGrid/>
          <w:kern w:val="0"/>
          <w:sz w:val="32"/>
          <w:szCs w:val="32"/>
          <w:lang w:val="en-US" w:eastAsia="zh-CN" w:bidi="ar-SA"/>
        </w:rPr>
        <w:t>、商务商贸、现代金融、文化创意</w:t>
      </w:r>
      <w:r>
        <w:rPr>
          <w:rFonts w:hint="eastAsia" w:ascii="Times New Roman" w:hAnsi="Times New Roman" w:eastAsia="仿宋_GB2312" w:cs="Times New Roman"/>
          <w:b w:val="0"/>
          <w:bCs w:val="0"/>
          <w:snapToGrid/>
          <w:kern w:val="0"/>
          <w:sz w:val="32"/>
          <w:szCs w:val="32"/>
          <w:lang w:val="en-US" w:eastAsia="zh-CN" w:bidi="ar-SA"/>
        </w:rPr>
        <w:t>、人力资源等</w:t>
      </w:r>
      <w:r>
        <w:rPr>
          <w:rFonts w:eastAsia="仿宋_GB2312"/>
          <w:sz w:val="32"/>
          <w:szCs w:val="32"/>
        </w:rPr>
        <w:t>重点领域，加快培育建设一批主导产业鲜明、引领作用明显、管理科学规范的服务业集聚区，推动市级服务业集聚区升级为省级服务业集聚区，强化示范作用，引领服务业集聚发展。</w:t>
      </w:r>
      <w:r>
        <w:rPr>
          <w:rFonts w:hint="default" w:ascii="Times New Roman" w:hAnsi="Times New Roman" w:eastAsia="仿宋_GB2312" w:cs="Times New Roman"/>
          <w:b w:val="0"/>
          <w:bCs w:val="0"/>
          <w:snapToGrid/>
          <w:kern w:val="0"/>
          <w:sz w:val="32"/>
          <w:szCs w:val="32"/>
          <w:lang w:val="en-US" w:eastAsia="zh-CN" w:bidi="ar-SA"/>
        </w:rPr>
        <w:t>丰富集聚区投融资、企业孵化、人才培训、会计审计服务等服务功能，强化集聚区招商引资、项目推进、平台建设、数据统计等管理职责，构建多元化服务业集聚区公共服务平台体系。</w:t>
      </w:r>
    </w:p>
    <w:p w14:paraId="7818319E">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65" w:name="_Toc2072"/>
      <w:r>
        <w:rPr>
          <w:rFonts w:hint="default" w:ascii="Times New Roman" w:hAnsi="Times New Roman" w:eastAsia="楷体" w:cs="Times New Roman"/>
          <w:b w:val="0"/>
          <w:bCs/>
          <w:lang w:val="en-US" w:eastAsia="zh-CN"/>
        </w:rPr>
        <w:t>（八）实施经营主体培优行动</w:t>
      </w:r>
      <w:bookmarkEnd w:id="65"/>
    </w:p>
    <w:p w14:paraId="589CF6EC">
      <w:pPr>
        <w:keepLines w:val="0"/>
        <w:pageBreakBefore w:val="0"/>
        <w:widowControl w:val="0"/>
        <w:kinsoku/>
        <w:wordWrap/>
        <w:overflowPunct w:val="0"/>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r>
        <w:rPr>
          <w:rFonts w:eastAsia="仿宋_GB2312"/>
          <w:sz w:val="32"/>
          <w:szCs w:val="32"/>
        </w:rPr>
        <w:t>按照“扶优、培壮、育小、解难”思路，建立服务业企业梯度</w:t>
      </w:r>
      <w:r>
        <w:rPr>
          <w:rFonts w:hint="eastAsia" w:eastAsia="仿宋_GB2312"/>
          <w:sz w:val="32"/>
          <w:szCs w:val="32"/>
          <w:lang w:eastAsia="zh-CN"/>
        </w:rPr>
        <w:t>培育</w:t>
      </w:r>
      <w:r>
        <w:rPr>
          <w:rFonts w:eastAsia="仿宋_GB2312"/>
          <w:sz w:val="32"/>
          <w:szCs w:val="32"/>
        </w:rPr>
        <w:t>机制，每年动态更新企业“白名单”，分类推进服务业企业“个转企”“小升规”“规上市”，推动服务业市场主体</w:t>
      </w:r>
      <w:r>
        <w:rPr>
          <w:rFonts w:hint="eastAsia" w:eastAsia="仿宋_GB2312"/>
          <w:sz w:val="32"/>
          <w:szCs w:val="32"/>
          <w:lang w:eastAsia="zh-CN"/>
        </w:rPr>
        <w:t>发展</w:t>
      </w:r>
      <w:r>
        <w:rPr>
          <w:rFonts w:eastAsia="仿宋_GB2312"/>
          <w:sz w:val="32"/>
          <w:szCs w:val="32"/>
        </w:rPr>
        <w:t>壮大。建立服务业重点企业“一对一”帮扶机制，常态化开展上门服务，积极解决企业发展问题。完善服务业政企对接机制，召开重点企业对接会，精准对接企业发展需求，助企发展壮大。</w:t>
      </w:r>
      <w:r>
        <w:rPr>
          <w:rFonts w:hint="eastAsia" w:ascii="Times New Roman" w:hAnsi="Times New Roman" w:eastAsia="仿宋_GB2312" w:cs="Times New Roman"/>
          <w:b w:val="0"/>
          <w:bCs w:val="0"/>
          <w:snapToGrid/>
          <w:kern w:val="0"/>
          <w:sz w:val="32"/>
          <w:szCs w:val="32"/>
          <w:lang w:val="en-US" w:eastAsia="zh-CN" w:bidi="ar-SA"/>
        </w:rPr>
        <w:t>支持</w:t>
      </w:r>
      <w:r>
        <w:rPr>
          <w:rFonts w:hint="default" w:ascii="Times New Roman" w:hAnsi="Times New Roman" w:eastAsia="仿宋_GB2312" w:cs="Times New Roman"/>
          <w:b w:val="0"/>
          <w:bCs w:val="0"/>
          <w:snapToGrid/>
          <w:kern w:val="0"/>
          <w:sz w:val="32"/>
          <w:szCs w:val="32"/>
          <w:lang w:val="en-US" w:eastAsia="zh-CN" w:bidi="ar-SA"/>
        </w:rPr>
        <w:t>服务业重点领域优质企业通过兼并重组、产业链整合、跨区域合作等扩大规模、延伸链条、提升能级，</w:t>
      </w:r>
      <w:r>
        <w:rPr>
          <w:rFonts w:hint="eastAsia" w:ascii="Times New Roman" w:hAnsi="Times New Roman" w:eastAsia="仿宋_GB2312" w:cs="Times New Roman"/>
          <w:b w:val="0"/>
          <w:bCs w:val="0"/>
          <w:snapToGrid/>
          <w:kern w:val="0"/>
          <w:sz w:val="32"/>
          <w:szCs w:val="32"/>
          <w:lang w:val="en-US" w:eastAsia="zh-CN" w:bidi="ar-SA"/>
        </w:rPr>
        <w:t>成长为</w:t>
      </w:r>
      <w:r>
        <w:rPr>
          <w:rFonts w:hint="default" w:ascii="Times New Roman" w:hAnsi="Times New Roman" w:eastAsia="仿宋_GB2312" w:cs="Times New Roman"/>
          <w:b w:val="0"/>
          <w:bCs w:val="0"/>
          <w:snapToGrid/>
          <w:kern w:val="0"/>
          <w:sz w:val="32"/>
          <w:szCs w:val="32"/>
          <w:lang w:val="en-US" w:eastAsia="zh-CN" w:bidi="ar-SA"/>
        </w:rPr>
        <w:t>具有全球竞争力的龙头骨干企业。</w:t>
      </w:r>
      <w:bookmarkStart w:id="66" w:name="_Toc22988"/>
      <w:bookmarkStart w:id="75" w:name="_GoBack"/>
      <w:bookmarkEnd w:id="75"/>
    </w:p>
    <w:p w14:paraId="49381821">
      <w:pPr>
        <w:pStyle w:val="3"/>
        <w:keepNext/>
        <w:keepLines w:val="0"/>
        <w:pageBreakBefore w:val="0"/>
        <w:widowControl w:val="0"/>
        <w:kinsoku/>
        <w:wordWrap/>
        <w:overflowPunct w:val="0"/>
        <w:topLinePunct w:val="0"/>
        <w:autoSpaceDE/>
        <w:autoSpaceDN/>
        <w:bidi w:val="0"/>
        <w:adjustRightInd w:val="0"/>
        <w:snapToGrid w:val="0"/>
        <w:spacing w:line="600" w:lineRule="exact"/>
        <w:ind w:leftChars="0"/>
        <w:jc w:val="left"/>
        <w:textAlignment w:val="baseline"/>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val="en-US" w:eastAsia="zh-CN"/>
        </w:rPr>
        <w:t>六、保障措施</w:t>
      </w:r>
      <w:bookmarkEnd w:id="57"/>
      <w:bookmarkEnd w:id="58"/>
      <w:bookmarkEnd w:id="66"/>
      <w:bookmarkStart w:id="67" w:name="_Toc16183"/>
    </w:p>
    <w:p w14:paraId="10C8F6F0">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68" w:name="_Toc26216"/>
      <w:r>
        <w:rPr>
          <w:rFonts w:hint="default" w:ascii="Times New Roman" w:hAnsi="Times New Roman" w:eastAsia="楷体" w:cs="Times New Roman"/>
          <w:b w:val="0"/>
          <w:bCs/>
          <w:lang w:val="en-US" w:eastAsia="zh-CN"/>
        </w:rPr>
        <w:t>（一）强化组织</w:t>
      </w:r>
      <w:bookmarkEnd w:id="67"/>
      <w:r>
        <w:rPr>
          <w:rFonts w:hint="default" w:ascii="Times New Roman" w:hAnsi="Times New Roman" w:eastAsia="楷体" w:cs="Times New Roman"/>
          <w:b w:val="0"/>
          <w:bCs/>
          <w:lang w:val="en-US" w:eastAsia="zh-CN"/>
        </w:rPr>
        <w:t>领导</w:t>
      </w:r>
      <w:bookmarkEnd w:id="68"/>
    </w:p>
    <w:p w14:paraId="529443A9">
      <w:pPr>
        <w:keepLines w:val="0"/>
        <w:pageBreakBefore w:val="0"/>
        <w:widowControl w:val="0"/>
        <w:kinsoku/>
        <w:wordWrap/>
        <w:overflowPunct w:val="0"/>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val="0"/>
          <w:bCs w:val="0"/>
          <w:snapToGrid/>
          <w:kern w:val="0"/>
          <w:sz w:val="32"/>
          <w:szCs w:val="32"/>
          <w:lang w:val="en-US" w:eastAsia="zh-CN" w:bidi="ar-SA"/>
        </w:rPr>
        <w:t>坚持把党的全面领导贯穿规划实施全过程各方面，建立服务业联席会议机制，</w:t>
      </w:r>
      <w:r>
        <w:rPr>
          <w:rFonts w:hint="default" w:ascii="Times New Roman" w:hAnsi="Times New Roman" w:eastAsia="仿宋_GB2312" w:cs="Times New Roman"/>
          <w:color w:val="000000"/>
          <w:sz w:val="32"/>
          <w:szCs w:val="32"/>
        </w:rPr>
        <w:t>研究服务业发展重大事项，统筹指导和协调推进服务业发展跨区域、跨领域和跨部门重大问题</w:t>
      </w:r>
      <w:r>
        <w:rPr>
          <w:rFonts w:hint="default" w:ascii="Times New Roman" w:hAnsi="Times New Roman" w:eastAsia="仿宋_GB2312" w:cs="Times New Roman"/>
          <w:b w:val="0"/>
          <w:bCs w:val="0"/>
          <w:snapToGrid/>
          <w:kern w:val="0"/>
          <w:sz w:val="32"/>
          <w:szCs w:val="32"/>
          <w:lang w:val="en-US" w:eastAsia="zh-CN" w:bidi="ar-SA"/>
        </w:rPr>
        <w:t>，形成市级统筹、部门协同、区县联动的工作格局。</w:t>
      </w:r>
      <w:r>
        <w:rPr>
          <w:rFonts w:hint="default" w:ascii="Times New Roman" w:hAnsi="Times New Roman" w:eastAsia="仿宋_GB2312" w:cs="Times New Roman"/>
          <w:color w:val="000000"/>
          <w:sz w:val="32"/>
          <w:szCs w:val="32"/>
        </w:rPr>
        <w:t>各区县政府、西咸新区管委会、各开发区管委会要进一步强化各自服务业发展工作机构，负责组织实施本区域、本部门服务业发展的相关工作</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b w:val="0"/>
          <w:bCs w:val="0"/>
          <w:snapToGrid/>
          <w:kern w:val="0"/>
          <w:sz w:val="32"/>
          <w:szCs w:val="32"/>
          <w:lang w:val="en-US" w:eastAsia="en-US" w:bidi="ar-SA"/>
        </w:rPr>
        <w:t>高水平推进各类服务业集聚区建设。</w:t>
      </w:r>
    </w:p>
    <w:p w14:paraId="31B9253D">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69" w:name="_Toc30942"/>
      <w:bookmarkStart w:id="70" w:name="_Toc31127"/>
      <w:r>
        <w:rPr>
          <w:rFonts w:hint="default" w:ascii="Times New Roman" w:hAnsi="Times New Roman" w:eastAsia="楷体" w:cs="Times New Roman"/>
          <w:b w:val="0"/>
          <w:bCs/>
          <w:lang w:val="en-US" w:eastAsia="zh-CN"/>
        </w:rPr>
        <w:t>（二）</w:t>
      </w:r>
      <w:bookmarkEnd w:id="69"/>
      <w:r>
        <w:rPr>
          <w:rFonts w:hint="default" w:ascii="Times New Roman" w:hAnsi="Times New Roman" w:eastAsia="楷体" w:cs="Times New Roman"/>
          <w:b w:val="0"/>
          <w:bCs/>
          <w:lang w:val="en-US" w:eastAsia="zh-CN"/>
        </w:rPr>
        <w:t>优化发展环境</w:t>
      </w:r>
      <w:bookmarkEnd w:id="70"/>
    </w:p>
    <w:p w14:paraId="47519D64">
      <w:pPr>
        <w:keepNext w:val="0"/>
        <w:keepLines w:val="0"/>
        <w:pageBreakBefore w:val="0"/>
        <w:widowControl w:val="0"/>
        <w:kinsoku/>
        <w:wordWrap/>
        <w:overflowPunct w:val="0"/>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r>
        <w:rPr>
          <w:rFonts w:hint="default" w:ascii="Times New Roman" w:hAnsi="Times New Roman" w:eastAsia="仿宋_GB2312" w:cs="Times New Roman"/>
          <w:b w:val="0"/>
          <w:bCs w:val="0"/>
          <w:snapToGrid/>
          <w:kern w:val="0"/>
          <w:sz w:val="32"/>
          <w:szCs w:val="32"/>
          <w:lang w:val="en-US" w:eastAsia="zh-CN" w:bidi="ar-SA"/>
        </w:rPr>
        <w:t>深入贯彻落实中央、陕西省支持服务业发展的各项政策，完善</w:t>
      </w:r>
      <w:r>
        <w:rPr>
          <w:rFonts w:hint="eastAsia" w:ascii="Times New Roman" w:hAnsi="Times New Roman" w:eastAsia="仿宋_GB2312" w:cs="Times New Roman"/>
          <w:b w:val="0"/>
          <w:bCs w:val="0"/>
          <w:snapToGrid/>
          <w:kern w:val="0"/>
          <w:sz w:val="32"/>
          <w:szCs w:val="32"/>
          <w:lang w:val="en-US" w:eastAsia="zh-CN" w:bidi="ar-SA"/>
        </w:rPr>
        <w:t>服务业扩能提质支持</w:t>
      </w:r>
      <w:r>
        <w:rPr>
          <w:rFonts w:hint="default" w:ascii="Times New Roman" w:hAnsi="Times New Roman" w:eastAsia="仿宋_GB2312" w:cs="Times New Roman"/>
          <w:b w:val="0"/>
          <w:bCs w:val="0"/>
          <w:snapToGrid/>
          <w:kern w:val="0"/>
          <w:sz w:val="32"/>
          <w:szCs w:val="32"/>
          <w:lang w:val="en-US" w:eastAsia="zh-CN" w:bidi="ar-SA"/>
        </w:rPr>
        <w:t>政策体系。</w:t>
      </w:r>
      <w:r>
        <w:rPr>
          <w:rFonts w:eastAsia="仿宋_GB2312"/>
          <w:sz w:val="32"/>
          <w:szCs w:val="32"/>
        </w:rPr>
        <w:t>围绕生产性服务业、生活性服务业和公共服务等重点领域，加快完善服务标准体系。</w:t>
      </w:r>
      <w:r>
        <w:rPr>
          <w:rFonts w:hint="eastAsia" w:eastAsia="仿宋_GB2312"/>
          <w:sz w:val="32"/>
          <w:szCs w:val="32"/>
          <w:lang w:eastAsia="zh-CN"/>
        </w:rPr>
        <w:t>支持</w:t>
      </w:r>
      <w:r>
        <w:rPr>
          <w:rFonts w:hint="eastAsia" w:eastAsia="仿宋_GB2312"/>
          <w:sz w:val="32"/>
          <w:szCs w:val="32"/>
        </w:rPr>
        <w:t>服务业品牌化发展</w:t>
      </w:r>
      <w:r>
        <w:rPr>
          <w:rFonts w:hint="eastAsia" w:eastAsia="仿宋_GB2312"/>
          <w:sz w:val="32"/>
          <w:szCs w:val="32"/>
          <w:lang w:eastAsia="zh-CN"/>
        </w:rPr>
        <w:t>，</w:t>
      </w:r>
      <w:r>
        <w:rPr>
          <w:rFonts w:hint="eastAsia" w:eastAsia="仿宋_GB2312"/>
          <w:sz w:val="32"/>
          <w:szCs w:val="32"/>
        </w:rPr>
        <w:t>加强服务质量管理体系建设。</w:t>
      </w:r>
      <w:r>
        <w:rPr>
          <w:rFonts w:hint="default" w:ascii="Times New Roman" w:hAnsi="Times New Roman" w:eastAsia="仿宋_GB2312" w:cs="Times New Roman"/>
          <w:b w:val="0"/>
          <w:bCs w:val="0"/>
          <w:snapToGrid/>
          <w:kern w:val="0"/>
          <w:sz w:val="32"/>
          <w:szCs w:val="32"/>
          <w:lang w:val="en-US" w:eastAsia="zh-CN" w:bidi="ar-SA"/>
        </w:rPr>
        <w:t>滚动实施一批牵引性强、带动面广的</w:t>
      </w:r>
      <w:r>
        <w:rPr>
          <w:rFonts w:hint="eastAsia" w:ascii="Times New Roman" w:hAnsi="Times New Roman" w:eastAsia="仿宋_GB2312" w:cs="Times New Roman"/>
          <w:b w:val="0"/>
          <w:bCs w:val="0"/>
          <w:snapToGrid/>
          <w:kern w:val="0"/>
          <w:sz w:val="32"/>
          <w:szCs w:val="32"/>
          <w:lang w:val="en-US" w:eastAsia="zh-CN" w:bidi="ar-SA"/>
        </w:rPr>
        <w:t>重点</w:t>
      </w:r>
      <w:r>
        <w:rPr>
          <w:rFonts w:hint="default" w:ascii="Times New Roman" w:hAnsi="Times New Roman" w:eastAsia="仿宋_GB2312" w:cs="Times New Roman"/>
          <w:b w:val="0"/>
          <w:bCs w:val="0"/>
          <w:snapToGrid/>
          <w:kern w:val="0"/>
          <w:sz w:val="32"/>
          <w:szCs w:val="32"/>
          <w:lang w:val="en-US" w:eastAsia="zh-CN" w:bidi="ar-SA"/>
        </w:rPr>
        <w:t>项目和</w:t>
      </w:r>
      <w:r>
        <w:rPr>
          <w:rFonts w:hint="eastAsia" w:ascii="Times New Roman" w:hAnsi="Times New Roman" w:eastAsia="仿宋_GB2312" w:cs="Times New Roman"/>
          <w:b w:val="0"/>
          <w:bCs w:val="0"/>
          <w:snapToGrid/>
          <w:kern w:val="0"/>
          <w:sz w:val="32"/>
          <w:szCs w:val="32"/>
          <w:lang w:val="en-US" w:eastAsia="zh-CN" w:bidi="ar-SA"/>
        </w:rPr>
        <w:t>重大</w:t>
      </w:r>
      <w:r>
        <w:rPr>
          <w:rFonts w:hint="default" w:ascii="Times New Roman" w:hAnsi="Times New Roman" w:eastAsia="仿宋_GB2312" w:cs="Times New Roman"/>
          <w:b w:val="0"/>
          <w:bCs w:val="0"/>
          <w:snapToGrid/>
          <w:kern w:val="0"/>
          <w:sz w:val="32"/>
          <w:szCs w:val="32"/>
          <w:lang w:val="en-US" w:eastAsia="zh-CN" w:bidi="ar-SA"/>
        </w:rPr>
        <w:t>试点，完善</w:t>
      </w:r>
      <w:r>
        <w:rPr>
          <w:rFonts w:hint="eastAsia" w:ascii="Times New Roman" w:hAnsi="Times New Roman" w:eastAsia="仿宋_GB2312" w:cs="Times New Roman"/>
          <w:b w:val="0"/>
          <w:bCs w:val="0"/>
          <w:snapToGrid/>
          <w:kern w:val="0"/>
          <w:sz w:val="32"/>
          <w:szCs w:val="32"/>
          <w:lang w:val="en-US" w:eastAsia="zh-CN" w:bidi="ar-SA"/>
        </w:rPr>
        <w:t>项目谋划、</w:t>
      </w:r>
      <w:r>
        <w:rPr>
          <w:rFonts w:hint="default" w:ascii="Times New Roman" w:hAnsi="Times New Roman" w:eastAsia="仿宋_GB2312" w:cs="Times New Roman"/>
          <w:b w:val="0"/>
          <w:bCs w:val="0"/>
          <w:snapToGrid/>
          <w:kern w:val="0"/>
          <w:sz w:val="32"/>
          <w:szCs w:val="32"/>
          <w:lang w:val="en-US" w:eastAsia="zh-CN" w:bidi="ar-SA"/>
        </w:rPr>
        <w:t>项目储备、前期推进、要素匹配和动态更新机制，形成滚动接续的良好格局。</w:t>
      </w:r>
    </w:p>
    <w:p w14:paraId="206F981B">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71" w:name="_Toc22328"/>
      <w:bookmarkStart w:id="72" w:name="_Toc6770"/>
      <w:r>
        <w:rPr>
          <w:rFonts w:hint="default" w:ascii="Times New Roman" w:hAnsi="Times New Roman" w:eastAsia="楷体" w:cs="Times New Roman"/>
          <w:b w:val="0"/>
          <w:bCs/>
          <w:lang w:val="en-US" w:eastAsia="zh-CN"/>
        </w:rPr>
        <w:t>（三）</w:t>
      </w:r>
      <w:bookmarkEnd w:id="71"/>
      <w:r>
        <w:rPr>
          <w:rFonts w:hint="default" w:ascii="Times New Roman" w:hAnsi="Times New Roman" w:eastAsia="楷体" w:cs="Times New Roman"/>
          <w:b w:val="0"/>
          <w:bCs/>
          <w:lang w:val="en-US" w:eastAsia="zh-CN"/>
        </w:rPr>
        <w:t>强化</w:t>
      </w:r>
      <w:r>
        <w:rPr>
          <w:rFonts w:hint="eastAsia" w:ascii="Times New Roman" w:hAnsi="Times New Roman" w:eastAsia="楷体" w:cs="Times New Roman"/>
          <w:b w:val="0"/>
          <w:bCs/>
          <w:lang w:val="en-US" w:eastAsia="zh-CN"/>
        </w:rPr>
        <w:t>要素支撑</w:t>
      </w:r>
      <w:bookmarkEnd w:id="72"/>
    </w:p>
    <w:p w14:paraId="4A4A2AB0">
      <w:pPr>
        <w:keepNext w:val="0"/>
        <w:keepLines w:val="0"/>
        <w:pageBreakBefore w:val="0"/>
        <w:widowControl w:val="0"/>
        <w:kinsoku/>
        <w:wordWrap/>
        <w:overflowPunct w:val="0"/>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r>
        <w:rPr>
          <w:rFonts w:hint="default" w:ascii="Times New Roman" w:hAnsi="Times New Roman" w:eastAsia="仿宋_GB2312" w:cs="Times New Roman"/>
          <w:b w:val="0"/>
          <w:bCs w:val="0"/>
          <w:snapToGrid/>
          <w:kern w:val="0"/>
          <w:sz w:val="32"/>
          <w:szCs w:val="32"/>
          <w:lang w:val="en-US" w:eastAsia="zh-CN" w:bidi="ar-SA"/>
        </w:rPr>
        <w:t>围绕规划实施健全财税、金融、土地、人才、数据、能耗等政策协同机制，强化财政资金统筹使用，落实税费优惠政策，引导金融资源更多投向服务业重点领域和中小微服务企业，持续优化营商环境。深化服务业重点领域改革，清理不合理准入限制和隐性壁垒，推进审批服务标准化便利化，健全包容审慎监管机制。</w:t>
      </w:r>
      <w:bookmarkStart w:id="73" w:name="_Toc11052"/>
    </w:p>
    <w:p w14:paraId="6B1632BC">
      <w:pPr>
        <w:pStyle w:val="2"/>
        <w:keepNext/>
        <w:keepLines w:val="0"/>
        <w:pageBreakBefore w:val="0"/>
        <w:widowControl w:val="0"/>
        <w:kinsoku/>
        <w:wordWrap/>
        <w:overflowPunct w:val="0"/>
        <w:topLinePunct w:val="0"/>
        <w:autoSpaceDE/>
        <w:autoSpaceDN/>
        <w:bidi w:val="0"/>
        <w:adjustRightInd w:val="0"/>
        <w:snapToGrid w:val="0"/>
        <w:spacing w:before="0" w:beforeLines="0" w:after="0" w:afterLines="0" w:line="576" w:lineRule="exact"/>
        <w:ind w:firstLine="640" w:firstLineChars="200"/>
        <w:textAlignment w:val="baseline"/>
        <w:rPr>
          <w:rFonts w:hint="default" w:ascii="Times New Roman" w:hAnsi="Times New Roman" w:eastAsia="楷体" w:cs="Times New Roman"/>
          <w:b w:val="0"/>
          <w:bCs/>
          <w:lang w:val="en-US" w:eastAsia="zh-CN"/>
        </w:rPr>
      </w:pPr>
      <w:bookmarkStart w:id="74" w:name="_Toc22618"/>
      <w:r>
        <w:rPr>
          <w:rFonts w:hint="default" w:ascii="Times New Roman" w:hAnsi="Times New Roman" w:eastAsia="楷体" w:cs="Times New Roman"/>
          <w:b w:val="0"/>
          <w:bCs/>
          <w:lang w:val="en-US" w:eastAsia="zh-CN"/>
        </w:rPr>
        <w:t>（四）加强监测</w:t>
      </w:r>
      <w:bookmarkEnd w:id="73"/>
      <w:r>
        <w:rPr>
          <w:rFonts w:hint="default" w:ascii="Times New Roman" w:hAnsi="Times New Roman" w:eastAsia="楷体" w:cs="Times New Roman"/>
          <w:b w:val="0"/>
          <w:bCs/>
          <w:lang w:val="en-US" w:eastAsia="zh-CN"/>
        </w:rPr>
        <w:t>监督</w:t>
      </w:r>
      <w:bookmarkEnd w:id="74"/>
    </w:p>
    <w:p w14:paraId="19E043D4">
      <w:pPr>
        <w:keepNext w:val="0"/>
        <w:keepLines w:val="0"/>
        <w:pageBreakBefore w:val="0"/>
        <w:widowControl w:val="0"/>
        <w:kinsoku/>
        <w:wordWrap/>
        <w:overflowPunct w:val="0"/>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r>
        <w:rPr>
          <w:rFonts w:hint="default" w:ascii="Times New Roman" w:hAnsi="Times New Roman" w:eastAsia="仿宋_GB2312" w:cs="Times New Roman"/>
          <w:b w:val="0"/>
          <w:bCs w:val="0"/>
          <w:snapToGrid/>
          <w:kern w:val="0"/>
          <w:sz w:val="32"/>
          <w:szCs w:val="32"/>
          <w:lang w:val="en-US" w:eastAsia="zh-CN" w:bidi="ar-SA"/>
        </w:rPr>
        <w:t>建立切实可行、符合现代服务业发展需求的统计监测机制，做好重点企业和新</w:t>
      </w:r>
      <w:r>
        <w:rPr>
          <w:rFonts w:hint="eastAsia" w:ascii="Times New Roman" w:hAnsi="Times New Roman" w:eastAsia="仿宋_GB2312" w:cs="Times New Roman"/>
          <w:b w:val="0"/>
          <w:bCs w:val="0"/>
          <w:snapToGrid/>
          <w:kern w:val="0"/>
          <w:sz w:val="32"/>
          <w:szCs w:val="32"/>
          <w:lang w:val="en-US" w:eastAsia="zh-CN" w:bidi="ar-SA"/>
        </w:rPr>
        <w:t>业态</w:t>
      </w:r>
      <w:r>
        <w:rPr>
          <w:rFonts w:hint="default" w:ascii="Times New Roman" w:hAnsi="Times New Roman" w:eastAsia="仿宋_GB2312" w:cs="Times New Roman"/>
          <w:b w:val="0"/>
          <w:bCs w:val="0"/>
          <w:snapToGrid/>
          <w:kern w:val="0"/>
          <w:sz w:val="32"/>
          <w:szCs w:val="32"/>
          <w:lang w:val="en-US" w:eastAsia="zh-CN" w:bidi="ar-SA"/>
        </w:rPr>
        <w:t>新模式监测。建立统计部门与行业主管部门常态化沟通机制，建立服务业单位名录库、项目库和运行分析数据库。健全规划实施动态监测、中期评估和总结评估机制，聚焦目标任务和重大项目落实情况，</w:t>
      </w:r>
      <w:r>
        <w:rPr>
          <w:rFonts w:hint="eastAsia" w:ascii="Times New Roman" w:hAnsi="Times New Roman" w:eastAsia="仿宋_GB2312" w:cs="Times New Roman"/>
          <w:b w:val="0"/>
          <w:bCs w:val="0"/>
          <w:snapToGrid/>
          <w:kern w:val="0"/>
          <w:sz w:val="32"/>
          <w:szCs w:val="32"/>
          <w:lang w:val="en-US" w:eastAsia="zh-CN" w:bidi="ar-SA"/>
        </w:rPr>
        <w:t>不</w:t>
      </w:r>
      <w:r>
        <w:rPr>
          <w:rFonts w:hint="default" w:ascii="Times New Roman" w:hAnsi="Times New Roman" w:eastAsia="仿宋_GB2312" w:cs="Times New Roman"/>
          <w:b w:val="0"/>
          <w:bCs w:val="0"/>
          <w:snapToGrid/>
          <w:kern w:val="0"/>
          <w:sz w:val="32"/>
          <w:szCs w:val="32"/>
          <w:lang w:val="en-US" w:eastAsia="zh-CN" w:bidi="ar-SA"/>
        </w:rPr>
        <w:t>定期开展调度分析，系统研判实施成效，重要情况及时向市委、市政府报告。</w:t>
      </w:r>
    </w:p>
    <w:p w14:paraId="1C50ED01">
      <w:pPr>
        <w:keepNext w:val="0"/>
        <w:keepLines w:val="0"/>
        <w:pageBreakBefore w:val="0"/>
        <w:widowControl w:val="0"/>
        <w:kinsoku/>
        <w:wordWrap/>
        <w:overflowPunct w:val="0"/>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b w:val="0"/>
          <w:bCs w:val="0"/>
          <w:snapToGrid/>
          <w:kern w:val="0"/>
          <w:sz w:val="32"/>
          <w:szCs w:val="32"/>
          <w:lang w:val="en-US" w:eastAsia="zh-CN" w:bidi="ar-SA"/>
        </w:rPr>
      </w:pPr>
    </w:p>
    <w:sectPr>
      <w:headerReference r:id="rId6" w:type="default"/>
      <w:footerReference r:id="rId7" w:type="default"/>
      <w:pgSz w:w="11906" w:h="16838"/>
      <w:pgMar w:top="1587" w:right="1701" w:bottom="1587" w:left="1701" w:header="851" w:footer="992" w:gutter="0"/>
      <w:pgNumType w:fmt="decimal" w:start="4"/>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E7F0D9-AF13-4BF6-AC64-73846663294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9595F0E7-4E55-4C3B-89ED-EB540708F059}"/>
  </w:font>
  <w:font w:name="仿宋">
    <w:panose1 w:val="02010609060101010101"/>
    <w:charset w:val="86"/>
    <w:family w:val="auto"/>
    <w:pitch w:val="default"/>
    <w:sig w:usb0="800002BF" w:usb1="38CF7CFA" w:usb2="00000016" w:usb3="00000000" w:csb0="00040001" w:csb1="00000000"/>
    <w:embedRegular r:id="rId3" w:fontKey="{5EF2AE7E-3EC6-4F78-82CE-FF369E44906C}"/>
  </w:font>
  <w:font w:name="Consolas">
    <w:panose1 w:val="020B0609020204030204"/>
    <w:charset w:val="00"/>
    <w:family w:val="auto"/>
    <w:pitch w:val="default"/>
    <w:sig w:usb0="E10002FF" w:usb1="4000FCFF" w:usb2="00000009" w:usb3="00000000" w:csb0="6000019F" w:csb1="DFD70000"/>
  </w:font>
  <w:font w:name="方正小标宋简体">
    <w:panose1 w:val="03000509000000000000"/>
    <w:charset w:val="86"/>
    <w:family w:val="auto"/>
    <w:pitch w:val="default"/>
    <w:sig w:usb0="00000001" w:usb1="080E0000" w:usb2="00000000" w:usb3="00000000" w:csb0="00040000" w:csb1="00000000"/>
    <w:embedRegular r:id="rId4" w:fontKey="{C1B431B1-9ED5-4D6D-9247-4D66B8DE830B}"/>
  </w:font>
  <w:font w:name="楷体">
    <w:panose1 w:val="02010609060101010101"/>
    <w:charset w:val="86"/>
    <w:family w:val="auto"/>
    <w:pitch w:val="default"/>
    <w:sig w:usb0="800002BF" w:usb1="38CF7CFA" w:usb2="00000016" w:usb3="00000000" w:csb0="00040001" w:csb1="00000000"/>
    <w:embedRegular r:id="rId5" w:fontKey="{E5EEB7D6-A51A-42EA-BFB4-D2E955C70552}"/>
  </w:font>
  <w:font w:name="方正楷体_GB2312">
    <w:altName w:val="楷体_GB2312"/>
    <w:panose1 w:val="02000000000000000000"/>
    <w:charset w:val="86"/>
    <w:family w:val="auto"/>
    <w:pitch w:val="default"/>
    <w:sig w:usb0="00000000" w:usb1="00000000" w:usb2="00000012" w:usb3="00000000" w:csb0="00040001" w:csb1="00000000"/>
    <w:embedRegular r:id="rId6" w:fontKey="{31648AC4-722D-4E85-8402-49A390520C32}"/>
  </w:font>
  <w:font w:name="楷体_GB2312">
    <w:panose1 w:val="02010609030101010101"/>
    <w:charset w:val="86"/>
    <w:family w:val="auto"/>
    <w:pitch w:val="default"/>
    <w:sig w:usb0="00000001" w:usb1="080E0000" w:usb2="00000000" w:usb3="00000000" w:csb0="00040000" w:csb1="00000000"/>
    <w:embedRegular r:id="rId7" w:fontKey="{41F2B82B-8A24-45A8-8942-BF90625A0A54}"/>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016E9">
    <w:pPr>
      <w:spacing w:line="173" w:lineRule="auto"/>
      <w:ind w:left="413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-211455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DF890">
                          <w:pPr>
                            <w:pStyle w:val="11"/>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6.65pt;height:144pt;width:144pt;mso-position-horizontal:outside;mso-position-horizontal-relative:margin;mso-wrap-style:none;z-index:251660288;mso-width-relative:page;mso-height-relative:page;" filled="f" stroked="f" coordsize="21600,21600" o:gfxdata="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ERkjrWAAAACA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14:paraId="569DF890">
                    <w:pPr>
                      <w:pStyle w:val="11"/>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DC666">
    <w:pPr>
      <w:pStyle w:val="11"/>
      <w:jc w:val="center"/>
      <w:rPr>
        <w:rFonts w:hint="eastAsia" w:ascii="仿宋" w:hAnsi="仿宋" w:eastAsia="仿宋" w:cs="仿宋"/>
        <w:sz w:val="28"/>
        <w:szCs w:val="28"/>
      </w:rPr>
    </w:pPr>
    <w:r>
      <w:rPr>
        <w:sz w:val="28"/>
        <w:szCs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51435</wp:posOffset>
              </wp:positionV>
              <wp:extent cx="882650" cy="268605"/>
              <wp:effectExtent l="0" t="0" r="0" b="0"/>
              <wp:wrapNone/>
              <wp:docPr id="5" name="文本框 5"/>
              <wp:cNvGraphicFramePr/>
              <a:graphic xmlns:a="http://schemas.openxmlformats.org/drawingml/2006/main">
                <a:graphicData uri="http://schemas.microsoft.com/office/word/2010/wordprocessingShape">
                  <wps:wsp>
                    <wps:cNvSpPr txBox="1"/>
                    <wps:spPr>
                      <a:xfrm>
                        <a:off x="0" y="0"/>
                        <a:ext cx="882650" cy="268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72420">
                          <w:pPr>
                            <w:pStyle w:val="11"/>
                            <w:jc w:val="cente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4.05pt;height:21.15pt;width:69.5pt;mso-position-horizontal:outside;mso-position-horizontal-relative:margin;z-index:251659264;mso-width-relative:page;mso-height-relative:page;" filled="f" stroked="f" coordsize="21600,21600" o:gfxdata="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MHOuytMAAAAFAQAADwAAAAAAAAABACAAAAAiAAAAZHJzL2Rvd25yZXYueG1s&#10;UEsBAhQAFAAAAAgAh07iQE2Dfwk2AgAAYQQAAA4AAAAAAAAAAQAgAAAAIgEAAGRycy9lMm9Eb2Mu&#10;eG1sUEsFBgAAAAAGAAYAWQEAAMoFAAAAAA==&#10;">
              <v:fill on="f" focussize="0,0"/>
              <v:stroke on="f" weight="0.5pt"/>
              <v:imagedata o:title=""/>
              <o:lock v:ext="edit" aspectratio="f"/>
              <v:textbox inset="0mm,0mm,0mm,0mm">
                <w:txbxContent>
                  <w:p w14:paraId="23E72420">
                    <w:pPr>
                      <w:pStyle w:val="11"/>
                      <w:jc w:val="cente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p w14:paraId="774B0331">
    <w:pPr>
      <w:pStyle w:val="11"/>
      <w:tabs>
        <w:tab w:val="left" w:pos="5597"/>
        <w:tab w:val="clear" w:pos="4153"/>
      </w:tabs>
      <w:rPr>
        <w:rFonts w:hint="eastAsia" w:eastAsia="宋体"/>
        <w:lang w:eastAsia="zh-CN"/>
      </w:rPr>
    </w:pPr>
    <w:r>
      <w:rPr>
        <w:rFonts w:hint="eastAsia" w:eastAsia="宋体"/>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p>
  </w:footnote>
  <w:footnote w:type="continuationSeparator" w:id="1">
    <w:p>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E9BB9">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mYTIzNTAyZjI4OGFiYjcwMTRiNWNmODJlNDMwMmEifQ=="/>
  </w:docVars>
  <w:rsids>
    <w:rsidRoot w:val="12D65A11"/>
    <w:rsid w:val="0002117A"/>
    <w:rsid w:val="00043144"/>
    <w:rsid w:val="00043595"/>
    <w:rsid w:val="000C09A2"/>
    <w:rsid w:val="00114E2A"/>
    <w:rsid w:val="001E2CAD"/>
    <w:rsid w:val="003A4DB8"/>
    <w:rsid w:val="0041318C"/>
    <w:rsid w:val="004C178B"/>
    <w:rsid w:val="00544619"/>
    <w:rsid w:val="00546CDE"/>
    <w:rsid w:val="0055209B"/>
    <w:rsid w:val="00595293"/>
    <w:rsid w:val="005C61A2"/>
    <w:rsid w:val="005E4F29"/>
    <w:rsid w:val="00664533"/>
    <w:rsid w:val="00865348"/>
    <w:rsid w:val="0092667C"/>
    <w:rsid w:val="00953D04"/>
    <w:rsid w:val="00972B04"/>
    <w:rsid w:val="00997C1D"/>
    <w:rsid w:val="009F3794"/>
    <w:rsid w:val="00AC10ED"/>
    <w:rsid w:val="00BC3B04"/>
    <w:rsid w:val="00C71C32"/>
    <w:rsid w:val="00D130DA"/>
    <w:rsid w:val="00EA058C"/>
    <w:rsid w:val="010827C0"/>
    <w:rsid w:val="01087940"/>
    <w:rsid w:val="011149CC"/>
    <w:rsid w:val="012205D4"/>
    <w:rsid w:val="0136718A"/>
    <w:rsid w:val="013C7F5E"/>
    <w:rsid w:val="013E61E2"/>
    <w:rsid w:val="013E77D2"/>
    <w:rsid w:val="01453A14"/>
    <w:rsid w:val="015441BC"/>
    <w:rsid w:val="01557CCD"/>
    <w:rsid w:val="016F41EA"/>
    <w:rsid w:val="018A3517"/>
    <w:rsid w:val="01967DCC"/>
    <w:rsid w:val="019D1CF0"/>
    <w:rsid w:val="019E074A"/>
    <w:rsid w:val="01A46D9F"/>
    <w:rsid w:val="01AD1052"/>
    <w:rsid w:val="01AE1E94"/>
    <w:rsid w:val="01AF1054"/>
    <w:rsid w:val="01B8645F"/>
    <w:rsid w:val="01C71842"/>
    <w:rsid w:val="01C725F7"/>
    <w:rsid w:val="01C879D9"/>
    <w:rsid w:val="01D45666"/>
    <w:rsid w:val="01D46826"/>
    <w:rsid w:val="01DD669F"/>
    <w:rsid w:val="01DE5090"/>
    <w:rsid w:val="01E2156E"/>
    <w:rsid w:val="01EA0838"/>
    <w:rsid w:val="01EF25BC"/>
    <w:rsid w:val="01F034BA"/>
    <w:rsid w:val="01F06499"/>
    <w:rsid w:val="01F42D45"/>
    <w:rsid w:val="01FE2BD2"/>
    <w:rsid w:val="02017B58"/>
    <w:rsid w:val="020C499B"/>
    <w:rsid w:val="020E01C2"/>
    <w:rsid w:val="02125874"/>
    <w:rsid w:val="021749AE"/>
    <w:rsid w:val="021D229B"/>
    <w:rsid w:val="021D3C05"/>
    <w:rsid w:val="02254895"/>
    <w:rsid w:val="0227311A"/>
    <w:rsid w:val="0235490B"/>
    <w:rsid w:val="0250441F"/>
    <w:rsid w:val="025E104A"/>
    <w:rsid w:val="02661A7B"/>
    <w:rsid w:val="0273629C"/>
    <w:rsid w:val="028820E8"/>
    <w:rsid w:val="029B44D3"/>
    <w:rsid w:val="029C1412"/>
    <w:rsid w:val="02A03C7D"/>
    <w:rsid w:val="02AC2C05"/>
    <w:rsid w:val="02AC49C1"/>
    <w:rsid w:val="02AD34F4"/>
    <w:rsid w:val="02CB514A"/>
    <w:rsid w:val="02E72B1A"/>
    <w:rsid w:val="02EB05EB"/>
    <w:rsid w:val="02EB149D"/>
    <w:rsid w:val="02F12CE4"/>
    <w:rsid w:val="02F35B69"/>
    <w:rsid w:val="02F654CA"/>
    <w:rsid w:val="02F80594"/>
    <w:rsid w:val="02F8266E"/>
    <w:rsid w:val="02FC6AF6"/>
    <w:rsid w:val="03001C79"/>
    <w:rsid w:val="03036481"/>
    <w:rsid w:val="031138F4"/>
    <w:rsid w:val="031E276F"/>
    <w:rsid w:val="031F2398"/>
    <w:rsid w:val="031F6CAB"/>
    <w:rsid w:val="03284CF4"/>
    <w:rsid w:val="03304EC2"/>
    <w:rsid w:val="03362153"/>
    <w:rsid w:val="034623EE"/>
    <w:rsid w:val="03667C72"/>
    <w:rsid w:val="037441B6"/>
    <w:rsid w:val="037709BE"/>
    <w:rsid w:val="037B7F7B"/>
    <w:rsid w:val="037F384C"/>
    <w:rsid w:val="038325D2"/>
    <w:rsid w:val="03880778"/>
    <w:rsid w:val="03883658"/>
    <w:rsid w:val="038A2387"/>
    <w:rsid w:val="03911568"/>
    <w:rsid w:val="03AA2E46"/>
    <w:rsid w:val="03B34112"/>
    <w:rsid w:val="03CD5B4A"/>
    <w:rsid w:val="03CE5CAC"/>
    <w:rsid w:val="03D00C34"/>
    <w:rsid w:val="03D521F1"/>
    <w:rsid w:val="03DE1667"/>
    <w:rsid w:val="03E54702"/>
    <w:rsid w:val="03F16F54"/>
    <w:rsid w:val="03F35447"/>
    <w:rsid w:val="03F83546"/>
    <w:rsid w:val="04046F4F"/>
    <w:rsid w:val="04206073"/>
    <w:rsid w:val="043223D4"/>
    <w:rsid w:val="0432329F"/>
    <w:rsid w:val="04335DA6"/>
    <w:rsid w:val="04367267"/>
    <w:rsid w:val="043D09D3"/>
    <w:rsid w:val="04471852"/>
    <w:rsid w:val="04492F15"/>
    <w:rsid w:val="04587CAC"/>
    <w:rsid w:val="04712BDA"/>
    <w:rsid w:val="0488407F"/>
    <w:rsid w:val="04903542"/>
    <w:rsid w:val="04953D64"/>
    <w:rsid w:val="04A113A5"/>
    <w:rsid w:val="04A45BAD"/>
    <w:rsid w:val="04B019C0"/>
    <w:rsid w:val="04B34B43"/>
    <w:rsid w:val="04DC643E"/>
    <w:rsid w:val="04E3286D"/>
    <w:rsid w:val="04E90F89"/>
    <w:rsid w:val="04ED3767"/>
    <w:rsid w:val="04F0022B"/>
    <w:rsid w:val="04FA68C4"/>
    <w:rsid w:val="0501370E"/>
    <w:rsid w:val="050255FC"/>
    <w:rsid w:val="052B3E10"/>
    <w:rsid w:val="05326241"/>
    <w:rsid w:val="0539351D"/>
    <w:rsid w:val="053B15A4"/>
    <w:rsid w:val="055943D7"/>
    <w:rsid w:val="055D2DDD"/>
    <w:rsid w:val="05793EF1"/>
    <w:rsid w:val="057A063F"/>
    <w:rsid w:val="057A17B3"/>
    <w:rsid w:val="057B5C57"/>
    <w:rsid w:val="057C7E0F"/>
    <w:rsid w:val="058322A1"/>
    <w:rsid w:val="0586291D"/>
    <w:rsid w:val="05863DBA"/>
    <w:rsid w:val="059D5CB1"/>
    <w:rsid w:val="05A47918"/>
    <w:rsid w:val="05B324E7"/>
    <w:rsid w:val="05B44CC5"/>
    <w:rsid w:val="05BD1A43"/>
    <w:rsid w:val="05BD667A"/>
    <w:rsid w:val="05D35C95"/>
    <w:rsid w:val="05D879A7"/>
    <w:rsid w:val="05D90F83"/>
    <w:rsid w:val="05DD246D"/>
    <w:rsid w:val="05E25F5C"/>
    <w:rsid w:val="05E76E48"/>
    <w:rsid w:val="05F40B00"/>
    <w:rsid w:val="05F81055"/>
    <w:rsid w:val="060B2A9A"/>
    <w:rsid w:val="060F0286"/>
    <w:rsid w:val="061F512D"/>
    <w:rsid w:val="06260EA1"/>
    <w:rsid w:val="062A122C"/>
    <w:rsid w:val="06300BB7"/>
    <w:rsid w:val="0650110B"/>
    <w:rsid w:val="06513245"/>
    <w:rsid w:val="06606BFB"/>
    <w:rsid w:val="0661309E"/>
    <w:rsid w:val="06711224"/>
    <w:rsid w:val="06736DDF"/>
    <w:rsid w:val="06762992"/>
    <w:rsid w:val="067A57F6"/>
    <w:rsid w:val="067D5433"/>
    <w:rsid w:val="06AD3A04"/>
    <w:rsid w:val="06B853E2"/>
    <w:rsid w:val="06C669EC"/>
    <w:rsid w:val="06CC600F"/>
    <w:rsid w:val="06E526FB"/>
    <w:rsid w:val="06E61BF7"/>
    <w:rsid w:val="06E65C7A"/>
    <w:rsid w:val="06F01EEF"/>
    <w:rsid w:val="06F37A6F"/>
    <w:rsid w:val="06F7130D"/>
    <w:rsid w:val="07017849"/>
    <w:rsid w:val="070B051A"/>
    <w:rsid w:val="07121447"/>
    <w:rsid w:val="071546AD"/>
    <w:rsid w:val="071B4038"/>
    <w:rsid w:val="071C1CA7"/>
    <w:rsid w:val="0722013F"/>
    <w:rsid w:val="07267A84"/>
    <w:rsid w:val="072E5257"/>
    <w:rsid w:val="0743349E"/>
    <w:rsid w:val="07444310"/>
    <w:rsid w:val="075665AC"/>
    <w:rsid w:val="075F6EB2"/>
    <w:rsid w:val="076034A7"/>
    <w:rsid w:val="076B5D23"/>
    <w:rsid w:val="076D47AA"/>
    <w:rsid w:val="078017DE"/>
    <w:rsid w:val="0780281E"/>
    <w:rsid w:val="078132CC"/>
    <w:rsid w:val="078139DC"/>
    <w:rsid w:val="079832F8"/>
    <w:rsid w:val="079C3C62"/>
    <w:rsid w:val="07A60F58"/>
    <w:rsid w:val="07DA5D7D"/>
    <w:rsid w:val="07DE1B77"/>
    <w:rsid w:val="07E64E03"/>
    <w:rsid w:val="07EC1A0C"/>
    <w:rsid w:val="07F626D4"/>
    <w:rsid w:val="07FE462A"/>
    <w:rsid w:val="08043FB5"/>
    <w:rsid w:val="080E0DE8"/>
    <w:rsid w:val="081D70DE"/>
    <w:rsid w:val="082A3964"/>
    <w:rsid w:val="08337083"/>
    <w:rsid w:val="08352D28"/>
    <w:rsid w:val="08361013"/>
    <w:rsid w:val="083B1F11"/>
    <w:rsid w:val="083E4BF0"/>
    <w:rsid w:val="08452820"/>
    <w:rsid w:val="0856053C"/>
    <w:rsid w:val="085A5FF7"/>
    <w:rsid w:val="0869587F"/>
    <w:rsid w:val="086A6A56"/>
    <w:rsid w:val="0875311B"/>
    <w:rsid w:val="087F1701"/>
    <w:rsid w:val="088210AA"/>
    <w:rsid w:val="08872A6F"/>
    <w:rsid w:val="0894259F"/>
    <w:rsid w:val="08A72527"/>
    <w:rsid w:val="08B446D3"/>
    <w:rsid w:val="08B814DA"/>
    <w:rsid w:val="08BD2BA3"/>
    <w:rsid w:val="08BF40AC"/>
    <w:rsid w:val="08C300D8"/>
    <w:rsid w:val="08D04983"/>
    <w:rsid w:val="08D42882"/>
    <w:rsid w:val="08DF6637"/>
    <w:rsid w:val="08E250FE"/>
    <w:rsid w:val="08E535C2"/>
    <w:rsid w:val="08E9332E"/>
    <w:rsid w:val="08EF5CAB"/>
    <w:rsid w:val="08FA57C7"/>
    <w:rsid w:val="0906705B"/>
    <w:rsid w:val="0908255E"/>
    <w:rsid w:val="09097FE0"/>
    <w:rsid w:val="090C058F"/>
    <w:rsid w:val="09151F1E"/>
    <w:rsid w:val="09161874"/>
    <w:rsid w:val="09257910"/>
    <w:rsid w:val="09367BAA"/>
    <w:rsid w:val="093E020C"/>
    <w:rsid w:val="094523C3"/>
    <w:rsid w:val="096009EF"/>
    <w:rsid w:val="09604272"/>
    <w:rsid w:val="096A12FE"/>
    <w:rsid w:val="096A7831"/>
    <w:rsid w:val="09727A0F"/>
    <w:rsid w:val="097C3D4B"/>
    <w:rsid w:val="09862E2D"/>
    <w:rsid w:val="098B5CFE"/>
    <w:rsid w:val="098F57B6"/>
    <w:rsid w:val="09A017D8"/>
    <w:rsid w:val="09A57CB2"/>
    <w:rsid w:val="09A908B8"/>
    <w:rsid w:val="09AE3894"/>
    <w:rsid w:val="09C6059C"/>
    <w:rsid w:val="09C67499"/>
    <w:rsid w:val="09D63278"/>
    <w:rsid w:val="09D92E75"/>
    <w:rsid w:val="09E0252C"/>
    <w:rsid w:val="09E46371"/>
    <w:rsid w:val="09E9764E"/>
    <w:rsid w:val="09F04A5A"/>
    <w:rsid w:val="09F4422A"/>
    <w:rsid w:val="0A1160B7"/>
    <w:rsid w:val="0A1427E1"/>
    <w:rsid w:val="0A17271C"/>
    <w:rsid w:val="0A220AAD"/>
    <w:rsid w:val="0A2442BF"/>
    <w:rsid w:val="0A2574B3"/>
    <w:rsid w:val="0A2C37A5"/>
    <w:rsid w:val="0A2E347E"/>
    <w:rsid w:val="0A326F50"/>
    <w:rsid w:val="0A3F005D"/>
    <w:rsid w:val="0A4A11CF"/>
    <w:rsid w:val="0A623A94"/>
    <w:rsid w:val="0A661336"/>
    <w:rsid w:val="0A69260C"/>
    <w:rsid w:val="0A6E312A"/>
    <w:rsid w:val="0A717628"/>
    <w:rsid w:val="0A7A0B5B"/>
    <w:rsid w:val="0AA66B07"/>
    <w:rsid w:val="0AA852FA"/>
    <w:rsid w:val="0AAA4A0E"/>
    <w:rsid w:val="0AB319EF"/>
    <w:rsid w:val="0ABD7054"/>
    <w:rsid w:val="0AC01B2F"/>
    <w:rsid w:val="0ACF434F"/>
    <w:rsid w:val="0AD81455"/>
    <w:rsid w:val="0AE328FB"/>
    <w:rsid w:val="0AE7534D"/>
    <w:rsid w:val="0AED38FE"/>
    <w:rsid w:val="0AF67B8B"/>
    <w:rsid w:val="0AFC1350"/>
    <w:rsid w:val="0B0105E9"/>
    <w:rsid w:val="0B0954D3"/>
    <w:rsid w:val="0B0D6E40"/>
    <w:rsid w:val="0B1A2E3C"/>
    <w:rsid w:val="0B1B5886"/>
    <w:rsid w:val="0B212BCE"/>
    <w:rsid w:val="0B216451"/>
    <w:rsid w:val="0B250E6B"/>
    <w:rsid w:val="0B2515D4"/>
    <w:rsid w:val="0B253E19"/>
    <w:rsid w:val="0B2628D9"/>
    <w:rsid w:val="0B352404"/>
    <w:rsid w:val="0B41054B"/>
    <w:rsid w:val="0B520281"/>
    <w:rsid w:val="0B5346A2"/>
    <w:rsid w:val="0B593FC8"/>
    <w:rsid w:val="0B7A250D"/>
    <w:rsid w:val="0B7D3DAB"/>
    <w:rsid w:val="0B8B1E46"/>
    <w:rsid w:val="0B8F5DFB"/>
    <w:rsid w:val="0B996E53"/>
    <w:rsid w:val="0BB04180"/>
    <w:rsid w:val="0BB51797"/>
    <w:rsid w:val="0BB721C8"/>
    <w:rsid w:val="0BBC2B25"/>
    <w:rsid w:val="0BBE064B"/>
    <w:rsid w:val="0BBE75D4"/>
    <w:rsid w:val="0BC56F5F"/>
    <w:rsid w:val="0BC80B0B"/>
    <w:rsid w:val="0BD45EF5"/>
    <w:rsid w:val="0BD56A04"/>
    <w:rsid w:val="0BD9237C"/>
    <w:rsid w:val="0BEF7DA3"/>
    <w:rsid w:val="0BFB4241"/>
    <w:rsid w:val="0C1D705A"/>
    <w:rsid w:val="0C360518"/>
    <w:rsid w:val="0C383A1B"/>
    <w:rsid w:val="0C3C7CAB"/>
    <w:rsid w:val="0C5E5E59"/>
    <w:rsid w:val="0C6557E4"/>
    <w:rsid w:val="0C7E7DDA"/>
    <w:rsid w:val="0C86379A"/>
    <w:rsid w:val="0C867ACF"/>
    <w:rsid w:val="0C915B76"/>
    <w:rsid w:val="0CA30B4B"/>
    <w:rsid w:val="0CAF2CDB"/>
    <w:rsid w:val="0CBE4131"/>
    <w:rsid w:val="0CBF2B1B"/>
    <w:rsid w:val="0CBF63C2"/>
    <w:rsid w:val="0CC57563"/>
    <w:rsid w:val="0CC76782"/>
    <w:rsid w:val="0CE9794A"/>
    <w:rsid w:val="0CEA12C0"/>
    <w:rsid w:val="0CEF6BD7"/>
    <w:rsid w:val="0CFD19FB"/>
    <w:rsid w:val="0D103128"/>
    <w:rsid w:val="0D1211CC"/>
    <w:rsid w:val="0D16364C"/>
    <w:rsid w:val="0D2A4B0B"/>
    <w:rsid w:val="0D2F6C3B"/>
    <w:rsid w:val="0D344409"/>
    <w:rsid w:val="0D395874"/>
    <w:rsid w:val="0D4A68A1"/>
    <w:rsid w:val="0D554727"/>
    <w:rsid w:val="0D5A4DF7"/>
    <w:rsid w:val="0D624402"/>
    <w:rsid w:val="0D75673E"/>
    <w:rsid w:val="0D811433"/>
    <w:rsid w:val="0D8558BB"/>
    <w:rsid w:val="0D876BC0"/>
    <w:rsid w:val="0D8A1D43"/>
    <w:rsid w:val="0D8B55C6"/>
    <w:rsid w:val="0D95362E"/>
    <w:rsid w:val="0D95437A"/>
    <w:rsid w:val="0D976E5A"/>
    <w:rsid w:val="0DA373F7"/>
    <w:rsid w:val="0DDA2DC7"/>
    <w:rsid w:val="0DDC300B"/>
    <w:rsid w:val="0DDE102D"/>
    <w:rsid w:val="0DE56619"/>
    <w:rsid w:val="0DED5987"/>
    <w:rsid w:val="0DF370AD"/>
    <w:rsid w:val="0DFA26A5"/>
    <w:rsid w:val="0DFC545B"/>
    <w:rsid w:val="0E056049"/>
    <w:rsid w:val="0E10681A"/>
    <w:rsid w:val="0E1A7433"/>
    <w:rsid w:val="0E226CC8"/>
    <w:rsid w:val="0E2B3F92"/>
    <w:rsid w:val="0E356120"/>
    <w:rsid w:val="0E4E786F"/>
    <w:rsid w:val="0E521A34"/>
    <w:rsid w:val="0E552FD0"/>
    <w:rsid w:val="0E6504F3"/>
    <w:rsid w:val="0E6669A8"/>
    <w:rsid w:val="0E737AC2"/>
    <w:rsid w:val="0E861F8A"/>
    <w:rsid w:val="0E9512FB"/>
    <w:rsid w:val="0EAC0F21"/>
    <w:rsid w:val="0EB16669"/>
    <w:rsid w:val="0EB44EEE"/>
    <w:rsid w:val="0EB83A78"/>
    <w:rsid w:val="0EBA5CB8"/>
    <w:rsid w:val="0EC07BC1"/>
    <w:rsid w:val="0ED529EB"/>
    <w:rsid w:val="0EF77D1B"/>
    <w:rsid w:val="0F025C80"/>
    <w:rsid w:val="0F191555"/>
    <w:rsid w:val="0F1F345E"/>
    <w:rsid w:val="0F347B80"/>
    <w:rsid w:val="0F4920A4"/>
    <w:rsid w:val="0F4F5710"/>
    <w:rsid w:val="0F5B1FBE"/>
    <w:rsid w:val="0F732EE8"/>
    <w:rsid w:val="0F847E24"/>
    <w:rsid w:val="0F8D020F"/>
    <w:rsid w:val="0F9221C8"/>
    <w:rsid w:val="0F9564DC"/>
    <w:rsid w:val="0FA545F8"/>
    <w:rsid w:val="0FC5746F"/>
    <w:rsid w:val="0FCA38F7"/>
    <w:rsid w:val="0FE221EA"/>
    <w:rsid w:val="0FED4DB0"/>
    <w:rsid w:val="0FF46D31"/>
    <w:rsid w:val="0FFA1E6E"/>
    <w:rsid w:val="0FFB485C"/>
    <w:rsid w:val="0FFC257E"/>
    <w:rsid w:val="100319B1"/>
    <w:rsid w:val="100901BC"/>
    <w:rsid w:val="100E2921"/>
    <w:rsid w:val="10123CEB"/>
    <w:rsid w:val="10127F12"/>
    <w:rsid w:val="101910F7"/>
    <w:rsid w:val="101C244E"/>
    <w:rsid w:val="10331CA1"/>
    <w:rsid w:val="103714C7"/>
    <w:rsid w:val="10432474"/>
    <w:rsid w:val="104C2BCB"/>
    <w:rsid w:val="10524F22"/>
    <w:rsid w:val="1057315A"/>
    <w:rsid w:val="10640272"/>
    <w:rsid w:val="107D4754"/>
    <w:rsid w:val="108B113E"/>
    <w:rsid w:val="10926AB7"/>
    <w:rsid w:val="10973F44"/>
    <w:rsid w:val="109A7452"/>
    <w:rsid w:val="10A122D5"/>
    <w:rsid w:val="10A2232D"/>
    <w:rsid w:val="10B244F7"/>
    <w:rsid w:val="10B25DF3"/>
    <w:rsid w:val="10BB2E7F"/>
    <w:rsid w:val="10C1473A"/>
    <w:rsid w:val="10CB7366"/>
    <w:rsid w:val="10CD6D07"/>
    <w:rsid w:val="10D516B4"/>
    <w:rsid w:val="10DC73EA"/>
    <w:rsid w:val="10DE213A"/>
    <w:rsid w:val="10E00EC0"/>
    <w:rsid w:val="10E5214B"/>
    <w:rsid w:val="10E7084B"/>
    <w:rsid w:val="10EA17D0"/>
    <w:rsid w:val="10F555E2"/>
    <w:rsid w:val="10F863AD"/>
    <w:rsid w:val="11021075"/>
    <w:rsid w:val="11084AEE"/>
    <w:rsid w:val="1110422E"/>
    <w:rsid w:val="111411BF"/>
    <w:rsid w:val="111827EC"/>
    <w:rsid w:val="1121243B"/>
    <w:rsid w:val="11215A7F"/>
    <w:rsid w:val="11421E5E"/>
    <w:rsid w:val="11497DFD"/>
    <w:rsid w:val="115F398D"/>
    <w:rsid w:val="11684477"/>
    <w:rsid w:val="116B74D9"/>
    <w:rsid w:val="1171290A"/>
    <w:rsid w:val="117513B4"/>
    <w:rsid w:val="119272EB"/>
    <w:rsid w:val="119613BE"/>
    <w:rsid w:val="11991FD9"/>
    <w:rsid w:val="119A3908"/>
    <w:rsid w:val="11AF4817"/>
    <w:rsid w:val="11B17F14"/>
    <w:rsid w:val="11B21219"/>
    <w:rsid w:val="11C0588B"/>
    <w:rsid w:val="11C44B2A"/>
    <w:rsid w:val="11CA0A47"/>
    <w:rsid w:val="11CD7844"/>
    <w:rsid w:val="11E43BE6"/>
    <w:rsid w:val="11E84258"/>
    <w:rsid w:val="11E86C12"/>
    <w:rsid w:val="11E87017"/>
    <w:rsid w:val="11EC6A74"/>
    <w:rsid w:val="11F03528"/>
    <w:rsid w:val="11F2097D"/>
    <w:rsid w:val="12075B9A"/>
    <w:rsid w:val="121D5045"/>
    <w:rsid w:val="121E2AC6"/>
    <w:rsid w:val="122E65E4"/>
    <w:rsid w:val="12344FE5"/>
    <w:rsid w:val="12456209"/>
    <w:rsid w:val="124D1745"/>
    <w:rsid w:val="12561BF0"/>
    <w:rsid w:val="125661BD"/>
    <w:rsid w:val="125A504D"/>
    <w:rsid w:val="125E2F0D"/>
    <w:rsid w:val="12627D38"/>
    <w:rsid w:val="12681C41"/>
    <w:rsid w:val="126C3406"/>
    <w:rsid w:val="126E19A9"/>
    <w:rsid w:val="12823D4A"/>
    <w:rsid w:val="12992410"/>
    <w:rsid w:val="129B31AF"/>
    <w:rsid w:val="129F4319"/>
    <w:rsid w:val="12B87441"/>
    <w:rsid w:val="12C05ED5"/>
    <w:rsid w:val="12C27A9B"/>
    <w:rsid w:val="12D65A11"/>
    <w:rsid w:val="12DD1C00"/>
    <w:rsid w:val="12E85A12"/>
    <w:rsid w:val="12EF539D"/>
    <w:rsid w:val="12FA3506"/>
    <w:rsid w:val="13000E7B"/>
    <w:rsid w:val="13082DB5"/>
    <w:rsid w:val="130A28E9"/>
    <w:rsid w:val="130E23CF"/>
    <w:rsid w:val="131A48F3"/>
    <w:rsid w:val="13242E4C"/>
    <w:rsid w:val="13306EC2"/>
    <w:rsid w:val="133166C3"/>
    <w:rsid w:val="13367661"/>
    <w:rsid w:val="13465FE5"/>
    <w:rsid w:val="134B0DDC"/>
    <w:rsid w:val="134E0C3A"/>
    <w:rsid w:val="13527640"/>
    <w:rsid w:val="135E44C2"/>
    <w:rsid w:val="136A15BD"/>
    <w:rsid w:val="137328CD"/>
    <w:rsid w:val="13773FFC"/>
    <w:rsid w:val="13787880"/>
    <w:rsid w:val="137C383C"/>
    <w:rsid w:val="138D6426"/>
    <w:rsid w:val="138E12A5"/>
    <w:rsid w:val="13B12EDD"/>
    <w:rsid w:val="13BA15EE"/>
    <w:rsid w:val="13CD6F8A"/>
    <w:rsid w:val="13CE33F5"/>
    <w:rsid w:val="13D54396"/>
    <w:rsid w:val="13D831EB"/>
    <w:rsid w:val="13E427CB"/>
    <w:rsid w:val="13E67EB4"/>
    <w:rsid w:val="13EA0AB8"/>
    <w:rsid w:val="13FF7A53"/>
    <w:rsid w:val="14134D08"/>
    <w:rsid w:val="14191607"/>
    <w:rsid w:val="141B290C"/>
    <w:rsid w:val="14305E5E"/>
    <w:rsid w:val="14345A34"/>
    <w:rsid w:val="144009CC"/>
    <w:rsid w:val="14403A45"/>
    <w:rsid w:val="14414D4A"/>
    <w:rsid w:val="144349CA"/>
    <w:rsid w:val="14480D38"/>
    <w:rsid w:val="144B3CAB"/>
    <w:rsid w:val="145B0F39"/>
    <w:rsid w:val="1463153F"/>
    <w:rsid w:val="146B30C4"/>
    <w:rsid w:val="146F4594"/>
    <w:rsid w:val="14776E55"/>
    <w:rsid w:val="147B3C2A"/>
    <w:rsid w:val="149155E0"/>
    <w:rsid w:val="14935A4E"/>
    <w:rsid w:val="14995B00"/>
    <w:rsid w:val="14A54A6E"/>
    <w:rsid w:val="14AF30F4"/>
    <w:rsid w:val="14BD6892"/>
    <w:rsid w:val="14CA51E2"/>
    <w:rsid w:val="14D830A0"/>
    <w:rsid w:val="14EE28E4"/>
    <w:rsid w:val="14F05DE7"/>
    <w:rsid w:val="14F270EC"/>
    <w:rsid w:val="14F628B1"/>
    <w:rsid w:val="14FD0846"/>
    <w:rsid w:val="1503669A"/>
    <w:rsid w:val="1507789C"/>
    <w:rsid w:val="15170695"/>
    <w:rsid w:val="15261B20"/>
    <w:rsid w:val="15316332"/>
    <w:rsid w:val="15364B23"/>
    <w:rsid w:val="15437DF0"/>
    <w:rsid w:val="154532F3"/>
    <w:rsid w:val="1546345F"/>
    <w:rsid w:val="1553008A"/>
    <w:rsid w:val="15660F14"/>
    <w:rsid w:val="1574392C"/>
    <w:rsid w:val="15807C55"/>
    <w:rsid w:val="15915971"/>
    <w:rsid w:val="15B648AC"/>
    <w:rsid w:val="15C33BC1"/>
    <w:rsid w:val="15C52948"/>
    <w:rsid w:val="15CA6DCF"/>
    <w:rsid w:val="15CB6C77"/>
    <w:rsid w:val="15D23CCD"/>
    <w:rsid w:val="15DA197B"/>
    <w:rsid w:val="15DD3341"/>
    <w:rsid w:val="15E169F5"/>
    <w:rsid w:val="15E24476"/>
    <w:rsid w:val="15EC3507"/>
    <w:rsid w:val="15F1340C"/>
    <w:rsid w:val="15FF2724"/>
    <w:rsid w:val="16035FA5"/>
    <w:rsid w:val="161421F5"/>
    <w:rsid w:val="161F262E"/>
    <w:rsid w:val="16201D5D"/>
    <w:rsid w:val="162D108F"/>
    <w:rsid w:val="1633425E"/>
    <w:rsid w:val="16371F9D"/>
    <w:rsid w:val="163D5A89"/>
    <w:rsid w:val="163E43EA"/>
    <w:rsid w:val="164A7250"/>
    <w:rsid w:val="164E15A7"/>
    <w:rsid w:val="1658298F"/>
    <w:rsid w:val="165F3F48"/>
    <w:rsid w:val="166337FF"/>
    <w:rsid w:val="166D59E0"/>
    <w:rsid w:val="16705C3E"/>
    <w:rsid w:val="16765B62"/>
    <w:rsid w:val="167823EB"/>
    <w:rsid w:val="167B09C9"/>
    <w:rsid w:val="167F4CEB"/>
    <w:rsid w:val="16880487"/>
    <w:rsid w:val="169620C7"/>
    <w:rsid w:val="16B71ED0"/>
    <w:rsid w:val="16C513AF"/>
    <w:rsid w:val="16C97BC3"/>
    <w:rsid w:val="16CA656B"/>
    <w:rsid w:val="16CC48D0"/>
    <w:rsid w:val="16DA4A0E"/>
    <w:rsid w:val="16E64EFA"/>
    <w:rsid w:val="16E817A5"/>
    <w:rsid w:val="16E86EB8"/>
    <w:rsid w:val="16EB0EA4"/>
    <w:rsid w:val="16F21AF1"/>
    <w:rsid w:val="16F26832"/>
    <w:rsid w:val="16FE6F45"/>
    <w:rsid w:val="16FF688B"/>
    <w:rsid w:val="17037DD1"/>
    <w:rsid w:val="17192F81"/>
    <w:rsid w:val="17313529"/>
    <w:rsid w:val="174540BD"/>
    <w:rsid w:val="174F6AAB"/>
    <w:rsid w:val="175400B6"/>
    <w:rsid w:val="175A07E0"/>
    <w:rsid w:val="17656B71"/>
    <w:rsid w:val="176D19FF"/>
    <w:rsid w:val="176D4647"/>
    <w:rsid w:val="17797A0F"/>
    <w:rsid w:val="177A5FA0"/>
    <w:rsid w:val="17841624"/>
    <w:rsid w:val="17871CFD"/>
    <w:rsid w:val="17985ABB"/>
    <w:rsid w:val="17A76437"/>
    <w:rsid w:val="17B54D45"/>
    <w:rsid w:val="17B872D3"/>
    <w:rsid w:val="17CA0378"/>
    <w:rsid w:val="17E21B65"/>
    <w:rsid w:val="17EA382E"/>
    <w:rsid w:val="18021EF2"/>
    <w:rsid w:val="18037974"/>
    <w:rsid w:val="180B4D80"/>
    <w:rsid w:val="180D49CF"/>
    <w:rsid w:val="18216F24"/>
    <w:rsid w:val="182746B0"/>
    <w:rsid w:val="182A4058"/>
    <w:rsid w:val="182B52BA"/>
    <w:rsid w:val="18355BC4"/>
    <w:rsid w:val="18577F50"/>
    <w:rsid w:val="185E2FFD"/>
    <w:rsid w:val="185E6D88"/>
    <w:rsid w:val="18653FFC"/>
    <w:rsid w:val="18740863"/>
    <w:rsid w:val="18854A4A"/>
    <w:rsid w:val="188B1EB7"/>
    <w:rsid w:val="18962766"/>
    <w:rsid w:val="189824E7"/>
    <w:rsid w:val="189E49D8"/>
    <w:rsid w:val="18A46D91"/>
    <w:rsid w:val="18A829C6"/>
    <w:rsid w:val="18A92683"/>
    <w:rsid w:val="18B00C31"/>
    <w:rsid w:val="18B1550E"/>
    <w:rsid w:val="18B22F8F"/>
    <w:rsid w:val="18C41FB0"/>
    <w:rsid w:val="18C43019"/>
    <w:rsid w:val="18D55226"/>
    <w:rsid w:val="18D6574D"/>
    <w:rsid w:val="18DF3E5F"/>
    <w:rsid w:val="18E25ED7"/>
    <w:rsid w:val="18E36FE2"/>
    <w:rsid w:val="18E9476E"/>
    <w:rsid w:val="18F0751B"/>
    <w:rsid w:val="190E593C"/>
    <w:rsid w:val="190F6621"/>
    <w:rsid w:val="19181A3A"/>
    <w:rsid w:val="191B713B"/>
    <w:rsid w:val="19281CD4"/>
    <w:rsid w:val="192B3C4F"/>
    <w:rsid w:val="19307761"/>
    <w:rsid w:val="193D63F7"/>
    <w:rsid w:val="19436102"/>
    <w:rsid w:val="194C1391"/>
    <w:rsid w:val="194C318E"/>
    <w:rsid w:val="194D0C0F"/>
    <w:rsid w:val="194D4ACC"/>
    <w:rsid w:val="195A5FE0"/>
    <w:rsid w:val="19694CBC"/>
    <w:rsid w:val="196F176A"/>
    <w:rsid w:val="19715B13"/>
    <w:rsid w:val="198257E8"/>
    <w:rsid w:val="19866520"/>
    <w:rsid w:val="198E4EFC"/>
    <w:rsid w:val="198E7A93"/>
    <w:rsid w:val="198F7ACB"/>
    <w:rsid w:val="19913482"/>
    <w:rsid w:val="19921A29"/>
    <w:rsid w:val="19977D8A"/>
    <w:rsid w:val="199E386A"/>
    <w:rsid w:val="19B1359D"/>
    <w:rsid w:val="19B33E37"/>
    <w:rsid w:val="19B82418"/>
    <w:rsid w:val="19BC4DD9"/>
    <w:rsid w:val="19BF7380"/>
    <w:rsid w:val="19CF7EE4"/>
    <w:rsid w:val="19D2231C"/>
    <w:rsid w:val="19D43730"/>
    <w:rsid w:val="19EE2997"/>
    <w:rsid w:val="19F441E9"/>
    <w:rsid w:val="19F63627"/>
    <w:rsid w:val="19F73ADB"/>
    <w:rsid w:val="19F93196"/>
    <w:rsid w:val="1A081BBA"/>
    <w:rsid w:val="1A244A84"/>
    <w:rsid w:val="1A364C38"/>
    <w:rsid w:val="1A3E5F99"/>
    <w:rsid w:val="1A3F64B3"/>
    <w:rsid w:val="1A5605E9"/>
    <w:rsid w:val="1A5F3E44"/>
    <w:rsid w:val="1A69334B"/>
    <w:rsid w:val="1A6A5B64"/>
    <w:rsid w:val="1A807D07"/>
    <w:rsid w:val="1A826A8E"/>
    <w:rsid w:val="1A8F0322"/>
    <w:rsid w:val="1AAE21D3"/>
    <w:rsid w:val="1ABB0DE6"/>
    <w:rsid w:val="1ADA13B7"/>
    <w:rsid w:val="1AF771ED"/>
    <w:rsid w:val="1AF93191"/>
    <w:rsid w:val="1AFD0B40"/>
    <w:rsid w:val="1AFD3567"/>
    <w:rsid w:val="1AFF4613"/>
    <w:rsid w:val="1B1507F3"/>
    <w:rsid w:val="1B16062A"/>
    <w:rsid w:val="1B1649A6"/>
    <w:rsid w:val="1B1D66C9"/>
    <w:rsid w:val="1B1E07BB"/>
    <w:rsid w:val="1B1E113A"/>
    <w:rsid w:val="1B294C9D"/>
    <w:rsid w:val="1B2B3823"/>
    <w:rsid w:val="1B30111B"/>
    <w:rsid w:val="1B36008B"/>
    <w:rsid w:val="1B3F4BEE"/>
    <w:rsid w:val="1B3F6E41"/>
    <w:rsid w:val="1B45310B"/>
    <w:rsid w:val="1B593EEC"/>
    <w:rsid w:val="1B635D7C"/>
    <w:rsid w:val="1B675C26"/>
    <w:rsid w:val="1B6B0D73"/>
    <w:rsid w:val="1B6C6A61"/>
    <w:rsid w:val="1BA01B1B"/>
    <w:rsid w:val="1BA2295D"/>
    <w:rsid w:val="1BA404FC"/>
    <w:rsid w:val="1BA86144"/>
    <w:rsid w:val="1BAC1A5E"/>
    <w:rsid w:val="1BB47375"/>
    <w:rsid w:val="1BBE5191"/>
    <w:rsid w:val="1BC1139B"/>
    <w:rsid w:val="1BC90FA3"/>
    <w:rsid w:val="1BD163B0"/>
    <w:rsid w:val="1BD26640"/>
    <w:rsid w:val="1BE0460E"/>
    <w:rsid w:val="1BE069CA"/>
    <w:rsid w:val="1BE43B86"/>
    <w:rsid w:val="1BE91858"/>
    <w:rsid w:val="1BED4EFB"/>
    <w:rsid w:val="1C002A4D"/>
    <w:rsid w:val="1C182627"/>
    <w:rsid w:val="1C287A80"/>
    <w:rsid w:val="1C2A6C2E"/>
    <w:rsid w:val="1C2E5D6C"/>
    <w:rsid w:val="1C41576A"/>
    <w:rsid w:val="1C575069"/>
    <w:rsid w:val="1C710C42"/>
    <w:rsid w:val="1C735482"/>
    <w:rsid w:val="1C8A66C6"/>
    <w:rsid w:val="1C8D50AC"/>
    <w:rsid w:val="1C9D1DA8"/>
    <w:rsid w:val="1CA7394F"/>
    <w:rsid w:val="1CA828F3"/>
    <w:rsid w:val="1CBB2985"/>
    <w:rsid w:val="1CD83537"/>
    <w:rsid w:val="1CF04609"/>
    <w:rsid w:val="1CFF359F"/>
    <w:rsid w:val="1D021844"/>
    <w:rsid w:val="1D024060"/>
    <w:rsid w:val="1D0D0336"/>
    <w:rsid w:val="1D13456F"/>
    <w:rsid w:val="1D322AF4"/>
    <w:rsid w:val="1D323F22"/>
    <w:rsid w:val="1D403D49"/>
    <w:rsid w:val="1D4A3A1E"/>
    <w:rsid w:val="1D4D0079"/>
    <w:rsid w:val="1D5B0990"/>
    <w:rsid w:val="1D5D053C"/>
    <w:rsid w:val="1D61678E"/>
    <w:rsid w:val="1D715C81"/>
    <w:rsid w:val="1D7E40DE"/>
    <w:rsid w:val="1D880527"/>
    <w:rsid w:val="1D90090F"/>
    <w:rsid w:val="1D9A4746"/>
    <w:rsid w:val="1D9B6CA0"/>
    <w:rsid w:val="1DAA4ED3"/>
    <w:rsid w:val="1DB55EC9"/>
    <w:rsid w:val="1DBA0E8A"/>
    <w:rsid w:val="1DBB5AD7"/>
    <w:rsid w:val="1DC53ABB"/>
    <w:rsid w:val="1DD65800"/>
    <w:rsid w:val="1DE55E1B"/>
    <w:rsid w:val="1DEA22A2"/>
    <w:rsid w:val="1DEF6D8A"/>
    <w:rsid w:val="1DF276AF"/>
    <w:rsid w:val="1E0D155D"/>
    <w:rsid w:val="1E161E6D"/>
    <w:rsid w:val="1E1765B6"/>
    <w:rsid w:val="1E445E34"/>
    <w:rsid w:val="1E473A6A"/>
    <w:rsid w:val="1E6155D3"/>
    <w:rsid w:val="1E674B72"/>
    <w:rsid w:val="1E692DF0"/>
    <w:rsid w:val="1E754405"/>
    <w:rsid w:val="1E83119C"/>
    <w:rsid w:val="1E834DB7"/>
    <w:rsid w:val="1E8E20FF"/>
    <w:rsid w:val="1E9D55C9"/>
    <w:rsid w:val="1EAA6E5D"/>
    <w:rsid w:val="1EAB6ADD"/>
    <w:rsid w:val="1EB50594"/>
    <w:rsid w:val="1EBF03F2"/>
    <w:rsid w:val="1EC11E8C"/>
    <w:rsid w:val="1ECA5CA9"/>
    <w:rsid w:val="1EDC0931"/>
    <w:rsid w:val="1EE537BF"/>
    <w:rsid w:val="1EEA5004"/>
    <w:rsid w:val="1EEE2B9E"/>
    <w:rsid w:val="1EF555DB"/>
    <w:rsid w:val="1EFB3BE0"/>
    <w:rsid w:val="1F047263"/>
    <w:rsid w:val="1F073C3D"/>
    <w:rsid w:val="1F2C6132"/>
    <w:rsid w:val="1F340024"/>
    <w:rsid w:val="1F3662A2"/>
    <w:rsid w:val="1F3A0748"/>
    <w:rsid w:val="1F3A2EC9"/>
    <w:rsid w:val="1F4202D5"/>
    <w:rsid w:val="1F4B69E7"/>
    <w:rsid w:val="1F5275D0"/>
    <w:rsid w:val="1F607885"/>
    <w:rsid w:val="1F6D7F66"/>
    <w:rsid w:val="1F864F29"/>
    <w:rsid w:val="1F905E56"/>
    <w:rsid w:val="1FB5190D"/>
    <w:rsid w:val="1FB81C93"/>
    <w:rsid w:val="1FBE3AFB"/>
    <w:rsid w:val="1FE54F61"/>
    <w:rsid w:val="1FF94356"/>
    <w:rsid w:val="2000198D"/>
    <w:rsid w:val="20066F44"/>
    <w:rsid w:val="20076787"/>
    <w:rsid w:val="200D1749"/>
    <w:rsid w:val="200D2936"/>
    <w:rsid w:val="200E3310"/>
    <w:rsid w:val="201C3760"/>
    <w:rsid w:val="2028511E"/>
    <w:rsid w:val="202A5432"/>
    <w:rsid w:val="202E3F0C"/>
    <w:rsid w:val="20343A7B"/>
    <w:rsid w:val="203D6983"/>
    <w:rsid w:val="20406503"/>
    <w:rsid w:val="20492419"/>
    <w:rsid w:val="20496ED8"/>
    <w:rsid w:val="20533996"/>
    <w:rsid w:val="20700D48"/>
    <w:rsid w:val="2072358F"/>
    <w:rsid w:val="207445C6"/>
    <w:rsid w:val="20765541"/>
    <w:rsid w:val="20815C2F"/>
    <w:rsid w:val="208337BA"/>
    <w:rsid w:val="209815EC"/>
    <w:rsid w:val="209A1B8C"/>
    <w:rsid w:val="20B3039A"/>
    <w:rsid w:val="20B74760"/>
    <w:rsid w:val="20BC4F1C"/>
    <w:rsid w:val="20C50451"/>
    <w:rsid w:val="20DB53A4"/>
    <w:rsid w:val="20F46974"/>
    <w:rsid w:val="20F56A22"/>
    <w:rsid w:val="20F96260"/>
    <w:rsid w:val="20FF3AAE"/>
    <w:rsid w:val="21074BD4"/>
    <w:rsid w:val="21134F84"/>
    <w:rsid w:val="21135FD2"/>
    <w:rsid w:val="211B7B5B"/>
    <w:rsid w:val="213D1395"/>
    <w:rsid w:val="2152200F"/>
    <w:rsid w:val="215522BF"/>
    <w:rsid w:val="21663B7F"/>
    <w:rsid w:val="216924B1"/>
    <w:rsid w:val="216D7C60"/>
    <w:rsid w:val="21756F70"/>
    <w:rsid w:val="218577EE"/>
    <w:rsid w:val="21882F4E"/>
    <w:rsid w:val="218963D3"/>
    <w:rsid w:val="218B3558"/>
    <w:rsid w:val="21A12149"/>
    <w:rsid w:val="21A34113"/>
    <w:rsid w:val="21AB2FC8"/>
    <w:rsid w:val="21B03969"/>
    <w:rsid w:val="21B1679F"/>
    <w:rsid w:val="21BA76AF"/>
    <w:rsid w:val="21BE5ADD"/>
    <w:rsid w:val="21CA4416"/>
    <w:rsid w:val="21CF315A"/>
    <w:rsid w:val="21CF7B30"/>
    <w:rsid w:val="21D06385"/>
    <w:rsid w:val="21D13505"/>
    <w:rsid w:val="21D73792"/>
    <w:rsid w:val="21F86BC2"/>
    <w:rsid w:val="21F94B5A"/>
    <w:rsid w:val="220855E6"/>
    <w:rsid w:val="221D6DEE"/>
    <w:rsid w:val="22213954"/>
    <w:rsid w:val="22280099"/>
    <w:rsid w:val="222A1A59"/>
    <w:rsid w:val="222F7A24"/>
    <w:rsid w:val="223076A3"/>
    <w:rsid w:val="223B0F91"/>
    <w:rsid w:val="225731DE"/>
    <w:rsid w:val="225A40FF"/>
    <w:rsid w:val="225E1A32"/>
    <w:rsid w:val="22621778"/>
    <w:rsid w:val="22653A99"/>
    <w:rsid w:val="226A1E07"/>
    <w:rsid w:val="226F628F"/>
    <w:rsid w:val="22715F0F"/>
    <w:rsid w:val="22767B2E"/>
    <w:rsid w:val="227E5224"/>
    <w:rsid w:val="22804455"/>
    <w:rsid w:val="2296695B"/>
    <w:rsid w:val="229B1BDB"/>
    <w:rsid w:val="22A7378F"/>
    <w:rsid w:val="22A93AEA"/>
    <w:rsid w:val="22AB0E4B"/>
    <w:rsid w:val="22AC4A6F"/>
    <w:rsid w:val="22AD24F0"/>
    <w:rsid w:val="22C205C9"/>
    <w:rsid w:val="22C33953"/>
    <w:rsid w:val="22D44696"/>
    <w:rsid w:val="22DC0E41"/>
    <w:rsid w:val="22DF5329"/>
    <w:rsid w:val="22E01A46"/>
    <w:rsid w:val="22E174C7"/>
    <w:rsid w:val="22E5508B"/>
    <w:rsid w:val="22E9024C"/>
    <w:rsid w:val="22F22FE5"/>
    <w:rsid w:val="22F619EB"/>
    <w:rsid w:val="22FB0071"/>
    <w:rsid w:val="22FD6526"/>
    <w:rsid w:val="2302327F"/>
    <w:rsid w:val="23044D96"/>
    <w:rsid w:val="230B288A"/>
    <w:rsid w:val="230C7214"/>
    <w:rsid w:val="230D5D8D"/>
    <w:rsid w:val="230E0951"/>
    <w:rsid w:val="23190A27"/>
    <w:rsid w:val="23203542"/>
    <w:rsid w:val="233831E8"/>
    <w:rsid w:val="233A0AA7"/>
    <w:rsid w:val="233E1DDF"/>
    <w:rsid w:val="23425BAE"/>
    <w:rsid w:val="234C7698"/>
    <w:rsid w:val="234E00AF"/>
    <w:rsid w:val="2350771E"/>
    <w:rsid w:val="2351421E"/>
    <w:rsid w:val="235E52E6"/>
    <w:rsid w:val="236E4B2D"/>
    <w:rsid w:val="237038B3"/>
    <w:rsid w:val="23745791"/>
    <w:rsid w:val="23753F08"/>
    <w:rsid w:val="239D347E"/>
    <w:rsid w:val="23A37585"/>
    <w:rsid w:val="23AA6F10"/>
    <w:rsid w:val="23AF4119"/>
    <w:rsid w:val="23C32D8B"/>
    <w:rsid w:val="23C47D4E"/>
    <w:rsid w:val="23D0134E"/>
    <w:rsid w:val="23D27B11"/>
    <w:rsid w:val="23D5316D"/>
    <w:rsid w:val="23D557D6"/>
    <w:rsid w:val="23D827DE"/>
    <w:rsid w:val="23E66B8F"/>
    <w:rsid w:val="23E704BC"/>
    <w:rsid w:val="23F24EDE"/>
    <w:rsid w:val="23F32C10"/>
    <w:rsid w:val="24003BFB"/>
    <w:rsid w:val="24076667"/>
    <w:rsid w:val="240A6030"/>
    <w:rsid w:val="240E2F76"/>
    <w:rsid w:val="242A2CE1"/>
    <w:rsid w:val="242B679B"/>
    <w:rsid w:val="244122B9"/>
    <w:rsid w:val="24420388"/>
    <w:rsid w:val="2445245F"/>
    <w:rsid w:val="24502F21"/>
    <w:rsid w:val="24532B5A"/>
    <w:rsid w:val="2460760C"/>
    <w:rsid w:val="2469121A"/>
    <w:rsid w:val="24755934"/>
    <w:rsid w:val="248655F9"/>
    <w:rsid w:val="24873565"/>
    <w:rsid w:val="248C6E26"/>
    <w:rsid w:val="248D4C07"/>
    <w:rsid w:val="24911187"/>
    <w:rsid w:val="24990D97"/>
    <w:rsid w:val="24996F63"/>
    <w:rsid w:val="24A6719D"/>
    <w:rsid w:val="24B473C2"/>
    <w:rsid w:val="24CC1BD3"/>
    <w:rsid w:val="24CC7095"/>
    <w:rsid w:val="24CE3ED3"/>
    <w:rsid w:val="24D14774"/>
    <w:rsid w:val="24D63974"/>
    <w:rsid w:val="24D80578"/>
    <w:rsid w:val="24DF0D52"/>
    <w:rsid w:val="24E67DC3"/>
    <w:rsid w:val="24EA3120"/>
    <w:rsid w:val="24EB3E01"/>
    <w:rsid w:val="24F35FAE"/>
    <w:rsid w:val="24FE7EC9"/>
    <w:rsid w:val="25090151"/>
    <w:rsid w:val="250A03FD"/>
    <w:rsid w:val="25180974"/>
    <w:rsid w:val="252209F9"/>
    <w:rsid w:val="25284340"/>
    <w:rsid w:val="25290B53"/>
    <w:rsid w:val="253C76A7"/>
    <w:rsid w:val="254E2E44"/>
    <w:rsid w:val="255D282B"/>
    <w:rsid w:val="256A366E"/>
    <w:rsid w:val="256E2074"/>
    <w:rsid w:val="25731D7F"/>
    <w:rsid w:val="257C6E0B"/>
    <w:rsid w:val="25824598"/>
    <w:rsid w:val="25824FE5"/>
    <w:rsid w:val="25836860"/>
    <w:rsid w:val="25891C28"/>
    <w:rsid w:val="259721E1"/>
    <w:rsid w:val="25A1696D"/>
    <w:rsid w:val="25A423AE"/>
    <w:rsid w:val="25AB795A"/>
    <w:rsid w:val="25B07440"/>
    <w:rsid w:val="25B33776"/>
    <w:rsid w:val="25BD32CA"/>
    <w:rsid w:val="25BF3CF1"/>
    <w:rsid w:val="25C17900"/>
    <w:rsid w:val="25D52D1D"/>
    <w:rsid w:val="25D7522B"/>
    <w:rsid w:val="25DD39AD"/>
    <w:rsid w:val="25E05341"/>
    <w:rsid w:val="25E642BC"/>
    <w:rsid w:val="25F34852"/>
    <w:rsid w:val="25FE6458"/>
    <w:rsid w:val="260E57EE"/>
    <w:rsid w:val="260F2C23"/>
    <w:rsid w:val="260F533E"/>
    <w:rsid w:val="261A329E"/>
    <w:rsid w:val="262F2132"/>
    <w:rsid w:val="26307BB3"/>
    <w:rsid w:val="26374116"/>
    <w:rsid w:val="264164B5"/>
    <w:rsid w:val="2647305C"/>
    <w:rsid w:val="265C1CFC"/>
    <w:rsid w:val="265D59B8"/>
    <w:rsid w:val="265F2C81"/>
    <w:rsid w:val="266173E8"/>
    <w:rsid w:val="2663162B"/>
    <w:rsid w:val="2666237F"/>
    <w:rsid w:val="26694895"/>
    <w:rsid w:val="266F2F1B"/>
    <w:rsid w:val="2672207C"/>
    <w:rsid w:val="26742C26"/>
    <w:rsid w:val="267918E7"/>
    <w:rsid w:val="267A1CA4"/>
    <w:rsid w:val="26853786"/>
    <w:rsid w:val="26897349"/>
    <w:rsid w:val="26A33A01"/>
    <w:rsid w:val="26AC2D80"/>
    <w:rsid w:val="26AD2A00"/>
    <w:rsid w:val="26B7654F"/>
    <w:rsid w:val="26C2088A"/>
    <w:rsid w:val="26D20A42"/>
    <w:rsid w:val="26D251BE"/>
    <w:rsid w:val="26DE24CB"/>
    <w:rsid w:val="26E25459"/>
    <w:rsid w:val="26E87362"/>
    <w:rsid w:val="26F30F76"/>
    <w:rsid w:val="26F7797C"/>
    <w:rsid w:val="26F92A28"/>
    <w:rsid w:val="26FC6002"/>
    <w:rsid w:val="27105115"/>
    <w:rsid w:val="27111B1F"/>
    <w:rsid w:val="27111D0F"/>
    <w:rsid w:val="271D7F1B"/>
    <w:rsid w:val="272F01F7"/>
    <w:rsid w:val="273C266F"/>
    <w:rsid w:val="273F5F9F"/>
    <w:rsid w:val="27413274"/>
    <w:rsid w:val="274E5257"/>
    <w:rsid w:val="27657FB0"/>
    <w:rsid w:val="276C1B3A"/>
    <w:rsid w:val="2776664F"/>
    <w:rsid w:val="277933CE"/>
    <w:rsid w:val="277A68D1"/>
    <w:rsid w:val="277F11A4"/>
    <w:rsid w:val="2785233E"/>
    <w:rsid w:val="278D58F1"/>
    <w:rsid w:val="27927A0B"/>
    <w:rsid w:val="27983C91"/>
    <w:rsid w:val="279C7C2A"/>
    <w:rsid w:val="279D1611"/>
    <w:rsid w:val="279F0399"/>
    <w:rsid w:val="27A06B10"/>
    <w:rsid w:val="27A45517"/>
    <w:rsid w:val="27A75FE0"/>
    <w:rsid w:val="27A771AE"/>
    <w:rsid w:val="27B55428"/>
    <w:rsid w:val="27B8623F"/>
    <w:rsid w:val="27BE4B0B"/>
    <w:rsid w:val="27C43035"/>
    <w:rsid w:val="27C82C4B"/>
    <w:rsid w:val="27F24560"/>
    <w:rsid w:val="27F6620E"/>
    <w:rsid w:val="27F7751F"/>
    <w:rsid w:val="27FF7BCA"/>
    <w:rsid w:val="28041431"/>
    <w:rsid w:val="28044637"/>
    <w:rsid w:val="281020DB"/>
    <w:rsid w:val="281F29D4"/>
    <w:rsid w:val="281F4E60"/>
    <w:rsid w:val="282723FE"/>
    <w:rsid w:val="284137DE"/>
    <w:rsid w:val="284A5CA4"/>
    <w:rsid w:val="28623F84"/>
    <w:rsid w:val="286456C1"/>
    <w:rsid w:val="286D3FB9"/>
    <w:rsid w:val="28841D05"/>
    <w:rsid w:val="28867DF5"/>
    <w:rsid w:val="288971FD"/>
    <w:rsid w:val="288B7D93"/>
    <w:rsid w:val="288E6799"/>
    <w:rsid w:val="28944E1F"/>
    <w:rsid w:val="289C5AAF"/>
    <w:rsid w:val="28A21BB6"/>
    <w:rsid w:val="28A3037A"/>
    <w:rsid w:val="28A52B3B"/>
    <w:rsid w:val="28A6273B"/>
    <w:rsid w:val="28A644E9"/>
    <w:rsid w:val="28BB13DD"/>
    <w:rsid w:val="28D87E92"/>
    <w:rsid w:val="28E229A0"/>
    <w:rsid w:val="28EA3630"/>
    <w:rsid w:val="28F72F97"/>
    <w:rsid w:val="28F84B43"/>
    <w:rsid w:val="28FE6A4D"/>
    <w:rsid w:val="29087B34"/>
    <w:rsid w:val="29096867"/>
    <w:rsid w:val="29167977"/>
    <w:rsid w:val="29195CAD"/>
    <w:rsid w:val="291C1880"/>
    <w:rsid w:val="292024ED"/>
    <w:rsid w:val="292559B5"/>
    <w:rsid w:val="29283150"/>
    <w:rsid w:val="292D759C"/>
    <w:rsid w:val="29385F29"/>
    <w:rsid w:val="29406EDC"/>
    <w:rsid w:val="29461A50"/>
    <w:rsid w:val="295264D7"/>
    <w:rsid w:val="29581C87"/>
    <w:rsid w:val="296C7081"/>
    <w:rsid w:val="297202BD"/>
    <w:rsid w:val="29796396"/>
    <w:rsid w:val="29955A56"/>
    <w:rsid w:val="299F65D6"/>
    <w:rsid w:val="29BB5B3A"/>
    <w:rsid w:val="29CD6B45"/>
    <w:rsid w:val="29EF5C0E"/>
    <w:rsid w:val="2A190FED"/>
    <w:rsid w:val="2A2554D5"/>
    <w:rsid w:val="2A2C7F02"/>
    <w:rsid w:val="2A2F4799"/>
    <w:rsid w:val="2A360C92"/>
    <w:rsid w:val="2A361FCD"/>
    <w:rsid w:val="2A3743FE"/>
    <w:rsid w:val="2A3B5C8F"/>
    <w:rsid w:val="2A465F84"/>
    <w:rsid w:val="2A4D10C0"/>
    <w:rsid w:val="2A545F05"/>
    <w:rsid w:val="2A566386"/>
    <w:rsid w:val="2A6C24A7"/>
    <w:rsid w:val="2A742574"/>
    <w:rsid w:val="2A805909"/>
    <w:rsid w:val="2A847C5B"/>
    <w:rsid w:val="2A8B6F09"/>
    <w:rsid w:val="2A947DE8"/>
    <w:rsid w:val="2AA35184"/>
    <w:rsid w:val="2AA44A58"/>
    <w:rsid w:val="2AA75275"/>
    <w:rsid w:val="2AAD392A"/>
    <w:rsid w:val="2AB503A6"/>
    <w:rsid w:val="2AB54EB7"/>
    <w:rsid w:val="2ACE6CC8"/>
    <w:rsid w:val="2AD44455"/>
    <w:rsid w:val="2AD56653"/>
    <w:rsid w:val="2AE632C3"/>
    <w:rsid w:val="2AE71F78"/>
    <w:rsid w:val="2AEA23A1"/>
    <w:rsid w:val="2AEB1285"/>
    <w:rsid w:val="2AF26DA0"/>
    <w:rsid w:val="2AF26F65"/>
    <w:rsid w:val="2AF31486"/>
    <w:rsid w:val="2AF35C03"/>
    <w:rsid w:val="2AF43684"/>
    <w:rsid w:val="2AF46F08"/>
    <w:rsid w:val="2AFC2AE6"/>
    <w:rsid w:val="2B1F6B0E"/>
    <w:rsid w:val="2B2778C2"/>
    <w:rsid w:val="2B294849"/>
    <w:rsid w:val="2B2B0704"/>
    <w:rsid w:val="2B346682"/>
    <w:rsid w:val="2B3B50FE"/>
    <w:rsid w:val="2B44298F"/>
    <w:rsid w:val="2B482EBD"/>
    <w:rsid w:val="2B4F051B"/>
    <w:rsid w:val="2B503CBF"/>
    <w:rsid w:val="2B536F21"/>
    <w:rsid w:val="2B726905"/>
    <w:rsid w:val="2B787584"/>
    <w:rsid w:val="2B874C0D"/>
    <w:rsid w:val="2BA34731"/>
    <w:rsid w:val="2BA70B16"/>
    <w:rsid w:val="2BA84BC4"/>
    <w:rsid w:val="2BAC62BA"/>
    <w:rsid w:val="2BB1567F"/>
    <w:rsid w:val="2BBF4052"/>
    <w:rsid w:val="2BD716F9"/>
    <w:rsid w:val="2BDB26FC"/>
    <w:rsid w:val="2BE07A10"/>
    <w:rsid w:val="2C062248"/>
    <w:rsid w:val="2C075ACB"/>
    <w:rsid w:val="2C077995"/>
    <w:rsid w:val="2C0C0B07"/>
    <w:rsid w:val="2C0D0D9F"/>
    <w:rsid w:val="2C144DE1"/>
    <w:rsid w:val="2C1932C5"/>
    <w:rsid w:val="2C1D7C6F"/>
    <w:rsid w:val="2C1E56F0"/>
    <w:rsid w:val="2C1F48AD"/>
    <w:rsid w:val="2C25727A"/>
    <w:rsid w:val="2C3E3247"/>
    <w:rsid w:val="2C405059"/>
    <w:rsid w:val="2C4320AD"/>
    <w:rsid w:val="2C49752D"/>
    <w:rsid w:val="2C4B127F"/>
    <w:rsid w:val="2C4C53A8"/>
    <w:rsid w:val="2C4D184B"/>
    <w:rsid w:val="2C5D1D8D"/>
    <w:rsid w:val="2C752B50"/>
    <w:rsid w:val="2C8A4A20"/>
    <w:rsid w:val="2C8C7F23"/>
    <w:rsid w:val="2C8F0EA7"/>
    <w:rsid w:val="2C921E2C"/>
    <w:rsid w:val="2C9C1E8B"/>
    <w:rsid w:val="2C9C273B"/>
    <w:rsid w:val="2C9E14C2"/>
    <w:rsid w:val="2CA22E8C"/>
    <w:rsid w:val="2CB126E1"/>
    <w:rsid w:val="2CB35BE4"/>
    <w:rsid w:val="2CB510E7"/>
    <w:rsid w:val="2CBB2FF0"/>
    <w:rsid w:val="2CBB4816"/>
    <w:rsid w:val="2CC20EB1"/>
    <w:rsid w:val="2CDA2A75"/>
    <w:rsid w:val="2CE41C36"/>
    <w:rsid w:val="2CE47F24"/>
    <w:rsid w:val="2CED6A1B"/>
    <w:rsid w:val="2D002460"/>
    <w:rsid w:val="2D0C1AF6"/>
    <w:rsid w:val="2D0C7054"/>
    <w:rsid w:val="2D175908"/>
    <w:rsid w:val="2D1934DC"/>
    <w:rsid w:val="2D1B430E"/>
    <w:rsid w:val="2D3F3249"/>
    <w:rsid w:val="2D4366BC"/>
    <w:rsid w:val="2D4C0C56"/>
    <w:rsid w:val="2D596AE2"/>
    <w:rsid w:val="2D634703"/>
    <w:rsid w:val="2D69660C"/>
    <w:rsid w:val="2D725E28"/>
    <w:rsid w:val="2D7B562D"/>
    <w:rsid w:val="2D8949A5"/>
    <w:rsid w:val="2D91284D"/>
    <w:rsid w:val="2D95786F"/>
    <w:rsid w:val="2D9A5EE2"/>
    <w:rsid w:val="2DC1251E"/>
    <w:rsid w:val="2DD512BB"/>
    <w:rsid w:val="2DD846C1"/>
    <w:rsid w:val="2DE31109"/>
    <w:rsid w:val="2E0B2750"/>
    <w:rsid w:val="2E0F5EA0"/>
    <w:rsid w:val="2E1329B8"/>
    <w:rsid w:val="2E174B5F"/>
    <w:rsid w:val="2E1D73B4"/>
    <w:rsid w:val="2E2824B1"/>
    <w:rsid w:val="2E2E2ED2"/>
    <w:rsid w:val="2E2F0CC0"/>
    <w:rsid w:val="2E3215D8"/>
    <w:rsid w:val="2E3A195C"/>
    <w:rsid w:val="2E552D91"/>
    <w:rsid w:val="2E570038"/>
    <w:rsid w:val="2E604006"/>
    <w:rsid w:val="2E6541B0"/>
    <w:rsid w:val="2E6837A8"/>
    <w:rsid w:val="2E700516"/>
    <w:rsid w:val="2E755845"/>
    <w:rsid w:val="2E770D48"/>
    <w:rsid w:val="2E8325DC"/>
    <w:rsid w:val="2E840E29"/>
    <w:rsid w:val="2E910BE6"/>
    <w:rsid w:val="2E9541CC"/>
    <w:rsid w:val="2E994780"/>
    <w:rsid w:val="2E9B3506"/>
    <w:rsid w:val="2E9C0F7E"/>
    <w:rsid w:val="2EA22E91"/>
    <w:rsid w:val="2EA72D69"/>
    <w:rsid w:val="2EB35B47"/>
    <w:rsid w:val="2EBD14BC"/>
    <w:rsid w:val="2EC56362"/>
    <w:rsid w:val="2ED36EE3"/>
    <w:rsid w:val="2EE203F7"/>
    <w:rsid w:val="2EE5657F"/>
    <w:rsid w:val="2EE86A86"/>
    <w:rsid w:val="2EE93605"/>
    <w:rsid w:val="2EF70DB2"/>
    <w:rsid w:val="2F0361F1"/>
    <w:rsid w:val="2F0E4E32"/>
    <w:rsid w:val="2F123144"/>
    <w:rsid w:val="2F1819BF"/>
    <w:rsid w:val="2F191EB9"/>
    <w:rsid w:val="2F1D33ED"/>
    <w:rsid w:val="2F25085E"/>
    <w:rsid w:val="2F374416"/>
    <w:rsid w:val="2F3B186D"/>
    <w:rsid w:val="2F3B560E"/>
    <w:rsid w:val="2F3D0B11"/>
    <w:rsid w:val="2F407445"/>
    <w:rsid w:val="2F417517"/>
    <w:rsid w:val="2F4800A8"/>
    <w:rsid w:val="2F516105"/>
    <w:rsid w:val="2F717F5D"/>
    <w:rsid w:val="2F773ADD"/>
    <w:rsid w:val="2F7D2448"/>
    <w:rsid w:val="2F8224FF"/>
    <w:rsid w:val="2F891D27"/>
    <w:rsid w:val="2F905796"/>
    <w:rsid w:val="2F915651"/>
    <w:rsid w:val="2F971823"/>
    <w:rsid w:val="2F9B28CE"/>
    <w:rsid w:val="2FA362B7"/>
    <w:rsid w:val="2FAF1572"/>
    <w:rsid w:val="2FAF25C3"/>
    <w:rsid w:val="2FB53218"/>
    <w:rsid w:val="2FBC745E"/>
    <w:rsid w:val="2FBF491D"/>
    <w:rsid w:val="2FCD4A51"/>
    <w:rsid w:val="2FCE2B17"/>
    <w:rsid w:val="2FDE0A0C"/>
    <w:rsid w:val="2FE56BC6"/>
    <w:rsid w:val="2FEE58B7"/>
    <w:rsid w:val="2FF23AB7"/>
    <w:rsid w:val="2FFB1A6A"/>
    <w:rsid w:val="30074904"/>
    <w:rsid w:val="300D3D16"/>
    <w:rsid w:val="301C26FD"/>
    <w:rsid w:val="30232088"/>
    <w:rsid w:val="30283F91"/>
    <w:rsid w:val="302B6AD4"/>
    <w:rsid w:val="3031359C"/>
    <w:rsid w:val="303248A1"/>
    <w:rsid w:val="3033211E"/>
    <w:rsid w:val="303F76FD"/>
    <w:rsid w:val="30415600"/>
    <w:rsid w:val="3044003E"/>
    <w:rsid w:val="30495D5B"/>
    <w:rsid w:val="30502924"/>
    <w:rsid w:val="3064221F"/>
    <w:rsid w:val="308E72D3"/>
    <w:rsid w:val="309148BA"/>
    <w:rsid w:val="3092233C"/>
    <w:rsid w:val="30925BBF"/>
    <w:rsid w:val="3094583F"/>
    <w:rsid w:val="30A567B5"/>
    <w:rsid w:val="30A56DDE"/>
    <w:rsid w:val="30BD239F"/>
    <w:rsid w:val="30D61B2C"/>
    <w:rsid w:val="30DF0099"/>
    <w:rsid w:val="30E43E26"/>
    <w:rsid w:val="30FB1D6B"/>
    <w:rsid w:val="30FE3328"/>
    <w:rsid w:val="30FE746D"/>
    <w:rsid w:val="310628B2"/>
    <w:rsid w:val="31137412"/>
    <w:rsid w:val="31216728"/>
    <w:rsid w:val="31496359"/>
    <w:rsid w:val="314B1C4E"/>
    <w:rsid w:val="31507277"/>
    <w:rsid w:val="31557835"/>
    <w:rsid w:val="31570E00"/>
    <w:rsid w:val="316B26D5"/>
    <w:rsid w:val="316F5349"/>
    <w:rsid w:val="3172742B"/>
    <w:rsid w:val="317E0A37"/>
    <w:rsid w:val="318254C8"/>
    <w:rsid w:val="3188544B"/>
    <w:rsid w:val="31921AAF"/>
    <w:rsid w:val="319331E3"/>
    <w:rsid w:val="319A250D"/>
    <w:rsid w:val="31A62204"/>
    <w:rsid w:val="31A66532"/>
    <w:rsid w:val="31A87906"/>
    <w:rsid w:val="31B50985"/>
    <w:rsid w:val="31BE28A4"/>
    <w:rsid w:val="31C0752B"/>
    <w:rsid w:val="31C12A2E"/>
    <w:rsid w:val="31C7249B"/>
    <w:rsid w:val="31CB426E"/>
    <w:rsid w:val="31CF4C32"/>
    <w:rsid w:val="31D00C9C"/>
    <w:rsid w:val="31D53C4D"/>
    <w:rsid w:val="31E308E1"/>
    <w:rsid w:val="31F036D7"/>
    <w:rsid w:val="31FB7BE0"/>
    <w:rsid w:val="31FE5396"/>
    <w:rsid w:val="32144A36"/>
    <w:rsid w:val="321512AC"/>
    <w:rsid w:val="32153BC3"/>
    <w:rsid w:val="321A21C3"/>
    <w:rsid w:val="321E350E"/>
    <w:rsid w:val="32285C55"/>
    <w:rsid w:val="322A7F39"/>
    <w:rsid w:val="322B72BC"/>
    <w:rsid w:val="323068E5"/>
    <w:rsid w:val="323F1146"/>
    <w:rsid w:val="32506E1A"/>
    <w:rsid w:val="32535E18"/>
    <w:rsid w:val="32712BD2"/>
    <w:rsid w:val="327E4466"/>
    <w:rsid w:val="32872F28"/>
    <w:rsid w:val="3295684A"/>
    <w:rsid w:val="329762CC"/>
    <w:rsid w:val="32997B33"/>
    <w:rsid w:val="32AC1763"/>
    <w:rsid w:val="32AE71B3"/>
    <w:rsid w:val="32B37F2E"/>
    <w:rsid w:val="32C455D6"/>
    <w:rsid w:val="32CB0A49"/>
    <w:rsid w:val="32D103B5"/>
    <w:rsid w:val="32DF00FE"/>
    <w:rsid w:val="32E20907"/>
    <w:rsid w:val="32E8504F"/>
    <w:rsid w:val="32E90D4D"/>
    <w:rsid w:val="32EB591A"/>
    <w:rsid w:val="32F675A7"/>
    <w:rsid w:val="32FC5C37"/>
    <w:rsid w:val="32FE2435"/>
    <w:rsid w:val="330A6248"/>
    <w:rsid w:val="33241EBA"/>
    <w:rsid w:val="332B7DAF"/>
    <w:rsid w:val="333A261A"/>
    <w:rsid w:val="333E321F"/>
    <w:rsid w:val="33446DD8"/>
    <w:rsid w:val="334528CA"/>
    <w:rsid w:val="33543BA4"/>
    <w:rsid w:val="33566037"/>
    <w:rsid w:val="33572206"/>
    <w:rsid w:val="3364565D"/>
    <w:rsid w:val="3365700B"/>
    <w:rsid w:val="336743E3"/>
    <w:rsid w:val="337F43BF"/>
    <w:rsid w:val="33873DC4"/>
    <w:rsid w:val="338E7B26"/>
    <w:rsid w:val="338F55A8"/>
    <w:rsid w:val="339733AC"/>
    <w:rsid w:val="33A17B14"/>
    <w:rsid w:val="33A5774B"/>
    <w:rsid w:val="33B839A0"/>
    <w:rsid w:val="33C977FE"/>
    <w:rsid w:val="33D07DE5"/>
    <w:rsid w:val="33D62126"/>
    <w:rsid w:val="33D7599C"/>
    <w:rsid w:val="33F54F4C"/>
    <w:rsid w:val="33FD2358"/>
    <w:rsid w:val="34161A7B"/>
    <w:rsid w:val="34171EBC"/>
    <w:rsid w:val="34244A1E"/>
    <w:rsid w:val="34280C1E"/>
    <w:rsid w:val="342B3056"/>
    <w:rsid w:val="342D39EB"/>
    <w:rsid w:val="3430783A"/>
    <w:rsid w:val="34324DB1"/>
    <w:rsid w:val="343529E2"/>
    <w:rsid w:val="343C56C0"/>
    <w:rsid w:val="343D5340"/>
    <w:rsid w:val="345260E7"/>
    <w:rsid w:val="345557DE"/>
    <w:rsid w:val="346403C4"/>
    <w:rsid w:val="34675FDF"/>
    <w:rsid w:val="346B6210"/>
    <w:rsid w:val="34785525"/>
    <w:rsid w:val="347A0A28"/>
    <w:rsid w:val="347A6591"/>
    <w:rsid w:val="347C3F2B"/>
    <w:rsid w:val="34841945"/>
    <w:rsid w:val="3489363D"/>
    <w:rsid w:val="3489540A"/>
    <w:rsid w:val="348A3241"/>
    <w:rsid w:val="34A35D81"/>
    <w:rsid w:val="34AB11F7"/>
    <w:rsid w:val="34AF33B3"/>
    <w:rsid w:val="34B21E6B"/>
    <w:rsid w:val="34C861EB"/>
    <w:rsid w:val="34F87471"/>
    <w:rsid w:val="34FA0F76"/>
    <w:rsid w:val="35026383"/>
    <w:rsid w:val="35037688"/>
    <w:rsid w:val="35042CC3"/>
    <w:rsid w:val="3514335F"/>
    <w:rsid w:val="3519559B"/>
    <w:rsid w:val="351D5B33"/>
    <w:rsid w:val="35247BBC"/>
    <w:rsid w:val="35321DFC"/>
    <w:rsid w:val="353F61E8"/>
    <w:rsid w:val="35447564"/>
    <w:rsid w:val="35476E77"/>
    <w:rsid w:val="35486AF7"/>
    <w:rsid w:val="355F41E0"/>
    <w:rsid w:val="3560419E"/>
    <w:rsid w:val="35622B48"/>
    <w:rsid w:val="35640B1A"/>
    <w:rsid w:val="3566192B"/>
    <w:rsid w:val="3567552A"/>
    <w:rsid w:val="356F66DB"/>
    <w:rsid w:val="357F1420"/>
    <w:rsid w:val="35856C47"/>
    <w:rsid w:val="35870802"/>
    <w:rsid w:val="358E6A31"/>
    <w:rsid w:val="35A40148"/>
    <w:rsid w:val="35A4398E"/>
    <w:rsid w:val="35AE76AF"/>
    <w:rsid w:val="35B0680E"/>
    <w:rsid w:val="35B54FC1"/>
    <w:rsid w:val="35D1702C"/>
    <w:rsid w:val="35D344DD"/>
    <w:rsid w:val="35DB18E9"/>
    <w:rsid w:val="35EB1BF0"/>
    <w:rsid w:val="35FC399A"/>
    <w:rsid w:val="35FE53CC"/>
    <w:rsid w:val="35FE7C6A"/>
    <w:rsid w:val="3603722A"/>
    <w:rsid w:val="36071026"/>
    <w:rsid w:val="36082362"/>
    <w:rsid w:val="360F68C0"/>
    <w:rsid w:val="3618394C"/>
    <w:rsid w:val="361D3657"/>
    <w:rsid w:val="3624379C"/>
    <w:rsid w:val="36270A9E"/>
    <w:rsid w:val="362819E9"/>
    <w:rsid w:val="362B4280"/>
    <w:rsid w:val="36351D84"/>
    <w:rsid w:val="364E5B92"/>
    <w:rsid w:val="366213DA"/>
    <w:rsid w:val="36871691"/>
    <w:rsid w:val="368C170D"/>
    <w:rsid w:val="36C64F25"/>
    <w:rsid w:val="36CC030D"/>
    <w:rsid w:val="36CD59BB"/>
    <w:rsid w:val="36D21E81"/>
    <w:rsid w:val="36E051C8"/>
    <w:rsid w:val="36E625F1"/>
    <w:rsid w:val="36E807A2"/>
    <w:rsid w:val="36F05BAE"/>
    <w:rsid w:val="36F079A3"/>
    <w:rsid w:val="36F70DBC"/>
    <w:rsid w:val="36F84A1C"/>
    <w:rsid w:val="36FA64BE"/>
    <w:rsid w:val="36FF3742"/>
    <w:rsid w:val="370A6758"/>
    <w:rsid w:val="370D2F60"/>
    <w:rsid w:val="371024C4"/>
    <w:rsid w:val="37241927"/>
    <w:rsid w:val="373A65DE"/>
    <w:rsid w:val="373E372F"/>
    <w:rsid w:val="374452AD"/>
    <w:rsid w:val="374D3D49"/>
    <w:rsid w:val="37563E6B"/>
    <w:rsid w:val="375955DE"/>
    <w:rsid w:val="377759CE"/>
    <w:rsid w:val="378309A0"/>
    <w:rsid w:val="3788633B"/>
    <w:rsid w:val="379A5069"/>
    <w:rsid w:val="37A3275F"/>
    <w:rsid w:val="37A46956"/>
    <w:rsid w:val="37AF4CE7"/>
    <w:rsid w:val="37B5792C"/>
    <w:rsid w:val="37B75977"/>
    <w:rsid w:val="37D8392D"/>
    <w:rsid w:val="37DA4AD7"/>
    <w:rsid w:val="37DC5F59"/>
    <w:rsid w:val="37E961A0"/>
    <w:rsid w:val="37F12C1A"/>
    <w:rsid w:val="37F16A56"/>
    <w:rsid w:val="37FA18E4"/>
    <w:rsid w:val="38014AF2"/>
    <w:rsid w:val="380644C8"/>
    <w:rsid w:val="380D6333"/>
    <w:rsid w:val="38201B23"/>
    <w:rsid w:val="382471D8"/>
    <w:rsid w:val="38484E3E"/>
    <w:rsid w:val="3852642B"/>
    <w:rsid w:val="3856677A"/>
    <w:rsid w:val="385D1988"/>
    <w:rsid w:val="38966328"/>
    <w:rsid w:val="389A324C"/>
    <w:rsid w:val="389D1B8A"/>
    <w:rsid w:val="389D6932"/>
    <w:rsid w:val="38AC78FA"/>
    <w:rsid w:val="38B36B14"/>
    <w:rsid w:val="38C03A97"/>
    <w:rsid w:val="38D44CA0"/>
    <w:rsid w:val="38D47048"/>
    <w:rsid w:val="38D77FCD"/>
    <w:rsid w:val="38E6007F"/>
    <w:rsid w:val="38EF7AF9"/>
    <w:rsid w:val="39011ED9"/>
    <w:rsid w:val="39034314"/>
    <w:rsid w:val="39164F33"/>
    <w:rsid w:val="391A765C"/>
    <w:rsid w:val="392119CE"/>
    <w:rsid w:val="3936386A"/>
    <w:rsid w:val="393977E0"/>
    <w:rsid w:val="394D6D12"/>
    <w:rsid w:val="396024B0"/>
    <w:rsid w:val="396046AE"/>
    <w:rsid w:val="39673640"/>
    <w:rsid w:val="39694BFB"/>
    <w:rsid w:val="398206E6"/>
    <w:rsid w:val="39840619"/>
    <w:rsid w:val="398E557D"/>
    <w:rsid w:val="39990B70"/>
    <w:rsid w:val="399E5818"/>
    <w:rsid w:val="39A42F75"/>
    <w:rsid w:val="39A71043"/>
    <w:rsid w:val="39AE1450"/>
    <w:rsid w:val="39B131B3"/>
    <w:rsid w:val="39B53C0B"/>
    <w:rsid w:val="39C72511"/>
    <w:rsid w:val="39CA3915"/>
    <w:rsid w:val="39CB4D56"/>
    <w:rsid w:val="39CE7365"/>
    <w:rsid w:val="39E135D3"/>
    <w:rsid w:val="39EC684F"/>
    <w:rsid w:val="39F5319F"/>
    <w:rsid w:val="39F53E40"/>
    <w:rsid w:val="39FC7DAF"/>
    <w:rsid w:val="39FD23D3"/>
    <w:rsid w:val="3A0568AB"/>
    <w:rsid w:val="3A087A97"/>
    <w:rsid w:val="3A104852"/>
    <w:rsid w:val="3A2434F2"/>
    <w:rsid w:val="3A2A6ADD"/>
    <w:rsid w:val="3A2D6380"/>
    <w:rsid w:val="3A395226"/>
    <w:rsid w:val="3A3A2D4C"/>
    <w:rsid w:val="3A4E2CFB"/>
    <w:rsid w:val="3A661625"/>
    <w:rsid w:val="3A7B0598"/>
    <w:rsid w:val="3A7E63E9"/>
    <w:rsid w:val="3A82511E"/>
    <w:rsid w:val="3A835334"/>
    <w:rsid w:val="3A892518"/>
    <w:rsid w:val="3A9A3BD3"/>
    <w:rsid w:val="3AA0503A"/>
    <w:rsid w:val="3AA774AC"/>
    <w:rsid w:val="3AA82B48"/>
    <w:rsid w:val="3AAB6C4F"/>
    <w:rsid w:val="3AC643D8"/>
    <w:rsid w:val="3AD71050"/>
    <w:rsid w:val="3ADC3D9A"/>
    <w:rsid w:val="3AE4003B"/>
    <w:rsid w:val="3AE657AF"/>
    <w:rsid w:val="3AE66E91"/>
    <w:rsid w:val="3AED15E0"/>
    <w:rsid w:val="3AEE05C8"/>
    <w:rsid w:val="3AF12C9B"/>
    <w:rsid w:val="3B01176E"/>
    <w:rsid w:val="3B075DBD"/>
    <w:rsid w:val="3B247C1B"/>
    <w:rsid w:val="3B2B2A20"/>
    <w:rsid w:val="3B30272B"/>
    <w:rsid w:val="3B360A5D"/>
    <w:rsid w:val="3B3A303A"/>
    <w:rsid w:val="3B3C3FBF"/>
    <w:rsid w:val="3B4D4259"/>
    <w:rsid w:val="3B5D36F7"/>
    <w:rsid w:val="3B5F7809"/>
    <w:rsid w:val="3B67527D"/>
    <w:rsid w:val="3B703F13"/>
    <w:rsid w:val="3B705713"/>
    <w:rsid w:val="3B716BD9"/>
    <w:rsid w:val="3B796B96"/>
    <w:rsid w:val="3B7A21E2"/>
    <w:rsid w:val="3B893F22"/>
    <w:rsid w:val="3B8A40BE"/>
    <w:rsid w:val="3B96663F"/>
    <w:rsid w:val="3B985F13"/>
    <w:rsid w:val="3B9B7493"/>
    <w:rsid w:val="3B9F3746"/>
    <w:rsid w:val="3BA526EA"/>
    <w:rsid w:val="3BA810F0"/>
    <w:rsid w:val="3BB23479"/>
    <w:rsid w:val="3BC96BC1"/>
    <w:rsid w:val="3BCB12A4"/>
    <w:rsid w:val="3BD45FF4"/>
    <w:rsid w:val="3BD6093A"/>
    <w:rsid w:val="3BD90AEE"/>
    <w:rsid w:val="3BEE5FE1"/>
    <w:rsid w:val="3BF94372"/>
    <w:rsid w:val="3C0178D1"/>
    <w:rsid w:val="3C032AA7"/>
    <w:rsid w:val="3C0430F6"/>
    <w:rsid w:val="3C1E0D2E"/>
    <w:rsid w:val="3C4B08F9"/>
    <w:rsid w:val="3C536A3E"/>
    <w:rsid w:val="3C540620"/>
    <w:rsid w:val="3C551209"/>
    <w:rsid w:val="3C596F67"/>
    <w:rsid w:val="3C5C5F01"/>
    <w:rsid w:val="3C64250B"/>
    <w:rsid w:val="3C6472A5"/>
    <w:rsid w:val="3C6627A8"/>
    <w:rsid w:val="3C663A24"/>
    <w:rsid w:val="3C6C0E2E"/>
    <w:rsid w:val="3C7A740B"/>
    <w:rsid w:val="3C7C10C8"/>
    <w:rsid w:val="3C8321F3"/>
    <w:rsid w:val="3C902C47"/>
    <w:rsid w:val="3C950F0C"/>
    <w:rsid w:val="3C954EA1"/>
    <w:rsid w:val="3CB8344A"/>
    <w:rsid w:val="3CC17E21"/>
    <w:rsid w:val="3CCD7E3F"/>
    <w:rsid w:val="3CD016DD"/>
    <w:rsid w:val="3CD043D5"/>
    <w:rsid w:val="3CD07975"/>
    <w:rsid w:val="3CD4773D"/>
    <w:rsid w:val="3CDE6772"/>
    <w:rsid w:val="3CED04E1"/>
    <w:rsid w:val="3CF00F69"/>
    <w:rsid w:val="3CF60D92"/>
    <w:rsid w:val="3D045191"/>
    <w:rsid w:val="3D0715A3"/>
    <w:rsid w:val="3D0B2880"/>
    <w:rsid w:val="3D0B60E4"/>
    <w:rsid w:val="3D1B32A0"/>
    <w:rsid w:val="3D286B03"/>
    <w:rsid w:val="3D2902E7"/>
    <w:rsid w:val="3D2A7F67"/>
    <w:rsid w:val="3D306C1D"/>
    <w:rsid w:val="3D5358A8"/>
    <w:rsid w:val="3D5B3034"/>
    <w:rsid w:val="3D5D1A3B"/>
    <w:rsid w:val="3D610E5E"/>
    <w:rsid w:val="3D833E79"/>
    <w:rsid w:val="3D8E5A8D"/>
    <w:rsid w:val="3DA05C59"/>
    <w:rsid w:val="3DA768E2"/>
    <w:rsid w:val="3DAE0540"/>
    <w:rsid w:val="3DB05C42"/>
    <w:rsid w:val="3DB520C9"/>
    <w:rsid w:val="3DC15C11"/>
    <w:rsid w:val="3DC2371B"/>
    <w:rsid w:val="3DE9514C"/>
    <w:rsid w:val="3DEC11E5"/>
    <w:rsid w:val="3DF64D47"/>
    <w:rsid w:val="3DFC2C76"/>
    <w:rsid w:val="3E0C2AD8"/>
    <w:rsid w:val="3E197CCE"/>
    <w:rsid w:val="3E1B5DFB"/>
    <w:rsid w:val="3E1D4077"/>
    <w:rsid w:val="3E2171FA"/>
    <w:rsid w:val="3E3E4857"/>
    <w:rsid w:val="3E415641"/>
    <w:rsid w:val="3E480050"/>
    <w:rsid w:val="3E500106"/>
    <w:rsid w:val="3E510AF5"/>
    <w:rsid w:val="3E541FD3"/>
    <w:rsid w:val="3E5541D1"/>
    <w:rsid w:val="3E5730A4"/>
    <w:rsid w:val="3E64286B"/>
    <w:rsid w:val="3E692E72"/>
    <w:rsid w:val="3E7F5015"/>
    <w:rsid w:val="3E7F53C2"/>
    <w:rsid w:val="3E832EAB"/>
    <w:rsid w:val="3E8650AA"/>
    <w:rsid w:val="3E8846F9"/>
    <w:rsid w:val="3E931AB8"/>
    <w:rsid w:val="3E9961CA"/>
    <w:rsid w:val="3EA51818"/>
    <w:rsid w:val="3EAF2F70"/>
    <w:rsid w:val="3EB709F3"/>
    <w:rsid w:val="3EBA7414"/>
    <w:rsid w:val="3EBE3DD1"/>
    <w:rsid w:val="3EC17A90"/>
    <w:rsid w:val="3ECA0C57"/>
    <w:rsid w:val="3ECB11AE"/>
    <w:rsid w:val="3ECD2B96"/>
    <w:rsid w:val="3EDA10DA"/>
    <w:rsid w:val="3EDB4BCE"/>
    <w:rsid w:val="3EDE6ECA"/>
    <w:rsid w:val="3EE17BD1"/>
    <w:rsid w:val="3EFD584F"/>
    <w:rsid w:val="3F030278"/>
    <w:rsid w:val="3F0874F8"/>
    <w:rsid w:val="3F186394"/>
    <w:rsid w:val="3F196A3A"/>
    <w:rsid w:val="3F1D32FF"/>
    <w:rsid w:val="3F26005D"/>
    <w:rsid w:val="3F281FAB"/>
    <w:rsid w:val="3F2B67B3"/>
    <w:rsid w:val="3F2F1E2C"/>
    <w:rsid w:val="3F350CD0"/>
    <w:rsid w:val="3F4D6968"/>
    <w:rsid w:val="3F5A01FC"/>
    <w:rsid w:val="3F64438F"/>
    <w:rsid w:val="3F646879"/>
    <w:rsid w:val="3F7D78FA"/>
    <w:rsid w:val="3F993564"/>
    <w:rsid w:val="3FA85D7D"/>
    <w:rsid w:val="3FB52A5A"/>
    <w:rsid w:val="3FB76397"/>
    <w:rsid w:val="3FBA731C"/>
    <w:rsid w:val="3FBD23EC"/>
    <w:rsid w:val="3FC42F01"/>
    <w:rsid w:val="3FC546C9"/>
    <w:rsid w:val="3FE756BB"/>
    <w:rsid w:val="3FE945E8"/>
    <w:rsid w:val="3FF1512C"/>
    <w:rsid w:val="3FF15277"/>
    <w:rsid w:val="4007741B"/>
    <w:rsid w:val="400810D3"/>
    <w:rsid w:val="4021297B"/>
    <w:rsid w:val="40220229"/>
    <w:rsid w:val="40240F49"/>
    <w:rsid w:val="4024428D"/>
    <w:rsid w:val="40376B36"/>
    <w:rsid w:val="40381A73"/>
    <w:rsid w:val="40387BEA"/>
    <w:rsid w:val="40490124"/>
    <w:rsid w:val="404D27F0"/>
    <w:rsid w:val="405113F8"/>
    <w:rsid w:val="40706583"/>
    <w:rsid w:val="40744771"/>
    <w:rsid w:val="407F67D3"/>
    <w:rsid w:val="40842268"/>
    <w:rsid w:val="408A636F"/>
    <w:rsid w:val="408B1BF3"/>
    <w:rsid w:val="40965A05"/>
    <w:rsid w:val="40A46393"/>
    <w:rsid w:val="40A46B43"/>
    <w:rsid w:val="40A47108"/>
    <w:rsid w:val="40A67BDE"/>
    <w:rsid w:val="40AA113F"/>
    <w:rsid w:val="40AB28F1"/>
    <w:rsid w:val="40B37534"/>
    <w:rsid w:val="40B752AE"/>
    <w:rsid w:val="40BE1148"/>
    <w:rsid w:val="40C43051"/>
    <w:rsid w:val="40CF5B6F"/>
    <w:rsid w:val="40D41520"/>
    <w:rsid w:val="40D84324"/>
    <w:rsid w:val="40D97773"/>
    <w:rsid w:val="40EB768D"/>
    <w:rsid w:val="40F433EE"/>
    <w:rsid w:val="40FB2C5D"/>
    <w:rsid w:val="40FD189C"/>
    <w:rsid w:val="41055DF9"/>
    <w:rsid w:val="41177258"/>
    <w:rsid w:val="41195906"/>
    <w:rsid w:val="411E2466"/>
    <w:rsid w:val="412133EB"/>
    <w:rsid w:val="412752F4"/>
    <w:rsid w:val="412906DA"/>
    <w:rsid w:val="413B57D4"/>
    <w:rsid w:val="413D7498"/>
    <w:rsid w:val="413E5E04"/>
    <w:rsid w:val="41490D2C"/>
    <w:rsid w:val="415874C8"/>
    <w:rsid w:val="415E0B83"/>
    <w:rsid w:val="416824DA"/>
    <w:rsid w:val="417061DA"/>
    <w:rsid w:val="417D5F77"/>
    <w:rsid w:val="4181131A"/>
    <w:rsid w:val="4185788C"/>
    <w:rsid w:val="418E17C0"/>
    <w:rsid w:val="41B520E3"/>
    <w:rsid w:val="41B86DE1"/>
    <w:rsid w:val="41BA22E4"/>
    <w:rsid w:val="41C15A00"/>
    <w:rsid w:val="41C37371"/>
    <w:rsid w:val="41CB1CF3"/>
    <w:rsid w:val="41D8614A"/>
    <w:rsid w:val="41DC7203"/>
    <w:rsid w:val="41F1357E"/>
    <w:rsid w:val="41F87BCB"/>
    <w:rsid w:val="42131E0D"/>
    <w:rsid w:val="421A7D7F"/>
    <w:rsid w:val="421E2009"/>
    <w:rsid w:val="42224789"/>
    <w:rsid w:val="422459CD"/>
    <w:rsid w:val="42371C4F"/>
    <w:rsid w:val="423C3518"/>
    <w:rsid w:val="42557F64"/>
    <w:rsid w:val="425D73A3"/>
    <w:rsid w:val="426B4BA6"/>
    <w:rsid w:val="426C4306"/>
    <w:rsid w:val="426D0C07"/>
    <w:rsid w:val="427139C3"/>
    <w:rsid w:val="42741535"/>
    <w:rsid w:val="42764AD5"/>
    <w:rsid w:val="4278399C"/>
    <w:rsid w:val="427B4921"/>
    <w:rsid w:val="428C263D"/>
    <w:rsid w:val="42A33B1C"/>
    <w:rsid w:val="42A70C68"/>
    <w:rsid w:val="42B555FD"/>
    <w:rsid w:val="42B92155"/>
    <w:rsid w:val="42B931AF"/>
    <w:rsid w:val="42CD30A6"/>
    <w:rsid w:val="42E020C7"/>
    <w:rsid w:val="42EC706B"/>
    <w:rsid w:val="42F40D67"/>
    <w:rsid w:val="430A2F0B"/>
    <w:rsid w:val="430D2CC1"/>
    <w:rsid w:val="43112896"/>
    <w:rsid w:val="432664FB"/>
    <w:rsid w:val="4330314B"/>
    <w:rsid w:val="434150E2"/>
    <w:rsid w:val="4343436A"/>
    <w:rsid w:val="434A3CF5"/>
    <w:rsid w:val="43543CB1"/>
    <w:rsid w:val="4359067E"/>
    <w:rsid w:val="436370F1"/>
    <w:rsid w:val="43652320"/>
    <w:rsid w:val="436A03C6"/>
    <w:rsid w:val="436A5611"/>
    <w:rsid w:val="437903AC"/>
    <w:rsid w:val="437D79C7"/>
    <w:rsid w:val="43970571"/>
    <w:rsid w:val="439E597D"/>
    <w:rsid w:val="43A35D9D"/>
    <w:rsid w:val="43A81B10"/>
    <w:rsid w:val="43BE4A4D"/>
    <w:rsid w:val="43DB5D75"/>
    <w:rsid w:val="43DD0CE5"/>
    <w:rsid w:val="43DE29AA"/>
    <w:rsid w:val="43E2516D"/>
    <w:rsid w:val="43E63B73"/>
    <w:rsid w:val="43E9461E"/>
    <w:rsid w:val="43EC7B17"/>
    <w:rsid w:val="43EF0FE2"/>
    <w:rsid w:val="43FA6A7F"/>
    <w:rsid w:val="43FC159A"/>
    <w:rsid w:val="44012AA4"/>
    <w:rsid w:val="4413593C"/>
    <w:rsid w:val="44154CAD"/>
    <w:rsid w:val="441A605F"/>
    <w:rsid w:val="44225F56"/>
    <w:rsid w:val="442F10A5"/>
    <w:rsid w:val="44425279"/>
    <w:rsid w:val="444A6219"/>
    <w:rsid w:val="444D217E"/>
    <w:rsid w:val="445810B3"/>
    <w:rsid w:val="44586430"/>
    <w:rsid w:val="445A3B32"/>
    <w:rsid w:val="446134BD"/>
    <w:rsid w:val="44632243"/>
    <w:rsid w:val="446F1420"/>
    <w:rsid w:val="447907FE"/>
    <w:rsid w:val="448C7B84"/>
    <w:rsid w:val="44997132"/>
    <w:rsid w:val="44A27A2C"/>
    <w:rsid w:val="44A616A1"/>
    <w:rsid w:val="44B6102B"/>
    <w:rsid w:val="44BC2C73"/>
    <w:rsid w:val="44BC79E1"/>
    <w:rsid w:val="44BE2E8F"/>
    <w:rsid w:val="44C046BA"/>
    <w:rsid w:val="44C24358"/>
    <w:rsid w:val="44C31193"/>
    <w:rsid w:val="44C73A16"/>
    <w:rsid w:val="44CA01D5"/>
    <w:rsid w:val="44CD05ED"/>
    <w:rsid w:val="44D77A81"/>
    <w:rsid w:val="44DA634B"/>
    <w:rsid w:val="44DC3315"/>
    <w:rsid w:val="44E36014"/>
    <w:rsid w:val="44EE43A5"/>
    <w:rsid w:val="44EF0D5B"/>
    <w:rsid w:val="44F00032"/>
    <w:rsid w:val="44F17528"/>
    <w:rsid w:val="44F57EBC"/>
    <w:rsid w:val="450D4629"/>
    <w:rsid w:val="450E7E57"/>
    <w:rsid w:val="452B420A"/>
    <w:rsid w:val="453E1BA6"/>
    <w:rsid w:val="45412623"/>
    <w:rsid w:val="45460483"/>
    <w:rsid w:val="45461CC2"/>
    <w:rsid w:val="454743B4"/>
    <w:rsid w:val="454941D3"/>
    <w:rsid w:val="454A4722"/>
    <w:rsid w:val="454F3AE7"/>
    <w:rsid w:val="455E01CE"/>
    <w:rsid w:val="45651A65"/>
    <w:rsid w:val="456E4E81"/>
    <w:rsid w:val="45726B7D"/>
    <w:rsid w:val="457B748C"/>
    <w:rsid w:val="457D2990"/>
    <w:rsid w:val="457E617A"/>
    <w:rsid w:val="45885F86"/>
    <w:rsid w:val="458A7AA7"/>
    <w:rsid w:val="458C1C3B"/>
    <w:rsid w:val="45A32BCF"/>
    <w:rsid w:val="45AF69E2"/>
    <w:rsid w:val="45B14137"/>
    <w:rsid w:val="45BB532F"/>
    <w:rsid w:val="45C543A0"/>
    <w:rsid w:val="45C951A4"/>
    <w:rsid w:val="45CA720B"/>
    <w:rsid w:val="45CB2189"/>
    <w:rsid w:val="45DB6E32"/>
    <w:rsid w:val="45E3204E"/>
    <w:rsid w:val="45E36925"/>
    <w:rsid w:val="46132E83"/>
    <w:rsid w:val="461B1C1B"/>
    <w:rsid w:val="462369A1"/>
    <w:rsid w:val="462B3DD5"/>
    <w:rsid w:val="462C182F"/>
    <w:rsid w:val="463B4047"/>
    <w:rsid w:val="463D6035"/>
    <w:rsid w:val="4643602A"/>
    <w:rsid w:val="46446ED5"/>
    <w:rsid w:val="46477E5A"/>
    <w:rsid w:val="464F7B16"/>
    <w:rsid w:val="46520770"/>
    <w:rsid w:val="46633F07"/>
    <w:rsid w:val="46710C9E"/>
    <w:rsid w:val="46732271"/>
    <w:rsid w:val="467566AD"/>
    <w:rsid w:val="46771EAF"/>
    <w:rsid w:val="46924A56"/>
    <w:rsid w:val="469F0A9E"/>
    <w:rsid w:val="46A06F49"/>
    <w:rsid w:val="46A55C75"/>
    <w:rsid w:val="46B8390E"/>
    <w:rsid w:val="46BB7578"/>
    <w:rsid w:val="46BC75D9"/>
    <w:rsid w:val="46C042A0"/>
    <w:rsid w:val="46C10A14"/>
    <w:rsid w:val="46CD35B6"/>
    <w:rsid w:val="46D73EC6"/>
    <w:rsid w:val="46D80DAB"/>
    <w:rsid w:val="46DC29FE"/>
    <w:rsid w:val="46EA3AC1"/>
    <w:rsid w:val="46FE1B87"/>
    <w:rsid w:val="46FE2974"/>
    <w:rsid w:val="470E1E21"/>
    <w:rsid w:val="47210E42"/>
    <w:rsid w:val="47246A79"/>
    <w:rsid w:val="47267FB5"/>
    <w:rsid w:val="472B71D3"/>
    <w:rsid w:val="472D60AA"/>
    <w:rsid w:val="4736721E"/>
    <w:rsid w:val="47372A84"/>
    <w:rsid w:val="47423575"/>
    <w:rsid w:val="47424128"/>
    <w:rsid w:val="4746684B"/>
    <w:rsid w:val="47502656"/>
    <w:rsid w:val="475B6C67"/>
    <w:rsid w:val="47745049"/>
    <w:rsid w:val="47783A4F"/>
    <w:rsid w:val="477C3E4E"/>
    <w:rsid w:val="47876268"/>
    <w:rsid w:val="47986502"/>
    <w:rsid w:val="479A7CF0"/>
    <w:rsid w:val="479B74B7"/>
    <w:rsid w:val="479C322F"/>
    <w:rsid w:val="47A01390"/>
    <w:rsid w:val="47A24893"/>
    <w:rsid w:val="47B24801"/>
    <w:rsid w:val="47B61335"/>
    <w:rsid w:val="47BE66A8"/>
    <w:rsid w:val="47C20846"/>
    <w:rsid w:val="47C77051"/>
    <w:rsid w:val="47C92554"/>
    <w:rsid w:val="47D15595"/>
    <w:rsid w:val="47DE75A5"/>
    <w:rsid w:val="47E67906"/>
    <w:rsid w:val="47F6431D"/>
    <w:rsid w:val="48180B08"/>
    <w:rsid w:val="4822079F"/>
    <w:rsid w:val="48287FD7"/>
    <w:rsid w:val="48341C04"/>
    <w:rsid w:val="483B2A48"/>
    <w:rsid w:val="483D49AD"/>
    <w:rsid w:val="4840038A"/>
    <w:rsid w:val="485830BD"/>
    <w:rsid w:val="485F62CB"/>
    <w:rsid w:val="48642CE3"/>
    <w:rsid w:val="486A6177"/>
    <w:rsid w:val="48711A69"/>
    <w:rsid w:val="4873716A"/>
    <w:rsid w:val="487C33A3"/>
    <w:rsid w:val="48807943"/>
    <w:rsid w:val="48846AEF"/>
    <w:rsid w:val="48885E0A"/>
    <w:rsid w:val="4889130E"/>
    <w:rsid w:val="489A4F63"/>
    <w:rsid w:val="489E7DD6"/>
    <w:rsid w:val="48A26803"/>
    <w:rsid w:val="48A4573B"/>
    <w:rsid w:val="48A979B2"/>
    <w:rsid w:val="48AD483A"/>
    <w:rsid w:val="48B11034"/>
    <w:rsid w:val="48B87C5F"/>
    <w:rsid w:val="48BC67CB"/>
    <w:rsid w:val="48BF3D66"/>
    <w:rsid w:val="48C0506B"/>
    <w:rsid w:val="48C8247A"/>
    <w:rsid w:val="48CA3D62"/>
    <w:rsid w:val="48D20056"/>
    <w:rsid w:val="48D273B4"/>
    <w:rsid w:val="48D81E4C"/>
    <w:rsid w:val="49030FD7"/>
    <w:rsid w:val="49132400"/>
    <w:rsid w:val="49226009"/>
    <w:rsid w:val="49233A8B"/>
    <w:rsid w:val="4927345E"/>
    <w:rsid w:val="493F499C"/>
    <w:rsid w:val="4941303B"/>
    <w:rsid w:val="494E5BD4"/>
    <w:rsid w:val="494F7DD2"/>
    <w:rsid w:val="49563CB5"/>
    <w:rsid w:val="496B5172"/>
    <w:rsid w:val="49747FC0"/>
    <w:rsid w:val="49750012"/>
    <w:rsid w:val="497A74C6"/>
    <w:rsid w:val="497C50C6"/>
    <w:rsid w:val="49884AB4"/>
    <w:rsid w:val="499275C2"/>
    <w:rsid w:val="499802C4"/>
    <w:rsid w:val="499E33D4"/>
    <w:rsid w:val="49AA71E7"/>
    <w:rsid w:val="49AD5235"/>
    <w:rsid w:val="49B123F5"/>
    <w:rsid w:val="49B52FF9"/>
    <w:rsid w:val="49B77359"/>
    <w:rsid w:val="49C11249"/>
    <w:rsid w:val="49D61A36"/>
    <w:rsid w:val="49D758F7"/>
    <w:rsid w:val="49DA5633"/>
    <w:rsid w:val="49E97FD0"/>
    <w:rsid w:val="49F04B27"/>
    <w:rsid w:val="4A0550BC"/>
    <w:rsid w:val="4A0812A6"/>
    <w:rsid w:val="4A182544"/>
    <w:rsid w:val="4A251880"/>
    <w:rsid w:val="4A271F57"/>
    <w:rsid w:val="4A280DAA"/>
    <w:rsid w:val="4A2F0833"/>
    <w:rsid w:val="4A3C73FA"/>
    <w:rsid w:val="4A5472C5"/>
    <w:rsid w:val="4A581234"/>
    <w:rsid w:val="4A5F63D6"/>
    <w:rsid w:val="4A6A4E7B"/>
    <w:rsid w:val="4A742133"/>
    <w:rsid w:val="4A8039C7"/>
    <w:rsid w:val="4A944BE6"/>
    <w:rsid w:val="4A9A4518"/>
    <w:rsid w:val="4AAA61F4"/>
    <w:rsid w:val="4AB5099E"/>
    <w:rsid w:val="4AD50ED2"/>
    <w:rsid w:val="4ADB2DDC"/>
    <w:rsid w:val="4ADF6081"/>
    <w:rsid w:val="4B0B3616"/>
    <w:rsid w:val="4B106632"/>
    <w:rsid w:val="4B1A6945"/>
    <w:rsid w:val="4B264C12"/>
    <w:rsid w:val="4B2C72E0"/>
    <w:rsid w:val="4B3544BD"/>
    <w:rsid w:val="4B390BF7"/>
    <w:rsid w:val="4B416003"/>
    <w:rsid w:val="4B4277BB"/>
    <w:rsid w:val="4B4D6C9E"/>
    <w:rsid w:val="4B53748E"/>
    <w:rsid w:val="4B6809D0"/>
    <w:rsid w:val="4B6E6C91"/>
    <w:rsid w:val="4B6F67D8"/>
    <w:rsid w:val="4B742A75"/>
    <w:rsid w:val="4B756F90"/>
    <w:rsid w:val="4B7C7600"/>
    <w:rsid w:val="4B8D35BB"/>
    <w:rsid w:val="4B8E31F1"/>
    <w:rsid w:val="4B9F58B7"/>
    <w:rsid w:val="4BA32825"/>
    <w:rsid w:val="4BAC61FD"/>
    <w:rsid w:val="4BAE4439"/>
    <w:rsid w:val="4BAF45B8"/>
    <w:rsid w:val="4BAF7BAE"/>
    <w:rsid w:val="4BB53DC4"/>
    <w:rsid w:val="4BBC29B0"/>
    <w:rsid w:val="4BBE0E50"/>
    <w:rsid w:val="4BC028A6"/>
    <w:rsid w:val="4BC311ED"/>
    <w:rsid w:val="4BCD4886"/>
    <w:rsid w:val="4BCE64D9"/>
    <w:rsid w:val="4BD72CE9"/>
    <w:rsid w:val="4BDD1705"/>
    <w:rsid w:val="4BEA2F99"/>
    <w:rsid w:val="4BEF0834"/>
    <w:rsid w:val="4BEF7421"/>
    <w:rsid w:val="4BFA506D"/>
    <w:rsid w:val="4C0628C9"/>
    <w:rsid w:val="4C0A313E"/>
    <w:rsid w:val="4C147660"/>
    <w:rsid w:val="4C157F0D"/>
    <w:rsid w:val="4C174D62"/>
    <w:rsid w:val="4C207BF0"/>
    <w:rsid w:val="4C2227CC"/>
    <w:rsid w:val="4C30370D"/>
    <w:rsid w:val="4C3A401D"/>
    <w:rsid w:val="4C3C7520"/>
    <w:rsid w:val="4C400831"/>
    <w:rsid w:val="4C454A60"/>
    <w:rsid w:val="4C4D1818"/>
    <w:rsid w:val="4C516D59"/>
    <w:rsid w:val="4C651A12"/>
    <w:rsid w:val="4C6E0FF4"/>
    <w:rsid w:val="4C72305B"/>
    <w:rsid w:val="4C754022"/>
    <w:rsid w:val="4C80233F"/>
    <w:rsid w:val="4C877795"/>
    <w:rsid w:val="4C914745"/>
    <w:rsid w:val="4C92075D"/>
    <w:rsid w:val="4C9E4899"/>
    <w:rsid w:val="4CA30BBC"/>
    <w:rsid w:val="4CA94424"/>
    <w:rsid w:val="4CAD70DD"/>
    <w:rsid w:val="4CB229E2"/>
    <w:rsid w:val="4CB25A48"/>
    <w:rsid w:val="4CB53967"/>
    <w:rsid w:val="4CE13531"/>
    <w:rsid w:val="4CE20FB3"/>
    <w:rsid w:val="4CE64136"/>
    <w:rsid w:val="4CF8221E"/>
    <w:rsid w:val="4CFD75DE"/>
    <w:rsid w:val="4D0C4375"/>
    <w:rsid w:val="4D0E65EF"/>
    <w:rsid w:val="4D1A4990"/>
    <w:rsid w:val="4D220322"/>
    <w:rsid w:val="4D2A4881"/>
    <w:rsid w:val="4D4344CF"/>
    <w:rsid w:val="4D4C03CE"/>
    <w:rsid w:val="4D4D4DDF"/>
    <w:rsid w:val="4D547FED"/>
    <w:rsid w:val="4D5B23AF"/>
    <w:rsid w:val="4D7C592E"/>
    <w:rsid w:val="4D813A41"/>
    <w:rsid w:val="4D830B3C"/>
    <w:rsid w:val="4D9C4C77"/>
    <w:rsid w:val="4D9D2CC9"/>
    <w:rsid w:val="4D9F4BE9"/>
    <w:rsid w:val="4DAB7D28"/>
    <w:rsid w:val="4DAC647D"/>
    <w:rsid w:val="4DB67A50"/>
    <w:rsid w:val="4DBA3214"/>
    <w:rsid w:val="4DC70E62"/>
    <w:rsid w:val="4DD637A3"/>
    <w:rsid w:val="4DFA7900"/>
    <w:rsid w:val="4E035073"/>
    <w:rsid w:val="4E077869"/>
    <w:rsid w:val="4E0E1028"/>
    <w:rsid w:val="4E20297D"/>
    <w:rsid w:val="4E213EBD"/>
    <w:rsid w:val="4E257040"/>
    <w:rsid w:val="4E4C2783"/>
    <w:rsid w:val="4E573A0C"/>
    <w:rsid w:val="4E586596"/>
    <w:rsid w:val="4E5B2D9E"/>
    <w:rsid w:val="4E6039A2"/>
    <w:rsid w:val="4E661D7C"/>
    <w:rsid w:val="4E7B5851"/>
    <w:rsid w:val="4E997A52"/>
    <w:rsid w:val="4EA8761A"/>
    <w:rsid w:val="4EBB6FE2"/>
    <w:rsid w:val="4EC04CC0"/>
    <w:rsid w:val="4EC102B9"/>
    <w:rsid w:val="4ED056C5"/>
    <w:rsid w:val="4ED137BE"/>
    <w:rsid w:val="4EDC7FE5"/>
    <w:rsid w:val="4EE84845"/>
    <w:rsid w:val="4EF23735"/>
    <w:rsid w:val="4EF60CF3"/>
    <w:rsid w:val="4EFB083B"/>
    <w:rsid w:val="4EFD4B25"/>
    <w:rsid w:val="4F156272"/>
    <w:rsid w:val="4F1B7959"/>
    <w:rsid w:val="4F1C53DA"/>
    <w:rsid w:val="4F227D92"/>
    <w:rsid w:val="4F265CEA"/>
    <w:rsid w:val="4F2C7344"/>
    <w:rsid w:val="4F2E0B78"/>
    <w:rsid w:val="4F2F2D76"/>
    <w:rsid w:val="4F2F65F9"/>
    <w:rsid w:val="4F391349"/>
    <w:rsid w:val="4F400C80"/>
    <w:rsid w:val="4F473CA0"/>
    <w:rsid w:val="4F4C0128"/>
    <w:rsid w:val="4F5E5D39"/>
    <w:rsid w:val="4F685BE5"/>
    <w:rsid w:val="4F766114"/>
    <w:rsid w:val="4F781E8C"/>
    <w:rsid w:val="4F797EA5"/>
    <w:rsid w:val="4F851586"/>
    <w:rsid w:val="4F856531"/>
    <w:rsid w:val="4F861A28"/>
    <w:rsid w:val="4F8A5A0E"/>
    <w:rsid w:val="4F8F1E96"/>
    <w:rsid w:val="4F95493F"/>
    <w:rsid w:val="4F974D24"/>
    <w:rsid w:val="4F9D33AA"/>
    <w:rsid w:val="4F9F2130"/>
    <w:rsid w:val="4F9F53EC"/>
    <w:rsid w:val="4FA71C3F"/>
    <w:rsid w:val="4FAC084E"/>
    <w:rsid w:val="4FB045C9"/>
    <w:rsid w:val="4FB1539E"/>
    <w:rsid w:val="4FB66391"/>
    <w:rsid w:val="4FBB5010"/>
    <w:rsid w:val="4FBC3C5F"/>
    <w:rsid w:val="4FBF4BE3"/>
    <w:rsid w:val="4FCA0116"/>
    <w:rsid w:val="4FCD023E"/>
    <w:rsid w:val="4FCF4E7E"/>
    <w:rsid w:val="4FD221CE"/>
    <w:rsid w:val="4FD97A0C"/>
    <w:rsid w:val="4FFA6FC7"/>
    <w:rsid w:val="4FFF0542"/>
    <w:rsid w:val="500147E0"/>
    <w:rsid w:val="500C6EE1"/>
    <w:rsid w:val="503C7A30"/>
    <w:rsid w:val="50502E09"/>
    <w:rsid w:val="50680152"/>
    <w:rsid w:val="506B379F"/>
    <w:rsid w:val="50746AF7"/>
    <w:rsid w:val="50797895"/>
    <w:rsid w:val="507B32E3"/>
    <w:rsid w:val="508A1E77"/>
    <w:rsid w:val="50933BF1"/>
    <w:rsid w:val="50966E45"/>
    <w:rsid w:val="509E6F85"/>
    <w:rsid w:val="50A4615B"/>
    <w:rsid w:val="50B04A39"/>
    <w:rsid w:val="50B341F7"/>
    <w:rsid w:val="50C555A5"/>
    <w:rsid w:val="50CB2B10"/>
    <w:rsid w:val="50CC731F"/>
    <w:rsid w:val="50CD151D"/>
    <w:rsid w:val="50E7594A"/>
    <w:rsid w:val="50F427A3"/>
    <w:rsid w:val="51010497"/>
    <w:rsid w:val="5109750B"/>
    <w:rsid w:val="51162C16"/>
    <w:rsid w:val="51170698"/>
    <w:rsid w:val="51260CB2"/>
    <w:rsid w:val="513A60AC"/>
    <w:rsid w:val="513F3B5E"/>
    <w:rsid w:val="51654692"/>
    <w:rsid w:val="517E2B19"/>
    <w:rsid w:val="51877A52"/>
    <w:rsid w:val="518D60D8"/>
    <w:rsid w:val="518F6638"/>
    <w:rsid w:val="51933865"/>
    <w:rsid w:val="519527BB"/>
    <w:rsid w:val="51A30A3B"/>
    <w:rsid w:val="51AA39A8"/>
    <w:rsid w:val="51AE408E"/>
    <w:rsid w:val="51B11EC7"/>
    <w:rsid w:val="51B32059"/>
    <w:rsid w:val="51B573C7"/>
    <w:rsid w:val="51BF5888"/>
    <w:rsid w:val="51C25640"/>
    <w:rsid w:val="51CB2E5E"/>
    <w:rsid w:val="51EC16EF"/>
    <w:rsid w:val="52021F07"/>
    <w:rsid w:val="52023B18"/>
    <w:rsid w:val="520E44AD"/>
    <w:rsid w:val="52184FD7"/>
    <w:rsid w:val="52185CBC"/>
    <w:rsid w:val="523C0E93"/>
    <w:rsid w:val="52530420"/>
    <w:rsid w:val="526770C0"/>
    <w:rsid w:val="5275657F"/>
    <w:rsid w:val="527E5C57"/>
    <w:rsid w:val="52876F40"/>
    <w:rsid w:val="52972F71"/>
    <w:rsid w:val="52A65B21"/>
    <w:rsid w:val="52A66F4B"/>
    <w:rsid w:val="52AC6530"/>
    <w:rsid w:val="52B35EBB"/>
    <w:rsid w:val="52B626C2"/>
    <w:rsid w:val="52C54EDB"/>
    <w:rsid w:val="52C61160"/>
    <w:rsid w:val="52C84ED8"/>
    <w:rsid w:val="52C90A77"/>
    <w:rsid w:val="52CE4E90"/>
    <w:rsid w:val="52CE6046"/>
    <w:rsid w:val="52D90E94"/>
    <w:rsid w:val="52E951AC"/>
    <w:rsid w:val="52E95598"/>
    <w:rsid w:val="52FB1B32"/>
    <w:rsid w:val="52FC2DD4"/>
    <w:rsid w:val="53016AFF"/>
    <w:rsid w:val="53034162"/>
    <w:rsid w:val="531F686F"/>
    <w:rsid w:val="53244460"/>
    <w:rsid w:val="53244EF5"/>
    <w:rsid w:val="532F31A9"/>
    <w:rsid w:val="533E38A0"/>
    <w:rsid w:val="53537FC2"/>
    <w:rsid w:val="537539FA"/>
    <w:rsid w:val="53884C19"/>
    <w:rsid w:val="538C5F06"/>
    <w:rsid w:val="53A019B1"/>
    <w:rsid w:val="53A45945"/>
    <w:rsid w:val="53A5669A"/>
    <w:rsid w:val="53B62265"/>
    <w:rsid w:val="53B9412A"/>
    <w:rsid w:val="53C378F8"/>
    <w:rsid w:val="53EB5F6F"/>
    <w:rsid w:val="53F23DD0"/>
    <w:rsid w:val="53F27635"/>
    <w:rsid w:val="53F34990"/>
    <w:rsid w:val="53F41D4A"/>
    <w:rsid w:val="53F577CC"/>
    <w:rsid w:val="53F91464"/>
    <w:rsid w:val="53FF0DCE"/>
    <w:rsid w:val="54021060"/>
    <w:rsid w:val="5409646C"/>
    <w:rsid w:val="541212FA"/>
    <w:rsid w:val="541648CE"/>
    <w:rsid w:val="54200610"/>
    <w:rsid w:val="54364B2F"/>
    <w:rsid w:val="543A7700"/>
    <w:rsid w:val="544256CC"/>
    <w:rsid w:val="54451333"/>
    <w:rsid w:val="544C3A5E"/>
    <w:rsid w:val="54524306"/>
    <w:rsid w:val="545C4FA5"/>
    <w:rsid w:val="54610180"/>
    <w:rsid w:val="546D070F"/>
    <w:rsid w:val="54751090"/>
    <w:rsid w:val="549079CA"/>
    <w:rsid w:val="5491598A"/>
    <w:rsid w:val="5491738D"/>
    <w:rsid w:val="54A26E92"/>
    <w:rsid w:val="54A4226F"/>
    <w:rsid w:val="54A54516"/>
    <w:rsid w:val="54A66EE6"/>
    <w:rsid w:val="54B21203"/>
    <w:rsid w:val="54B242AF"/>
    <w:rsid w:val="54B30E83"/>
    <w:rsid w:val="54C02717"/>
    <w:rsid w:val="54CD158A"/>
    <w:rsid w:val="54D10703"/>
    <w:rsid w:val="54DB5397"/>
    <w:rsid w:val="54E858FD"/>
    <w:rsid w:val="54F4122A"/>
    <w:rsid w:val="54FB6D29"/>
    <w:rsid w:val="550D249D"/>
    <w:rsid w:val="55125438"/>
    <w:rsid w:val="553A45E0"/>
    <w:rsid w:val="55413F6A"/>
    <w:rsid w:val="5544141A"/>
    <w:rsid w:val="554A42CB"/>
    <w:rsid w:val="5569512F"/>
    <w:rsid w:val="556A2BB0"/>
    <w:rsid w:val="556B4177"/>
    <w:rsid w:val="556C0353"/>
    <w:rsid w:val="55804D54"/>
    <w:rsid w:val="55826059"/>
    <w:rsid w:val="558624E1"/>
    <w:rsid w:val="558B76CD"/>
    <w:rsid w:val="55932646"/>
    <w:rsid w:val="559D3EC7"/>
    <w:rsid w:val="55A57512"/>
    <w:rsid w:val="55AC0AE1"/>
    <w:rsid w:val="55B72CB0"/>
    <w:rsid w:val="55BC36B8"/>
    <w:rsid w:val="55C022BA"/>
    <w:rsid w:val="55C21041"/>
    <w:rsid w:val="55CE5B74"/>
    <w:rsid w:val="55D064F2"/>
    <w:rsid w:val="55DF4A13"/>
    <w:rsid w:val="55F942A7"/>
    <w:rsid w:val="560D2B19"/>
    <w:rsid w:val="561604B4"/>
    <w:rsid w:val="56293878"/>
    <w:rsid w:val="56324B78"/>
    <w:rsid w:val="56343892"/>
    <w:rsid w:val="563A433F"/>
    <w:rsid w:val="564354F1"/>
    <w:rsid w:val="56442C81"/>
    <w:rsid w:val="564D31A3"/>
    <w:rsid w:val="56530930"/>
    <w:rsid w:val="56574EF1"/>
    <w:rsid w:val="56594A37"/>
    <w:rsid w:val="565B7303"/>
    <w:rsid w:val="56674E62"/>
    <w:rsid w:val="566A0555"/>
    <w:rsid w:val="566B01D5"/>
    <w:rsid w:val="566D67EB"/>
    <w:rsid w:val="56740EA5"/>
    <w:rsid w:val="567D1A39"/>
    <w:rsid w:val="5698680F"/>
    <w:rsid w:val="569C67A5"/>
    <w:rsid w:val="56A1016F"/>
    <w:rsid w:val="56AC02E1"/>
    <w:rsid w:val="56B714EC"/>
    <w:rsid w:val="56BB6630"/>
    <w:rsid w:val="56BB75CD"/>
    <w:rsid w:val="56C169E5"/>
    <w:rsid w:val="56C440E6"/>
    <w:rsid w:val="56C86370"/>
    <w:rsid w:val="56CE381A"/>
    <w:rsid w:val="56CE49F6"/>
    <w:rsid w:val="56DA49F6"/>
    <w:rsid w:val="56E73AA3"/>
    <w:rsid w:val="56E7601C"/>
    <w:rsid w:val="56E93BE9"/>
    <w:rsid w:val="56ED3A4D"/>
    <w:rsid w:val="56F12240"/>
    <w:rsid w:val="56F123F5"/>
    <w:rsid w:val="570B22DC"/>
    <w:rsid w:val="570D35E1"/>
    <w:rsid w:val="570E1063"/>
    <w:rsid w:val="570F7EF4"/>
    <w:rsid w:val="57310558"/>
    <w:rsid w:val="573207B1"/>
    <w:rsid w:val="57364B06"/>
    <w:rsid w:val="573669A4"/>
    <w:rsid w:val="57373E09"/>
    <w:rsid w:val="573C08AD"/>
    <w:rsid w:val="573F3A30"/>
    <w:rsid w:val="57404D35"/>
    <w:rsid w:val="57470E3C"/>
    <w:rsid w:val="5753168F"/>
    <w:rsid w:val="575710D7"/>
    <w:rsid w:val="5765363E"/>
    <w:rsid w:val="57655A52"/>
    <w:rsid w:val="577616A4"/>
    <w:rsid w:val="577A3C15"/>
    <w:rsid w:val="57853BD7"/>
    <w:rsid w:val="57A25CD3"/>
    <w:rsid w:val="57A44166"/>
    <w:rsid w:val="57A56C58"/>
    <w:rsid w:val="57AC61DD"/>
    <w:rsid w:val="57B63E99"/>
    <w:rsid w:val="57C97313"/>
    <w:rsid w:val="57CA75CE"/>
    <w:rsid w:val="57CF6D04"/>
    <w:rsid w:val="57D21621"/>
    <w:rsid w:val="57DC29B5"/>
    <w:rsid w:val="57E20B6E"/>
    <w:rsid w:val="57FDC742"/>
    <w:rsid w:val="580337D2"/>
    <w:rsid w:val="580524F4"/>
    <w:rsid w:val="581035A9"/>
    <w:rsid w:val="581C2C5F"/>
    <w:rsid w:val="58297231"/>
    <w:rsid w:val="582A5D69"/>
    <w:rsid w:val="583F13D4"/>
    <w:rsid w:val="583F6969"/>
    <w:rsid w:val="58487AE6"/>
    <w:rsid w:val="584C64D4"/>
    <w:rsid w:val="584E3BED"/>
    <w:rsid w:val="585103F5"/>
    <w:rsid w:val="58627AA0"/>
    <w:rsid w:val="58684797"/>
    <w:rsid w:val="586B5235"/>
    <w:rsid w:val="587250A7"/>
    <w:rsid w:val="58813143"/>
    <w:rsid w:val="588418A2"/>
    <w:rsid w:val="588B3A52"/>
    <w:rsid w:val="588E49D7"/>
    <w:rsid w:val="58B84130"/>
    <w:rsid w:val="58BA4E22"/>
    <w:rsid w:val="58BB2023"/>
    <w:rsid w:val="58D565A1"/>
    <w:rsid w:val="58DB24F3"/>
    <w:rsid w:val="58DC4756"/>
    <w:rsid w:val="58DE7204"/>
    <w:rsid w:val="58E54052"/>
    <w:rsid w:val="58F06C8D"/>
    <w:rsid w:val="59096082"/>
    <w:rsid w:val="591B3341"/>
    <w:rsid w:val="59222CCC"/>
    <w:rsid w:val="59234ECA"/>
    <w:rsid w:val="592A1776"/>
    <w:rsid w:val="59311C62"/>
    <w:rsid w:val="59497308"/>
    <w:rsid w:val="594A2B8C"/>
    <w:rsid w:val="594F4A95"/>
    <w:rsid w:val="595653E6"/>
    <w:rsid w:val="596247A0"/>
    <w:rsid w:val="59695E80"/>
    <w:rsid w:val="59786F11"/>
    <w:rsid w:val="59917A82"/>
    <w:rsid w:val="59A776A2"/>
    <w:rsid w:val="59B15C12"/>
    <w:rsid w:val="59BB1BB3"/>
    <w:rsid w:val="59CD57FC"/>
    <w:rsid w:val="59E062BA"/>
    <w:rsid w:val="59ED1B0A"/>
    <w:rsid w:val="59EF0B1F"/>
    <w:rsid w:val="59FB2037"/>
    <w:rsid w:val="5A04713E"/>
    <w:rsid w:val="5A086442"/>
    <w:rsid w:val="5A0E1D6B"/>
    <w:rsid w:val="5A130056"/>
    <w:rsid w:val="5A1412C3"/>
    <w:rsid w:val="5A1B4488"/>
    <w:rsid w:val="5A1C190D"/>
    <w:rsid w:val="5A1D5B0A"/>
    <w:rsid w:val="5A245D72"/>
    <w:rsid w:val="5A290775"/>
    <w:rsid w:val="5A420BA5"/>
    <w:rsid w:val="5A440825"/>
    <w:rsid w:val="5A4562A7"/>
    <w:rsid w:val="5A4D6ACA"/>
    <w:rsid w:val="5A5152DF"/>
    <w:rsid w:val="5A705B83"/>
    <w:rsid w:val="5A744D05"/>
    <w:rsid w:val="5A81068A"/>
    <w:rsid w:val="5A8251E8"/>
    <w:rsid w:val="5A95732A"/>
    <w:rsid w:val="5AAC7BF6"/>
    <w:rsid w:val="5AAE51D8"/>
    <w:rsid w:val="5AB67D7F"/>
    <w:rsid w:val="5AD83297"/>
    <w:rsid w:val="5ADC2428"/>
    <w:rsid w:val="5AE625AD"/>
    <w:rsid w:val="5AE83531"/>
    <w:rsid w:val="5AE91F64"/>
    <w:rsid w:val="5AF20BE5"/>
    <w:rsid w:val="5AF8590C"/>
    <w:rsid w:val="5B160B7D"/>
    <w:rsid w:val="5B223D48"/>
    <w:rsid w:val="5B253396"/>
    <w:rsid w:val="5B351432"/>
    <w:rsid w:val="5B366EB4"/>
    <w:rsid w:val="5B3D18AF"/>
    <w:rsid w:val="5B406E80"/>
    <w:rsid w:val="5B601516"/>
    <w:rsid w:val="5B607CF8"/>
    <w:rsid w:val="5B6C3F69"/>
    <w:rsid w:val="5B75441A"/>
    <w:rsid w:val="5B7B1BA7"/>
    <w:rsid w:val="5B823B2C"/>
    <w:rsid w:val="5B874DA6"/>
    <w:rsid w:val="5B8B65BE"/>
    <w:rsid w:val="5B8F11D3"/>
    <w:rsid w:val="5B9062C9"/>
    <w:rsid w:val="5B96494F"/>
    <w:rsid w:val="5B9B465A"/>
    <w:rsid w:val="5BB66A4E"/>
    <w:rsid w:val="5BB70D4B"/>
    <w:rsid w:val="5BCD7046"/>
    <w:rsid w:val="5BD11F3C"/>
    <w:rsid w:val="5BE1734D"/>
    <w:rsid w:val="5BFA4673"/>
    <w:rsid w:val="5C037B3B"/>
    <w:rsid w:val="5C056287"/>
    <w:rsid w:val="5C075F07"/>
    <w:rsid w:val="5C0A490D"/>
    <w:rsid w:val="5C3C5B8E"/>
    <w:rsid w:val="5C3C7A28"/>
    <w:rsid w:val="5C472574"/>
    <w:rsid w:val="5C4A6E10"/>
    <w:rsid w:val="5C4B69FC"/>
    <w:rsid w:val="5C507600"/>
    <w:rsid w:val="5C57280E"/>
    <w:rsid w:val="5C595D12"/>
    <w:rsid w:val="5C5B0B6B"/>
    <w:rsid w:val="5C653D22"/>
    <w:rsid w:val="5C694758"/>
    <w:rsid w:val="5C72307C"/>
    <w:rsid w:val="5C7C3148"/>
    <w:rsid w:val="5C951057"/>
    <w:rsid w:val="5C98306F"/>
    <w:rsid w:val="5C993691"/>
    <w:rsid w:val="5C9C1C7E"/>
    <w:rsid w:val="5CA50CC2"/>
    <w:rsid w:val="5CAB4497"/>
    <w:rsid w:val="5CC453C1"/>
    <w:rsid w:val="5CC515C0"/>
    <w:rsid w:val="5CC608C4"/>
    <w:rsid w:val="5CDD5A24"/>
    <w:rsid w:val="5CE368C3"/>
    <w:rsid w:val="5CE7687A"/>
    <w:rsid w:val="5CE91D7D"/>
    <w:rsid w:val="5CEA7314"/>
    <w:rsid w:val="5CF3268D"/>
    <w:rsid w:val="5D054B89"/>
    <w:rsid w:val="5D0A5B35"/>
    <w:rsid w:val="5D1B7FCE"/>
    <w:rsid w:val="5D1C5A4F"/>
    <w:rsid w:val="5D2A05E8"/>
    <w:rsid w:val="5D3555E2"/>
    <w:rsid w:val="5D37407B"/>
    <w:rsid w:val="5D3C0503"/>
    <w:rsid w:val="5D4F5A01"/>
    <w:rsid w:val="5D5336FE"/>
    <w:rsid w:val="5D556EAE"/>
    <w:rsid w:val="5D5F5C44"/>
    <w:rsid w:val="5D6E585A"/>
    <w:rsid w:val="5D7167DE"/>
    <w:rsid w:val="5D7A166C"/>
    <w:rsid w:val="5D7D19CB"/>
    <w:rsid w:val="5D9A6C9D"/>
    <w:rsid w:val="5DA622BA"/>
    <w:rsid w:val="5DA67406"/>
    <w:rsid w:val="5DAB5879"/>
    <w:rsid w:val="5DAC5C78"/>
    <w:rsid w:val="5DB46FB9"/>
    <w:rsid w:val="5DBE13B2"/>
    <w:rsid w:val="5DC866D4"/>
    <w:rsid w:val="5DC944B4"/>
    <w:rsid w:val="5DE27796"/>
    <w:rsid w:val="5DEA73A2"/>
    <w:rsid w:val="5DEB0648"/>
    <w:rsid w:val="5DEC23C3"/>
    <w:rsid w:val="5DF521A8"/>
    <w:rsid w:val="5E186BEC"/>
    <w:rsid w:val="5E2536E4"/>
    <w:rsid w:val="5E425832"/>
    <w:rsid w:val="5E4623FA"/>
    <w:rsid w:val="5E490A40"/>
    <w:rsid w:val="5E4A2C3E"/>
    <w:rsid w:val="5E514216"/>
    <w:rsid w:val="5E5D2EA7"/>
    <w:rsid w:val="5E5E5162"/>
    <w:rsid w:val="5E60128D"/>
    <w:rsid w:val="5E736001"/>
    <w:rsid w:val="5E747306"/>
    <w:rsid w:val="5E7C7F4F"/>
    <w:rsid w:val="5E8F0648"/>
    <w:rsid w:val="5E980438"/>
    <w:rsid w:val="5E9C259A"/>
    <w:rsid w:val="5EA26B50"/>
    <w:rsid w:val="5EB66637"/>
    <w:rsid w:val="5EB85349"/>
    <w:rsid w:val="5EC619C7"/>
    <w:rsid w:val="5ECD3218"/>
    <w:rsid w:val="5ED04410"/>
    <w:rsid w:val="5ED846F5"/>
    <w:rsid w:val="5EDD34B2"/>
    <w:rsid w:val="5EE8143C"/>
    <w:rsid w:val="5EEE374C"/>
    <w:rsid w:val="5EEF11CE"/>
    <w:rsid w:val="5EF8155D"/>
    <w:rsid w:val="5EFF1468"/>
    <w:rsid w:val="5F006076"/>
    <w:rsid w:val="5F186EE0"/>
    <w:rsid w:val="5F2500D8"/>
    <w:rsid w:val="5F2C3A87"/>
    <w:rsid w:val="5F2F7659"/>
    <w:rsid w:val="5F3054BA"/>
    <w:rsid w:val="5F386711"/>
    <w:rsid w:val="5F482B61"/>
    <w:rsid w:val="5F4D3766"/>
    <w:rsid w:val="5F511347"/>
    <w:rsid w:val="5F546472"/>
    <w:rsid w:val="5F58537A"/>
    <w:rsid w:val="5F59087D"/>
    <w:rsid w:val="5F5E1037"/>
    <w:rsid w:val="5F5E1B86"/>
    <w:rsid w:val="5F615C89"/>
    <w:rsid w:val="5F7836B0"/>
    <w:rsid w:val="5F813C55"/>
    <w:rsid w:val="5F853D43"/>
    <w:rsid w:val="5F893C41"/>
    <w:rsid w:val="5F8F1E5E"/>
    <w:rsid w:val="5F9342A8"/>
    <w:rsid w:val="5F9573DD"/>
    <w:rsid w:val="5F962DD4"/>
    <w:rsid w:val="5FA0363D"/>
    <w:rsid w:val="5FA976FE"/>
    <w:rsid w:val="5FB32210"/>
    <w:rsid w:val="5FB92779"/>
    <w:rsid w:val="5FD22AC5"/>
    <w:rsid w:val="5FD828C2"/>
    <w:rsid w:val="5FE07430"/>
    <w:rsid w:val="5FE47F22"/>
    <w:rsid w:val="5FEA6984"/>
    <w:rsid w:val="5FEC5946"/>
    <w:rsid w:val="5FF65102"/>
    <w:rsid w:val="600C1076"/>
    <w:rsid w:val="600C6FB6"/>
    <w:rsid w:val="60237BF2"/>
    <w:rsid w:val="602C3AFE"/>
    <w:rsid w:val="602D40D8"/>
    <w:rsid w:val="603B6C71"/>
    <w:rsid w:val="603C0DC0"/>
    <w:rsid w:val="6040150D"/>
    <w:rsid w:val="604030F9"/>
    <w:rsid w:val="604F5912"/>
    <w:rsid w:val="60507B10"/>
    <w:rsid w:val="605F012B"/>
    <w:rsid w:val="60625B06"/>
    <w:rsid w:val="606964BC"/>
    <w:rsid w:val="608027FB"/>
    <w:rsid w:val="60844AE7"/>
    <w:rsid w:val="60883EF9"/>
    <w:rsid w:val="608A6832"/>
    <w:rsid w:val="608B6453"/>
    <w:rsid w:val="609F3113"/>
    <w:rsid w:val="60A36290"/>
    <w:rsid w:val="60A61919"/>
    <w:rsid w:val="60A977CB"/>
    <w:rsid w:val="60B552B6"/>
    <w:rsid w:val="60B8623B"/>
    <w:rsid w:val="60B870CC"/>
    <w:rsid w:val="60E561EF"/>
    <w:rsid w:val="60E73507"/>
    <w:rsid w:val="6103552C"/>
    <w:rsid w:val="610D3747"/>
    <w:rsid w:val="611967F8"/>
    <w:rsid w:val="611E4F69"/>
    <w:rsid w:val="61385EC9"/>
    <w:rsid w:val="613A0D93"/>
    <w:rsid w:val="613B3EB6"/>
    <w:rsid w:val="61472D93"/>
    <w:rsid w:val="61481010"/>
    <w:rsid w:val="614C0CAD"/>
    <w:rsid w:val="615462DD"/>
    <w:rsid w:val="61663F04"/>
    <w:rsid w:val="61671D60"/>
    <w:rsid w:val="61775374"/>
    <w:rsid w:val="617C507F"/>
    <w:rsid w:val="6190049D"/>
    <w:rsid w:val="6191435B"/>
    <w:rsid w:val="61933B04"/>
    <w:rsid w:val="619736AB"/>
    <w:rsid w:val="619A2136"/>
    <w:rsid w:val="619B38DB"/>
    <w:rsid w:val="619D3036"/>
    <w:rsid w:val="619F774C"/>
    <w:rsid w:val="61A97B22"/>
    <w:rsid w:val="61AA7405"/>
    <w:rsid w:val="61B16453"/>
    <w:rsid w:val="61B256D1"/>
    <w:rsid w:val="61E4674F"/>
    <w:rsid w:val="61E66CAD"/>
    <w:rsid w:val="61EE1B3B"/>
    <w:rsid w:val="61F401C1"/>
    <w:rsid w:val="61F57F2E"/>
    <w:rsid w:val="61F868A7"/>
    <w:rsid w:val="62086E62"/>
    <w:rsid w:val="620D6B6D"/>
    <w:rsid w:val="62122FF4"/>
    <w:rsid w:val="622540F5"/>
    <w:rsid w:val="622F4B23"/>
    <w:rsid w:val="62316037"/>
    <w:rsid w:val="625A7172"/>
    <w:rsid w:val="62727859"/>
    <w:rsid w:val="627726C4"/>
    <w:rsid w:val="627B71A0"/>
    <w:rsid w:val="627C2B2D"/>
    <w:rsid w:val="627E48A2"/>
    <w:rsid w:val="628E03BF"/>
    <w:rsid w:val="62A15BBC"/>
    <w:rsid w:val="62A712E9"/>
    <w:rsid w:val="62A80F69"/>
    <w:rsid w:val="62B12756"/>
    <w:rsid w:val="62C45016"/>
    <w:rsid w:val="62CF6C2B"/>
    <w:rsid w:val="62D74037"/>
    <w:rsid w:val="62FE4CCB"/>
    <w:rsid w:val="63002CF2"/>
    <w:rsid w:val="63021659"/>
    <w:rsid w:val="6302762D"/>
    <w:rsid w:val="630C7063"/>
    <w:rsid w:val="630E2DDB"/>
    <w:rsid w:val="63141610"/>
    <w:rsid w:val="63162A59"/>
    <w:rsid w:val="63166DD3"/>
    <w:rsid w:val="631A1780"/>
    <w:rsid w:val="6324124F"/>
    <w:rsid w:val="632717A7"/>
    <w:rsid w:val="632B1543"/>
    <w:rsid w:val="632C3741"/>
    <w:rsid w:val="632F4F3D"/>
    <w:rsid w:val="63310878"/>
    <w:rsid w:val="63317A2A"/>
    <w:rsid w:val="63393E6E"/>
    <w:rsid w:val="633A62DA"/>
    <w:rsid w:val="63452B08"/>
    <w:rsid w:val="63685625"/>
    <w:rsid w:val="63702F31"/>
    <w:rsid w:val="63716434"/>
    <w:rsid w:val="63750765"/>
    <w:rsid w:val="638669E4"/>
    <w:rsid w:val="63882ECF"/>
    <w:rsid w:val="638F607B"/>
    <w:rsid w:val="639332E1"/>
    <w:rsid w:val="639343EA"/>
    <w:rsid w:val="639578ED"/>
    <w:rsid w:val="639B7BD6"/>
    <w:rsid w:val="639C40D8"/>
    <w:rsid w:val="63A24A04"/>
    <w:rsid w:val="63A70E45"/>
    <w:rsid w:val="63B04208"/>
    <w:rsid w:val="63B91136"/>
    <w:rsid w:val="63BC5CDE"/>
    <w:rsid w:val="63C45248"/>
    <w:rsid w:val="63C96D02"/>
    <w:rsid w:val="63D407E9"/>
    <w:rsid w:val="63D53536"/>
    <w:rsid w:val="63DB5E63"/>
    <w:rsid w:val="63ED5D7D"/>
    <w:rsid w:val="63F6668D"/>
    <w:rsid w:val="63FF1BE8"/>
    <w:rsid w:val="64006F9C"/>
    <w:rsid w:val="64013788"/>
    <w:rsid w:val="64075CA5"/>
    <w:rsid w:val="641B6DD9"/>
    <w:rsid w:val="641E1242"/>
    <w:rsid w:val="642673ED"/>
    <w:rsid w:val="642D3D62"/>
    <w:rsid w:val="643A3A59"/>
    <w:rsid w:val="643C1380"/>
    <w:rsid w:val="644B741C"/>
    <w:rsid w:val="644C6419"/>
    <w:rsid w:val="645A0930"/>
    <w:rsid w:val="646031C3"/>
    <w:rsid w:val="646B6885"/>
    <w:rsid w:val="646D53D2"/>
    <w:rsid w:val="647D395A"/>
    <w:rsid w:val="64844FF7"/>
    <w:rsid w:val="648A6F00"/>
    <w:rsid w:val="648C2404"/>
    <w:rsid w:val="648F3CAE"/>
    <w:rsid w:val="649F3623"/>
    <w:rsid w:val="64A245A7"/>
    <w:rsid w:val="64A54544"/>
    <w:rsid w:val="64A944EE"/>
    <w:rsid w:val="64AB2CB8"/>
    <w:rsid w:val="64C86FBA"/>
    <w:rsid w:val="64CF6370"/>
    <w:rsid w:val="64D11BF8"/>
    <w:rsid w:val="64E12F37"/>
    <w:rsid w:val="64E73A17"/>
    <w:rsid w:val="64E80AB8"/>
    <w:rsid w:val="64F0659A"/>
    <w:rsid w:val="64F94FB6"/>
    <w:rsid w:val="64FE6EBF"/>
    <w:rsid w:val="65106FAE"/>
    <w:rsid w:val="65162368"/>
    <w:rsid w:val="65177F59"/>
    <w:rsid w:val="65256CF4"/>
    <w:rsid w:val="6532605F"/>
    <w:rsid w:val="653D52B2"/>
    <w:rsid w:val="65472B37"/>
    <w:rsid w:val="65587EC8"/>
    <w:rsid w:val="655B5F90"/>
    <w:rsid w:val="655C70C7"/>
    <w:rsid w:val="65655074"/>
    <w:rsid w:val="65674A25"/>
    <w:rsid w:val="65694625"/>
    <w:rsid w:val="656F429B"/>
    <w:rsid w:val="65763686"/>
    <w:rsid w:val="65775884"/>
    <w:rsid w:val="657A5522"/>
    <w:rsid w:val="65880198"/>
    <w:rsid w:val="65983469"/>
    <w:rsid w:val="65A234ED"/>
    <w:rsid w:val="65A4764D"/>
    <w:rsid w:val="65AC0E0D"/>
    <w:rsid w:val="65B006F3"/>
    <w:rsid w:val="65B16A37"/>
    <w:rsid w:val="65B72FA2"/>
    <w:rsid w:val="65D33DA4"/>
    <w:rsid w:val="65DC302A"/>
    <w:rsid w:val="65DF2A58"/>
    <w:rsid w:val="65F00576"/>
    <w:rsid w:val="65F12FD0"/>
    <w:rsid w:val="65F81292"/>
    <w:rsid w:val="65FA7647"/>
    <w:rsid w:val="66032BD3"/>
    <w:rsid w:val="660718F0"/>
    <w:rsid w:val="66082BF5"/>
    <w:rsid w:val="6612503F"/>
    <w:rsid w:val="661B1DC2"/>
    <w:rsid w:val="663F0B50"/>
    <w:rsid w:val="663F7A7C"/>
    <w:rsid w:val="66406826"/>
    <w:rsid w:val="66534507"/>
    <w:rsid w:val="66567CD4"/>
    <w:rsid w:val="66613222"/>
    <w:rsid w:val="666B7416"/>
    <w:rsid w:val="666E039B"/>
    <w:rsid w:val="666E2599"/>
    <w:rsid w:val="66716DA1"/>
    <w:rsid w:val="667A2B52"/>
    <w:rsid w:val="668E6031"/>
    <w:rsid w:val="669058B5"/>
    <w:rsid w:val="66BB4A67"/>
    <w:rsid w:val="66C8504F"/>
    <w:rsid w:val="66CC61B6"/>
    <w:rsid w:val="66CD3C37"/>
    <w:rsid w:val="66D457C1"/>
    <w:rsid w:val="66DC0AFB"/>
    <w:rsid w:val="66E16FCC"/>
    <w:rsid w:val="66E37976"/>
    <w:rsid w:val="66F61F38"/>
    <w:rsid w:val="67080599"/>
    <w:rsid w:val="67084D16"/>
    <w:rsid w:val="670D26FD"/>
    <w:rsid w:val="670E59CC"/>
    <w:rsid w:val="671F7E10"/>
    <w:rsid w:val="67223F3B"/>
    <w:rsid w:val="672F0459"/>
    <w:rsid w:val="673152EA"/>
    <w:rsid w:val="673E5311"/>
    <w:rsid w:val="67417847"/>
    <w:rsid w:val="674A6A84"/>
    <w:rsid w:val="674E74A1"/>
    <w:rsid w:val="6759039D"/>
    <w:rsid w:val="67631BAC"/>
    <w:rsid w:val="67693AB6"/>
    <w:rsid w:val="67706CC4"/>
    <w:rsid w:val="677456CA"/>
    <w:rsid w:val="67775487"/>
    <w:rsid w:val="678E4891"/>
    <w:rsid w:val="679226FC"/>
    <w:rsid w:val="67A77327"/>
    <w:rsid w:val="67AF422A"/>
    <w:rsid w:val="67B473BE"/>
    <w:rsid w:val="67B53479"/>
    <w:rsid w:val="67B850C4"/>
    <w:rsid w:val="67BC5ABE"/>
    <w:rsid w:val="67C95523"/>
    <w:rsid w:val="67D258AD"/>
    <w:rsid w:val="67D61EEB"/>
    <w:rsid w:val="67DE72F8"/>
    <w:rsid w:val="67E46F50"/>
    <w:rsid w:val="67E93113"/>
    <w:rsid w:val="67F14C93"/>
    <w:rsid w:val="67FB68A8"/>
    <w:rsid w:val="68057C3B"/>
    <w:rsid w:val="680613B6"/>
    <w:rsid w:val="6809233A"/>
    <w:rsid w:val="681D5166"/>
    <w:rsid w:val="6821710D"/>
    <w:rsid w:val="68263B33"/>
    <w:rsid w:val="68395190"/>
    <w:rsid w:val="684C4642"/>
    <w:rsid w:val="686236C1"/>
    <w:rsid w:val="686504D6"/>
    <w:rsid w:val="68723A04"/>
    <w:rsid w:val="68743FAD"/>
    <w:rsid w:val="687B77F4"/>
    <w:rsid w:val="687F32B9"/>
    <w:rsid w:val="688020CA"/>
    <w:rsid w:val="6890131A"/>
    <w:rsid w:val="6894480E"/>
    <w:rsid w:val="68977B55"/>
    <w:rsid w:val="689F3B33"/>
    <w:rsid w:val="68B172D0"/>
    <w:rsid w:val="68BD2E03"/>
    <w:rsid w:val="68C34FEC"/>
    <w:rsid w:val="68C77275"/>
    <w:rsid w:val="68D47A72"/>
    <w:rsid w:val="68D50789"/>
    <w:rsid w:val="68E0239E"/>
    <w:rsid w:val="68EB61B0"/>
    <w:rsid w:val="68EF4566"/>
    <w:rsid w:val="68F100BA"/>
    <w:rsid w:val="690F177D"/>
    <w:rsid w:val="690F51B7"/>
    <w:rsid w:val="69112FC8"/>
    <w:rsid w:val="69123E71"/>
    <w:rsid w:val="691A4468"/>
    <w:rsid w:val="69286015"/>
    <w:rsid w:val="6929211E"/>
    <w:rsid w:val="69357B65"/>
    <w:rsid w:val="693B4DCA"/>
    <w:rsid w:val="693F332E"/>
    <w:rsid w:val="694503EB"/>
    <w:rsid w:val="69482CC7"/>
    <w:rsid w:val="695732B8"/>
    <w:rsid w:val="696274DD"/>
    <w:rsid w:val="696C5805"/>
    <w:rsid w:val="696E0D08"/>
    <w:rsid w:val="698718B2"/>
    <w:rsid w:val="69B144C0"/>
    <w:rsid w:val="69B34765"/>
    <w:rsid w:val="69CF1CA6"/>
    <w:rsid w:val="69E40910"/>
    <w:rsid w:val="69FC3411"/>
    <w:rsid w:val="69FC601F"/>
    <w:rsid w:val="6A002475"/>
    <w:rsid w:val="6A1019CC"/>
    <w:rsid w:val="6A106500"/>
    <w:rsid w:val="6A120191"/>
    <w:rsid w:val="6A250929"/>
    <w:rsid w:val="6A2A10BB"/>
    <w:rsid w:val="6A2D2040"/>
    <w:rsid w:val="6A3053E5"/>
    <w:rsid w:val="6A383C54"/>
    <w:rsid w:val="6A3D6B25"/>
    <w:rsid w:val="6A426762"/>
    <w:rsid w:val="6A491970"/>
    <w:rsid w:val="6A4B15F0"/>
    <w:rsid w:val="6A5D1042"/>
    <w:rsid w:val="6A626CD7"/>
    <w:rsid w:val="6A700997"/>
    <w:rsid w:val="6A782058"/>
    <w:rsid w:val="6A8614A9"/>
    <w:rsid w:val="6A894958"/>
    <w:rsid w:val="6A987763"/>
    <w:rsid w:val="6A9A0475"/>
    <w:rsid w:val="6A9A4BF2"/>
    <w:rsid w:val="6A9B0B5E"/>
    <w:rsid w:val="6AA73F08"/>
    <w:rsid w:val="6AB30270"/>
    <w:rsid w:val="6ABA55F7"/>
    <w:rsid w:val="6AC22533"/>
    <w:rsid w:val="6AD92158"/>
    <w:rsid w:val="6ADE65E0"/>
    <w:rsid w:val="6AE970DE"/>
    <w:rsid w:val="6AFD2718"/>
    <w:rsid w:val="6B0A20DA"/>
    <w:rsid w:val="6B0E0FB6"/>
    <w:rsid w:val="6B0F629E"/>
    <w:rsid w:val="6B1139A5"/>
    <w:rsid w:val="6B1251A6"/>
    <w:rsid w:val="6B126E3A"/>
    <w:rsid w:val="6B172EBC"/>
    <w:rsid w:val="6B2D38B6"/>
    <w:rsid w:val="6B347157"/>
    <w:rsid w:val="6B5C50EF"/>
    <w:rsid w:val="6B6433C1"/>
    <w:rsid w:val="6B6D29CC"/>
    <w:rsid w:val="6B7610DD"/>
    <w:rsid w:val="6B783FE3"/>
    <w:rsid w:val="6B7A374E"/>
    <w:rsid w:val="6B7A5565"/>
    <w:rsid w:val="6B7D37FB"/>
    <w:rsid w:val="6B802775"/>
    <w:rsid w:val="6B9945BC"/>
    <w:rsid w:val="6BA2108B"/>
    <w:rsid w:val="6BA40927"/>
    <w:rsid w:val="6BBD40E6"/>
    <w:rsid w:val="6BCB65E9"/>
    <w:rsid w:val="6BD20172"/>
    <w:rsid w:val="6BEB5873"/>
    <w:rsid w:val="6BF44BCA"/>
    <w:rsid w:val="6BF74B2E"/>
    <w:rsid w:val="6C016886"/>
    <w:rsid w:val="6C0338FE"/>
    <w:rsid w:val="6C0952D5"/>
    <w:rsid w:val="6C11621C"/>
    <w:rsid w:val="6C12315A"/>
    <w:rsid w:val="6C130BDB"/>
    <w:rsid w:val="6C21563C"/>
    <w:rsid w:val="6C2F06A5"/>
    <w:rsid w:val="6C2F2DBE"/>
    <w:rsid w:val="6C313A0F"/>
    <w:rsid w:val="6C362FA1"/>
    <w:rsid w:val="6C4231A7"/>
    <w:rsid w:val="6C511BD5"/>
    <w:rsid w:val="6C5938CE"/>
    <w:rsid w:val="6C5C0714"/>
    <w:rsid w:val="6C5D5B58"/>
    <w:rsid w:val="6C630D16"/>
    <w:rsid w:val="6C65253A"/>
    <w:rsid w:val="6C657DAC"/>
    <w:rsid w:val="6C792164"/>
    <w:rsid w:val="6C7A0CD3"/>
    <w:rsid w:val="6C891725"/>
    <w:rsid w:val="6C894EAD"/>
    <w:rsid w:val="6C8A34D4"/>
    <w:rsid w:val="6C8B2D81"/>
    <w:rsid w:val="6C90182A"/>
    <w:rsid w:val="6C920E9E"/>
    <w:rsid w:val="6C9611B5"/>
    <w:rsid w:val="6CBFD9FF"/>
    <w:rsid w:val="6CC232FE"/>
    <w:rsid w:val="6CD06CF5"/>
    <w:rsid w:val="6CE33832"/>
    <w:rsid w:val="6CE4570D"/>
    <w:rsid w:val="6CE74536"/>
    <w:rsid w:val="6CEA0C3F"/>
    <w:rsid w:val="6CED366B"/>
    <w:rsid w:val="6CF959D6"/>
    <w:rsid w:val="6CFC21DE"/>
    <w:rsid w:val="6D0A36F2"/>
    <w:rsid w:val="6D131E03"/>
    <w:rsid w:val="6D155306"/>
    <w:rsid w:val="6D214F0C"/>
    <w:rsid w:val="6D216B9A"/>
    <w:rsid w:val="6D251D1D"/>
    <w:rsid w:val="6D342338"/>
    <w:rsid w:val="6D3D60D3"/>
    <w:rsid w:val="6D413947"/>
    <w:rsid w:val="6D4D5460"/>
    <w:rsid w:val="6D4E2EE1"/>
    <w:rsid w:val="6D567859"/>
    <w:rsid w:val="6D640908"/>
    <w:rsid w:val="6D8B2C61"/>
    <w:rsid w:val="6D96195E"/>
    <w:rsid w:val="6D9A775D"/>
    <w:rsid w:val="6D9B2006"/>
    <w:rsid w:val="6DAA1D2B"/>
    <w:rsid w:val="6DB46109"/>
    <w:rsid w:val="6DC4136C"/>
    <w:rsid w:val="6DD01729"/>
    <w:rsid w:val="6DD134BB"/>
    <w:rsid w:val="6DE7565E"/>
    <w:rsid w:val="6DEA5FB9"/>
    <w:rsid w:val="6DEE1AC2"/>
    <w:rsid w:val="6DF410F1"/>
    <w:rsid w:val="6DF90DFC"/>
    <w:rsid w:val="6DFF2C82"/>
    <w:rsid w:val="6E011F24"/>
    <w:rsid w:val="6E023C8A"/>
    <w:rsid w:val="6E185E2D"/>
    <w:rsid w:val="6E1938AF"/>
    <w:rsid w:val="6E1B4C67"/>
    <w:rsid w:val="6E1C4834"/>
    <w:rsid w:val="6E2E7FD1"/>
    <w:rsid w:val="6E340AAE"/>
    <w:rsid w:val="6E3653DD"/>
    <w:rsid w:val="6E386F5E"/>
    <w:rsid w:val="6E3B6A4F"/>
    <w:rsid w:val="6E480F08"/>
    <w:rsid w:val="6E514AF7"/>
    <w:rsid w:val="6E53384B"/>
    <w:rsid w:val="6E5C309F"/>
    <w:rsid w:val="6E617526"/>
    <w:rsid w:val="6E625C0E"/>
    <w:rsid w:val="6E8403F6"/>
    <w:rsid w:val="6E863857"/>
    <w:rsid w:val="6E92201A"/>
    <w:rsid w:val="6E953C1C"/>
    <w:rsid w:val="6E9A12BD"/>
    <w:rsid w:val="6E9E14B7"/>
    <w:rsid w:val="6EA941D3"/>
    <w:rsid w:val="6EB14D27"/>
    <w:rsid w:val="6EBB1F26"/>
    <w:rsid w:val="6EC10845"/>
    <w:rsid w:val="6EC523F2"/>
    <w:rsid w:val="6EC6679E"/>
    <w:rsid w:val="6EC845F6"/>
    <w:rsid w:val="6EC923CE"/>
    <w:rsid w:val="6ECB7DD2"/>
    <w:rsid w:val="6ED00F45"/>
    <w:rsid w:val="6ED01D59"/>
    <w:rsid w:val="6ED079BA"/>
    <w:rsid w:val="6EDD48F2"/>
    <w:rsid w:val="6EF902BE"/>
    <w:rsid w:val="6EFA4AB6"/>
    <w:rsid w:val="6EFB7725"/>
    <w:rsid w:val="6F002C34"/>
    <w:rsid w:val="6F01529C"/>
    <w:rsid w:val="6F046D30"/>
    <w:rsid w:val="6F104BD6"/>
    <w:rsid w:val="6F1063C6"/>
    <w:rsid w:val="6F17502C"/>
    <w:rsid w:val="6F2379E9"/>
    <w:rsid w:val="6F2D283B"/>
    <w:rsid w:val="6F3C40BA"/>
    <w:rsid w:val="6F463891"/>
    <w:rsid w:val="6F4A3F3C"/>
    <w:rsid w:val="6F4D6A39"/>
    <w:rsid w:val="6F551618"/>
    <w:rsid w:val="6F5E62B5"/>
    <w:rsid w:val="6F6334D7"/>
    <w:rsid w:val="6F786CEE"/>
    <w:rsid w:val="6F8D32DA"/>
    <w:rsid w:val="6F974134"/>
    <w:rsid w:val="6F9775A3"/>
    <w:rsid w:val="6F9A1E77"/>
    <w:rsid w:val="6FA25934"/>
    <w:rsid w:val="6FA44032"/>
    <w:rsid w:val="6FA66911"/>
    <w:rsid w:val="6FB0729E"/>
    <w:rsid w:val="6FBB0A5D"/>
    <w:rsid w:val="6FBF4FB9"/>
    <w:rsid w:val="6FC371A3"/>
    <w:rsid w:val="6FC425FD"/>
    <w:rsid w:val="6FC80F79"/>
    <w:rsid w:val="6FD74506"/>
    <w:rsid w:val="6FE41C21"/>
    <w:rsid w:val="6FE57C21"/>
    <w:rsid w:val="6FE67322"/>
    <w:rsid w:val="6FEF0C06"/>
    <w:rsid w:val="6FF675BD"/>
    <w:rsid w:val="700510C2"/>
    <w:rsid w:val="700C1224"/>
    <w:rsid w:val="700F04E7"/>
    <w:rsid w:val="701139EA"/>
    <w:rsid w:val="70227A0B"/>
    <w:rsid w:val="70275B8D"/>
    <w:rsid w:val="702A5F16"/>
    <w:rsid w:val="7035646B"/>
    <w:rsid w:val="7040596F"/>
    <w:rsid w:val="70453F92"/>
    <w:rsid w:val="70513ACE"/>
    <w:rsid w:val="70640EC8"/>
    <w:rsid w:val="706763E8"/>
    <w:rsid w:val="707773BB"/>
    <w:rsid w:val="70792114"/>
    <w:rsid w:val="708B5A6B"/>
    <w:rsid w:val="709561C1"/>
    <w:rsid w:val="70B82EFE"/>
    <w:rsid w:val="70C52391"/>
    <w:rsid w:val="70D859B1"/>
    <w:rsid w:val="70DA254F"/>
    <w:rsid w:val="70E1083F"/>
    <w:rsid w:val="70E33D42"/>
    <w:rsid w:val="70EB475C"/>
    <w:rsid w:val="70F01A57"/>
    <w:rsid w:val="70F71497"/>
    <w:rsid w:val="70FE236E"/>
    <w:rsid w:val="711E28A2"/>
    <w:rsid w:val="713420C5"/>
    <w:rsid w:val="714059D6"/>
    <w:rsid w:val="714514E5"/>
    <w:rsid w:val="714802B0"/>
    <w:rsid w:val="71494DE5"/>
    <w:rsid w:val="714B7A67"/>
    <w:rsid w:val="71513435"/>
    <w:rsid w:val="715863BC"/>
    <w:rsid w:val="7168781F"/>
    <w:rsid w:val="716A2D22"/>
    <w:rsid w:val="71716B9F"/>
    <w:rsid w:val="71794555"/>
    <w:rsid w:val="718034AB"/>
    <w:rsid w:val="718A79D3"/>
    <w:rsid w:val="71972D4F"/>
    <w:rsid w:val="71976CE9"/>
    <w:rsid w:val="719B5605"/>
    <w:rsid w:val="71A03D64"/>
    <w:rsid w:val="71A63A80"/>
    <w:rsid w:val="71A94A05"/>
    <w:rsid w:val="71B765E0"/>
    <w:rsid w:val="71C81208"/>
    <w:rsid w:val="71CB5BE5"/>
    <w:rsid w:val="71D6713E"/>
    <w:rsid w:val="71DB20DB"/>
    <w:rsid w:val="71F13EFF"/>
    <w:rsid w:val="71F64B04"/>
    <w:rsid w:val="71FC1682"/>
    <w:rsid w:val="72001C62"/>
    <w:rsid w:val="720C2BDC"/>
    <w:rsid w:val="72127AC6"/>
    <w:rsid w:val="721D26F3"/>
    <w:rsid w:val="721E638F"/>
    <w:rsid w:val="722A671B"/>
    <w:rsid w:val="7230291A"/>
    <w:rsid w:val="723E7510"/>
    <w:rsid w:val="7243139F"/>
    <w:rsid w:val="72465B88"/>
    <w:rsid w:val="724C158B"/>
    <w:rsid w:val="72545909"/>
    <w:rsid w:val="725716A5"/>
    <w:rsid w:val="725C7D2B"/>
    <w:rsid w:val="725D7370"/>
    <w:rsid w:val="726E34C9"/>
    <w:rsid w:val="726E468E"/>
    <w:rsid w:val="72977F10"/>
    <w:rsid w:val="729870BD"/>
    <w:rsid w:val="72A10820"/>
    <w:rsid w:val="72A9536C"/>
    <w:rsid w:val="72AA2D85"/>
    <w:rsid w:val="72B05F1B"/>
    <w:rsid w:val="72CE7417"/>
    <w:rsid w:val="73005DFF"/>
    <w:rsid w:val="73085C46"/>
    <w:rsid w:val="730A1149"/>
    <w:rsid w:val="731068D5"/>
    <w:rsid w:val="73131A58"/>
    <w:rsid w:val="731E36F9"/>
    <w:rsid w:val="73202998"/>
    <w:rsid w:val="73220B73"/>
    <w:rsid w:val="73430029"/>
    <w:rsid w:val="73465C7A"/>
    <w:rsid w:val="73532842"/>
    <w:rsid w:val="735355F9"/>
    <w:rsid w:val="7359474B"/>
    <w:rsid w:val="73622E5C"/>
    <w:rsid w:val="73722DEC"/>
    <w:rsid w:val="737412C0"/>
    <w:rsid w:val="73816234"/>
    <w:rsid w:val="73825A7C"/>
    <w:rsid w:val="73866514"/>
    <w:rsid w:val="7387768B"/>
    <w:rsid w:val="73912327"/>
    <w:rsid w:val="7394357D"/>
    <w:rsid w:val="73997733"/>
    <w:rsid w:val="73A23685"/>
    <w:rsid w:val="73A560F2"/>
    <w:rsid w:val="73A77042"/>
    <w:rsid w:val="73AD7AA7"/>
    <w:rsid w:val="73C572FE"/>
    <w:rsid w:val="73CB0663"/>
    <w:rsid w:val="73D13110"/>
    <w:rsid w:val="73D22DBB"/>
    <w:rsid w:val="73E12BDA"/>
    <w:rsid w:val="73E70B37"/>
    <w:rsid w:val="73EA118A"/>
    <w:rsid w:val="73F5204B"/>
    <w:rsid w:val="73FA42D5"/>
    <w:rsid w:val="74102486"/>
    <w:rsid w:val="741E6BF6"/>
    <w:rsid w:val="74312486"/>
    <w:rsid w:val="743B305B"/>
    <w:rsid w:val="74400F71"/>
    <w:rsid w:val="74463A57"/>
    <w:rsid w:val="744D5C90"/>
    <w:rsid w:val="744F0B5E"/>
    <w:rsid w:val="74504CE3"/>
    <w:rsid w:val="74575C64"/>
    <w:rsid w:val="746B7A8B"/>
    <w:rsid w:val="746F666A"/>
    <w:rsid w:val="74722C9A"/>
    <w:rsid w:val="74856DF9"/>
    <w:rsid w:val="749331CE"/>
    <w:rsid w:val="74A756F2"/>
    <w:rsid w:val="74B00580"/>
    <w:rsid w:val="74B00DBB"/>
    <w:rsid w:val="74B67F0B"/>
    <w:rsid w:val="74BD6E36"/>
    <w:rsid w:val="74C05F86"/>
    <w:rsid w:val="74CD47E9"/>
    <w:rsid w:val="74D07CA9"/>
    <w:rsid w:val="74D8263E"/>
    <w:rsid w:val="74F33324"/>
    <w:rsid w:val="74FC53DD"/>
    <w:rsid w:val="75074069"/>
    <w:rsid w:val="75082E7B"/>
    <w:rsid w:val="752327FD"/>
    <w:rsid w:val="75263A42"/>
    <w:rsid w:val="752A613E"/>
    <w:rsid w:val="752B4572"/>
    <w:rsid w:val="75343457"/>
    <w:rsid w:val="75364AB2"/>
    <w:rsid w:val="75373CDC"/>
    <w:rsid w:val="75434A76"/>
    <w:rsid w:val="75473619"/>
    <w:rsid w:val="754819F8"/>
    <w:rsid w:val="75507C28"/>
    <w:rsid w:val="75583297"/>
    <w:rsid w:val="755E3B9C"/>
    <w:rsid w:val="756A3232"/>
    <w:rsid w:val="75801EB7"/>
    <w:rsid w:val="758D4498"/>
    <w:rsid w:val="75A048B7"/>
    <w:rsid w:val="75C27143"/>
    <w:rsid w:val="75C43BE5"/>
    <w:rsid w:val="75C96ACE"/>
    <w:rsid w:val="75D91027"/>
    <w:rsid w:val="75E066F3"/>
    <w:rsid w:val="75E108F2"/>
    <w:rsid w:val="75E53965"/>
    <w:rsid w:val="75E83C06"/>
    <w:rsid w:val="75ED303E"/>
    <w:rsid w:val="75F70007"/>
    <w:rsid w:val="75FC4AAF"/>
    <w:rsid w:val="76046D5F"/>
    <w:rsid w:val="760B4611"/>
    <w:rsid w:val="76112FED"/>
    <w:rsid w:val="762671C4"/>
    <w:rsid w:val="762D2F6F"/>
    <w:rsid w:val="763175F6"/>
    <w:rsid w:val="76333586"/>
    <w:rsid w:val="76381300"/>
    <w:rsid w:val="763C1D7A"/>
    <w:rsid w:val="764D541F"/>
    <w:rsid w:val="7650348F"/>
    <w:rsid w:val="76685F07"/>
    <w:rsid w:val="76691AD0"/>
    <w:rsid w:val="766A7551"/>
    <w:rsid w:val="767672D1"/>
    <w:rsid w:val="76791AEC"/>
    <w:rsid w:val="76823A0B"/>
    <w:rsid w:val="768A0573"/>
    <w:rsid w:val="768E567E"/>
    <w:rsid w:val="768E78F0"/>
    <w:rsid w:val="769466F4"/>
    <w:rsid w:val="76962A74"/>
    <w:rsid w:val="769A5B22"/>
    <w:rsid w:val="769C3384"/>
    <w:rsid w:val="76A51934"/>
    <w:rsid w:val="76B10254"/>
    <w:rsid w:val="76C27D0D"/>
    <w:rsid w:val="76C70E7F"/>
    <w:rsid w:val="76D0462E"/>
    <w:rsid w:val="76D1273F"/>
    <w:rsid w:val="76D86F04"/>
    <w:rsid w:val="76DB438D"/>
    <w:rsid w:val="76F105F2"/>
    <w:rsid w:val="76FF6B4B"/>
    <w:rsid w:val="77084ECA"/>
    <w:rsid w:val="7709764F"/>
    <w:rsid w:val="77245A86"/>
    <w:rsid w:val="772748EC"/>
    <w:rsid w:val="772A23E1"/>
    <w:rsid w:val="774B5945"/>
    <w:rsid w:val="775C3661"/>
    <w:rsid w:val="775E6B64"/>
    <w:rsid w:val="77636466"/>
    <w:rsid w:val="777E1618"/>
    <w:rsid w:val="777F5120"/>
    <w:rsid w:val="77874C68"/>
    <w:rsid w:val="77933B3B"/>
    <w:rsid w:val="7797676B"/>
    <w:rsid w:val="779A0F48"/>
    <w:rsid w:val="779D0AFA"/>
    <w:rsid w:val="77A108D3"/>
    <w:rsid w:val="77A458E3"/>
    <w:rsid w:val="77AF6E3E"/>
    <w:rsid w:val="77BF3706"/>
    <w:rsid w:val="77C45617"/>
    <w:rsid w:val="77C80239"/>
    <w:rsid w:val="77D210A2"/>
    <w:rsid w:val="77D47E28"/>
    <w:rsid w:val="77DE39B7"/>
    <w:rsid w:val="77E13575"/>
    <w:rsid w:val="77EEFDBE"/>
    <w:rsid w:val="77F428DB"/>
    <w:rsid w:val="77F77919"/>
    <w:rsid w:val="780103C1"/>
    <w:rsid w:val="780116B4"/>
    <w:rsid w:val="780815AD"/>
    <w:rsid w:val="780A11FC"/>
    <w:rsid w:val="780D320A"/>
    <w:rsid w:val="781A5A7B"/>
    <w:rsid w:val="781F6570"/>
    <w:rsid w:val="783223C0"/>
    <w:rsid w:val="78375B6E"/>
    <w:rsid w:val="784A3A84"/>
    <w:rsid w:val="784B6557"/>
    <w:rsid w:val="784D09EB"/>
    <w:rsid w:val="785051F3"/>
    <w:rsid w:val="78536178"/>
    <w:rsid w:val="785670FD"/>
    <w:rsid w:val="78603C19"/>
    <w:rsid w:val="786B591C"/>
    <w:rsid w:val="78807F41"/>
    <w:rsid w:val="788435CF"/>
    <w:rsid w:val="78855678"/>
    <w:rsid w:val="7893651F"/>
    <w:rsid w:val="78A74CC3"/>
    <w:rsid w:val="78AA71E0"/>
    <w:rsid w:val="78AC208A"/>
    <w:rsid w:val="78AD4288"/>
    <w:rsid w:val="78B57116"/>
    <w:rsid w:val="78B92E1E"/>
    <w:rsid w:val="78D62ECE"/>
    <w:rsid w:val="78E34762"/>
    <w:rsid w:val="78E520B8"/>
    <w:rsid w:val="78E57C65"/>
    <w:rsid w:val="78F010DD"/>
    <w:rsid w:val="79036684"/>
    <w:rsid w:val="791D5841"/>
    <w:rsid w:val="79240D89"/>
    <w:rsid w:val="793144E1"/>
    <w:rsid w:val="79321F63"/>
    <w:rsid w:val="793763EA"/>
    <w:rsid w:val="79387CB6"/>
    <w:rsid w:val="79442DD5"/>
    <w:rsid w:val="794D7C6F"/>
    <w:rsid w:val="795566D7"/>
    <w:rsid w:val="795B57A7"/>
    <w:rsid w:val="7960137D"/>
    <w:rsid w:val="796B01E8"/>
    <w:rsid w:val="796C0E43"/>
    <w:rsid w:val="796E53E9"/>
    <w:rsid w:val="79710B4E"/>
    <w:rsid w:val="797C0647"/>
    <w:rsid w:val="79820DE8"/>
    <w:rsid w:val="79933281"/>
    <w:rsid w:val="79D10B67"/>
    <w:rsid w:val="79D37DAB"/>
    <w:rsid w:val="79D704F2"/>
    <w:rsid w:val="79D762F4"/>
    <w:rsid w:val="79DB7D0F"/>
    <w:rsid w:val="79DC2E94"/>
    <w:rsid w:val="79DE4E5E"/>
    <w:rsid w:val="79E26883"/>
    <w:rsid w:val="79E533FA"/>
    <w:rsid w:val="79EB7193"/>
    <w:rsid w:val="79FA22BC"/>
    <w:rsid w:val="79FD5A1B"/>
    <w:rsid w:val="7A013357"/>
    <w:rsid w:val="7A0B54C9"/>
    <w:rsid w:val="7A0C2F4B"/>
    <w:rsid w:val="7A187A56"/>
    <w:rsid w:val="7A206D05"/>
    <w:rsid w:val="7A286B4F"/>
    <w:rsid w:val="7A296AEF"/>
    <w:rsid w:val="7A352869"/>
    <w:rsid w:val="7A377612"/>
    <w:rsid w:val="7A385094"/>
    <w:rsid w:val="7A4723EC"/>
    <w:rsid w:val="7A4A60A6"/>
    <w:rsid w:val="7A6D2EFE"/>
    <w:rsid w:val="7A782F9B"/>
    <w:rsid w:val="7A867391"/>
    <w:rsid w:val="7A8E5D04"/>
    <w:rsid w:val="7A910122"/>
    <w:rsid w:val="7AAC1CEA"/>
    <w:rsid w:val="7ABA0AE5"/>
    <w:rsid w:val="7ABC7F15"/>
    <w:rsid w:val="7ACF7FB4"/>
    <w:rsid w:val="7AD33A6E"/>
    <w:rsid w:val="7AD52994"/>
    <w:rsid w:val="7ADA6E1B"/>
    <w:rsid w:val="7AE14228"/>
    <w:rsid w:val="7AE83BB3"/>
    <w:rsid w:val="7AF50CCA"/>
    <w:rsid w:val="7B035A61"/>
    <w:rsid w:val="7B095C61"/>
    <w:rsid w:val="7B0A1B69"/>
    <w:rsid w:val="7B1072F5"/>
    <w:rsid w:val="7B124E28"/>
    <w:rsid w:val="7B135967"/>
    <w:rsid w:val="7B156CEC"/>
    <w:rsid w:val="7B157B32"/>
    <w:rsid w:val="7B17619E"/>
    <w:rsid w:val="7B215011"/>
    <w:rsid w:val="7B221A0E"/>
    <w:rsid w:val="7B346CFF"/>
    <w:rsid w:val="7B3F45C1"/>
    <w:rsid w:val="7B424F78"/>
    <w:rsid w:val="7B484030"/>
    <w:rsid w:val="7B4A417D"/>
    <w:rsid w:val="7B540CE3"/>
    <w:rsid w:val="7B593B38"/>
    <w:rsid w:val="7B5C2F3D"/>
    <w:rsid w:val="7B651D02"/>
    <w:rsid w:val="7B654568"/>
    <w:rsid w:val="7B664481"/>
    <w:rsid w:val="7B7B66DC"/>
    <w:rsid w:val="7B887E21"/>
    <w:rsid w:val="7B891411"/>
    <w:rsid w:val="7B8A5885"/>
    <w:rsid w:val="7B9E7E5E"/>
    <w:rsid w:val="7BA25C27"/>
    <w:rsid w:val="7BA41D67"/>
    <w:rsid w:val="7BA5743D"/>
    <w:rsid w:val="7BBC740E"/>
    <w:rsid w:val="7BC17119"/>
    <w:rsid w:val="7BC86AA4"/>
    <w:rsid w:val="7BD947C0"/>
    <w:rsid w:val="7BDD401B"/>
    <w:rsid w:val="7BE20509"/>
    <w:rsid w:val="7BE2764E"/>
    <w:rsid w:val="7BEC6C9C"/>
    <w:rsid w:val="7BEF6963"/>
    <w:rsid w:val="7BF76FA3"/>
    <w:rsid w:val="7BF85F7F"/>
    <w:rsid w:val="7C091946"/>
    <w:rsid w:val="7C143B43"/>
    <w:rsid w:val="7C1D1DCF"/>
    <w:rsid w:val="7C2428D0"/>
    <w:rsid w:val="7C314E4E"/>
    <w:rsid w:val="7C360E1E"/>
    <w:rsid w:val="7C400B42"/>
    <w:rsid w:val="7C45606D"/>
    <w:rsid w:val="7C5C1516"/>
    <w:rsid w:val="7C656CDF"/>
    <w:rsid w:val="7C715C38"/>
    <w:rsid w:val="7C7855C3"/>
    <w:rsid w:val="7CC2473D"/>
    <w:rsid w:val="7CC443BD"/>
    <w:rsid w:val="7CC61BD9"/>
    <w:rsid w:val="7CCE0618"/>
    <w:rsid w:val="7CD4011F"/>
    <w:rsid w:val="7CD70E5F"/>
    <w:rsid w:val="7CDA0992"/>
    <w:rsid w:val="7CDC52E7"/>
    <w:rsid w:val="7CF0436A"/>
    <w:rsid w:val="7CF6426C"/>
    <w:rsid w:val="7CFD109F"/>
    <w:rsid w:val="7D100B75"/>
    <w:rsid w:val="7D113171"/>
    <w:rsid w:val="7D271EE3"/>
    <w:rsid w:val="7D2722F7"/>
    <w:rsid w:val="7D3014EE"/>
    <w:rsid w:val="7D350A5A"/>
    <w:rsid w:val="7D3A7064"/>
    <w:rsid w:val="7D435F90"/>
    <w:rsid w:val="7D446507"/>
    <w:rsid w:val="7D482418"/>
    <w:rsid w:val="7D491385"/>
    <w:rsid w:val="7D502FD2"/>
    <w:rsid w:val="7D554D92"/>
    <w:rsid w:val="7D626845"/>
    <w:rsid w:val="7D630A43"/>
    <w:rsid w:val="7D772A7A"/>
    <w:rsid w:val="7D841250"/>
    <w:rsid w:val="7D8437B0"/>
    <w:rsid w:val="7D890C83"/>
    <w:rsid w:val="7D896705"/>
    <w:rsid w:val="7D8F060E"/>
    <w:rsid w:val="7D933791"/>
    <w:rsid w:val="7D9D7924"/>
    <w:rsid w:val="7D9F4904"/>
    <w:rsid w:val="7DA94A5D"/>
    <w:rsid w:val="7DBF4FA6"/>
    <w:rsid w:val="7DCB55B3"/>
    <w:rsid w:val="7DD323DE"/>
    <w:rsid w:val="7DD37DFE"/>
    <w:rsid w:val="7DD70A02"/>
    <w:rsid w:val="7DE710D2"/>
    <w:rsid w:val="7DED09A7"/>
    <w:rsid w:val="7DF34AAF"/>
    <w:rsid w:val="7DF3D25D"/>
    <w:rsid w:val="7DF68DE2"/>
    <w:rsid w:val="7E034D49"/>
    <w:rsid w:val="7E04739F"/>
    <w:rsid w:val="7E051E2B"/>
    <w:rsid w:val="7E094A54"/>
    <w:rsid w:val="7E105802"/>
    <w:rsid w:val="7E16517C"/>
    <w:rsid w:val="7E294F89"/>
    <w:rsid w:val="7E4313B6"/>
    <w:rsid w:val="7E435B33"/>
    <w:rsid w:val="7E474539"/>
    <w:rsid w:val="7E5A4CCF"/>
    <w:rsid w:val="7E5D03E0"/>
    <w:rsid w:val="7E6924EF"/>
    <w:rsid w:val="7E6A4C97"/>
    <w:rsid w:val="7E6B082F"/>
    <w:rsid w:val="7E7523DA"/>
    <w:rsid w:val="7E757607"/>
    <w:rsid w:val="7E870BA6"/>
    <w:rsid w:val="7E91296D"/>
    <w:rsid w:val="7E9E1DC8"/>
    <w:rsid w:val="7EA50156"/>
    <w:rsid w:val="7EA77044"/>
    <w:rsid w:val="7EAD12EA"/>
    <w:rsid w:val="7EB358B3"/>
    <w:rsid w:val="7EB73ECF"/>
    <w:rsid w:val="7EC5501B"/>
    <w:rsid w:val="7EC93702"/>
    <w:rsid w:val="7EDD78CD"/>
    <w:rsid w:val="7EE56F49"/>
    <w:rsid w:val="7EE91B44"/>
    <w:rsid w:val="7EEA7E01"/>
    <w:rsid w:val="7EEE7822"/>
    <w:rsid w:val="7EF938FD"/>
    <w:rsid w:val="7F0D1AE4"/>
    <w:rsid w:val="7F14620B"/>
    <w:rsid w:val="7F185F3D"/>
    <w:rsid w:val="7F204411"/>
    <w:rsid w:val="7F230A24"/>
    <w:rsid w:val="7F27742A"/>
    <w:rsid w:val="7F2F3A66"/>
    <w:rsid w:val="7F314A7F"/>
    <w:rsid w:val="7F392227"/>
    <w:rsid w:val="7F44396E"/>
    <w:rsid w:val="7F453B19"/>
    <w:rsid w:val="7F4F611A"/>
    <w:rsid w:val="7F565B5F"/>
    <w:rsid w:val="7F5759FB"/>
    <w:rsid w:val="7F6124C4"/>
    <w:rsid w:val="7F620B11"/>
    <w:rsid w:val="7F6E38AA"/>
    <w:rsid w:val="7F7626B0"/>
    <w:rsid w:val="7F7B4EFD"/>
    <w:rsid w:val="7F7B6EB5"/>
    <w:rsid w:val="7F893C4C"/>
    <w:rsid w:val="7F9452D1"/>
    <w:rsid w:val="7F990663"/>
    <w:rsid w:val="7F9E0BEB"/>
    <w:rsid w:val="7FA23D41"/>
    <w:rsid w:val="7FA27661"/>
    <w:rsid w:val="7FA966FF"/>
    <w:rsid w:val="7FB42512"/>
    <w:rsid w:val="7FB9221D"/>
    <w:rsid w:val="7FBA441B"/>
    <w:rsid w:val="7FBA7941"/>
    <w:rsid w:val="7FBB5720"/>
    <w:rsid w:val="7FC06324"/>
    <w:rsid w:val="7FC35530"/>
    <w:rsid w:val="7FC74720"/>
    <w:rsid w:val="7FD778F9"/>
    <w:rsid w:val="7FDD05E9"/>
    <w:rsid w:val="7FE43061"/>
    <w:rsid w:val="7FE50AE2"/>
    <w:rsid w:val="7FE707E4"/>
    <w:rsid w:val="7FE94C3B"/>
    <w:rsid w:val="7FEC4B45"/>
    <w:rsid w:val="7FF96F40"/>
    <w:rsid w:val="7FFB4E84"/>
    <w:rsid w:val="DEBF32D5"/>
    <w:rsid w:val="FCFF0D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autoSpaceDE/>
      <w:autoSpaceDN/>
      <w:spacing w:beforeLines="0" w:beforeAutospacing="0" w:afterLines="0" w:afterAutospacing="0" w:line="576" w:lineRule="exact"/>
      <w:ind w:leftChars="0" w:firstLine="903" w:firstLineChars="200"/>
      <w:jc w:val="left"/>
      <w:outlineLvl w:val="0"/>
    </w:pPr>
    <w:rPr>
      <w:rFonts w:ascii="Arial" w:hAnsi="Arial" w:eastAsia="黑体"/>
      <w:kern w:val="44"/>
      <w:sz w:val="32"/>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99"/>
    <w:pPr>
      <w:ind w:firstLine="420" w:firstLineChars="200"/>
    </w:pPr>
    <w:rPr>
      <w:rFonts w:ascii="Times New Roman" w:hAnsi="Times New Roman" w:eastAsia="宋体"/>
      <w:szCs w:val="21"/>
    </w:rPr>
  </w:style>
  <w:style w:type="paragraph" w:styleId="7">
    <w:name w:val="index 6"/>
    <w:basedOn w:val="1"/>
    <w:next w:val="1"/>
    <w:unhideWhenUsed/>
    <w:qFormat/>
    <w:uiPriority w:val="99"/>
    <w:pPr>
      <w:ind w:left="1000" w:leftChars="1000"/>
    </w:pPr>
  </w:style>
  <w:style w:type="paragraph" w:styleId="8">
    <w:name w:val="Body Text"/>
    <w:basedOn w:val="1"/>
    <w:next w:val="9"/>
    <w:qFormat/>
    <w:uiPriority w:val="0"/>
    <w:rPr>
      <w:rFonts w:ascii="仿宋" w:hAnsi="仿宋" w:eastAsia="仿宋" w:cs="仿宋"/>
      <w:sz w:val="31"/>
      <w:szCs w:val="31"/>
      <w:lang w:val="en-US" w:eastAsia="en-US" w:bidi="ar-SA"/>
    </w:rPr>
  </w:style>
  <w:style w:type="paragraph" w:customStyle="1" w:styleId="9">
    <w:name w:val="正文文本 21"/>
    <w:qFormat/>
    <w:uiPriority w:val="99"/>
    <w:pPr>
      <w:widowControl w:val="0"/>
      <w:spacing w:after="120" w:line="480" w:lineRule="auto"/>
      <w:ind w:firstLine="420" w:firstLineChars="200"/>
      <w:jc w:val="both"/>
    </w:pPr>
    <w:rPr>
      <w:rFonts w:ascii="Times New Roman" w:hAnsi="Times New Roman" w:eastAsia="仿宋" w:cs="Times New Roman"/>
      <w:color w:val="000000"/>
      <w:kern w:val="2"/>
      <w:sz w:val="21"/>
      <w:szCs w:val="30"/>
      <w:lang w:val="en-US" w:eastAsia="zh-CN" w:bidi="ar-SA"/>
    </w:rPr>
  </w:style>
  <w:style w:type="paragraph" w:styleId="10">
    <w:name w:val="toc 3"/>
    <w:basedOn w:val="1"/>
    <w:next w:val="1"/>
    <w:qFormat/>
    <w:uiPriority w:val="0"/>
    <w:pPr>
      <w:ind w:left="840" w:leftChars="4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rPr>
  </w:style>
  <w:style w:type="paragraph" w:styleId="15">
    <w:name w:val="toc 2"/>
    <w:basedOn w:val="1"/>
    <w:next w:val="1"/>
    <w:qFormat/>
    <w:uiPriority w:val="0"/>
    <w:pPr>
      <w:ind w:left="420" w:leftChars="200"/>
    </w:p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Body Text First Indent"/>
    <w:basedOn w:val="8"/>
    <w:qFormat/>
    <w:uiPriority w:val="0"/>
    <w:pPr>
      <w:ind w:firstLine="420" w:firstLineChars="1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bCs/>
    </w:rPr>
  </w:style>
  <w:style w:type="character" w:styleId="23">
    <w:name w:val="FollowedHyperlink"/>
    <w:basedOn w:val="21"/>
    <w:qFormat/>
    <w:uiPriority w:val="0"/>
    <w:rPr>
      <w:color w:val="4D7AD8"/>
      <w:u w:val="none"/>
    </w:rPr>
  </w:style>
  <w:style w:type="character" w:styleId="24">
    <w:name w:val="HTML Definition"/>
    <w:basedOn w:val="21"/>
    <w:qFormat/>
    <w:uiPriority w:val="0"/>
    <w:rPr>
      <w:i/>
      <w:iCs/>
    </w:rPr>
  </w:style>
  <w:style w:type="character" w:styleId="25">
    <w:name w:val="Hyperlink"/>
    <w:basedOn w:val="21"/>
    <w:qFormat/>
    <w:uiPriority w:val="0"/>
    <w:rPr>
      <w:color w:val="0000FF"/>
      <w:u w:val="single"/>
    </w:rPr>
  </w:style>
  <w:style w:type="character" w:styleId="26">
    <w:name w:val="HTML Code"/>
    <w:basedOn w:val="21"/>
    <w:qFormat/>
    <w:uiPriority w:val="0"/>
    <w:rPr>
      <w:rFonts w:ascii="Consolas" w:hAnsi="Consolas" w:eastAsia="Consolas" w:cs="Consolas"/>
      <w:sz w:val="21"/>
      <w:szCs w:val="21"/>
    </w:rPr>
  </w:style>
  <w:style w:type="character" w:styleId="27">
    <w:name w:val="footnote reference"/>
    <w:basedOn w:val="21"/>
    <w:qFormat/>
    <w:uiPriority w:val="0"/>
    <w:rPr>
      <w:vertAlign w:val="superscript"/>
    </w:rPr>
  </w:style>
  <w:style w:type="character" w:styleId="28">
    <w:name w:val="HTML Keyboard"/>
    <w:basedOn w:val="21"/>
    <w:qFormat/>
    <w:uiPriority w:val="0"/>
    <w:rPr>
      <w:rFonts w:hint="default" w:ascii="Consolas" w:hAnsi="Consolas" w:eastAsia="Consolas" w:cs="Consolas"/>
      <w:sz w:val="21"/>
      <w:szCs w:val="21"/>
    </w:rPr>
  </w:style>
  <w:style w:type="character" w:styleId="29">
    <w:name w:val="HTML Sample"/>
    <w:basedOn w:val="21"/>
    <w:qFormat/>
    <w:uiPriority w:val="0"/>
    <w:rPr>
      <w:rFonts w:hint="default" w:ascii="Consolas" w:hAnsi="Consolas" w:eastAsia="Consolas" w:cs="Consolas"/>
      <w:sz w:val="21"/>
      <w:szCs w:val="21"/>
    </w:rPr>
  </w:style>
  <w:style w:type="paragraph" w:customStyle="1" w:styleId="30">
    <w:name w:val="Table Text"/>
    <w:basedOn w:val="1"/>
    <w:semiHidden/>
    <w:qFormat/>
    <w:uiPriority w:val="0"/>
    <w:rPr>
      <w:rFonts w:ascii="宋体" w:hAnsi="宋体" w:eastAsia="宋体" w:cs="宋体"/>
      <w:sz w:val="26"/>
      <w:szCs w:val="26"/>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 w:type="character" w:customStyle="1" w:styleId="32">
    <w:name w:val="first-of-type"/>
    <w:basedOn w:val="21"/>
    <w:qFormat/>
    <w:uiPriority w:val="0"/>
    <w:rPr>
      <w:color w:val="FF0000"/>
    </w:rPr>
  </w:style>
  <w:style w:type="character" w:customStyle="1" w:styleId="33">
    <w:name w:val="first-of-type1"/>
    <w:basedOn w:val="21"/>
    <w:qFormat/>
    <w:uiPriority w:val="0"/>
    <w:rPr>
      <w:color w:val="FF0000"/>
    </w:rPr>
  </w:style>
  <w:style w:type="character" w:customStyle="1" w:styleId="34">
    <w:name w:val="first-of-type2"/>
    <w:basedOn w:val="21"/>
    <w:qFormat/>
    <w:uiPriority w:val="0"/>
    <w:rPr>
      <w:color w:val="FF0000"/>
    </w:rPr>
  </w:style>
  <w:style w:type="character" w:customStyle="1" w:styleId="35">
    <w:name w:val="ant-select-tree-iconele"/>
    <w:basedOn w:val="21"/>
    <w:qFormat/>
    <w:uiPriority w:val="0"/>
  </w:style>
  <w:style w:type="character" w:customStyle="1" w:styleId="36">
    <w:name w:val="current-node"/>
    <w:basedOn w:val="21"/>
    <w:qFormat/>
    <w:uiPriority w:val="0"/>
    <w:rPr>
      <w:bdr w:val="single" w:color="F5B87B" w:sz="6" w:space="0"/>
      <w:shd w:val="clear" w:fill="FFE8CC"/>
    </w:rPr>
  </w:style>
  <w:style w:type="character" w:customStyle="1" w:styleId="37">
    <w:name w:val="disabled4"/>
    <w:basedOn w:val="21"/>
    <w:qFormat/>
    <w:uiPriority w:val="0"/>
    <w:rPr>
      <w:color w:val="AAAAAA"/>
      <w:shd w:val="clear" w:fill="F7F7F7"/>
    </w:rPr>
  </w:style>
  <w:style w:type="character" w:customStyle="1" w:styleId="38">
    <w:name w:val="hover41"/>
    <w:basedOn w:val="21"/>
    <w:qFormat/>
    <w:uiPriority w:val="0"/>
    <w:rPr>
      <w:color w:val="009DFF"/>
    </w:rPr>
  </w:style>
  <w:style w:type="character" w:customStyle="1" w:styleId="39">
    <w:name w:val="hover42"/>
    <w:basedOn w:val="21"/>
    <w:qFormat/>
    <w:uiPriority w:val="0"/>
    <w:rPr>
      <w:color w:val="009DFF"/>
    </w:rPr>
  </w:style>
  <w:style w:type="character" w:customStyle="1" w:styleId="40">
    <w:name w:val="wea-thumbnails-doc-content-subtitle"/>
    <w:basedOn w:val="21"/>
    <w:qFormat/>
    <w:uiPriority w:val="0"/>
    <w:rPr>
      <w:color w:val="9A9A9A"/>
    </w:rPr>
  </w:style>
  <w:style w:type="character" w:customStyle="1" w:styleId="41">
    <w:name w:val="ant-table-row-expand-icon4"/>
    <w:basedOn w:val="21"/>
    <w:qFormat/>
    <w:uiPriority w:val="0"/>
    <w:rPr>
      <w:vanish/>
    </w:rPr>
  </w:style>
  <w:style w:type="character" w:customStyle="1" w:styleId="42">
    <w:name w:val="cke_dialog_ui_button2"/>
    <w:basedOn w:val="21"/>
    <w:qFormat/>
    <w:uiPriority w:val="0"/>
  </w:style>
  <w:style w:type="character" w:customStyle="1" w:styleId="43">
    <w:name w:val="wea-dropdown-triangle"/>
    <w:basedOn w:val="21"/>
    <w:qFormat/>
    <w:uiPriority w:val="0"/>
  </w:style>
  <w:style w:type="character" w:customStyle="1" w:styleId="44">
    <w:name w:val="isrevision"/>
    <w:basedOn w:val="21"/>
    <w:qFormat/>
    <w:uiPriority w:val="0"/>
    <w:rPr>
      <w:color w:val="000000"/>
      <w:sz w:val="18"/>
      <w:szCs w:val="18"/>
      <w:bdr w:val="single" w:color="E9E9E9" w:sz="6" w:space="0"/>
      <w:shd w:val="clear" w:fill="FFFFFF"/>
    </w:rPr>
  </w:style>
  <w:style w:type="character" w:customStyle="1" w:styleId="45">
    <w:name w:val="ant-radio+*"/>
    <w:basedOn w:val="21"/>
    <w:qFormat/>
    <w:uiPriority w:val="0"/>
  </w:style>
  <w:style w:type="character" w:customStyle="1" w:styleId="46">
    <w:name w:val="ant-tree-checkbox5"/>
    <w:basedOn w:val="21"/>
    <w:qFormat/>
    <w:uiPriority w:val="0"/>
  </w:style>
  <w:style w:type="character" w:customStyle="1" w:styleId="47">
    <w:name w:val="ant-tree-iconele"/>
    <w:basedOn w:val="21"/>
    <w:qFormat/>
    <w:uiPriority w:val="0"/>
  </w:style>
  <w:style w:type="character" w:customStyle="1" w:styleId="48">
    <w:name w:val="ant-tree-switcher10"/>
    <w:basedOn w:val="21"/>
    <w:qFormat/>
    <w:uiPriority w:val="0"/>
  </w:style>
  <w:style w:type="character" w:customStyle="1" w:styleId="49">
    <w:name w:val="cke_path_empty"/>
    <w:basedOn w:val="21"/>
    <w:qFormat/>
    <w:uiPriority w:val="0"/>
    <w:rPr>
      <w:b/>
      <w:bCs/>
      <w:color w:val="484848"/>
      <w:sz w:val="16"/>
      <w:szCs w:val="16"/>
      <w:u w:val="none"/>
    </w:rPr>
  </w:style>
  <w:style w:type="character" w:customStyle="1" w:styleId="50">
    <w:name w:val="tmpztreemove_arrow"/>
    <w:basedOn w:val="21"/>
    <w:qFormat/>
    <w:uiPriority w:val="0"/>
  </w:style>
  <w:style w:type="character" w:customStyle="1" w:styleId="51">
    <w:name w:val="cke_colorbox2"/>
    <w:basedOn w:val="21"/>
    <w:qFormat/>
    <w:uiPriority w:val="0"/>
  </w:style>
  <w:style w:type="character" w:customStyle="1" w:styleId="52">
    <w:name w:val="cke_colorbox3"/>
    <w:basedOn w:val="21"/>
    <w:qFormat/>
    <w:uiPriority w:val="0"/>
    <w:rPr>
      <w:bdr w:val="single" w:color="808080" w:sz="6" w:space="0"/>
    </w:rPr>
  </w:style>
  <w:style w:type="character" w:customStyle="1" w:styleId="53">
    <w:name w:val="auto-pass-node"/>
    <w:basedOn w:val="21"/>
    <w:qFormat/>
    <w:uiPriority w:val="0"/>
    <w:rPr>
      <w:bdr w:val="single" w:color="DC4446" w:sz="6" w:space="0"/>
      <w:shd w:val="clear" w:fill="A9E2FF"/>
    </w:rPr>
  </w:style>
  <w:style w:type="character" w:customStyle="1" w:styleId="54">
    <w:name w:val="ant-select-tree-checkbox2"/>
    <w:basedOn w:val="21"/>
    <w:qFormat/>
    <w:uiPriority w:val="0"/>
  </w:style>
  <w:style w:type="character" w:customStyle="1" w:styleId="55">
    <w:name w:val="ant-select-tree-switcher"/>
    <w:basedOn w:val="21"/>
    <w:qFormat/>
    <w:uiPriority w:val="0"/>
  </w:style>
  <w:style w:type="character" w:customStyle="1" w:styleId="56">
    <w:name w:val="button"/>
    <w:basedOn w:val="21"/>
    <w:qFormat/>
    <w:uiPriority w:val="0"/>
  </w:style>
  <w:style w:type="character" w:customStyle="1" w:styleId="57">
    <w:name w:val="button1"/>
    <w:basedOn w:val="21"/>
    <w:qFormat/>
    <w:uiPriority w:val="0"/>
  </w:style>
  <w:style w:type="character" w:customStyle="1" w:styleId="58">
    <w:name w:val="not-pass-node"/>
    <w:basedOn w:val="21"/>
    <w:qFormat/>
    <w:uiPriority w:val="0"/>
    <w:rPr>
      <w:bdr w:val="single" w:color="5ABD6B" w:sz="6" w:space="0"/>
      <w:shd w:val="clear" w:fill="BFF3C3"/>
    </w:rPr>
  </w:style>
  <w:style w:type="character" w:customStyle="1" w:styleId="59">
    <w:name w:val="passed-node"/>
    <w:basedOn w:val="21"/>
    <w:qFormat/>
    <w:uiPriority w:val="0"/>
    <w:rPr>
      <w:bdr w:val="single" w:color="49A8D4" w:sz="6" w:space="0"/>
      <w:shd w:val="clear" w:fill="A9E3FF"/>
    </w:rPr>
  </w:style>
  <w:style w:type="character" w:customStyle="1" w:styleId="60">
    <w:name w:val="first-child2"/>
    <w:basedOn w:val="21"/>
    <w:qFormat/>
    <w:uiPriority w:val="0"/>
    <w:rPr>
      <w:color w:val="999999"/>
      <w:sz w:val="33"/>
      <w:szCs w:val="33"/>
    </w:rPr>
  </w:style>
  <w:style w:type="character" w:customStyle="1" w:styleId="61">
    <w:name w:val="first-child3"/>
    <w:basedOn w:val="21"/>
    <w:qFormat/>
    <w:uiPriority w:val="0"/>
  </w:style>
  <w:style w:type="character" w:customStyle="1" w:styleId="62">
    <w:name w:val="last-child1"/>
    <w:basedOn w:val="21"/>
    <w:qFormat/>
    <w:uiPriority w:val="0"/>
  </w:style>
  <w:style w:type="character" w:customStyle="1" w:styleId="63">
    <w:name w:val="cke_notification_progress"/>
    <w:basedOn w:val="21"/>
    <w:qFormat/>
    <w:uiPriority w:val="0"/>
    <w:rPr>
      <w:shd w:val="clear" w:fill="0F74A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7713</Words>
  <Characters>8028</Characters>
  <Lines>0</Lines>
  <Paragraphs>0</Paragraphs>
  <TotalTime>17</TotalTime>
  <ScaleCrop>false</ScaleCrop>
  <LinksUpToDate>false</LinksUpToDate>
  <CharactersWithSpaces>8161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2025-06-26T16:44:00Z</dcterms:created>
  <dc:creator>师、小小小小小皎</dc:creator>
  <cp:lastModifiedBy>Administrator</cp:lastModifiedBy>
  <cp:lastPrinted>2026-04-01T19:11:00Z</cp:lastPrinted>
  <dcterms:modified xsi:type="dcterms:W3CDTF">2026-08-20T09:26:35Z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265E237438EF41C0AE3D615D6A5E1106_13</vt:lpwstr>
  </property>
  <property fmtid="{D5CDD505-2E9C-101B-9397-08002B2CF9AE}" pid="4" name="KSOTemplateDocerSaveRecord">
    <vt:lpwstr>eyJoZGlkIjoiNWI1MzI1MjdmZmI2MWUxN2I5NmFkZDcyNzRlMDhhY2QifQ==</vt:lpwstr>
  </property>
</Properties>
</file>