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附件1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超硬材料产业链绿色化升级改造实施指南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一、重点领域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超硬材料</w:t>
      </w:r>
      <w:r>
        <w:rPr>
          <w:rFonts w:hint="default" w:ascii="Times New Roman" w:hAnsi="Times New Roman" w:cs="Times New Roman"/>
          <w:lang w:val="en-US" w:eastAsia="zh-CN"/>
        </w:rPr>
        <w:t>制品</w:t>
      </w:r>
      <w:r>
        <w:rPr>
          <w:rFonts w:hint="default" w:ascii="Times New Roman" w:hAnsi="Times New Roman" w:cs="Times New Roman"/>
        </w:rPr>
        <w:t>、培育钻石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纳米聚晶金刚石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功能金刚石等重点产品生产过程绿色化改造。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>（一）</w:t>
      </w:r>
      <w:r>
        <w:rPr>
          <w:rFonts w:hint="default" w:ascii="Times New Roman" w:hAnsi="Times New Roman" w:eastAsia="楷体" w:cs="Times New Roman"/>
          <w:lang w:val="en-US" w:eastAsia="zh-CN"/>
        </w:rPr>
        <w:t>技术升级路径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>加速纳米聚晶金刚石、功能金刚石等</w:t>
      </w:r>
      <w:r>
        <w:rPr>
          <w:rFonts w:hint="default" w:ascii="Times New Roman" w:hAnsi="Times New Roman" w:cs="Times New Roman"/>
          <w:lang w:val="en-US" w:eastAsia="zh-CN"/>
        </w:rPr>
        <w:t>绿色化</w:t>
      </w:r>
      <w:r>
        <w:rPr>
          <w:rFonts w:hint="default" w:ascii="Times New Roman" w:hAnsi="Times New Roman" w:cs="Times New Roman"/>
        </w:rPr>
        <w:t>制备技术攻关</w:t>
      </w:r>
      <w:r>
        <w:rPr>
          <w:rFonts w:hint="default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提升</w:t>
      </w:r>
      <w:r>
        <w:rPr>
          <w:rFonts w:hint="default" w:ascii="Times New Roman" w:hAnsi="Times New Roman" w:cs="Times New Roman"/>
        </w:rPr>
        <w:t>超硬材料</w:t>
      </w:r>
      <w:r>
        <w:rPr>
          <w:rFonts w:hint="default" w:ascii="Times New Roman" w:hAnsi="Times New Roman" w:cs="Times New Roman"/>
          <w:lang w:val="en-US" w:eastAsia="zh-CN"/>
        </w:rPr>
        <w:t>制品</w:t>
      </w:r>
      <w:r>
        <w:rPr>
          <w:rFonts w:hint="default" w:ascii="Times New Roman" w:hAnsi="Times New Roman" w:cs="Times New Roman"/>
        </w:rPr>
        <w:t>、培育钻石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纳米聚晶金刚石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功能金刚石</w:t>
      </w:r>
      <w:r>
        <w:rPr>
          <w:rFonts w:hint="default" w:ascii="Times New Roman" w:hAnsi="Times New Roman" w:cs="Times New Roman"/>
        </w:rPr>
        <w:t>关键</w:t>
      </w:r>
      <w:r>
        <w:rPr>
          <w:rFonts w:hint="default" w:ascii="Times New Roman" w:hAnsi="Times New Roman" w:cs="Times New Roman"/>
          <w:lang w:val="en-US" w:eastAsia="zh-CN"/>
        </w:rPr>
        <w:t>技术</w:t>
      </w:r>
      <w:r>
        <w:rPr>
          <w:rFonts w:hint="default" w:ascii="Times New Roman" w:hAnsi="Times New Roman" w:cs="Times New Roman"/>
        </w:rPr>
        <w:t>装备</w:t>
      </w:r>
      <w:r>
        <w:rPr>
          <w:rFonts w:hint="default" w:ascii="Times New Roman" w:hAnsi="Times New Roman" w:cs="Times New Roman"/>
          <w:lang w:val="en-US" w:eastAsia="zh-CN"/>
        </w:rPr>
        <w:t>绿色化水平。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>（二）</w:t>
      </w:r>
      <w:r>
        <w:rPr>
          <w:rFonts w:hint="default" w:ascii="Times New Roman" w:hAnsi="Times New Roman" w:eastAsia="楷体" w:cs="Times New Roman"/>
          <w:lang w:val="en-US" w:eastAsia="zh-CN"/>
        </w:rPr>
        <w:t>能源系统改造路径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鼓励建设集成应用分布式光伏、新型储能、余热余压利用、智慧能源管控等一体化系统的工业绿色微电网，推进多能高效互补利用，提高终端用能新型能源比重。鼓励采用</w:t>
      </w:r>
      <w:r>
        <w:rPr>
          <w:rFonts w:hint="default" w:ascii="Times New Roman" w:hAnsi="Times New Roman" w:cs="Times New Roman"/>
        </w:rPr>
        <w:t>新一代信息技术，建立设备、系统、工厂三层级能效诊断系统，</w:t>
      </w:r>
      <w:r>
        <w:rPr>
          <w:rFonts w:hint="default" w:ascii="Times New Roman" w:hAnsi="Times New Roman" w:cs="Times New Roman"/>
          <w:lang w:val="en-US" w:eastAsia="zh-CN"/>
        </w:rPr>
        <w:t>建设数字化能碳管理中心，</w:t>
      </w:r>
      <w:r>
        <w:rPr>
          <w:rFonts w:hint="default" w:ascii="Times New Roman" w:hAnsi="Times New Roman" w:cs="Times New Roman"/>
        </w:rPr>
        <w:t>推动能源管理数字化、网络化、智能化发展，提升整体能效水平。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（三）节能装备改造路径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加快六面顶压机、微波等离子体CVD设备、</w:t>
      </w:r>
      <w:r>
        <w:rPr>
          <w:rFonts w:hint="default" w:ascii="Times New Roman" w:hAnsi="Times New Roman" w:eastAsia="仿宋" w:cs="Times New Roman"/>
          <w:color w:val="auto"/>
        </w:rPr>
        <w:t>立式磨床、烘箱、烧结压机、箱式电炉、数控元台磨、高温升降电炉、油压机、油压机卸模机</w:t>
      </w:r>
      <w:r>
        <w:rPr>
          <w:rFonts w:hint="default" w:ascii="Times New Roman" w:hAnsi="Times New Roman" w:cs="Times New Roman"/>
          <w:lang w:val="en-US" w:eastAsia="zh-CN"/>
        </w:rPr>
        <w:t>等关键设备升级改造。实施电机、风机、泵、空压机、变压器等重点用能产品设备更新升级改造，改造后须达到强制性能效标准2级及以上。</w:t>
      </w:r>
      <w:r>
        <w:rPr>
          <w:rFonts w:hint="default" w:ascii="Times New Roman" w:hAnsi="Times New Roman" w:cs="Times New Roman"/>
        </w:rPr>
        <w:t>加快应用高效节能电机匹配技术、低速大转矩直驱技术、高速直驱技术、伺服驱动技术等，提高电机系统效率和质量。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jc w:val="left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3780"/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line="240" w:lineRule="auto"/>
        <w:ind w:right="-717" w:rightChars="-224" w:firstLine="0" w:firstLineChars="0"/>
        <w:textAlignment w:val="auto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444BC66-5711-423E-9AAA-D8B300C3E4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2E47F05-3D4B-4E35-8D85-FCB37AAFF78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5F0444F-575B-4C2D-B464-AF39226E099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A681B320-A52E-48AB-9BB9-7496CC401D19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554B75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86248E6"/>
    <w:rsid w:val="6DFE2374"/>
    <w:rsid w:val="72705912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autoRedefine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2024-02-19T09:22:45Z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