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580" w:lineRule="exact"/>
        <w:ind w:left="0" w:right="0" w:firstLine="0"/>
        <w:jc w:val="left"/>
        <w:textAlignment w:val="auto"/>
        <w:outlineLvl w:val="9"/>
        <w:rPr>
          <w:rFonts w:hint="eastAsia" w:ascii="方正黑体_GBK" w:eastAsia="方正黑体_GBK" w:cs="方正黑体_GBK"/>
          <w:sz w:val="32"/>
          <w:szCs w:val="32"/>
        </w:rPr>
      </w:pPr>
      <w:r>
        <w:rPr>
          <w:rFonts w:hint="eastAsia" w:ascii="方正黑体_GBK" w:eastAsia="方正黑体_GBK" w:cs="方正黑体_GBK"/>
          <w:kern w:val="2"/>
          <w:sz w:val="32"/>
          <w:szCs w:val="32"/>
          <w:lang w:val="en-US" w:eastAsia="zh-CN" w:bidi="ar-SA"/>
        </w:rPr>
        <w:t>附件</w:t>
      </w:r>
    </w:p>
    <w:p>
      <w:pPr>
        <w:keepNext w:val="0"/>
        <w:keepLines w:val="0"/>
        <w:pageBreakBefore w:val="0"/>
        <w:widowControl w:val="0"/>
        <w:kinsoku/>
        <w:wordWrap/>
        <w:overflowPunct/>
        <w:topLinePunct w:val="0"/>
        <w:autoSpaceDE/>
        <w:autoSpaceDN/>
        <w:bidi w:val="0"/>
        <w:adjustRightInd/>
        <w:snapToGrid/>
        <w:spacing w:before="0" w:after="0" w:line="580" w:lineRule="exact"/>
        <w:ind w:left="0" w:right="0" w:firstLine="0"/>
        <w:jc w:val="center"/>
        <w:textAlignment w:val="auto"/>
        <w:outlineLvl w:val="9"/>
        <w:rPr>
          <w:rFonts w:ascii="方正小标宋简体" w:eastAsia="方正小标宋简体" w:cs="方正小标宋简体"/>
          <w:kern w:val="2"/>
          <w:sz w:val="44"/>
          <w:szCs w:val="44"/>
          <w:lang w:val="en-US" w:eastAsia="zh-CN" w:bidi="ar-SA"/>
        </w:rPr>
      </w:pPr>
      <w:r>
        <w:rPr>
          <w:rFonts w:ascii="方正小标宋简体" w:eastAsia="方正小标宋简体" w:cs="方正小标宋简体"/>
          <w:kern w:val="2"/>
          <w:sz w:val="44"/>
          <w:szCs w:val="44"/>
          <w:lang w:val="en-US" w:eastAsia="zh-CN" w:bidi="ar-SA"/>
        </w:rPr>
        <w:t>邯郸市发展和改革委员会等四部门</w:t>
      </w:r>
    </w:p>
    <w:p>
      <w:pPr>
        <w:keepNext w:val="0"/>
        <w:keepLines w:val="0"/>
        <w:pageBreakBefore w:val="0"/>
        <w:widowControl w:val="0"/>
        <w:kinsoku/>
        <w:wordWrap/>
        <w:overflowPunct/>
        <w:topLinePunct w:val="0"/>
        <w:autoSpaceDE/>
        <w:autoSpaceDN/>
        <w:adjustRightInd/>
        <w:snapToGrid/>
        <w:spacing w:line="580" w:lineRule="exact"/>
        <w:ind w:left="0" w:firstLine="0"/>
        <w:jc w:val="center"/>
        <w:rPr>
          <w:rFonts w:ascii="方正小标宋简体" w:eastAsia="方正小标宋简体" w:cs="方正小标宋简体"/>
          <w:kern w:val="2"/>
          <w:sz w:val="44"/>
          <w:szCs w:val="44"/>
          <w:lang w:val="en-US" w:eastAsia="zh-CN" w:bidi="ar-SA"/>
        </w:rPr>
      </w:pPr>
      <w:r>
        <w:rPr>
          <w:rFonts w:hint="eastAsia" w:ascii="方正小标宋_GBK" w:eastAsia="方正小标宋_GBK" w:cs="Times New Roman"/>
          <w:sz w:val="44"/>
          <w:szCs w:val="44"/>
          <w:lang w:val="en-US" w:eastAsia="zh-CN" w:bidi="ar-SA"/>
        </w:rPr>
        <w:t>贯彻落实</w:t>
      </w:r>
      <w:r>
        <w:rPr>
          <w:rFonts w:hint="eastAsia" w:ascii="方正小标宋_GBK" w:eastAsia="方正小标宋_GBK" w:cs="方正小标宋简体"/>
          <w:kern w:val="2"/>
          <w:sz w:val="44"/>
          <w:szCs w:val="44"/>
          <w:lang w:val="en-US" w:eastAsia="zh-CN" w:bidi="ar-SA"/>
        </w:rPr>
        <w:t>涉</w:t>
      </w:r>
      <w:r>
        <w:rPr>
          <w:rFonts w:hint="eastAsia" w:ascii="方正小标宋简体" w:eastAsia="方正小标宋简体" w:cs="方正小标宋简体"/>
          <w:kern w:val="2"/>
          <w:sz w:val="44"/>
          <w:szCs w:val="44"/>
          <w:lang w:val="en-US" w:eastAsia="zh-CN" w:bidi="ar-SA"/>
        </w:rPr>
        <w:t>企收费长效监管机制</w:t>
      </w:r>
      <w:r>
        <w:rPr>
          <w:rFonts w:ascii="方正小标宋简体" w:eastAsia="方正小标宋简体" w:cs="方正小标宋简体"/>
          <w:kern w:val="2"/>
          <w:sz w:val="44"/>
          <w:szCs w:val="44"/>
          <w:lang w:val="en-US" w:eastAsia="zh-CN" w:bidi="ar-SA"/>
        </w:rPr>
        <w:t>工作举措</w:t>
      </w:r>
    </w:p>
    <w:p>
      <w:pPr>
        <w:widowControl w:val="0"/>
        <w:wordWrap/>
        <w:adjustRightInd/>
        <w:snapToGrid/>
        <w:spacing w:line="240" w:lineRule="auto"/>
        <w:ind w:firstLine="639"/>
        <w:jc w:val="both"/>
        <w:textAlignment w:val="auto"/>
        <w:rPr>
          <w:rFonts w:ascii="仿宋_GB2312" w:eastAsia="仿宋_GB2312" w:cs="Times New Roman"/>
          <w:sz w:val="32"/>
          <w:szCs w:val="32"/>
          <w:lang w:val="en-US" w:eastAsia="zh-CN" w:bidi="ar-SA"/>
        </w:rPr>
      </w:pPr>
    </w:p>
    <w:p>
      <w:pPr>
        <w:keepNext w:val="0"/>
        <w:keepLines w:val="0"/>
        <w:pageBreakBefore w:val="0"/>
        <w:widowControl w:val="0"/>
        <w:kinsoku/>
        <w:wordWrap/>
        <w:overflowPunct/>
        <w:topLinePunct w:val="0"/>
        <w:autoSpaceDE/>
        <w:bidi w:val="0"/>
        <w:adjustRightInd/>
        <w:snapToGrid/>
        <w:spacing w:line="240" w:lineRule="auto"/>
        <w:ind w:firstLine="639"/>
        <w:jc w:val="both"/>
        <w:textAlignment w:val="auto"/>
        <w:rPr>
          <w:rFonts w:hint="eastAsia" w:ascii="仿宋_GB2312" w:eastAsia="仿宋_GB2312" w:cs="Times New Roman"/>
          <w:sz w:val="32"/>
          <w:szCs w:val="32"/>
          <w:lang w:val="en-US" w:eastAsia="zh-CN" w:bidi="ar-SA"/>
        </w:rPr>
      </w:pPr>
      <w:r>
        <w:rPr>
          <w:rFonts w:ascii="仿宋_GB2312" w:eastAsia="仿宋_GB2312" w:cs="Times New Roman"/>
          <w:sz w:val="32"/>
          <w:szCs w:val="32"/>
          <w:lang w:val="en-US" w:eastAsia="zh-CN" w:bidi="ar-SA"/>
        </w:rPr>
        <w:t>加强涉企收费监管是降低企业成本、优化营商环境的重要举措，对激发市场活力，促进经济社会高质量发展具有重要意义。</w:t>
      </w:r>
      <w:r>
        <w:rPr>
          <w:rFonts w:hint="eastAsia" w:ascii="仿宋_GB2312" w:eastAsia="仿宋_GB2312" w:cs="Times New Roman"/>
          <w:sz w:val="32"/>
          <w:szCs w:val="32"/>
          <w:lang w:val="en-US" w:eastAsia="zh-CN" w:bidi="ar-SA"/>
        </w:rPr>
        <w:t>为</w:t>
      </w:r>
      <w:r>
        <w:rPr>
          <w:rFonts w:ascii="仿宋_GB2312" w:eastAsia="仿宋_GB2312" w:cs="Times New Roman"/>
          <w:sz w:val="32"/>
          <w:szCs w:val="32"/>
          <w:lang w:val="en-US" w:eastAsia="zh-CN" w:bidi="ar-SA"/>
        </w:rPr>
        <w:t>深入</w:t>
      </w:r>
      <w:r>
        <w:rPr>
          <w:rFonts w:hint="eastAsia" w:ascii="仿宋_GB2312" w:eastAsia="仿宋_GB2312" w:cs="Times New Roman"/>
          <w:sz w:val="32"/>
          <w:szCs w:val="32"/>
          <w:lang w:val="en-US" w:eastAsia="zh-CN" w:bidi="ar-SA"/>
        </w:rPr>
        <w:t>贯彻</w:t>
      </w:r>
      <w:r>
        <w:rPr>
          <w:rFonts w:ascii="仿宋_GB2312" w:eastAsia="仿宋_GB2312" w:cs="Times New Roman"/>
          <w:sz w:val="32"/>
          <w:szCs w:val="32"/>
          <w:lang w:val="en-US" w:eastAsia="zh-CN" w:bidi="ar-SA"/>
        </w:rPr>
        <w:t>落实</w:t>
      </w:r>
      <w:r>
        <w:rPr>
          <w:rFonts w:hint="eastAsia" w:ascii="仿宋_GB2312" w:eastAsia="仿宋_GB2312" w:cs="Times New Roman"/>
          <w:sz w:val="32"/>
          <w:szCs w:val="32"/>
          <w:lang w:val="en-US" w:eastAsia="zh-CN" w:bidi="ar-SA"/>
        </w:rPr>
        <w:t>《国务院办公厅关于建立健全涉企收费长效监管机制的指导意见》（国办函〔</w:t>
      </w:r>
      <w:r>
        <w:rPr>
          <w:rFonts w:ascii="Times New Roman" w:hAnsi="Times New Roman" w:eastAsia="方正仿宋_GBK" w:cs="Times New Roman"/>
          <w:sz w:val="32"/>
          <w:szCs w:val="32"/>
          <w:lang w:val="en-US" w:eastAsia="zh-CN" w:bidi="ar-SA"/>
        </w:rPr>
        <w:t xml:space="preserve">2025〕30 </w:t>
      </w:r>
      <w:r>
        <w:rPr>
          <w:rFonts w:hint="eastAsia" w:ascii="仿宋_GB2312" w:eastAsia="仿宋_GB2312" w:cs="Times New Roman"/>
          <w:sz w:val="32"/>
          <w:szCs w:val="32"/>
          <w:lang w:val="en-US" w:eastAsia="zh-CN" w:bidi="ar-SA"/>
        </w:rPr>
        <w:t>号）的要求和省相关部署，经结</w:t>
      </w:r>
      <w:bookmarkStart w:id="0" w:name="_GoBack"/>
      <w:bookmarkEnd w:id="0"/>
      <w:r>
        <w:rPr>
          <w:rFonts w:hint="eastAsia" w:ascii="仿宋_GB2312" w:eastAsia="仿宋_GB2312" w:cs="Times New Roman"/>
          <w:sz w:val="32"/>
          <w:szCs w:val="32"/>
          <w:lang w:val="en-US" w:eastAsia="zh-CN" w:bidi="ar-SA"/>
        </w:rPr>
        <w:t>合我市实际</w:t>
      </w:r>
      <w:r>
        <w:rPr>
          <w:rFonts w:ascii="仿宋_GB2312" w:eastAsia="仿宋_GB2312" w:cs="Times New Roman"/>
          <w:sz w:val="32"/>
          <w:szCs w:val="32"/>
          <w:lang w:val="en-US" w:eastAsia="zh-CN" w:bidi="ar-SA"/>
        </w:rPr>
        <w:t>情况</w:t>
      </w:r>
      <w:r>
        <w:rPr>
          <w:rFonts w:hint="eastAsia" w:ascii="仿宋_GB2312" w:eastAsia="仿宋_GB2312" w:cs="Times New Roman"/>
          <w:sz w:val="32"/>
          <w:szCs w:val="32"/>
          <w:lang w:val="en-US" w:eastAsia="zh-CN" w:bidi="ar-SA"/>
        </w:rPr>
        <w:t>，</w:t>
      </w:r>
      <w:r>
        <w:rPr>
          <w:rFonts w:ascii="仿宋_GB2312" w:eastAsia="仿宋_GB2312" w:cs="Times New Roman"/>
          <w:sz w:val="32"/>
          <w:szCs w:val="32"/>
          <w:lang w:val="en-US" w:eastAsia="zh-CN" w:bidi="ar-SA"/>
        </w:rPr>
        <w:t>制定</w:t>
      </w:r>
      <w:r>
        <w:rPr>
          <w:rFonts w:hint="eastAsia" w:ascii="仿宋_GB2312" w:eastAsia="仿宋_GB2312" w:cs="Times New Roman"/>
          <w:sz w:val="32"/>
          <w:szCs w:val="32"/>
          <w:lang w:val="en-US" w:eastAsia="zh-CN" w:bidi="ar-SA"/>
        </w:rPr>
        <w:t>如下</w:t>
      </w:r>
      <w:r>
        <w:rPr>
          <w:rFonts w:ascii="仿宋_GB2312" w:eastAsia="仿宋_GB2312" w:cs="Times New Roman"/>
          <w:sz w:val="32"/>
          <w:szCs w:val="32"/>
          <w:lang w:val="en-US" w:eastAsia="zh-CN" w:bidi="ar-SA"/>
        </w:rPr>
        <w:t>工作举措</w:t>
      </w:r>
      <w:r>
        <w:rPr>
          <w:rFonts w:hint="eastAsia" w:ascii="仿宋_GB2312" w:eastAsia="仿宋_GB2312" w:cs="Times New Roman"/>
          <w:sz w:val="32"/>
          <w:szCs w:val="32"/>
          <w:lang w:val="en-US" w:eastAsia="zh-CN" w:bidi="ar-SA"/>
        </w:rPr>
        <w:t>。</w:t>
      </w:r>
    </w:p>
    <w:p>
      <w:pPr>
        <w:keepNext w:val="0"/>
        <w:keepLines w:val="0"/>
        <w:pageBreakBefore w:val="0"/>
        <w:widowControl w:val="0"/>
        <w:kinsoku/>
        <w:wordWrap/>
        <w:overflowPunct/>
        <w:topLinePunct w:val="0"/>
        <w:autoSpaceDE/>
        <w:bidi w:val="0"/>
        <w:adjustRightInd/>
        <w:snapToGrid/>
        <w:spacing w:line="240" w:lineRule="auto"/>
        <w:ind w:left="0" w:firstLine="0"/>
        <w:textAlignment w:val="auto"/>
        <w:rPr>
          <w:rFonts w:hint="eastAsia" w:ascii="方正黑体_GBK" w:eastAsia="方正黑体_GBK" w:cs="方正黑体_GBK"/>
          <w:snapToGrid/>
          <w:color w:val="000000"/>
          <w:sz w:val="32"/>
          <w:szCs w:val="32"/>
          <w:u w:val="single" w:color="auto"/>
          <w:lang w:eastAsia="zh-CN" w:bidi="ar-SA"/>
        </w:rPr>
      </w:pPr>
      <w:r>
        <w:rPr>
          <w:rFonts w:hint="eastAsia" w:ascii="方正黑体_GBK" w:eastAsia="方正黑体_GBK" w:cs="方正黑体_GBK"/>
          <w:snapToGrid/>
          <w:color w:val="000000"/>
          <w:sz w:val="32"/>
          <w:szCs w:val="32"/>
          <w:u w:val="none"/>
          <w:lang w:val="en-US" w:eastAsia="zh-CN" w:bidi="ar-SA"/>
        </w:rPr>
        <w:t xml:space="preserve">    一、</w:t>
      </w:r>
      <w:r>
        <w:rPr>
          <w:rFonts w:hint="eastAsia" w:ascii="方正黑体_GBK" w:eastAsia="方正黑体_GBK" w:cs="方正黑体_GBK"/>
          <w:snapToGrid/>
          <w:color w:val="000000"/>
          <w:sz w:val="32"/>
          <w:szCs w:val="32"/>
          <w:u w:val="none"/>
          <w:lang w:eastAsia="zh-CN" w:bidi="ar-SA"/>
        </w:rPr>
        <w:t>健全涉企收费目录清单管理制度</w:t>
      </w:r>
    </w:p>
    <w:p>
      <w:pPr>
        <w:keepNext w:val="0"/>
        <w:keepLines w:val="0"/>
        <w:pageBreakBefore w:val="0"/>
        <w:widowControl w:val="0"/>
        <w:kinsoku/>
        <w:wordWrap/>
        <w:overflowPunct/>
        <w:topLinePunct w:val="0"/>
        <w:autoSpaceDE/>
        <w:autoSpaceDN w:val="0"/>
        <w:bidi w:val="0"/>
        <w:adjustRightInd/>
        <w:snapToGrid/>
        <w:textAlignment w:val="center"/>
        <w:rPr>
          <w:rFonts w:hint="eastAsia" w:ascii="仿宋_GB2312" w:eastAsia="仿宋_GB2312"/>
          <w:snapToGrid/>
          <w:color w:val="000000"/>
          <w:sz w:val="32"/>
          <w:szCs w:val="32"/>
          <w:u w:val="none"/>
          <w:lang w:eastAsia="zh-CN"/>
        </w:rPr>
      </w:pPr>
      <w:r>
        <w:rPr>
          <w:rFonts w:hint="eastAsia" w:ascii="方正仿宋_GBK" w:eastAsia="方正仿宋_GBK"/>
          <w:snapToGrid/>
          <w:color w:val="000000"/>
          <w:sz w:val="32"/>
          <w:szCs w:val="32"/>
          <w:u w:val="none"/>
          <w:lang w:val="en-US" w:eastAsia="zh-CN"/>
        </w:rPr>
        <w:t xml:space="preserve">    </w:t>
      </w:r>
      <w:r>
        <w:rPr>
          <w:rFonts w:hint="eastAsia" w:ascii="方正楷体_GBK" w:eastAsia="方正楷体_GBK" w:cs="Times New Roman"/>
          <w:snapToGrid/>
          <w:color w:val="000000"/>
          <w:sz w:val="32"/>
          <w:szCs w:val="32"/>
          <w:u w:val="none"/>
          <w:lang w:val="en-US" w:eastAsia="zh-CN" w:bidi="ar-SA"/>
        </w:rPr>
        <w:t>（一）</w:t>
      </w:r>
      <w:r>
        <w:rPr>
          <w:rFonts w:hint="eastAsia" w:ascii="方正楷体_GBK" w:eastAsia="方正楷体_GBK"/>
          <w:bCs/>
          <w:snapToGrid/>
          <w:color w:val="000000"/>
          <w:sz w:val="32"/>
          <w:szCs w:val="32"/>
          <w:u w:val="none"/>
          <w:lang w:eastAsia="zh-CN"/>
        </w:rPr>
        <w:t>涉企收费实行目录清单制度管理。</w:t>
      </w:r>
      <w:r>
        <w:rPr>
          <w:rFonts w:hint="eastAsia" w:ascii="仿宋_GB2312" w:eastAsia="仿宋_GB2312"/>
          <w:bCs/>
          <w:snapToGrid/>
          <w:color w:val="000000"/>
          <w:sz w:val="32"/>
          <w:szCs w:val="32"/>
          <w:u w:val="none"/>
          <w:lang w:eastAsia="zh-CN"/>
        </w:rPr>
        <w:t>市发展改革委、市财政局、市工业和信息化局按职责分工，依据国家和省目录清单，结合我市实际</w:t>
      </w:r>
      <w:r>
        <w:rPr>
          <w:rFonts w:ascii="仿宋_GB2312" w:eastAsia="仿宋_GB2312"/>
          <w:bCs/>
          <w:snapToGrid/>
          <w:color w:val="000000"/>
          <w:sz w:val="32"/>
          <w:szCs w:val="32"/>
          <w:u w:val="none"/>
          <w:lang w:eastAsia="zh-CN"/>
        </w:rPr>
        <w:t>全面公开《邯郸市</w:t>
      </w:r>
      <w:r>
        <w:rPr>
          <w:rFonts w:hint="eastAsia" w:ascii="仿宋_GB2312" w:eastAsia="仿宋_GB2312"/>
          <w:bCs/>
          <w:snapToGrid/>
          <w:color w:val="000000"/>
          <w:sz w:val="32"/>
          <w:szCs w:val="32"/>
          <w:u w:val="none"/>
          <w:lang w:eastAsia="zh-CN"/>
        </w:rPr>
        <w:t>行政事业性收费</w:t>
      </w:r>
      <w:r>
        <w:rPr>
          <w:rFonts w:ascii="仿宋_GB2312" w:eastAsia="仿宋_GB2312"/>
          <w:bCs/>
          <w:snapToGrid/>
          <w:color w:val="000000"/>
          <w:sz w:val="32"/>
          <w:szCs w:val="32"/>
          <w:u w:val="none"/>
          <w:lang w:eastAsia="zh-CN"/>
        </w:rPr>
        <w:t>目录清单》</w:t>
      </w:r>
      <w:r>
        <w:rPr>
          <w:rFonts w:hint="eastAsia" w:ascii="仿宋_GB2312" w:eastAsia="仿宋_GB2312"/>
          <w:bCs/>
          <w:snapToGrid/>
          <w:color w:val="000000"/>
          <w:sz w:val="32"/>
          <w:szCs w:val="32"/>
          <w:u w:val="none"/>
          <w:lang w:eastAsia="zh-CN"/>
        </w:rPr>
        <w:t>、</w:t>
      </w:r>
      <w:r>
        <w:rPr>
          <w:rFonts w:ascii="仿宋_GB2312" w:eastAsia="仿宋_GB2312"/>
          <w:bCs/>
          <w:snapToGrid/>
          <w:color w:val="000000"/>
          <w:sz w:val="32"/>
          <w:szCs w:val="32"/>
          <w:u w:val="none"/>
          <w:lang w:eastAsia="zh-CN"/>
        </w:rPr>
        <w:t>《邯郸市</w:t>
      </w:r>
      <w:r>
        <w:rPr>
          <w:rFonts w:hint="eastAsia" w:ascii="仿宋_GB2312" w:eastAsia="仿宋_GB2312"/>
          <w:bCs/>
          <w:snapToGrid/>
          <w:color w:val="000000"/>
          <w:sz w:val="32"/>
          <w:szCs w:val="32"/>
          <w:u w:val="none"/>
          <w:lang w:eastAsia="zh-CN"/>
        </w:rPr>
        <w:t>政府性基金</w:t>
      </w:r>
      <w:r>
        <w:rPr>
          <w:rFonts w:ascii="仿宋_GB2312" w:eastAsia="仿宋_GB2312"/>
          <w:bCs/>
          <w:snapToGrid/>
          <w:color w:val="000000"/>
          <w:sz w:val="32"/>
          <w:szCs w:val="32"/>
          <w:u w:val="none"/>
          <w:lang w:eastAsia="zh-CN"/>
        </w:rPr>
        <w:t>目录清单》</w:t>
      </w:r>
      <w:r>
        <w:rPr>
          <w:rFonts w:hint="eastAsia" w:ascii="仿宋_GB2312" w:eastAsia="仿宋_GB2312"/>
          <w:bCs/>
          <w:snapToGrid/>
          <w:color w:val="000000"/>
          <w:sz w:val="32"/>
          <w:szCs w:val="32"/>
          <w:u w:val="none"/>
          <w:lang w:eastAsia="zh-CN"/>
        </w:rPr>
        <w:t>、</w:t>
      </w:r>
      <w:r>
        <w:rPr>
          <w:rFonts w:ascii="仿宋_GB2312" w:eastAsia="仿宋_GB2312"/>
          <w:bCs/>
          <w:snapToGrid/>
          <w:color w:val="000000"/>
          <w:sz w:val="32"/>
          <w:szCs w:val="32"/>
          <w:u w:val="none"/>
          <w:lang w:eastAsia="zh-CN"/>
        </w:rPr>
        <w:t>《邯郸市</w:t>
      </w:r>
      <w:r>
        <w:rPr>
          <w:rFonts w:hint="eastAsia" w:ascii="仿宋_GB2312" w:eastAsia="仿宋_GB2312"/>
          <w:bCs/>
          <w:snapToGrid/>
          <w:color w:val="000000"/>
          <w:sz w:val="32"/>
          <w:szCs w:val="32"/>
          <w:u w:val="none"/>
          <w:lang w:eastAsia="zh-CN"/>
        </w:rPr>
        <w:t>政府定价的经营服务性收费目录清单</w:t>
      </w:r>
      <w:r>
        <w:rPr>
          <w:rFonts w:ascii="仿宋_GB2312" w:eastAsia="仿宋_GB2312"/>
          <w:bCs/>
          <w:snapToGrid/>
          <w:color w:val="000000"/>
          <w:sz w:val="32"/>
          <w:szCs w:val="32"/>
          <w:u w:val="none"/>
          <w:lang w:eastAsia="zh-CN"/>
        </w:rPr>
        <w:t>》</w:t>
      </w:r>
      <w:r>
        <w:rPr>
          <w:rFonts w:hint="eastAsia" w:ascii="仿宋_GB2312" w:eastAsia="仿宋_GB2312"/>
          <w:bCs/>
          <w:snapToGrid/>
          <w:color w:val="000000"/>
          <w:sz w:val="32"/>
          <w:szCs w:val="32"/>
          <w:u w:val="none"/>
          <w:lang w:eastAsia="zh-CN"/>
        </w:rPr>
        <w:t>。行业主管部门制定本部门及下属单位综合性涉企收费目录清单。涵盖行政事业性收费、政府性基金、涉企保证金、经营服务性收费等收费项目，要明确服务内容、服务标准、收费水平，实现每个部门涉企收费一张清单全覆盖，清单之外一律不得收费。</w:t>
      </w:r>
    </w:p>
    <w:p>
      <w:pPr>
        <w:keepNext w:val="0"/>
        <w:keepLines w:val="0"/>
        <w:pageBreakBefore w:val="0"/>
        <w:widowControl w:val="0"/>
        <w:kinsoku/>
        <w:wordWrap/>
        <w:overflowPunct/>
        <w:topLinePunct w:val="0"/>
        <w:autoSpaceDE/>
        <w:autoSpaceDN w:val="0"/>
        <w:bidi w:val="0"/>
        <w:adjustRightInd/>
        <w:snapToGrid/>
        <w:ind w:firstLine="632" w:firstLineChars="200"/>
        <w:textAlignment w:val="center"/>
        <w:rPr>
          <w:rFonts w:hint="eastAsia" w:ascii="仿宋_GB2312" w:eastAsia="仿宋_GB2312"/>
          <w:bCs/>
          <w:snapToGrid/>
          <w:color w:val="000000"/>
          <w:sz w:val="32"/>
          <w:szCs w:val="32"/>
          <w:u w:val="none"/>
          <w:lang w:eastAsia="zh-CN"/>
        </w:rPr>
      </w:pPr>
      <w:r>
        <w:rPr>
          <w:rFonts w:hint="eastAsia" w:ascii="方正楷体_GBK" w:eastAsia="方正楷体_GBK" w:cs="Times New Roman"/>
          <w:snapToGrid/>
          <w:color w:val="000000"/>
          <w:sz w:val="32"/>
          <w:szCs w:val="32"/>
          <w:u w:val="none"/>
          <w:lang w:val="en-US" w:eastAsia="zh-CN" w:bidi="ar-SA"/>
        </w:rPr>
        <w:t>（二）</w:t>
      </w:r>
      <w:r>
        <w:rPr>
          <w:rFonts w:ascii="方正楷体_GBK" w:eastAsia="方正楷体_GBK" w:cs="Times New Roman"/>
          <w:snapToGrid/>
          <w:color w:val="000000"/>
          <w:sz w:val="32"/>
          <w:szCs w:val="32"/>
          <w:u w:val="none"/>
          <w:lang w:eastAsia="zh-CN" w:bidi="ar-SA"/>
        </w:rPr>
        <w:t>涉企收费目录清单动态</w:t>
      </w:r>
      <w:r>
        <w:rPr>
          <w:rFonts w:hint="eastAsia" w:ascii="方正楷体_GBK" w:eastAsia="方正楷体_GBK" w:cs="Times New Roman"/>
          <w:snapToGrid/>
          <w:color w:val="000000"/>
          <w:sz w:val="32"/>
          <w:szCs w:val="32"/>
          <w:u w:val="none"/>
          <w:lang w:eastAsia="zh-CN" w:bidi="ar-SA"/>
        </w:rPr>
        <w:t>管理。</w:t>
      </w:r>
      <w:r>
        <w:rPr>
          <w:rFonts w:hint="eastAsia" w:ascii="仿宋_GB2312" w:eastAsia="仿宋_GB2312"/>
          <w:bCs/>
          <w:snapToGrid/>
          <w:color w:val="000000"/>
          <w:sz w:val="32"/>
          <w:szCs w:val="32"/>
          <w:u w:val="none"/>
          <w:lang w:eastAsia="zh-CN"/>
        </w:rPr>
        <w:t>涉企收费目录清单要严格按照统一的编制要求、清单格式和公开时限及时向社会公开发布。同步建立动态调整机制，当收费政策发生新增、取消或调整收费项目等变化时，</w:t>
      </w:r>
      <w:r>
        <w:rPr>
          <w:rFonts w:ascii="仿宋_GB2312" w:eastAsia="仿宋_GB2312"/>
          <w:bCs/>
          <w:snapToGrid/>
          <w:color w:val="000000"/>
          <w:sz w:val="32"/>
          <w:szCs w:val="32"/>
          <w:u w:val="none"/>
          <w:lang w:eastAsia="zh-CN"/>
        </w:rPr>
        <w:t>及时</w:t>
      </w:r>
      <w:r>
        <w:rPr>
          <w:rFonts w:hint="eastAsia" w:ascii="仿宋_GB2312" w:eastAsia="仿宋_GB2312"/>
          <w:bCs/>
          <w:snapToGrid/>
          <w:color w:val="000000"/>
          <w:sz w:val="32"/>
          <w:szCs w:val="32"/>
          <w:u w:val="none"/>
          <w:lang w:eastAsia="zh-CN"/>
        </w:rPr>
        <w:t>更新目录清单，提高准确性和时效性</w:t>
      </w:r>
      <w:r>
        <w:rPr>
          <w:rFonts w:ascii="仿宋_GB2312" w:eastAsia="仿宋_GB2312"/>
          <w:bCs/>
          <w:snapToGrid/>
          <w:color w:val="000000"/>
          <w:sz w:val="32"/>
          <w:szCs w:val="32"/>
          <w:u w:val="none"/>
          <w:lang w:eastAsia="zh-CN"/>
        </w:rPr>
        <w:t>，</w:t>
      </w:r>
      <w:r>
        <w:rPr>
          <w:rFonts w:hint="eastAsia" w:ascii="仿宋_GB2312" w:eastAsia="仿宋_GB2312"/>
          <w:bCs/>
          <w:snapToGrid/>
          <w:color w:val="000000"/>
          <w:sz w:val="32"/>
          <w:szCs w:val="32"/>
          <w:u w:val="none"/>
          <w:lang w:eastAsia="zh-CN"/>
        </w:rPr>
        <w:t>并接受社会监督。</w:t>
      </w:r>
    </w:p>
    <w:p>
      <w:pPr>
        <w:keepNext w:val="0"/>
        <w:keepLines w:val="0"/>
        <w:pageBreakBefore w:val="0"/>
        <w:widowControl w:val="0"/>
        <w:kinsoku/>
        <w:wordWrap/>
        <w:overflowPunct/>
        <w:topLinePunct w:val="0"/>
        <w:autoSpaceDE/>
        <w:bidi w:val="0"/>
        <w:adjustRightInd/>
        <w:snapToGrid/>
        <w:spacing w:line="240" w:lineRule="auto"/>
        <w:ind w:left="0" w:firstLine="0"/>
        <w:jc w:val="both"/>
        <w:textAlignment w:val="auto"/>
        <w:rPr>
          <w:rFonts w:hint="eastAsia" w:ascii="方正黑体_GBK" w:eastAsia="方正黑体_GBK" w:cs="方正黑体_GBK"/>
          <w:snapToGrid/>
          <w:color w:val="000000"/>
          <w:sz w:val="32"/>
          <w:szCs w:val="32"/>
          <w:u w:val="none"/>
          <w:lang w:val="en-US" w:eastAsia="zh-CN" w:bidi="ar-SA"/>
        </w:rPr>
      </w:pPr>
      <w:r>
        <w:rPr>
          <w:rFonts w:hint="eastAsia" w:ascii="方正黑体_GBK" w:eastAsia="方正黑体_GBK" w:cs="方正黑体_GBK"/>
          <w:snapToGrid/>
          <w:color w:val="000000"/>
          <w:sz w:val="32"/>
          <w:szCs w:val="32"/>
          <w:u w:val="none"/>
          <w:lang w:val="en-US" w:eastAsia="zh-CN" w:bidi="ar-SA"/>
        </w:rPr>
        <w:t xml:space="preserve">    二、</w:t>
      </w:r>
      <w:r>
        <w:rPr>
          <w:rFonts w:ascii="方正黑体_GBK" w:eastAsia="方正黑体_GBK" w:cs="方正黑体_GBK"/>
          <w:snapToGrid/>
          <w:color w:val="000000"/>
          <w:sz w:val="32"/>
          <w:szCs w:val="32"/>
          <w:u w:val="none"/>
          <w:lang w:val="en-US" w:eastAsia="zh-CN" w:bidi="ar-SA"/>
        </w:rPr>
        <w:t>开展涉企违规专项整治，严控新增收费项目。</w:t>
      </w:r>
    </w:p>
    <w:p>
      <w:pPr>
        <w:keepNext w:val="0"/>
        <w:keepLines w:val="0"/>
        <w:pageBreakBefore w:val="0"/>
        <w:widowControl w:val="0"/>
        <w:kinsoku/>
        <w:wordWrap/>
        <w:overflowPunct/>
        <w:topLinePunct w:val="0"/>
        <w:autoSpaceDE/>
        <w:autoSpaceDN w:val="0"/>
        <w:adjustRightInd/>
        <w:snapToGrid/>
        <w:ind w:firstLine="632" w:firstLineChars="200"/>
        <w:jc w:val="left"/>
        <w:textAlignment w:val="center"/>
        <w:rPr>
          <w:rFonts w:hint="eastAsia" w:ascii="仿宋_GB2312" w:eastAsia="仿宋_GB2312"/>
          <w:color w:val="000000"/>
          <w:szCs w:val="32"/>
        </w:rPr>
      </w:pPr>
      <w:r>
        <w:rPr>
          <w:rFonts w:hint="eastAsia" w:ascii="方正楷体_GBK" w:eastAsia="方正楷体_GBK" w:cs="Times New Roman"/>
          <w:snapToGrid/>
          <w:color w:val="000000"/>
          <w:sz w:val="32"/>
          <w:szCs w:val="32"/>
          <w:u w:val="none"/>
          <w:lang w:eastAsia="zh-CN" w:bidi="ar-SA"/>
        </w:rPr>
        <w:t>（三）开展</w:t>
      </w:r>
      <w:r>
        <w:rPr>
          <w:rFonts w:ascii="方正楷体_GBK" w:eastAsia="方正楷体_GBK" w:cs="Times New Roman"/>
          <w:snapToGrid/>
          <w:color w:val="000000"/>
          <w:sz w:val="32"/>
          <w:szCs w:val="32"/>
          <w:u w:val="none"/>
          <w:lang w:eastAsia="zh-CN" w:bidi="ar-SA"/>
        </w:rPr>
        <w:t>涉企</w:t>
      </w:r>
      <w:r>
        <w:rPr>
          <w:rFonts w:hint="eastAsia" w:ascii="方正楷体_GBK" w:eastAsia="方正楷体_GBK" w:cs="Times New Roman"/>
          <w:snapToGrid/>
          <w:color w:val="000000"/>
          <w:sz w:val="32"/>
          <w:szCs w:val="32"/>
          <w:u w:val="none"/>
          <w:lang w:eastAsia="zh-CN" w:bidi="ar-SA"/>
        </w:rPr>
        <w:t>违规收</w:t>
      </w:r>
      <w:r>
        <w:rPr>
          <w:rFonts w:ascii="方正楷体_GBK" w:eastAsia="方正楷体_GBK" w:cs="Times New Roman"/>
          <w:snapToGrid/>
          <w:color w:val="000000"/>
          <w:sz w:val="32"/>
          <w:szCs w:val="32"/>
          <w:u w:val="none"/>
          <w:lang w:eastAsia="zh-CN" w:bidi="ar-SA"/>
        </w:rPr>
        <w:t>费专项</w:t>
      </w:r>
      <w:r>
        <w:rPr>
          <w:rFonts w:hint="eastAsia" w:ascii="方正楷体_GBK" w:eastAsia="方正楷体_GBK" w:cs="Times New Roman"/>
          <w:snapToGrid/>
          <w:color w:val="000000"/>
          <w:sz w:val="32"/>
          <w:szCs w:val="32"/>
          <w:u w:val="none"/>
          <w:lang w:eastAsia="zh-CN" w:bidi="ar-SA"/>
        </w:rPr>
        <w:t>整治。</w:t>
      </w:r>
      <w:r>
        <w:rPr>
          <w:rFonts w:hint="eastAsia" w:ascii="仿宋_GB2312" w:eastAsia="仿宋_GB2312" w:cs="Times New Roman"/>
          <w:snapToGrid/>
          <w:color w:val="000000"/>
          <w:sz w:val="32"/>
          <w:szCs w:val="32"/>
          <w:u w:val="none"/>
          <w:lang w:eastAsia="zh-CN" w:bidi="ar-SA"/>
        </w:rPr>
        <w:t>市市场监管局会同相关部门</w:t>
      </w:r>
      <w:r>
        <w:rPr>
          <w:rFonts w:ascii="仿宋_GB2312" w:eastAsia="仿宋_GB2312" w:cs="Times New Roman"/>
          <w:snapToGrid/>
          <w:color w:val="000000"/>
          <w:sz w:val="32"/>
          <w:szCs w:val="32"/>
          <w:u w:val="none"/>
          <w:lang w:eastAsia="zh-CN" w:bidi="ar-SA"/>
        </w:rPr>
        <w:t>以涉企收费目录清单为依据，</w:t>
      </w:r>
      <w:r>
        <w:rPr>
          <w:rFonts w:hint="eastAsia" w:ascii="仿宋_GB2312" w:eastAsia="仿宋_GB2312" w:cs="Times New Roman"/>
          <w:snapToGrid/>
          <w:color w:val="000000"/>
          <w:sz w:val="32"/>
          <w:szCs w:val="32"/>
          <w:u w:val="none"/>
          <w:lang w:eastAsia="zh-CN" w:bidi="ar-SA"/>
        </w:rPr>
        <w:t>开展涉企违规收费专项整治行动，指导企业全面落实收费公示制度，依法查处不按规定标准收费、不执行收费减免优惠政策、不执行政府定价或政府指导价、收取不合理费用的违法违规行为。</w:t>
      </w:r>
    </w:p>
    <w:p>
      <w:pPr>
        <w:keepNext w:val="0"/>
        <w:keepLines w:val="0"/>
        <w:pageBreakBefore w:val="0"/>
        <w:widowControl w:val="0"/>
        <w:kinsoku/>
        <w:wordWrap/>
        <w:overflowPunct/>
        <w:topLinePunct w:val="0"/>
        <w:autoSpaceDE/>
        <w:autoSpaceDN w:val="0"/>
        <w:bidi w:val="0"/>
        <w:adjustRightInd/>
        <w:snapToGrid/>
        <w:ind w:firstLine="632" w:firstLineChars="200"/>
        <w:textAlignment w:val="center"/>
        <w:rPr>
          <w:rFonts w:hint="eastAsia" w:ascii="仿宋_GB2312" w:eastAsia="仿宋_GB2312"/>
          <w:snapToGrid/>
          <w:color w:val="000000"/>
          <w:sz w:val="32"/>
          <w:szCs w:val="32"/>
          <w:u w:val="none" w:color="auto"/>
          <w:lang w:eastAsia="zh-CN"/>
        </w:rPr>
      </w:pPr>
      <w:r>
        <w:rPr>
          <w:rFonts w:hint="eastAsia" w:ascii="方正楷体_GBK" w:eastAsia="方正楷体_GBK" w:cs="Times New Roman"/>
          <w:snapToGrid/>
          <w:color w:val="000000"/>
          <w:sz w:val="32"/>
          <w:szCs w:val="32"/>
          <w:u w:val="none"/>
          <w:lang w:val="en-US" w:eastAsia="zh-CN" w:bidi="ar-SA"/>
        </w:rPr>
        <w:t>（四）严控新设收费项目。</w:t>
      </w:r>
      <w:r>
        <w:rPr>
          <w:rFonts w:hint="eastAsia" w:ascii="仿宋_GB2312" w:eastAsia="仿宋_GB2312" w:cs="Times New Roman"/>
          <w:snapToGrid/>
          <w:color w:val="000000"/>
          <w:sz w:val="32"/>
          <w:szCs w:val="32"/>
          <w:u w:val="none"/>
          <w:lang w:val="en-US" w:eastAsia="zh-CN" w:bidi="ar-SA"/>
        </w:rPr>
        <w:t>市</w:t>
      </w:r>
      <w:r>
        <w:rPr>
          <w:rFonts w:hint="eastAsia" w:ascii="仿宋_GB2312" w:eastAsia="仿宋_GB2312"/>
          <w:snapToGrid/>
          <w:color w:val="000000"/>
          <w:sz w:val="32"/>
          <w:szCs w:val="32"/>
          <w:u w:val="none" w:color="auto"/>
          <w:lang w:eastAsia="zh-CN"/>
        </w:rPr>
        <w:t>发展改革委、市司法局、市市场监管局等部门按规定开展宏观政策取向一致性评估、合法性审核、公平竞争审查等工作时，要按照国家</w:t>
      </w:r>
      <w:r>
        <w:rPr>
          <w:rFonts w:ascii="仿宋_GB2312" w:eastAsia="仿宋_GB2312"/>
          <w:snapToGrid/>
          <w:color w:val="000000"/>
          <w:sz w:val="32"/>
          <w:szCs w:val="32"/>
          <w:u w:val="none" w:color="auto"/>
          <w:lang w:eastAsia="zh-CN"/>
        </w:rPr>
        <w:t>、省和</w:t>
      </w:r>
      <w:r>
        <w:rPr>
          <w:rFonts w:hint="eastAsia" w:ascii="仿宋_GB2312" w:eastAsia="仿宋_GB2312"/>
          <w:snapToGrid/>
          <w:color w:val="000000"/>
          <w:sz w:val="32"/>
          <w:szCs w:val="32"/>
          <w:u w:val="none" w:color="auto"/>
          <w:lang w:eastAsia="zh-CN"/>
        </w:rPr>
        <w:t>市关于优化营商环境、减轻企业负担的要求，加强对新出台涉企收费政策合法性、公平性以及社会预期影响等方面的评估审核。市场监管部门组织开展公平竞争审查交叉检查，排查政策措施“应审未审”“带病出台”等问题。</w:t>
      </w:r>
      <w:r>
        <w:rPr>
          <w:rFonts w:ascii="仿宋_GB2312" w:eastAsia="仿宋_GB2312"/>
          <w:snapToGrid/>
          <w:color w:val="000000"/>
          <w:sz w:val="32"/>
          <w:szCs w:val="32"/>
          <w:u w:val="none" w:color="auto"/>
          <w:lang w:eastAsia="zh-CN"/>
        </w:rPr>
        <w:t>并对存量涉企收费政策开展专项整治，依法依规清理违规收费政策，违法违规收费项目一律取消。</w:t>
      </w:r>
      <w:r>
        <w:rPr>
          <w:rFonts w:hint="eastAsia" w:ascii="仿宋_GB2312" w:eastAsia="仿宋_GB2312"/>
          <w:snapToGrid/>
          <w:color w:val="000000"/>
          <w:sz w:val="32"/>
          <w:szCs w:val="32"/>
          <w:u w:val="none" w:color="auto"/>
          <w:lang w:eastAsia="zh-CN"/>
        </w:rPr>
        <w:t>行业主管部门及下属单位、中介服务机构、行业协会商会等要加强涉企收费项目评估论证，严禁违规新设涉企收费项目。</w:t>
      </w:r>
    </w:p>
    <w:p>
      <w:pPr>
        <w:keepNext w:val="0"/>
        <w:keepLines w:val="0"/>
        <w:pageBreakBefore w:val="0"/>
        <w:widowControl w:val="0"/>
        <w:kinsoku/>
        <w:wordWrap/>
        <w:overflowPunct/>
        <w:topLinePunct w:val="0"/>
        <w:autoSpaceDE/>
        <w:bidi w:val="0"/>
        <w:adjustRightInd/>
        <w:snapToGrid/>
        <w:spacing w:line="240" w:lineRule="auto"/>
        <w:ind w:left="0" w:firstLine="0"/>
        <w:jc w:val="both"/>
        <w:textAlignment w:val="auto"/>
        <w:rPr>
          <w:rFonts w:hint="eastAsia" w:ascii="方正黑体_GBK" w:eastAsia="方正黑体_GBK" w:cs="方正黑体_GBK"/>
          <w:snapToGrid/>
          <w:color w:val="000000"/>
          <w:sz w:val="32"/>
          <w:szCs w:val="32"/>
          <w:u w:val="none"/>
          <w:lang w:val="en-US" w:eastAsia="zh-CN" w:bidi="ar-SA"/>
        </w:rPr>
      </w:pPr>
      <w:r>
        <w:rPr>
          <w:rFonts w:hint="eastAsia" w:ascii="方正黑体_GBK" w:eastAsia="方正黑体_GBK" w:cs="方正黑体_GBK"/>
          <w:snapToGrid/>
          <w:color w:val="000000"/>
          <w:sz w:val="32"/>
          <w:szCs w:val="32"/>
          <w:u w:val="none"/>
          <w:lang w:val="en-US" w:eastAsia="zh-CN" w:bidi="ar-SA"/>
        </w:rPr>
        <w:t xml:space="preserve">    三、</w:t>
      </w:r>
      <w:r>
        <w:rPr>
          <w:rFonts w:ascii="方正黑体_GBK" w:eastAsia="方正黑体_GBK" w:cs="方正黑体_GBK"/>
          <w:snapToGrid/>
          <w:color w:val="000000"/>
          <w:sz w:val="32"/>
          <w:szCs w:val="32"/>
          <w:u w:val="none"/>
          <w:lang w:val="en-US" w:eastAsia="zh-CN" w:bidi="ar-SA"/>
        </w:rPr>
        <w:t>加大</w:t>
      </w:r>
      <w:r>
        <w:rPr>
          <w:rFonts w:hint="eastAsia" w:ascii="方正黑体_GBK" w:eastAsia="方正黑体_GBK" w:cs="方正黑体_GBK"/>
          <w:snapToGrid/>
          <w:color w:val="000000"/>
          <w:sz w:val="32"/>
          <w:szCs w:val="32"/>
          <w:u w:val="none"/>
          <w:lang w:val="en-US" w:eastAsia="zh-CN" w:bidi="ar-SA"/>
        </w:rPr>
        <w:t>涉企收费政策常态化宣传</w:t>
      </w:r>
      <w:r>
        <w:rPr>
          <w:rFonts w:ascii="方正黑体_GBK" w:eastAsia="方正黑体_GBK" w:cs="方正黑体_GBK"/>
          <w:snapToGrid/>
          <w:color w:val="000000"/>
          <w:sz w:val="32"/>
          <w:szCs w:val="32"/>
          <w:u w:val="none"/>
          <w:lang w:val="en-US" w:eastAsia="zh-CN" w:bidi="ar-SA"/>
        </w:rPr>
        <w:t>力</w:t>
      </w:r>
      <w:r>
        <w:rPr>
          <w:rFonts w:hint="eastAsia" w:ascii="方正黑体_GBK" w:eastAsia="方正黑体_GBK" w:cs="方正黑体_GBK"/>
          <w:snapToGrid/>
          <w:color w:val="000000"/>
          <w:sz w:val="32"/>
          <w:szCs w:val="32"/>
          <w:u w:val="none"/>
          <w:lang w:val="en-US" w:eastAsia="zh-CN" w:bidi="ar-SA"/>
        </w:rPr>
        <w:t>度</w:t>
      </w:r>
    </w:p>
    <w:p>
      <w:pPr>
        <w:keepNext w:val="0"/>
        <w:keepLines w:val="0"/>
        <w:pageBreakBefore w:val="0"/>
        <w:widowControl w:val="0"/>
        <w:kinsoku/>
        <w:wordWrap/>
        <w:overflowPunct/>
        <w:topLinePunct w:val="0"/>
        <w:autoSpaceDE/>
        <w:autoSpaceDN w:val="0"/>
        <w:bidi w:val="0"/>
        <w:adjustRightInd/>
        <w:snapToGrid/>
        <w:textAlignment w:val="center"/>
        <w:rPr>
          <w:rFonts w:hint="eastAsia" w:ascii="仿宋_GB2312" w:eastAsia="仿宋_GB2312"/>
          <w:color w:val="000000"/>
          <w:szCs w:val="32"/>
        </w:rPr>
      </w:pPr>
      <w:r>
        <w:rPr>
          <w:rFonts w:hint="eastAsia" w:ascii="Times New Roman" w:hAnsi="Times New Roman" w:eastAsia="方正仿宋_GBK" w:cs="Times New Roman"/>
          <w:b/>
          <w:bCs/>
          <w:snapToGrid/>
          <w:color w:val="000000"/>
          <w:sz w:val="32"/>
          <w:szCs w:val="32"/>
          <w:u w:val="none"/>
          <w:lang w:val="en-US" w:eastAsia="zh-CN" w:bidi="ar-SA"/>
        </w:rPr>
        <w:t xml:space="preserve">    </w:t>
      </w:r>
      <w:r>
        <w:rPr>
          <w:rFonts w:hint="eastAsia" w:ascii="方正楷体_GBK" w:eastAsia="方正楷体_GBK" w:cs="Times New Roman"/>
          <w:snapToGrid/>
          <w:color w:val="000000"/>
          <w:sz w:val="32"/>
          <w:szCs w:val="32"/>
          <w:u w:val="none"/>
          <w:lang w:val="en-US" w:eastAsia="zh-CN" w:bidi="ar-SA"/>
        </w:rPr>
        <w:t>（五）加大宣传解读力度。</w:t>
      </w:r>
      <w:r>
        <w:rPr>
          <w:rFonts w:hint="eastAsia" w:ascii="仿宋_GB2312" w:eastAsia="仿宋_GB2312"/>
          <w:snapToGrid/>
          <w:color w:val="000000"/>
          <w:sz w:val="32"/>
          <w:szCs w:val="32"/>
          <w:u w:val="none"/>
          <w:lang w:eastAsia="zh-CN"/>
        </w:rPr>
        <w:t>行业主管部门要常态化发布本领域涉企收费政策，通过专家解读等方式加大政策宣传力度。市工业和信息化局要精心组织政策宣传，及时发布减轻企业负担政策。</w:t>
      </w:r>
      <w:r>
        <w:rPr>
          <w:rFonts w:hint="eastAsia" w:ascii="仿宋_GB2312" w:eastAsia="仿宋_GB2312"/>
          <w:bCs/>
          <w:snapToGrid/>
          <w:color w:val="000000"/>
          <w:sz w:val="32"/>
          <w:szCs w:val="32"/>
          <w:u w:val="none"/>
          <w:lang w:eastAsia="zh-CN"/>
        </w:rPr>
        <w:t>各</w:t>
      </w:r>
      <w:r>
        <w:rPr>
          <w:rFonts w:ascii="仿宋_GB2312" w:eastAsia="仿宋_GB2312"/>
          <w:bCs/>
          <w:snapToGrid/>
          <w:color w:val="000000"/>
          <w:sz w:val="32"/>
          <w:szCs w:val="32"/>
          <w:u w:val="none"/>
          <w:lang w:eastAsia="zh-CN"/>
        </w:rPr>
        <w:t>县（市、区）</w:t>
      </w:r>
      <w:r>
        <w:rPr>
          <w:rFonts w:hint="eastAsia" w:ascii="仿宋_GB2312" w:eastAsia="仿宋_GB2312"/>
          <w:bCs/>
          <w:snapToGrid/>
          <w:color w:val="000000"/>
          <w:sz w:val="32"/>
          <w:szCs w:val="32"/>
          <w:u w:val="none"/>
          <w:lang w:eastAsia="zh-CN"/>
        </w:rPr>
        <w:t>有关部门要创新运用人工智能、大数据等手段，结合企业办理中介服务等事项，向企业精准推送收费目录指引以及有关解读说明材料，及时解疑释惑。</w:t>
      </w:r>
    </w:p>
    <w:p>
      <w:pPr>
        <w:keepNext w:val="0"/>
        <w:keepLines w:val="0"/>
        <w:pageBreakBefore w:val="0"/>
        <w:widowControl w:val="0"/>
        <w:kinsoku/>
        <w:wordWrap/>
        <w:overflowPunct/>
        <w:topLinePunct w:val="0"/>
        <w:autoSpaceDE/>
        <w:bidi w:val="0"/>
        <w:adjustRightInd/>
        <w:snapToGrid/>
        <w:spacing w:line="240" w:lineRule="auto"/>
        <w:ind w:left="0" w:firstLine="0"/>
        <w:jc w:val="both"/>
        <w:textAlignment w:val="auto"/>
        <w:rPr>
          <w:rFonts w:hint="eastAsia" w:ascii="方正黑体_GBK" w:eastAsia="方正黑体_GBK" w:cs="方正黑体_GBK"/>
          <w:snapToGrid/>
          <w:color w:val="000000"/>
          <w:sz w:val="32"/>
          <w:szCs w:val="32"/>
          <w:u w:val="none"/>
          <w:lang w:val="en-US" w:eastAsia="zh-CN" w:bidi="ar-SA"/>
        </w:rPr>
      </w:pPr>
      <w:r>
        <w:rPr>
          <w:rFonts w:hint="eastAsia" w:ascii="方正黑体_GBK" w:eastAsia="方正黑体_GBK" w:cs="方正黑体_GBK"/>
          <w:snapToGrid/>
          <w:color w:val="000000"/>
          <w:sz w:val="32"/>
          <w:szCs w:val="32"/>
          <w:u w:val="none"/>
          <w:lang w:val="en-US" w:eastAsia="zh-CN" w:bidi="ar-SA"/>
        </w:rPr>
        <w:t xml:space="preserve">    四、健全涉企收费跟踪监测制度</w:t>
      </w:r>
    </w:p>
    <w:p>
      <w:pPr>
        <w:keepNext w:val="0"/>
        <w:keepLines w:val="0"/>
        <w:pageBreakBefore w:val="0"/>
        <w:widowControl w:val="0"/>
        <w:kinsoku/>
        <w:wordWrap/>
        <w:overflowPunct/>
        <w:topLinePunct w:val="0"/>
        <w:autoSpaceDE/>
        <w:autoSpaceDN w:val="0"/>
        <w:bidi w:val="0"/>
        <w:adjustRightInd/>
        <w:snapToGrid/>
        <w:jc w:val="left"/>
        <w:textAlignment w:val="center"/>
        <w:rPr>
          <w:rFonts w:hint="eastAsia" w:ascii="方正仿宋_GBK" w:eastAsia="方正仿宋_GBK"/>
          <w:snapToGrid/>
          <w:color w:val="000000"/>
          <w:sz w:val="32"/>
          <w:szCs w:val="32"/>
          <w:u w:val="none"/>
          <w:lang w:eastAsia="zh-CN"/>
        </w:rPr>
      </w:pPr>
      <w:r>
        <w:rPr>
          <w:rFonts w:hint="eastAsia" w:ascii="方正楷体_GBK" w:eastAsia="方正楷体_GBK"/>
          <w:snapToGrid/>
          <w:color w:val="000000"/>
          <w:sz w:val="32"/>
          <w:szCs w:val="32"/>
          <w:u w:val="none"/>
          <w:lang w:val="en-US" w:eastAsia="zh-CN"/>
        </w:rPr>
        <w:t xml:space="preserve">    </w:t>
      </w:r>
      <w:r>
        <w:rPr>
          <w:rFonts w:hint="eastAsia" w:ascii="方正楷体_GBK" w:eastAsia="方正楷体_GBK" w:cs="Times New Roman"/>
          <w:snapToGrid/>
          <w:color w:val="000000"/>
          <w:sz w:val="32"/>
          <w:szCs w:val="32"/>
          <w:u w:val="none"/>
          <w:lang w:val="en-US" w:eastAsia="zh-CN" w:bidi="ar-SA"/>
        </w:rPr>
        <w:t>（</w:t>
      </w:r>
      <w:r>
        <w:rPr>
          <w:rFonts w:ascii="方正楷体_GBK" w:eastAsia="方正楷体_GBK" w:cs="Times New Roman"/>
          <w:snapToGrid/>
          <w:color w:val="000000"/>
          <w:sz w:val="32"/>
          <w:szCs w:val="32"/>
          <w:u w:val="none"/>
          <w:lang w:val="en-US" w:eastAsia="zh-CN" w:bidi="ar-SA"/>
        </w:rPr>
        <w:t>六</w:t>
      </w:r>
      <w:r>
        <w:rPr>
          <w:rFonts w:hint="eastAsia" w:ascii="方正楷体_GBK" w:eastAsia="方正楷体_GBK" w:cs="Times New Roman"/>
          <w:snapToGrid/>
          <w:color w:val="000000"/>
          <w:sz w:val="32"/>
          <w:szCs w:val="32"/>
          <w:u w:val="none"/>
          <w:lang w:val="en-US" w:eastAsia="zh-CN" w:bidi="ar-SA"/>
        </w:rPr>
        <w:t>）加强日常监测。</w:t>
      </w:r>
      <w:r>
        <w:rPr>
          <w:rFonts w:hint="eastAsia" w:ascii="仿宋_GB2312" w:eastAsia="仿宋_GB2312"/>
          <w:snapToGrid/>
          <w:color w:val="000000"/>
          <w:sz w:val="32"/>
          <w:szCs w:val="32"/>
          <w:u w:val="none"/>
          <w:lang w:eastAsia="zh-CN"/>
        </w:rPr>
        <w:t>各</w:t>
      </w:r>
      <w:r>
        <w:rPr>
          <w:rFonts w:ascii="仿宋_GB2312" w:eastAsia="仿宋_GB2312"/>
          <w:snapToGrid/>
          <w:color w:val="000000"/>
          <w:sz w:val="32"/>
          <w:szCs w:val="32"/>
          <w:u w:val="none"/>
          <w:lang w:eastAsia="zh-CN"/>
        </w:rPr>
        <w:t>县（市、区）</w:t>
      </w:r>
      <w:r>
        <w:rPr>
          <w:rFonts w:hint="eastAsia" w:ascii="仿宋_GB2312" w:eastAsia="仿宋_GB2312"/>
          <w:snapToGrid/>
          <w:color w:val="000000"/>
          <w:sz w:val="32"/>
          <w:szCs w:val="32"/>
          <w:u w:val="none"/>
          <w:lang w:eastAsia="zh-CN"/>
        </w:rPr>
        <w:t>有关部门要通过召开经营主体座谈会等方式，加强对本地本领域涉企收费情况的监测，发挥新闻媒体、行业协会商会等作用，及时了解涉企收费政策执行情况和企业意见建议，推动解决企业关切的问题。</w:t>
      </w:r>
    </w:p>
    <w:p>
      <w:pPr>
        <w:keepNext w:val="0"/>
        <w:keepLines w:val="0"/>
        <w:pageBreakBefore w:val="0"/>
        <w:widowControl w:val="0"/>
        <w:kinsoku/>
        <w:wordWrap/>
        <w:overflowPunct/>
        <w:topLinePunct w:val="0"/>
        <w:autoSpaceDE/>
        <w:autoSpaceDN w:val="0"/>
        <w:bidi w:val="0"/>
        <w:adjustRightInd/>
        <w:snapToGrid/>
        <w:jc w:val="left"/>
        <w:textAlignment w:val="center"/>
        <w:rPr>
          <w:rFonts w:hint="eastAsia" w:ascii="仿宋_GB2312" w:eastAsia="仿宋_GB2312"/>
          <w:snapToGrid/>
          <w:color w:val="000000"/>
          <w:sz w:val="32"/>
          <w:szCs w:val="32"/>
          <w:u w:val="none" w:color="auto"/>
          <w:lang w:eastAsia="zh-CN"/>
        </w:rPr>
      </w:pPr>
      <w:r>
        <w:rPr>
          <w:rFonts w:hint="eastAsia" w:ascii="方正仿宋_GBK" w:eastAsia="方正仿宋_GBK"/>
          <w:snapToGrid/>
          <w:color w:val="000000"/>
          <w:sz w:val="32"/>
          <w:szCs w:val="32"/>
          <w:u w:val="none"/>
          <w:lang w:val="en-US" w:eastAsia="zh-CN"/>
        </w:rPr>
        <w:t xml:space="preserve">    </w:t>
      </w:r>
      <w:r>
        <w:rPr>
          <w:rFonts w:hint="eastAsia" w:ascii="方正楷体_GBK" w:eastAsia="方正楷体_GBK" w:cs="Times New Roman"/>
          <w:snapToGrid/>
          <w:color w:val="000000"/>
          <w:sz w:val="32"/>
          <w:szCs w:val="32"/>
          <w:u w:val="none"/>
          <w:lang w:val="en-US" w:eastAsia="zh-CN" w:bidi="ar-SA"/>
        </w:rPr>
        <w:t>（</w:t>
      </w:r>
      <w:r>
        <w:rPr>
          <w:rFonts w:ascii="方正楷体_GBK" w:eastAsia="方正楷体_GBK" w:cs="Times New Roman"/>
          <w:snapToGrid/>
          <w:color w:val="000000"/>
          <w:sz w:val="32"/>
          <w:szCs w:val="32"/>
          <w:u w:val="none"/>
          <w:lang w:val="en-US" w:eastAsia="zh-CN" w:bidi="ar-SA"/>
        </w:rPr>
        <w:t>七</w:t>
      </w:r>
      <w:r>
        <w:rPr>
          <w:rFonts w:hint="eastAsia" w:ascii="方正楷体_GBK" w:eastAsia="方正楷体_GBK" w:cs="Times New Roman"/>
          <w:snapToGrid/>
          <w:color w:val="000000"/>
          <w:sz w:val="32"/>
          <w:szCs w:val="32"/>
          <w:u w:val="none"/>
          <w:lang w:val="en-US" w:eastAsia="zh-CN" w:bidi="ar-SA"/>
        </w:rPr>
        <w:t>）完善制度方法。</w:t>
      </w:r>
      <w:r>
        <w:rPr>
          <w:rFonts w:hint="eastAsia" w:ascii="仿宋_GB2312" w:eastAsia="仿宋_GB2312"/>
          <w:snapToGrid/>
          <w:color w:val="000000"/>
          <w:sz w:val="32"/>
          <w:szCs w:val="32"/>
          <w:u w:val="none" w:color="auto"/>
          <w:lang w:eastAsia="zh-CN"/>
        </w:rPr>
        <w:t>市工业和信息化局要健全完善重点企业运行监测统计调查制度，持续发布企业负担调查评估报告。市市场监管局等部门要通过选取企业和个体工商户等建立涉企收费监测点，完善相关制度。发展改革部门要探索对实行市场调节价的经营服务性收费，通过开展价格、成本调查等方式，引导有关涉企收费主体合理合规收费。</w:t>
      </w:r>
    </w:p>
    <w:p>
      <w:pPr>
        <w:keepNext w:val="0"/>
        <w:keepLines w:val="0"/>
        <w:pageBreakBefore w:val="0"/>
        <w:widowControl w:val="0"/>
        <w:kinsoku/>
        <w:wordWrap/>
        <w:overflowPunct/>
        <w:topLinePunct w:val="0"/>
        <w:autoSpaceDE/>
        <w:bidi w:val="0"/>
        <w:adjustRightInd/>
        <w:snapToGrid/>
        <w:spacing w:line="240" w:lineRule="auto"/>
        <w:ind w:left="0" w:firstLine="632" w:firstLineChars="200"/>
        <w:jc w:val="both"/>
        <w:textAlignment w:val="auto"/>
        <w:rPr>
          <w:rFonts w:hint="eastAsia" w:ascii="方正黑体_GBK" w:eastAsia="方正黑体_GBK" w:cs="方正黑体_GBK"/>
          <w:snapToGrid/>
          <w:color w:val="000000"/>
          <w:sz w:val="32"/>
          <w:szCs w:val="32"/>
          <w:u w:val="none"/>
          <w:lang w:val="en-US" w:eastAsia="zh-CN" w:bidi="ar-SA"/>
        </w:rPr>
      </w:pPr>
      <w:r>
        <w:rPr>
          <w:rFonts w:hint="eastAsia" w:ascii="方正黑体_GBK" w:eastAsia="方正黑体_GBK" w:cs="方正黑体_GBK"/>
          <w:snapToGrid/>
          <w:color w:val="000000"/>
          <w:sz w:val="32"/>
          <w:szCs w:val="32"/>
          <w:u w:val="none"/>
          <w:lang w:val="en-US" w:eastAsia="zh-CN" w:bidi="ar-SA"/>
        </w:rPr>
        <w:t>五、健全涉企收费问题线索收集和处理机制</w:t>
      </w:r>
    </w:p>
    <w:p>
      <w:pPr>
        <w:keepNext w:val="0"/>
        <w:keepLines w:val="0"/>
        <w:pageBreakBefore w:val="0"/>
        <w:widowControl w:val="0"/>
        <w:kinsoku/>
        <w:wordWrap/>
        <w:overflowPunct/>
        <w:topLinePunct w:val="0"/>
        <w:autoSpaceDE/>
        <w:bidi w:val="0"/>
        <w:adjustRightInd/>
        <w:snapToGrid/>
        <w:spacing w:line="240" w:lineRule="auto"/>
        <w:ind w:left="0" w:firstLine="632" w:firstLineChars="200"/>
        <w:jc w:val="both"/>
        <w:textAlignment w:val="auto"/>
        <w:rPr>
          <w:rFonts w:hint="eastAsia" w:ascii="仿宋_GB2312" w:eastAsia="仿宋_GB2312"/>
          <w:snapToGrid/>
          <w:color w:val="000000"/>
          <w:sz w:val="32"/>
          <w:szCs w:val="32"/>
          <w:u w:val="none"/>
          <w:lang w:eastAsia="zh-CN"/>
        </w:rPr>
      </w:pPr>
      <w:r>
        <w:rPr>
          <w:rFonts w:hint="eastAsia" w:ascii="方正楷体_GBK" w:eastAsia="方正楷体_GBK" w:cs="Times New Roman"/>
          <w:snapToGrid/>
          <w:color w:val="000000"/>
          <w:sz w:val="32"/>
          <w:szCs w:val="32"/>
          <w:u w:val="none"/>
          <w:lang w:val="en-US" w:eastAsia="zh-CN" w:bidi="ar-SA"/>
        </w:rPr>
        <w:t>（</w:t>
      </w:r>
      <w:r>
        <w:rPr>
          <w:rFonts w:ascii="方正楷体_GBK" w:eastAsia="方正楷体_GBK" w:cs="Times New Roman"/>
          <w:snapToGrid/>
          <w:color w:val="000000"/>
          <w:sz w:val="32"/>
          <w:szCs w:val="32"/>
          <w:u w:val="none"/>
          <w:lang w:val="en-US" w:eastAsia="zh-CN" w:bidi="ar-SA"/>
        </w:rPr>
        <w:t>八</w:t>
      </w:r>
      <w:r>
        <w:rPr>
          <w:rFonts w:hint="eastAsia" w:ascii="方正楷体_GBK" w:eastAsia="方正楷体_GBK" w:cs="Times New Roman"/>
          <w:snapToGrid/>
          <w:color w:val="000000"/>
          <w:sz w:val="32"/>
          <w:szCs w:val="32"/>
          <w:u w:val="none"/>
          <w:lang w:val="en-US" w:eastAsia="zh-CN" w:bidi="ar-SA"/>
        </w:rPr>
        <w:t>）</w:t>
      </w:r>
      <w:r>
        <w:rPr>
          <w:rFonts w:ascii="方正楷体_GBK" w:eastAsia="方正楷体_GBK" w:cs="Times New Roman"/>
          <w:snapToGrid/>
          <w:color w:val="000000"/>
          <w:sz w:val="32"/>
          <w:szCs w:val="32"/>
          <w:u w:val="none"/>
          <w:lang w:val="en-US" w:eastAsia="zh-CN" w:bidi="ar-SA"/>
        </w:rPr>
        <w:t>市市场监管局牵头，</w:t>
      </w:r>
      <w:r>
        <w:rPr>
          <w:rFonts w:hint="eastAsia" w:ascii="方正楷体_GBK" w:eastAsia="方正楷体_GBK" w:cs="Times New Roman"/>
          <w:snapToGrid/>
          <w:color w:val="000000"/>
          <w:sz w:val="32"/>
          <w:szCs w:val="32"/>
          <w:u w:val="none"/>
          <w:lang w:val="en-US" w:eastAsia="zh-CN" w:bidi="ar-SA"/>
        </w:rPr>
        <w:t>健全问题线索收集机制。</w:t>
      </w:r>
      <w:r>
        <w:rPr>
          <w:rFonts w:ascii="仿宋_GB2312" w:eastAsia="仿宋_GB2312"/>
          <w:snapToGrid/>
          <w:color w:val="000000"/>
          <w:sz w:val="32"/>
          <w:szCs w:val="32"/>
          <w:u w:val="none"/>
          <w:lang w:eastAsia="zh-CN"/>
        </w:rPr>
        <w:t>县（市、区）</w:t>
      </w:r>
      <w:r>
        <w:rPr>
          <w:rFonts w:hint="eastAsia" w:ascii="仿宋_GB2312" w:eastAsia="仿宋_GB2312"/>
          <w:snapToGrid/>
          <w:color w:val="000000"/>
          <w:sz w:val="32"/>
          <w:szCs w:val="32"/>
          <w:u w:val="none"/>
          <w:lang w:eastAsia="zh-CN"/>
        </w:rPr>
        <w:t>有关部门要依托</w:t>
      </w:r>
      <w:r>
        <w:rPr>
          <w:rFonts w:eastAsia="方正仿宋_GBK"/>
          <w:snapToGrid/>
          <w:color w:val="000000"/>
          <w:sz w:val="32"/>
          <w:szCs w:val="32"/>
          <w:u w:val="none"/>
          <w:lang w:eastAsia="zh-CN"/>
        </w:rPr>
        <w:t>12345</w:t>
      </w:r>
      <w:r>
        <w:rPr>
          <w:rFonts w:ascii="仿宋_GB2312" w:eastAsia="仿宋_GB2312"/>
          <w:snapToGrid/>
          <w:color w:val="000000"/>
          <w:sz w:val="32"/>
          <w:szCs w:val="32"/>
          <w:u w:val="none"/>
          <w:lang w:eastAsia="zh-CN"/>
        </w:rPr>
        <w:t>政务服务便民</w:t>
      </w:r>
      <w:r>
        <w:rPr>
          <w:rFonts w:hint="eastAsia" w:ascii="仿宋_GB2312" w:eastAsia="仿宋_GB2312"/>
          <w:snapToGrid/>
          <w:color w:val="000000"/>
          <w:sz w:val="32"/>
          <w:szCs w:val="32"/>
          <w:u w:val="none"/>
          <w:lang w:eastAsia="zh-CN"/>
        </w:rPr>
        <w:t>热线</w:t>
      </w:r>
      <w:r>
        <w:rPr>
          <w:rFonts w:ascii="仿宋_GB2312" w:eastAsia="仿宋_GB2312"/>
          <w:snapToGrid/>
          <w:color w:val="000000"/>
          <w:sz w:val="32"/>
          <w:szCs w:val="32"/>
          <w:u w:val="none"/>
          <w:lang w:eastAsia="zh-CN"/>
        </w:rPr>
        <w:t>、</w:t>
      </w:r>
      <w:r>
        <w:rPr>
          <w:rFonts w:eastAsia="方正仿宋_GBK"/>
          <w:snapToGrid/>
          <w:color w:val="000000"/>
          <w:sz w:val="32"/>
          <w:szCs w:val="32"/>
          <w:u w:val="none"/>
          <w:lang w:eastAsia="zh-CN"/>
        </w:rPr>
        <w:t>12315</w:t>
      </w:r>
      <w:r>
        <w:rPr>
          <w:rFonts w:hint="eastAsia" w:ascii="仿宋_GB2312" w:eastAsia="仿宋_GB2312"/>
          <w:snapToGrid/>
          <w:color w:val="000000"/>
          <w:sz w:val="32"/>
          <w:szCs w:val="32"/>
          <w:u w:val="none"/>
          <w:lang w:eastAsia="zh-CN"/>
        </w:rPr>
        <w:t>投诉举报电话</w:t>
      </w:r>
      <w:r>
        <w:rPr>
          <w:rFonts w:ascii="仿宋_GB2312" w:eastAsia="仿宋_GB2312"/>
          <w:snapToGrid/>
          <w:color w:val="000000"/>
          <w:sz w:val="32"/>
          <w:szCs w:val="32"/>
          <w:u w:val="none"/>
          <w:lang w:eastAsia="zh-CN"/>
        </w:rPr>
        <w:t>、</w:t>
      </w:r>
      <w:r>
        <w:rPr>
          <w:rFonts w:hint="eastAsia" w:ascii="仿宋_GB2312" w:eastAsia="仿宋_GB2312"/>
          <w:snapToGrid/>
          <w:color w:val="000000"/>
          <w:sz w:val="32"/>
          <w:szCs w:val="32"/>
          <w:u w:val="none"/>
          <w:lang w:eastAsia="zh-CN"/>
        </w:rPr>
        <w:t>门户网站</w:t>
      </w:r>
      <w:r>
        <w:rPr>
          <w:rFonts w:ascii="仿宋_GB2312" w:eastAsia="仿宋_GB2312"/>
          <w:snapToGrid/>
          <w:color w:val="000000"/>
          <w:sz w:val="32"/>
          <w:szCs w:val="32"/>
          <w:u w:val="none"/>
          <w:lang w:eastAsia="zh-CN"/>
        </w:rPr>
        <w:t>、</w:t>
      </w:r>
      <w:r>
        <w:rPr>
          <w:rFonts w:hint="eastAsia" w:ascii="仿宋_GB2312" w:eastAsia="仿宋_GB2312"/>
          <w:snapToGrid/>
          <w:color w:val="000000"/>
          <w:sz w:val="32"/>
          <w:szCs w:val="32"/>
          <w:u w:val="none"/>
          <w:lang w:eastAsia="zh-CN"/>
        </w:rPr>
        <w:t>信访专栏、</w:t>
      </w:r>
      <w:r>
        <w:rPr>
          <w:rFonts w:ascii="仿宋_GB2312" w:eastAsia="仿宋_GB2312"/>
          <w:snapToGrid/>
          <w:color w:val="000000"/>
          <w:sz w:val="32"/>
          <w:szCs w:val="32"/>
          <w:u w:val="none"/>
          <w:lang w:eastAsia="zh-CN"/>
        </w:rPr>
        <w:t>上级批办、部门转办</w:t>
      </w:r>
      <w:r>
        <w:rPr>
          <w:rFonts w:hint="eastAsia" w:ascii="仿宋_GB2312" w:eastAsia="仿宋_GB2312"/>
          <w:snapToGrid/>
          <w:color w:val="000000"/>
          <w:sz w:val="32"/>
          <w:szCs w:val="32"/>
          <w:u w:val="none"/>
          <w:lang w:eastAsia="zh-CN"/>
        </w:rPr>
        <w:t>，常态化收集涉企违规收费问题线索和意见建议，健全涉企违规收费投诉举报问题线索</w:t>
      </w:r>
      <w:r>
        <w:rPr>
          <w:rFonts w:ascii="仿宋_GB2312" w:eastAsia="仿宋_GB2312"/>
          <w:snapToGrid/>
          <w:color w:val="000000"/>
          <w:sz w:val="32"/>
          <w:szCs w:val="32"/>
          <w:u w:val="none"/>
          <w:lang w:eastAsia="zh-CN"/>
        </w:rPr>
        <w:t>收集机制</w:t>
      </w:r>
      <w:r>
        <w:rPr>
          <w:rFonts w:hint="eastAsia" w:ascii="仿宋_GB2312" w:eastAsia="仿宋_GB2312"/>
          <w:snapToGrid/>
          <w:color w:val="000000"/>
          <w:sz w:val="32"/>
          <w:szCs w:val="32"/>
          <w:u w:val="none"/>
          <w:lang w:eastAsia="zh-CN"/>
        </w:rPr>
        <w:t>，细化完善登记、受理、转办、处理、反馈等各环节流程和要求。</w:t>
      </w:r>
    </w:p>
    <w:p>
      <w:pPr>
        <w:keepNext w:val="0"/>
        <w:keepLines w:val="0"/>
        <w:pageBreakBefore w:val="0"/>
        <w:widowControl w:val="0"/>
        <w:kinsoku/>
        <w:wordWrap/>
        <w:overflowPunct/>
        <w:topLinePunct w:val="0"/>
        <w:autoSpaceDE/>
        <w:autoSpaceDN w:val="0"/>
        <w:bidi w:val="0"/>
        <w:adjustRightInd/>
        <w:snapToGrid/>
        <w:textAlignment w:val="center"/>
        <w:rPr>
          <w:rFonts w:hint="eastAsia" w:ascii="仿宋_GB2312" w:eastAsia="仿宋_GB2312"/>
          <w:snapToGrid/>
          <w:color w:val="000000"/>
          <w:sz w:val="32"/>
          <w:szCs w:val="32"/>
          <w:u w:val="none"/>
          <w:lang w:eastAsia="zh-CN"/>
        </w:rPr>
      </w:pPr>
      <w:r>
        <w:rPr>
          <w:rFonts w:hint="eastAsia" w:ascii="方正仿宋_GBK" w:eastAsia="方正仿宋_GBK"/>
          <w:snapToGrid/>
          <w:color w:val="000000"/>
          <w:sz w:val="32"/>
          <w:szCs w:val="32"/>
          <w:u w:val="none"/>
          <w:lang w:val="en-US" w:eastAsia="zh-CN"/>
        </w:rPr>
        <w:t xml:space="preserve">   </w:t>
      </w:r>
      <w:r>
        <w:rPr>
          <w:rFonts w:hint="eastAsia" w:ascii="Times New Roman" w:hAnsi="Times New Roman" w:eastAsia="方正仿宋_GBK" w:cs="Times New Roman"/>
          <w:b/>
          <w:bCs/>
          <w:snapToGrid/>
          <w:color w:val="000000"/>
          <w:sz w:val="32"/>
          <w:szCs w:val="32"/>
          <w:u w:val="none"/>
          <w:lang w:val="en-US" w:eastAsia="zh-CN" w:bidi="ar-SA"/>
        </w:rPr>
        <w:t xml:space="preserve"> </w:t>
      </w:r>
      <w:r>
        <w:rPr>
          <w:rFonts w:hint="eastAsia" w:ascii="方正楷体_GBK" w:eastAsia="方正楷体_GBK" w:cs="Times New Roman"/>
          <w:snapToGrid/>
          <w:color w:val="000000"/>
          <w:sz w:val="32"/>
          <w:szCs w:val="32"/>
          <w:u w:val="none"/>
          <w:lang w:val="en-US" w:eastAsia="zh-CN" w:bidi="ar-SA"/>
        </w:rPr>
        <w:t>（</w:t>
      </w:r>
      <w:r>
        <w:rPr>
          <w:rFonts w:ascii="方正楷体_GBK" w:eastAsia="方正楷体_GBK" w:cs="Times New Roman"/>
          <w:snapToGrid/>
          <w:color w:val="000000"/>
          <w:sz w:val="32"/>
          <w:szCs w:val="32"/>
          <w:u w:val="none"/>
          <w:lang w:val="en-US" w:eastAsia="zh-CN" w:bidi="ar-SA"/>
        </w:rPr>
        <w:t>九</w:t>
      </w:r>
      <w:r>
        <w:rPr>
          <w:rFonts w:hint="eastAsia" w:ascii="方正楷体_GBK" w:eastAsia="方正楷体_GBK" w:cs="Times New Roman"/>
          <w:snapToGrid/>
          <w:color w:val="000000"/>
          <w:sz w:val="32"/>
          <w:szCs w:val="32"/>
          <w:u w:val="none"/>
          <w:lang w:val="en-US" w:eastAsia="zh-CN" w:bidi="ar-SA"/>
        </w:rPr>
        <w:t>）健全问题线索处理机制。</w:t>
      </w:r>
      <w:r>
        <w:rPr>
          <w:rFonts w:hint="eastAsia" w:ascii="仿宋_GB2312" w:eastAsia="仿宋_GB2312" w:cs="Times New Roman"/>
          <w:snapToGrid/>
          <w:color w:val="000000"/>
          <w:sz w:val="32"/>
          <w:szCs w:val="32"/>
          <w:u w:val="none"/>
          <w:lang w:val="en-US" w:eastAsia="zh-CN" w:bidi="ar-SA"/>
        </w:rPr>
        <w:t>市</w:t>
      </w:r>
      <w:r>
        <w:rPr>
          <w:rFonts w:hint="eastAsia" w:ascii="仿宋_GB2312" w:eastAsia="仿宋_GB2312"/>
          <w:snapToGrid/>
          <w:color w:val="000000"/>
          <w:sz w:val="32"/>
          <w:szCs w:val="32"/>
          <w:u w:val="none"/>
          <w:lang w:eastAsia="zh-CN"/>
        </w:rPr>
        <w:t>市场监管局要聚焦重点领域强化涉企收费监督检查，会同有关部门定期开展涉企违规收费专项治理，加强对违规收费行为查处，依法曝光涉企违规收费典型案例，对群众反映强烈、危害性大、具有代表性的典型案例，要多部门联合曝光。各行业主管部门定期开展本行业收费情况自查自纠，按照“谁审批、谁监管，谁主管、谁监管”原则，严格落实涉企收费监管责任。市工业和信息化局会同有关部门按规定督促整改发现的涉企违规收费问题。各有关部门要综合利用市场监管、行业监管、信用监管等手段，依法加大对违规收费主体的惩戒力度，重大违法违纪问题线索依法按程序移交纪检监察和司法机关。</w:t>
      </w:r>
    </w:p>
    <w:p>
      <w:pPr>
        <w:keepNext w:val="0"/>
        <w:keepLines w:val="0"/>
        <w:pageBreakBefore w:val="0"/>
        <w:widowControl w:val="0"/>
        <w:kinsoku/>
        <w:wordWrap/>
        <w:overflowPunct/>
        <w:topLinePunct w:val="0"/>
        <w:autoSpaceDE/>
        <w:bidi w:val="0"/>
        <w:adjustRightInd/>
        <w:snapToGrid/>
        <w:spacing w:line="240" w:lineRule="auto"/>
        <w:ind w:left="0" w:firstLine="0"/>
        <w:jc w:val="both"/>
        <w:textAlignment w:val="auto"/>
        <w:rPr>
          <w:rFonts w:hint="eastAsia" w:ascii="方正黑体_GBK" w:eastAsia="方正黑体_GBK" w:cs="方正黑体_GBK"/>
          <w:snapToGrid/>
          <w:color w:val="000000"/>
          <w:sz w:val="32"/>
          <w:szCs w:val="32"/>
          <w:u w:val="none"/>
          <w:lang w:eastAsia="zh-CN" w:bidi="ar-SA"/>
        </w:rPr>
      </w:pPr>
      <w:r>
        <w:rPr>
          <w:rFonts w:hint="eastAsia" w:ascii="方正黑体_GBK" w:eastAsia="方正黑体_GBK" w:cs="方正黑体_GBK"/>
          <w:snapToGrid/>
          <w:color w:val="000000"/>
          <w:sz w:val="32"/>
          <w:szCs w:val="32"/>
          <w:u w:val="none"/>
          <w:lang w:val="en-US" w:eastAsia="zh-CN" w:bidi="ar-SA"/>
        </w:rPr>
        <w:t xml:space="preserve">    六、</w:t>
      </w:r>
      <w:r>
        <w:rPr>
          <w:rFonts w:hint="eastAsia" w:ascii="方正黑体_GBK" w:eastAsia="方正黑体_GBK" w:cs="方正黑体_GBK"/>
          <w:snapToGrid/>
          <w:color w:val="000000"/>
          <w:sz w:val="32"/>
          <w:szCs w:val="32"/>
          <w:u w:val="none"/>
          <w:lang w:eastAsia="zh-CN" w:bidi="ar-SA"/>
        </w:rPr>
        <w:t>加强相关领域收费规范</w:t>
      </w:r>
    </w:p>
    <w:p>
      <w:pPr>
        <w:keepNext w:val="0"/>
        <w:keepLines w:val="0"/>
        <w:pageBreakBefore w:val="0"/>
        <w:widowControl w:val="0"/>
        <w:kinsoku/>
        <w:wordWrap/>
        <w:overflowPunct/>
        <w:topLinePunct w:val="0"/>
        <w:autoSpaceDE/>
        <w:autoSpaceDN w:val="0"/>
        <w:bidi w:val="0"/>
        <w:adjustRightInd/>
        <w:snapToGrid/>
        <w:ind w:firstLine="632" w:firstLineChars="200"/>
        <w:textAlignment w:val="center"/>
        <w:rPr>
          <w:rFonts w:hint="eastAsia" w:ascii="仿宋_GB2312" w:eastAsia="仿宋_GB2312"/>
          <w:snapToGrid/>
          <w:color w:val="000000"/>
          <w:sz w:val="32"/>
          <w:szCs w:val="32"/>
          <w:u w:val="none"/>
          <w:lang w:eastAsia="zh-CN"/>
        </w:rPr>
      </w:pPr>
      <w:r>
        <w:rPr>
          <w:rFonts w:hint="eastAsia" w:ascii="方正楷体_GBK" w:eastAsia="方正楷体_GBK" w:cs="Times New Roman"/>
          <w:snapToGrid/>
          <w:color w:val="000000"/>
          <w:sz w:val="32"/>
          <w:szCs w:val="32"/>
          <w:u w:val="none"/>
          <w:lang w:val="en-US" w:eastAsia="zh-CN" w:bidi="ar-SA"/>
        </w:rPr>
        <w:t>（十）规范中介</w:t>
      </w:r>
      <w:r>
        <w:rPr>
          <w:rFonts w:ascii="方正楷体_GBK" w:eastAsia="方正楷体_GBK" w:cs="Times New Roman"/>
          <w:snapToGrid/>
          <w:color w:val="000000"/>
          <w:sz w:val="32"/>
          <w:szCs w:val="32"/>
          <w:u w:val="none"/>
          <w:lang w:val="en-US" w:eastAsia="zh-CN" w:bidi="ar-SA"/>
        </w:rPr>
        <w:t>和行业协会</w:t>
      </w:r>
      <w:r>
        <w:rPr>
          <w:rFonts w:hint="eastAsia" w:ascii="方正楷体_GBK" w:eastAsia="方正楷体_GBK" w:cs="Times New Roman"/>
          <w:snapToGrid/>
          <w:color w:val="000000"/>
          <w:sz w:val="32"/>
          <w:szCs w:val="32"/>
          <w:u w:val="none"/>
          <w:lang w:val="en-US" w:eastAsia="zh-CN" w:bidi="ar-SA"/>
        </w:rPr>
        <w:t>服务收费。</w:t>
      </w:r>
      <w:r>
        <w:rPr>
          <w:rFonts w:hint="eastAsia" w:ascii="仿宋_GB2312" w:eastAsia="仿宋_GB2312"/>
          <w:snapToGrid/>
          <w:color w:val="000000"/>
          <w:sz w:val="32"/>
          <w:szCs w:val="32"/>
          <w:u w:val="none"/>
          <w:lang w:eastAsia="zh-CN"/>
        </w:rPr>
        <w:t>市</w:t>
      </w:r>
      <w:r>
        <w:rPr>
          <w:rFonts w:ascii="仿宋_GB2312" w:eastAsia="仿宋_GB2312"/>
          <w:snapToGrid/>
          <w:color w:val="000000"/>
          <w:sz w:val="32"/>
          <w:szCs w:val="32"/>
          <w:u w:val="none"/>
          <w:lang w:eastAsia="zh-CN"/>
        </w:rPr>
        <w:t>行政审批</w:t>
      </w:r>
      <w:r>
        <w:rPr>
          <w:rFonts w:hint="eastAsia" w:ascii="仿宋_GB2312" w:eastAsia="仿宋_GB2312"/>
          <w:snapToGrid/>
          <w:color w:val="000000"/>
          <w:sz w:val="32"/>
          <w:szCs w:val="32"/>
          <w:u w:val="none"/>
          <w:lang w:eastAsia="zh-CN"/>
        </w:rPr>
        <w:t>局会同有关部门要对照新修订的《河北省政务服务领域中介服务事项清单》，调整规范我市的政务服务领域中介服务事项清单，及时动态调整并对外公布，不得违规新增中介服务事项，凡未纳入清单的中介服务事项，一律不得要求申请人提供相关中介服务材料作为政务服务的受理条件，由各有关部门委托相关专家、机构开展的技术性服务事项，一律不得要求申请人承担费用；不得将政务服务事项转为中介服务事项，属于政府管理职责的委托服务事项，相关费用由行政审批管理部门支付，不得转嫁给企业。县（市、区）有关部门要进一步清理无法律法规或国务院决定依据的中介服务事项，清理对中介服务的不合理市场准入限制，支持和培育更多经营主体进入市场，促进公平竞争。民政部门要配合有关部门，持续深化行业协会商会改革，推动健全综合监管体系，规范行业协会商会收费行为。发展改革部门要持续规范城镇供水、供电、供气、供暖行业收费，进一步清理取消不合理收费。</w:t>
      </w:r>
    </w:p>
    <w:p>
      <w:pPr>
        <w:keepNext w:val="0"/>
        <w:keepLines w:val="0"/>
        <w:pageBreakBefore w:val="0"/>
        <w:widowControl w:val="0"/>
        <w:kinsoku/>
        <w:wordWrap/>
        <w:overflowPunct/>
        <w:topLinePunct w:val="0"/>
        <w:autoSpaceDE/>
        <w:bidi w:val="0"/>
        <w:adjustRightInd/>
        <w:snapToGrid/>
        <w:spacing w:line="240" w:lineRule="auto"/>
        <w:ind w:left="0" w:firstLine="0"/>
        <w:jc w:val="both"/>
        <w:textAlignment w:val="auto"/>
        <w:rPr>
          <w:rFonts w:hint="eastAsia" w:ascii="黑体" w:eastAsia="黑体" w:cs="方正黑体_GBK"/>
          <w:snapToGrid/>
          <w:color w:val="000000"/>
          <w:sz w:val="32"/>
          <w:szCs w:val="32"/>
          <w:u w:val="none"/>
          <w:lang w:eastAsia="zh-CN" w:bidi="ar-SA"/>
        </w:rPr>
      </w:pPr>
      <w:r>
        <w:rPr>
          <w:rFonts w:hint="eastAsia" w:ascii="方正黑体_GBK" w:eastAsia="方正黑体_GBK" w:cs="方正黑体_GBK"/>
          <w:snapToGrid/>
          <w:color w:val="000000"/>
          <w:sz w:val="32"/>
          <w:szCs w:val="32"/>
          <w:u w:val="none"/>
          <w:lang w:val="en-US" w:eastAsia="zh-CN" w:bidi="ar-SA"/>
        </w:rPr>
        <w:t xml:space="preserve">    </w:t>
      </w:r>
      <w:r>
        <w:rPr>
          <w:rFonts w:hint="eastAsia" w:ascii="黑体" w:eastAsia="黑体" w:cs="方正黑体_GBK"/>
          <w:snapToGrid/>
          <w:color w:val="000000"/>
          <w:sz w:val="32"/>
          <w:szCs w:val="32"/>
          <w:u w:val="none"/>
          <w:lang w:val="en-US" w:eastAsia="zh-CN" w:bidi="ar-SA"/>
        </w:rPr>
        <w:t>七、</w:t>
      </w:r>
      <w:r>
        <w:rPr>
          <w:rFonts w:hint="eastAsia" w:ascii="黑体" w:eastAsia="黑体" w:cs="方正黑体_GBK"/>
          <w:snapToGrid/>
          <w:color w:val="000000"/>
          <w:sz w:val="32"/>
          <w:szCs w:val="32"/>
          <w:u w:val="none"/>
          <w:lang w:eastAsia="zh-CN" w:bidi="ar-SA"/>
        </w:rPr>
        <w:t>相互协同，</w:t>
      </w:r>
      <w:r>
        <w:rPr>
          <w:rFonts w:hint="eastAsia" w:ascii="黑体" w:eastAsia="黑体" w:cs="Times New Roman"/>
          <w:snapToGrid/>
          <w:color w:val="000000"/>
          <w:sz w:val="32"/>
          <w:szCs w:val="32"/>
          <w:u w:val="none"/>
          <w:lang w:val="en-US" w:eastAsia="zh-CN" w:bidi="ar-SA"/>
        </w:rPr>
        <w:t>健全会商研判制度</w:t>
      </w:r>
    </w:p>
    <w:p>
      <w:pPr>
        <w:keepNext w:val="0"/>
        <w:keepLines w:val="0"/>
        <w:pageBreakBefore w:val="0"/>
        <w:widowControl w:val="0"/>
        <w:kinsoku/>
        <w:wordWrap/>
        <w:overflowPunct/>
        <w:topLinePunct w:val="0"/>
        <w:autoSpaceDE/>
        <w:autoSpaceDN w:val="0"/>
        <w:bidi w:val="0"/>
        <w:adjustRightInd/>
        <w:snapToGrid/>
        <w:ind w:firstLine="632" w:firstLineChars="200"/>
        <w:textAlignment w:val="center"/>
        <w:rPr>
          <w:rFonts w:hint="eastAsia" w:ascii="仿宋_GB2312" w:eastAsia="仿宋_GB2312"/>
          <w:snapToGrid/>
          <w:color w:val="000000"/>
          <w:sz w:val="32"/>
          <w:szCs w:val="32"/>
          <w:u w:val="none"/>
          <w:lang w:eastAsia="zh-CN"/>
        </w:rPr>
      </w:pPr>
      <w:r>
        <w:rPr>
          <w:rFonts w:hint="eastAsia" w:ascii="楷体" w:eastAsia="楷体" w:cs="Times New Roman"/>
          <w:snapToGrid/>
          <w:color w:val="000000"/>
          <w:sz w:val="32"/>
          <w:szCs w:val="32"/>
          <w:u w:val="none"/>
          <w:lang w:val="en-US" w:eastAsia="zh-CN" w:bidi="ar-SA"/>
        </w:rPr>
        <w:t>（十一）健全会商研判制度。</w:t>
      </w:r>
      <w:r>
        <w:rPr>
          <w:rFonts w:hint="eastAsia" w:ascii="仿宋_GB2312" w:eastAsia="仿宋_GB2312" w:cs="Times New Roman"/>
          <w:snapToGrid/>
          <w:color w:val="000000"/>
          <w:sz w:val="32"/>
          <w:szCs w:val="32"/>
          <w:u w:val="none"/>
          <w:lang w:val="en-US" w:eastAsia="zh-CN" w:bidi="ar-SA"/>
        </w:rPr>
        <w:t>市</w:t>
      </w:r>
      <w:r>
        <w:rPr>
          <w:rFonts w:hint="eastAsia" w:ascii="仿宋_GB2312" w:eastAsia="仿宋_GB2312"/>
          <w:snapToGrid/>
          <w:color w:val="000000"/>
          <w:sz w:val="32"/>
          <w:szCs w:val="32"/>
          <w:u w:val="none"/>
          <w:lang w:eastAsia="zh-CN"/>
        </w:rPr>
        <w:t>发展改革委、市工业和信息化局、市财政局、市市场监管局要依托降低实体经济</w:t>
      </w:r>
      <w:r>
        <w:rPr>
          <w:rFonts w:ascii="仿宋_GB2312" w:eastAsia="仿宋_GB2312"/>
          <w:snapToGrid/>
          <w:color w:val="000000"/>
          <w:sz w:val="32"/>
          <w:szCs w:val="32"/>
          <w:u w:val="none"/>
          <w:lang w:eastAsia="zh-CN"/>
        </w:rPr>
        <w:t>经营</w:t>
      </w:r>
      <w:r>
        <w:rPr>
          <w:rFonts w:hint="eastAsia" w:ascii="仿宋_GB2312" w:eastAsia="仿宋_GB2312"/>
          <w:snapToGrid/>
          <w:color w:val="000000"/>
          <w:sz w:val="32"/>
          <w:szCs w:val="32"/>
          <w:u w:val="none"/>
          <w:lang w:eastAsia="zh-CN"/>
        </w:rPr>
        <w:t>成本、减轻企业负担等有关工作机制，会同相关部门</w:t>
      </w:r>
      <w:r>
        <w:rPr>
          <w:rFonts w:ascii="仿宋_GB2312" w:eastAsia="仿宋_GB2312"/>
          <w:snapToGrid/>
          <w:color w:val="000000"/>
          <w:sz w:val="32"/>
          <w:szCs w:val="32"/>
          <w:u w:val="none"/>
          <w:lang w:eastAsia="zh-CN"/>
        </w:rPr>
        <w:t>定期</w:t>
      </w:r>
      <w:r>
        <w:rPr>
          <w:rFonts w:hint="eastAsia" w:ascii="仿宋_GB2312" w:eastAsia="仿宋_GB2312"/>
          <w:snapToGrid/>
          <w:color w:val="000000"/>
          <w:sz w:val="32"/>
          <w:szCs w:val="32"/>
          <w:u w:val="none"/>
          <w:lang w:eastAsia="zh-CN"/>
        </w:rPr>
        <w:t>会商，及时分析研判涉企收费形势，推动解决有关重大问题，强化涉企收费政策制定和监督检查工作协同。</w:t>
      </w:r>
    </w:p>
    <w:p>
      <w:pPr>
        <w:keepNext w:val="0"/>
        <w:keepLines w:val="0"/>
        <w:pageBreakBefore w:val="0"/>
        <w:widowControl w:val="0"/>
        <w:kinsoku/>
        <w:wordWrap/>
        <w:overflowPunct/>
        <w:topLinePunct w:val="0"/>
        <w:autoSpaceDE/>
        <w:autoSpaceDN w:val="0"/>
        <w:adjustRightInd/>
        <w:snapToGrid/>
        <w:ind w:firstLine="644"/>
        <w:textAlignment w:val="center"/>
        <w:rPr>
          <w:rFonts w:ascii="仿宋_GB2312" w:eastAsia="仿宋_GB2312"/>
          <w:snapToGrid/>
          <w:color w:val="000000"/>
          <w:sz w:val="32"/>
          <w:szCs w:val="32"/>
          <w:u w:val="none"/>
          <w:lang w:eastAsia="zh-CN"/>
        </w:rPr>
      </w:pPr>
      <w:r>
        <w:rPr>
          <w:rFonts w:hint="eastAsia" w:ascii="仿宋_GB2312" w:eastAsia="仿宋_GB2312" w:cs="Times New Roman"/>
          <w:sz w:val="32"/>
          <w:szCs w:val="32"/>
          <w:lang w:val="en-US" w:eastAsia="zh-CN" w:bidi="ar-SA"/>
        </w:rPr>
        <w:t>涉企收费监管是一项长期性工作，</w:t>
      </w:r>
      <w:r>
        <w:rPr>
          <w:rFonts w:ascii="仿宋_GB2312" w:eastAsia="仿宋_GB2312"/>
          <w:snapToGrid/>
          <w:color w:val="000000"/>
          <w:sz w:val="32"/>
          <w:szCs w:val="32"/>
          <w:u w:val="none"/>
          <w:lang w:eastAsia="zh-CN"/>
        </w:rPr>
        <w:t>各县（市、区）</w:t>
      </w:r>
      <w:r>
        <w:rPr>
          <w:rFonts w:hint="eastAsia" w:ascii="仿宋_GB2312" w:eastAsia="仿宋_GB2312"/>
          <w:snapToGrid/>
          <w:color w:val="000000"/>
          <w:sz w:val="32"/>
          <w:szCs w:val="32"/>
          <w:u w:val="none"/>
          <w:lang w:eastAsia="zh-CN"/>
        </w:rPr>
        <w:t>有关部门</w:t>
      </w:r>
      <w:r>
        <w:rPr>
          <w:rFonts w:hint="eastAsia" w:ascii="仿宋_GB2312" w:eastAsia="仿宋_GB2312" w:cs="Times New Roman"/>
          <w:sz w:val="32"/>
          <w:szCs w:val="32"/>
          <w:lang w:val="en-US" w:eastAsia="zh-CN" w:bidi="ar-SA"/>
        </w:rPr>
        <w:t>要结合实际制定具体落实措施，按职责分工认真抓好落实。</w:t>
      </w:r>
      <w:r>
        <w:rPr>
          <w:rFonts w:hint="eastAsia" w:ascii="仿宋_GB2312" w:eastAsia="仿宋_GB2312"/>
          <w:snapToGrid/>
          <w:color w:val="000000"/>
          <w:sz w:val="32"/>
          <w:szCs w:val="32"/>
          <w:u w:val="none"/>
          <w:lang w:eastAsia="zh-CN"/>
        </w:rPr>
        <w:t>并及时总结涉企收费监管的成效、减轻企业负担的典型经验，加大推广和宣传，营造全社会共同参与的良好氛围。</w:t>
      </w:r>
    </w:p>
    <w:tbl>
      <w:tblPr>
        <w:tblStyle w:val="8"/>
        <w:tblpPr w:leftFromText="181" w:rightFromText="181" w:horzAnchor="margin" w:tblpXSpec="center" w:tblpYSpec="bottom"/>
        <w:tblOverlap w:val="never"/>
        <w:tblW w:w="8844" w:type="dxa"/>
        <w:tblInd w:w="0" w:type="dxa"/>
        <w:tblBorders>
          <w:top w:val="single" w:color="auto" w:sz="8" w:space="0"/>
          <w:left w:val="none" w:color="auto" w:sz="0" w:space="0"/>
          <w:bottom w:val="single" w:color="auto" w:sz="8" w:space="0"/>
          <w:right w:val="single" w:color="auto" w:sz="6" w:space="0"/>
          <w:insideH w:val="single" w:color="auto" w:sz="4" w:space="0"/>
          <w:insideV w:val="single" w:color="auto" w:sz="4" w:space="0"/>
        </w:tblBorders>
        <w:tblLayout w:type="autofit"/>
        <w:tblCellMar>
          <w:top w:w="0" w:type="dxa"/>
          <w:left w:w="0" w:type="dxa"/>
          <w:bottom w:w="0" w:type="dxa"/>
          <w:right w:w="0" w:type="dxa"/>
        </w:tblCellMar>
      </w:tblPr>
      <w:tblGrid>
        <w:gridCol w:w="8844"/>
      </w:tblGrid>
      <w:tr>
        <w:tblPrEx>
          <w:tblBorders>
            <w:top w:val="single" w:color="auto" w:sz="8" w:space="0"/>
            <w:left w:val="none" w:color="auto" w:sz="0" w:space="0"/>
            <w:bottom w:val="single" w:color="auto" w:sz="8" w:space="0"/>
            <w:right w:val="single" w:color="auto" w:sz="6" w:space="0"/>
            <w:insideH w:val="single" w:color="auto" w:sz="4" w:space="0"/>
            <w:insideV w:val="single" w:color="auto" w:sz="4" w:space="0"/>
          </w:tblBorders>
          <w:tblCellMar>
            <w:top w:w="0" w:type="dxa"/>
            <w:left w:w="0" w:type="dxa"/>
            <w:bottom w:w="0" w:type="dxa"/>
            <w:right w:w="0" w:type="dxa"/>
          </w:tblCellMar>
        </w:tblPrEx>
        <w:tc>
          <w:tcPr>
            <w:tcW w:w="8844" w:type="dxa"/>
            <w:tcBorders>
              <w:top w:val="nil"/>
              <w:left w:val="nil"/>
              <w:bottom w:val="single" w:color="auto" w:sz="8" w:space="0"/>
              <w:right w:val="nil"/>
            </w:tcBorders>
            <w:shd w:val="clear" w:color="auto" w:fill="FFFFFF"/>
            <w:noWrap/>
          </w:tcPr>
          <w:p>
            <w:pPr>
              <w:pStyle w:val="2"/>
              <w:keepNext w:val="0"/>
              <w:keepLines w:val="0"/>
              <w:pageBreakBefore w:val="0"/>
              <w:widowControl w:val="0"/>
              <w:kinsoku/>
              <w:wordWrap/>
              <w:overflowPunct/>
              <w:topLinePunct w:val="0"/>
              <w:autoSpaceDE/>
              <w:autoSpaceDN/>
              <w:bidi w:val="0"/>
              <w:adjustRightInd/>
              <w:snapToGrid/>
              <w:spacing w:after="0" w:line="560" w:lineRule="exact"/>
              <w:ind w:left="316" w:leftChars="100" w:right="316" w:rightChars="100"/>
              <w:jc w:val="both"/>
              <w:textAlignment w:val="center"/>
              <w:rPr>
                <w:rFonts w:ascii="仿宋" w:eastAsia="仿宋" w:cs="仿宋_GB2312"/>
                <w:color w:val="000000"/>
                <w:sz w:val="18"/>
                <w:szCs w:val="18"/>
                <w:vertAlign w:val="baseline"/>
                <w:lang w:val="en-US" w:eastAsia="zh-CN"/>
              </w:rPr>
            </w:pPr>
            <w:r>
              <w:rPr>
                <w:rFonts w:hint="eastAsia" w:ascii="仿宋" w:eastAsia="仿宋" w:cs="仿宋_GB2312"/>
                <w:color w:val="000000"/>
                <w:sz w:val="28"/>
                <w:szCs w:val="28"/>
                <w:vertAlign w:val="baseline"/>
                <w:lang w:val="en-US" w:eastAsia="zh-CN"/>
              </w:rPr>
              <w:t>信息属性：主动公开</w:t>
            </w:r>
          </w:p>
        </w:tc>
      </w:tr>
      <w:tr>
        <w:tblPrEx>
          <w:tblBorders>
            <w:top w:val="single" w:color="auto" w:sz="8" w:space="0"/>
            <w:left w:val="none" w:color="auto" w:sz="0" w:space="0"/>
            <w:bottom w:val="single" w:color="auto" w:sz="8" w:space="0"/>
            <w:right w:val="single" w:color="auto" w:sz="6" w:space="0"/>
            <w:insideH w:val="single" w:color="auto" w:sz="4" w:space="0"/>
            <w:insideV w:val="single" w:color="auto" w:sz="4" w:space="0"/>
          </w:tblBorders>
          <w:tblCellMar>
            <w:top w:w="0" w:type="dxa"/>
            <w:left w:w="0" w:type="dxa"/>
            <w:bottom w:w="0" w:type="dxa"/>
            <w:right w:w="0" w:type="dxa"/>
          </w:tblCellMar>
        </w:tblPrEx>
        <w:tc>
          <w:tcPr>
            <w:tcW w:w="8844" w:type="dxa"/>
            <w:tcBorders>
              <w:top w:val="single" w:color="auto" w:sz="8" w:space="0"/>
              <w:left w:val="nil"/>
              <w:bottom w:val="single" w:color="auto" w:sz="8" w:space="0"/>
              <w:right w:val="nil"/>
            </w:tcBorders>
            <w:shd w:val="clear" w:color="auto" w:fill="FFFFFF"/>
            <w:noWrap/>
          </w:tcPr>
          <w:p>
            <w:pPr>
              <w:pStyle w:val="2"/>
              <w:keepNext w:val="0"/>
              <w:keepLines w:val="0"/>
              <w:pageBreakBefore w:val="0"/>
              <w:widowControl w:val="0"/>
              <w:kinsoku/>
              <w:wordWrap/>
              <w:overflowPunct/>
              <w:topLinePunct w:val="0"/>
              <w:autoSpaceDE/>
              <w:autoSpaceDN/>
              <w:bidi w:val="0"/>
              <w:adjustRightInd/>
              <w:snapToGrid/>
              <w:spacing w:after="0" w:line="560" w:lineRule="exact"/>
              <w:ind w:left="316" w:leftChars="100" w:right="316" w:rightChars="100"/>
              <w:textAlignment w:val="center"/>
              <w:rPr>
                <w:rFonts w:ascii="仿宋" w:eastAsia="仿宋" w:cs="仿宋_GB2312"/>
                <w:color w:val="000000"/>
                <w:sz w:val="28"/>
                <w:szCs w:val="28"/>
                <w:vertAlign w:val="baseline"/>
                <w:lang w:val="en-US" w:eastAsia="zh-CN"/>
              </w:rPr>
            </w:pPr>
            <w:r>
              <w:rPr>
                <w:rFonts w:hint="eastAsia" w:ascii="仿宋" w:eastAsia="仿宋" w:cs="仿宋_GB2312"/>
                <w:color w:val="000000"/>
                <w:sz w:val="28"/>
                <w:szCs w:val="28"/>
                <w:vertAlign w:val="baseline"/>
                <w:lang w:val="en-US" w:eastAsia="zh-CN"/>
              </w:rPr>
              <w:t>邯郸市发展和改革委员会办公室</w:t>
            </w:r>
            <w:r>
              <w:rPr>
                <w:rFonts w:ascii="Times New Roman" w:hAnsi="Times New Roman" w:eastAsia="方正仿宋_GBK"/>
                <w:b w:val="0"/>
                <w:bCs/>
                <w:spacing w:val="8"/>
                <w:sz w:val="28"/>
                <w:szCs w:val="28"/>
              </w:rPr>
              <w:t xml:space="preserve">  </w:t>
            </w:r>
            <w:r>
              <w:rPr>
                <w:rFonts w:hint="eastAsia" w:ascii="Times New Roman" w:hAnsi="Times New Roman" w:eastAsia="方正仿宋_GBK"/>
                <w:b w:val="0"/>
                <w:bCs/>
                <w:spacing w:val="8"/>
                <w:sz w:val="28"/>
                <w:szCs w:val="28"/>
                <w:lang w:val="en-US" w:eastAsia="zh-CN"/>
              </w:rPr>
              <w:t xml:space="preserve">   </w:t>
            </w:r>
            <w:r>
              <w:rPr>
                <w:rFonts w:ascii="Times New Roman" w:hAnsi="Times New Roman" w:eastAsia="方正仿宋_GBK"/>
                <w:b w:val="0"/>
                <w:bCs/>
                <w:spacing w:val="8"/>
                <w:sz w:val="28"/>
                <w:szCs w:val="28"/>
              </w:rPr>
              <w:t xml:space="preserve"> </w:t>
            </w:r>
            <w:r>
              <w:rPr>
                <w:rFonts w:hint="eastAsia"/>
                <w:b w:val="0"/>
                <w:bCs/>
                <w:spacing w:val="8"/>
                <w:sz w:val="28"/>
                <w:szCs w:val="28"/>
                <w:lang w:val="en-US" w:eastAsia="zh-CN"/>
              </w:rPr>
              <w:t xml:space="preserve">  </w:t>
            </w:r>
            <w:r>
              <w:rPr>
                <w:rFonts w:ascii="Times New Roman" w:hAnsi="Times New Roman" w:eastAsia="方正仿宋_GBK"/>
                <w:b w:val="0"/>
                <w:bCs/>
                <w:spacing w:val="8"/>
                <w:sz w:val="28"/>
                <w:szCs w:val="28"/>
              </w:rPr>
              <w:t xml:space="preserve"> </w:t>
            </w:r>
            <w:r>
              <w:rPr>
                <w:rFonts w:hint="eastAsia" w:eastAsia="方正仿宋_GBK"/>
                <w:b w:val="0"/>
                <w:bCs/>
                <w:spacing w:val="8"/>
                <w:sz w:val="28"/>
                <w:szCs w:val="28"/>
                <w:lang w:val="en-US" w:eastAsia="zh-CN"/>
              </w:rPr>
              <w:t xml:space="preserve">  </w:t>
            </w:r>
            <w:r>
              <w:rPr>
                <w:rFonts w:ascii="Times New Roman" w:hAnsi="Times New Roman" w:eastAsia="仿宋" w:cs="Times New Roman"/>
                <w:color w:val="000000"/>
                <w:sz w:val="28"/>
                <w:szCs w:val="28"/>
                <w:vertAlign w:val="baseline"/>
                <w:lang w:val="en-US" w:eastAsia="zh-CN"/>
              </w:rPr>
              <w:t>2025</w:t>
            </w:r>
            <w:r>
              <w:rPr>
                <w:rFonts w:hint="eastAsia" w:ascii="仿宋" w:eastAsia="仿宋" w:cs="仿宋_GB2312"/>
                <w:color w:val="000000"/>
                <w:sz w:val="28"/>
                <w:szCs w:val="28"/>
                <w:vertAlign w:val="baseline"/>
                <w:lang w:val="en-US" w:eastAsia="zh-CN"/>
              </w:rPr>
              <w:t>年</w:t>
            </w:r>
            <w:r>
              <w:rPr>
                <w:rFonts w:hint="eastAsia" w:eastAsia="仿宋" w:cs="Times New Roman"/>
                <w:color w:val="000000"/>
                <w:sz w:val="28"/>
                <w:szCs w:val="28"/>
                <w:vertAlign w:val="baseline"/>
                <w:lang w:val="en-US" w:eastAsia="zh-CN"/>
              </w:rPr>
              <w:t>5</w:t>
            </w:r>
            <w:r>
              <w:rPr>
                <w:rFonts w:hint="eastAsia" w:ascii="仿宋" w:eastAsia="仿宋" w:cs="仿宋_GB2312"/>
                <w:color w:val="000000"/>
                <w:sz w:val="28"/>
                <w:szCs w:val="28"/>
                <w:vertAlign w:val="baseline"/>
                <w:lang w:val="en-US" w:eastAsia="zh-CN"/>
              </w:rPr>
              <w:t>月</w:t>
            </w:r>
            <w:r>
              <w:rPr>
                <w:rFonts w:eastAsia="仿宋"/>
                <w:color w:val="000000"/>
                <w:sz w:val="28"/>
                <w:szCs w:val="28"/>
                <w:vertAlign w:val="baseline"/>
                <w:lang w:val="en-US" w:eastAsia="zh-CN"/>
              </w:rPr>
              <w:t>15</w:t>
            </w:r>
            <w:r>
              <w:rPr>
                <w:rFonts w:hint="eastAsia" w:ascii="仿宋" w:eastAsia="仿宋" w:cs="仿宋_GB2312"/>
                <w:color w:val="000000"/>
                <w:sz w:val="28"/>
                <w:szCs w:val="28"/>
                <w:vertAlign w:val="baseline"/>
                <w:lang w:val="en-US" w:eastAsia="zh-CN"/>
              </w:rPr>
              <w:t>日印发</w:t>
            </w:r>
          </w:p>
        </w:tc>
      </w:tr>
    </w:tbl>
    <w:p>
      <w:pPr>
        <w:pStyle w:val="2"/>
        <w:rPr>
          <w:rFonts w:hint="eastAsia"/>
        </w:rPr>
      </w:pPr>
    </w:p>
    <w:sectPr>
      <w:footerReference r:id="rId3" w:type="default"/>
      <w:pgSz w:w="11906" w:h="16838"/>
      <w:pgMar w:top="2154" w:right="1531" w:bottom="1871" w:left="1531" w:header="851" w:footer="1474" w:gutter="0"/>
      <w:pgNumType w:start="3"/>
      <w:cols w:space="720" w:num="1"/>
      <w:rtlGutter w:val="1"/>
      <w:docGrid w:type="linesAndChars" w:linePitch="574"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思源黑体"/>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思源黑体">
    <w:panose1 w:val="020B0500000000000000"/>
    <w:charset w:val="86"/>
    <w:family w:val="auto"/>
    <w:pitch w:val="default"/>
    <w:sig w:usb0="30000083" w:usb1="2BDF3C10" w:usb2="00000016" w:usb3="00000000" w:csb0="602E0107"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
    <w:altName w:val="仿宋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ascii="Calibri" w:hAnsi="Calibri" w:eastAsia="宋体" w:cs="黑体"/>
        <w:kern w:val="2"/>
        <w:sz w:val="18"/>
        <w:szCs w:val="24"/>
        <w:lang w:val="en-US" w:eastAsia="zh-CN" w:bidi="ar-SA"/>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996950" cy="260985"/>
              <wp:effectExtent l="0" t="0" r="0" b="0"/>
              <wp:wrapNone/>
              <wp:docPr id="1" name="文本框 1"/>
              <wp:cNvGraphicFramePr/>
              <a:graphic xmlns:a="http://schemas.openxmlformats.org/drawingml/2006/main">
                <a:graphicData uri="http://schemas.microsoft.com/office/word/2010/wordprocessingShape">
                  <wps:wsp>
                    <wps:cNvSpPr/>
                    <wps:spPr>
                      <a:xfrm>
                        <a:off x="0" y="0"/>
                        <a:ext cx="996950" cy="261007"/>
                      </a:xfrm>
                      <a:prstGeom prst="rect">
                        <a:avLst/>
                      </a:prstGeom>
                      <a:noFill/>
                      <a:ln w="9525" cap="flat" cmpd="sng">
                        <a:noFill/>
                        <a:prstDash val="solid"/>
                        <a:miter/>
                      </a:ln>
                    </wps:spPr>
                    <wps:txbx>
                      <w:txbxContent>
                        <w:p>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t>1</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0pt;height:20.55pt;width:78.5pt;mso-position-horizontal:outside;mso-position-horizontal-relative:margin;mso-wrap-style:none;z-index:251659264;mso-width-relative:page;mso-height-relative:page;" filled="f" stroked="f" coordsize="21600,21600" o:gfxdata="UEsFBgAAAAAAAAAAAAAAAAAAAAAAAFBLAwQKAAAAAACHTuJAAAAAAAAAAAAAAAAABAAAAGRycy9Q&#10;SwMEFAAAAAgAh07iQH9PUj7SAAAABAEAAA8AAABkcnMvZG93bnJldi54bWxNj81qwzAQhO+FvIPY&#10;QG+N5NCf4FrOoRBoSy9x+gCKtf6h0spISpy+fTe9tJeBYZaZb6vtxTtxxpjGQBqKlQKB1AY7Uq/h&#10;87C724BI2ZA1LhBq+MYE23pxU5nShpn2eG5yL7iEUmk0DDlPpZSpHdCbtAoTEmddiN5ktrGXNpqZ&#10;y72Ta6UepTcj8cJgJnwZsP1qTl6DPDS7edO4qML7uvtwb6/7DoPWt8tCPYPIeMl/x3DFZ3SomekY&#10;TmSTcBr4kfyr1+zhie1Rw31RgKwr+R++/gFQSwMEFAAAAAgAh07iQLgMI4IBAgAA9AMAAA4AAABk&#10;cnMvZTJvRG9jLnhtbK1TzY7TMBi8I/EOlu80aaUWGjVdIapFSAhWWngA13EaS/6T7TYpDwBvwIkL&#10;d55rn4Ox05/VctkDl2T8N9834/HqZtCKHIQP0pqaTiclJcJw20izq+nXL7ev3lASIjMNU9aImh5F&#10;oDfrly9WvavEzHZWNcITkJhQ9a6mXYyuKorAO6FZmFgnDBZb6zWLGPpd0XjWg12rYlaWi6K3vnHe&#10;chECZjfjIj0x+ucQ2raVXGws32th4sjqhWIRkkInXaDr3G3bCh4/t20QkaiaQmnMXxQB3qZvsV6x&#10;aueZ6yQ/tcCe08ITTZpJg6IXqg2LjOy9/IdKS+5tsG2ccKuLUUh2BCqm5RNv7jvmRNYCq4O7mB7+&#10;Hy3/dLjzRDZIAiWGaVz4w88fD7/+PPz+TqbJnt6FCrvu3Z0/jQJg0jq0Xqc/VJAhW3q8WCqGSDgm&#10;l8vFcg6zOZZmi2lZvk6cxfWw8yG+F1aTBGrqcWPZSHb4GOK49bwl1TL2ViqFeVYpQ3oUmM/moGdI&#10;YosEAGoHNcHsMs2j/Ylmw0JHDgxhCFbJZrx+LaNI2tCVMvglxaPGhOKwHbCY4NY2R7iFx4NOO+u/&#10;UdIjOjU1eCmUqA8GN5NSdgb+DLZnwAzHwZqi0RG+i2Ma987LXQfeae47uLf7CK3ZgmvtU3cIQ273&#10;FNyUtsfjvOv6WN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FAAAAAgAh07iQIoUZjzRAAAA&#10;lAEAAAsAAAAAAAAAAQAgAAAAiAMAAF9yZWxzLy5yZWxzUEsBAhQACgAAAAAAh07iQAAAAAAAAAAA&#10;AAAAAAYAAAAAAAAAAAAQAAAAZAMAAF9yZWxzL1BLAQIUAAoAAAAAAIdO4kAAAAAAAAAAAAAAAAAE&#10;AAAAAAAAAAAAEAAAABYAAABkcnMvUEsBAhQAFAAAAAgAh07iQLgMI4IBAgAA9AMAAA4AAAAAAAAA&#10;AQAgAAAANwEAAGRycy9lMm9Eb2MueG1sUEsBAhQAFAAAAAgAh07iQH9PUj7SAAAABAEAAA8AAAAA&#10;AAAAAQAgAAAAOAAAAGRycy9kb3ducmV2LnhtbFBLBQYAAAAABgAGAFkBAACqBQAAAAA=&#10;">
              <v:fill on="f" focussize="0,0"/>
              <v:stroke on="f" joinstyle="miter"/>
              <v:imagedata o:title=""/>
              <o:lock v:ext="edit" aspectratio="f"/>
              <v:textbox inset="0mm,0mm,0mm,0mm" style="mso-fit-shape-to-text:t;">
                <w:txbxContent>
                  <w:p>
                    <w:pPr>
                      <w:pStyle w:val="6"/>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t>1</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dit="readOnly" w:enforcement="0"/>
  <w:defaultTabStop w:val="420"/>
  <w:drawingGridHorizontalSpacing w:val="158"/>
  <w:drawingGridVerticalSpacing w:val="217"/>
  <w:displayHorizontalDrawingGridEvery w:val="0"/>
  <w:displayVerticalDrawingGridEvery w:val="1"/>
  <w:characterSpacingControl w:val="compressPunctuation"/>
  <w:compat>
    <w:spaceForUL/>
    <w:balanceSingleByteDoubleByteWidth/>
    <w:ulTrailSpace/>
    <w:doNotExpandShiftReturn/>
    <w:adjustLineHeightInTable/>
    <w:useFELayout/>
    <w:useAltKinsokuLineBreakRules/>
    <w:compatSetting w:name="compatibilityMode" w:uri="http://schemas.microsoft.com/office/word" w:val="15"/>
  </w:compat>
  <w:rsids>
    <w:rsidRoot w:val="00000000"/>
    <w:rsid w:val="31BB96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0"/>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rPr>
      <w:rFonts w:ascii="Times New Roman" w:hAnsi="Times New Roman" w:eastAsia="宋体" w:cs="Times New Roman"/>
    </w:rPr>
  </w:style>
  <w:style w:type="paragraph" w:styleId="6">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szCs w:val="20"/>
      <w:lang w:val="en-US" w:eastAsia="zh-CN" w:bidi="ar-SA"/>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5</Pages>
  <Words>2530</Words>
  <Characters>2546</Characters>
  <Lines>104</Lines>
  <Paragraphs>25</Paragraphs>
  <TotalTime>162</TotalTime>
  <ScaleCrop>false</ScaleCrop>
  <LinksUpToDate>false</LinksUpToDate>
  <CharactersWithSpaces>2602</CharactersWithSpaces>
  <Application>WPS Office_11.1.0.11711_F1E327BC-269C-435d-A152-05C5408002CA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2025-04-27T10:37:00Z</dcterms:created>
  <dc:creator>uos</dc:creator>
  <cp:lastModifiedBy>ht706</cp:lastModifiedBy>
  <cp:lastPrinted>2025-05-14T10:09:00Z</cp:lastPrinted>
  <dcterms:modified xsi:type="dcterms:W3CDTF">2025-05-23T16:51:27Z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2052-11.1.0.11711</vt:lpwstr>
  </property>
  <property fmtid="{D5CDD505-2E9C-101B-9397-08002B2CF9AE}" pid="3" name="ICV">
    <vt:lpwstr>188C1960EE914ABCBBC544A021BC031E</vt:lpwstr>
  </property>
</Properties>
</file>