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620" w:lineRule="exact"/>
        <w:rPr>
          <w:rFonts w:hint="eastAsia" w:ascii="Times New Roman" w:hAnsi="Times New Roman" w:eastAsia="黑体"/>
          <w:lang w:eastAsia="zh-CN"/>
        </w:rPr>
      </w:pPr>
      <w:r>
        <w:rPr>
          <w:rFonts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2</w:t>
      </w:r>
    </w:p>
    <w:p>
      <w:pPr>
        <w:spacing w:line="580" w:lineRule="exact"/>
        <w:jc w:val="center"/>
        <w:rPr>
          <w:rFonts w:ascii="Times New Roman" w:hAnsi="Times New Roman" w:eastAsia="方正小标宋简体"/>
          <w:bCs/>
          <w:snapToGrid w:val="0"/>
          <w:color w:val="auto"/>
          <w:sz w:val="44"/>
          <w:szCs w:val="44"/>
          <w:highlight w:val="none"/>
        </w:rPr>
      </w:pPr>
    </w:p>
    <w:p>
      <w:pPr>
        <w:spacing w:line="580" w:lineRule="exact"/>
        <w:jc w:val="center"/>
        <w:rPr>
          <w:rFonts w:hint="eastAsia" w:ascii="方正小标宋_GBK" w:hAnsi="华文中宋" w:eastAsia="方正小标宋_GBK"/>
          <w:bCs/>
          <w:snapToGrid w:val="0"/>
          <w:color w:val="auto"/>
          <w:sz w:val="44"/>
          <w:szCs w:val="44"/>
          <w:highlight w:val="none"/>
        </w:rPr>
      </w:pPr>
      <w:r>
        <w:rPr>
          <w:rFonts w:hint="eastAsia" w:ascii="方正小标宋_GBK" w:hAnsi="华文中宋" w:eastAsia="方正小标宋_GBK"/>
          <w:bCs/>
          <w:snapToGrid w:val="0"/>
          <w:color w:val="auto"/>
          <w:sz w:val="44"/>
          <w:szCs w:val="44"/>
          <w:highlight w:val="none"/>
        </w:rPr>
        <w:t>《辽宁省企业技术中心工作总结》</w:t>
      </w:r>
    </w:p>
    <w:p>
      <w:pPr>
        <w:spacing w:line="580" w:lineRule="exact"/>
        <w:jc w:val="center"/>
        <w:rPr>
          <w:rFonts w:ascii="方正小标宋_GBK" w:hAnsi="华文中宋" w:eastAsia="方正小标宋_GBK"/>
          <w:bCs/>
          <w:snapToGrid w:val="0"/>
          <w:color w:val="auto"/>
          <w:sz w:val="44"/>
          <w:szCs w:val="44"/>
          <w:highlight w:val="none"/>
        </w:rPr>
      </w:pPr>
      <w:r>
        <w:rPr>
          <w:rFonts w:hint="eastAsia" w:ascii="方正小标宋_GBK" w:hAnsi="华文中宋" w:eastAsia="方正小标宋_GBK"/>
          <w:bCs/>
          <w:snapToGrid w:val="0"/>
          <w:color w:val="auto"/>
          <w:sz w:val="44"/>
          <w:szCs w:val="44"/>
          <w:highlight w:val="none"/>
        </w:rPr>
        <w:t>编写提纲</w:t>
      </w:r>
    </w:p>
    <w:p>
      <w:pPr>
        <w:spacing w:line="620" w:lineRule="exact"/>
        <w:rPr>
          <w:rFonts w:ascii="仿宋_GB2312" w:hAnsi="Times New Roman" w:eastAsia="仿宋_GB2312"/>
          <w:snapToGrid w:val="0"/>
          <w:color w:val="auto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16" w:firstLineChars="200"/>
        <w:textAlignment w:val="auto"/>
        <w:rPr>
          <w:rFonts w:ascii="仿宋_GB2312" w:hAnsi="Times New Roman" w:eastAsia="仿宋_GB2312"/>
          <w:snapToGrid w:val="0"/>
          <w:color w:val="auto"/>
          <w:spacing w:val="-6"/>
          <w:sz w:val="32"/>
          <w:szCs w:val="32"/>
          <w:highlight w:val="none"/>
        </w:rPr>
      </w:pPr>
      <w:r>
        <w:rPr>
          <w:rFonts w:hint="eastAsia" w:ascii="仿宋_GB2312" w:hAnsi="Times New Roman" w:eastAsia="仿宋_GB2312"/>
          <w:snapToGrid w:val="0"/>
          <w:color w:val="auto"/>
          <w:spacing w:val="-6"/>
          <w:sz w:val="32"/>
          <w:szCs w:val="32"/>
          <w:highlight w:val="none"/>
        </w:rPr>
        <w:t>已认定的辽宁省企业技术中心需在评价年度提交工作总结，全面总结报告年度企业技术创新与技术中心工作情况。主要包括如下内容:</w:t>
      </w:r>
    </w:p>
    <w:p>
      <w:pPr>
        <w:keepNext w:val="0"/>
        <w:keepLines w:val="0"/>
        <w:pageBreakBefore w:val="0"/>
        <w:widowControl w:val="0"/>
        <w:tabs>
          <w:tab w:val="left" w:pos="26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</w:pP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简要分析企业所在行业创新趋势和特点，以及企业在行业中的地位和竞争优势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突出企业核心技术、产品性能及市场占有率，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eastAsia="zh-CN"/>
        </w:rPr>
        <w:t>为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辽宁“2211”产业体系建设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eastAsia="zh-CN"/>
        </w:rPr>
        <w:t>提供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支撑与贡献。</w:t>
      </w:r>
    </w:p>
    <w:p>
      <w:pPr>
        <w:keepNext w:val="0"/>
        <w:keepLines w:val="0"/>
        <w:pageBreakBefore w:val="0"/>
        <w:widowControl w:val="0"/>
        <w:tabs>
          <w:tab w:val="left" w:pos="26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ascii="仿宋_GB2312" w:hAnsi="Times New Roman" w:eastAsia="仿宋_GB2312"/>
          <w:snapToGrid w:val="0"/>
          <w:color w:val="auto"/>
          <w:sz w:val="32"/>
          <w:szCs w:val="32"/>
          <w:highlight w:val="none"/>
        </w:rPr>
      </w:pP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企业技术创新体系建设情况，包括企业技术创新体系基本情况、技术中心组织建设、技术中心创新机制建设、产学研合作创新机制建设、国际化创新合作网络建设、企业技术创新基础设施、知识产权管理运用等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eastAsia="zh-CN"/>
        </w:rPr>
        <w:t>；重点说明智能化改造和数字化转型（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智改数转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、数字化研发建设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eastAsia="zh-CN"/>
        </w:rPr>
        <w:t>情况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26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企业技术创新活动开展情况，包括重点创新项目的组织实施、关键核心技术和产品开发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国产化替代、产学研协同攻关、绿色低碳技术应用等。</w:t>
      </w:r>
    </w:p>
    <w:p>
      <w:pPr>
        <w:keepNext w:val="0"/>
        <w:keepLines w:val="0"/>
        <w:pageBreakBefore w:val="0"/>
        <w:widowControl w:val="0"/>
        <w:tabs>
          <w:tab w:val="left" w:pos="26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企业技术中心取得的主要创新成果，形成的核心技术、专利和获奖情况，首台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套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/首批次/首版次等创新产品落地情况，相关技术成果对企业核心产品研发、核心竞争力提升的支撑作用，取得的经济社会效益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val="en-US" w:eastAsia="zh-CN"/>
        </w:rPr>
        <w:t>以及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对辽宁产业链供应链安全稳定的贡献。</w:t>
      </w:r>
    </w:p>
    <w:p>
      <w:pPr>
        <w:keepNext w:val="0"/>
        <w:keepLines w:val="0"/>
        <w:pageBreakBefore w:val="0"/>
        <w:widowControl w:val="0"/>
        <w:tabs>
          <w:tab w:val="left" w:pos="26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ascii="仿宋_GB2312" w:hAnsi="Times New Roman" w:eastAsia="仿宋_GB2312"/>
          <w:snapToGrid w:val="0"/>
          <w:color w:val="auto"/>
          <w:sz w:val="32"/>
          <w:szCs w:val="32"/>
          <w:highlight w:val="none"/>
        </w:rPr>
      </w:pP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val="en-US" w:eastAsia="zh-CN"/>
        </w:rPr>
        <w:t>5.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其他有特色的工作情况。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/>
          <w:color w:val="auto"/>
          <w:highlight w:val="none"/>
          <w:lang w:eastAsia="zh-CN"/>
        </w:rPr>
      </w:pP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val="en-US" w:eastAsia="zh-CN"/>
        </w:rPr>
        <w:t>6.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下一步工作规划，针对产业链短板弱项、关键核心技术，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eastAsia="zh-CN"/>
        </w:rPr>
        <w:t>制定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在技术、产品或工艺等方面的创新发展规划，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eastAsia="zh-CN"/>
        </w:rPr>
        <w:t>以及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</w:rPr>
        <w:t>为完成这些发展计划采取的实施方案</w:t>
      </w:r>
      <w:r>
        <w:rPr>
          <w:rFonts w:hint="eastAsia" w:ascii="仿宋_GB2312" w:hAnsi="Times New Roman" w:eastAsia="仿宋_GB2312"/>
          <w:snapToGrid w:val="0"/>
          <w:color w:val="auto"/>
          <w:sz w:val="32"/>
          <w:szCs w:val="32"/>
          <w:highlight w:val="none"/>
          <w:lang w:eastAsia="zh-CN"/>
        </w:rPr>
        <w:t>。</w:t>
      </w: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0010101010101"/>
    <w:charset w:val="86"/>
    <w:family w:val="script"/>
    <w:pitch w:val="default"/>
    <w:sig w:usb0="00000000" w:usb1="00000000" w:usb2="00000000" w:usb3="00000000" w:csb0="00000000" w:csb1="00000000"/>
  </w:font>
  <w:font w:name="方正小标宋_GBK">
    <w:panose1 w:val="03000509000000000000"/>
    <w:charset w:val="86"/>
    <w:family w:val="script"/>
    <w:pitch w:val="default"/>
    <w:sig w:usb0="00000000" w:usb1="00000000" w:usb2="00000000" w:usb3="00000000" w:csb0="0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75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2026-09-17T00:56:20Z</dcterms:created>
  <dc:creator>ASUS</dc:creator>
  <cp:lastModifiedBy>ASUS</cp:lastModifiedBy>
  <dcterms:modified xsi:type="dcterms:W3CDTF">2026-09-17T00:56:27Z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