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60"/>
        <w:rPr>
          <w:rFonts w:cs="Times New Roman" w:eastAsiaTheme="minorEastAsia"/>
        </w:rPr>
      </w:pPr>
    </w:p>
    <w:p>
      <w:pPr>
        <w:ind w:firstLine="560"/>
        <w:jc w:val="center"/>
        <w:rPr>
          <w:rFonts w:cs="Times New Roman" w:eastAsiaTheme="minorEastAsia"/>
        </w:rPr>
      </w:pPr>
    </w:p>
    <w:p>
      <w:pPr>
        <w:ind w:firstLine="560"/>
        <w:jc w:val="center"/>
        <w:rPr>
          <w:rFonts w:cs="Times New Roman" w:eastAsiaTheme="minorEastAsia"/>
        </w:rPr>
      </w:pPr>
    </w:p>
    <w:p>
      <w:pPr>
        <w:ind w:firstLine="560"/>
        <w:jc w:val="center"/>
        <w:rPr>
          <w:rFonts w:cs="Times New Roman" w:eastAsiaTheme="minorEastAsia"/>
        </w:rPr>
      </w:pPr>
    </w:p>
    <w:p>
      <w:pPr>
        <w:spacing w:line="240" w:lineRule="auto"/>
        <w:ind w:firstLine="0" w:firstLineChars="0"/>
        <w:jc w:val="center"/>
        <w:rPr>
          <w:rFonts w:cs="Times New Roman" w:eastAsiaTheme="minorEastAsia"/>
          <w:b/>
          <w:sz w:val="44"/>
          <w:szCs w:val="44"/>
        </w:rPr>
      </w:pPr>
      <w:r>
        <w:rPr>
          <w:rFonts w:hint="eastAsia" w:cs="Times New Roman" w:hAnsiTheme="minorEastAsia" w:eastAsiaTheme="minorEastAsia"/>
          <w:b/>
          <w:sz w:val="44"/>
          <w:szCs w:val="44"/>
        </w:rPr>
        <w:t>六枝特区化工园区</w:t>
      </w:r>
      <w:r>
        <w:rPr>
          <w:rFonts w:cs="Times New Roman" w:hAnsiTheme="minorEastAsia" w:eastAsiaTheme="minorEastAsia"/>
          <w:b/>
          <w:sz w:val="44"/>
          <w:szCs w:val="44"/>
        </w:rPr>
        <w:t>产业发展规划</w:t>
      </w:r>
    </w:p>
    <w:p>
      <w:pPr>
        <w:spacing w:line="240" w:lineRule="auto"/>
        <w:ind w:firstLine="0" w:firstLineChars="0"/>
        <w:jc w:val="center"/>
        <w:rPr>
          <w:rFonts w:cs="Times New Roman" w:eastAsiaTheme="minorEastAsia"/>
          <w:b/>
          <w:sz w:val="44"/>
          <w:szCs w:val="44"/>
        </w:rPr>
      </w:pPr>
      <w:r>
        <w:rPr>
          <w:rFonts w:cs="Times New Roman" w:hAnsiTheme="minorEastAsia" w:eastAsiaTheme="minorEastAsia"/>
          <w:b/>
          <w:sz w:val="44"/>
          <w:szCs w:val="44"/>
        </w:rPr>
        <w:t>（</w:t>
      </w:r>
      <w:r>
        <w:rPr>
          <w:rFonts w:cs="Times New Roman" w:eastAsiaTheme="minorEastAsia"/>
          <w:b/>
          <w:sz w:val="44"/>
          <w:szCs w:val="44"/>
        </w:rPr>
        <w:t>2022-2035</w:t>
      </w:r>
      <w:r>
        <w:rPr>
          <w:rFonts w:cs="Times New Roman" w:hAnsiTheme="minorEastAsia" w:eastAsiaTheme="minorEastAsia"/>
          <w:b/>
          <w:sz w:val="44"/>
          <w:szCs w:val="44"/>
        </w:rPr>
        <w:t>年）</w:t>
      </w:r>
    </w:p>
    <w:p>
      <w:pPr>
        <w:ind w:firstLine="560"/>
        <w:rPr>
          <w:rFonts w:cs="Times New Roman" w:eastAsiaTheme="minorEastAsia"/>
        </w:rPr>
      </w:pPr>
    </w:p>
    <w:p>
      <w:pPr>
        <w:ind w:firstLine="560"/>
        <w:rPr>
          <w:rFonts w:cs="Times New Roman" w:eastAsiaTheme="minorEastAsia"/>
        </w:rPr>
      </w:pPr>
    </w:p>
    <w:p>
      <w:pPr>
        <w:ind w:firstLine="560"/>
        <w:rPr>
          <w:rFonts w:cs="Times New Roman" w:eastAsiaTheme="minorEastAsia"/>
        </w:rPr>
      </w:pPr>
    </w:p>
    <w:p>
      <w:pPr>
        <w:ind w:firstLine="560"/>
        <w:rPr>
          <w:rFonts w:cs="Times New Roman" w:eastAsiaTheme="minorEastAsia"/>
        </w:rPr>
      </w:pPr>
    </w:p>
    <w:p>
      <w:pPr>
        <w:ind w:firstLine="560"/>
        <w:rPr>
          <w:rFonts w:cs="Times New Roman" w:eastAsiaTheme="minorEastAsia"/>
        </w:rPr>
      </w:pPr>
    </w:p>
    <w:p>
      <w:pPr>
        <w:ind w:firstLine="560"/>
        <w:rPr>
          <w:rFonts w:cs="Times New Roman" w:eastAsiaTheme="minorEastAsia"/>
        </w:rPr>
      </w:pPr>
    </w:p>
    <w:p>
      <w:pPr>
        <w:ind w:firstLine="560"/>
        <w:rPr>
          <w:rFonts w:cs="Times New Roman" w:eastAsiaTheme="minorEastAsia"/>
        </w:rPr>
      </w:pPr>
    </w:p>
    <w:p>
      <w:pPr>
        <w:ind w:firstLine="560"/>
        <w:rPr>
          <w:rFonts w:cs="Times New Roman" w:eastAsiaTheme="minorEastAsia"/>
        </w:rPr>
      </w:pPr>
    </w:p>
    <w:p>
      <w:pPr>
        <w:ind w:firstLine="560"/>
        <w:rPr>
          <w:rFonts w:cs="Times New Roman" w:eastAsiaTheme="minorEastAsia"/>
        </w:rPr>
      </w:pPr>
    </w:p>
    <w:p>
      <w:pPr>
        <w:autoSpaceDE w:val="0"/>
        <w:autoSpaceDN w:val="0"/>
        <w:adjustRightInd w:val="0"/>
        <w:spacing w:line="240" w:lineRule="auto"/>
        <w:ind w:firstLine="0" w:firstLineChars="0"/>
        <w:jc w:val="left"/>
        <w:rPr>
          <w:rFonts w:cs="Times New Roman" w:eastAsiaTheme="minorEastAsia"/>
          <w:kern w:val="0"/>
          <w:sz w:val="32"/>
          <w:szCs w:val="32"/>
        </w:rPr>
      </w:pPr>
    </w:p>
    <w:p>
      <w:pPr>
        <w:autoSpaceDE w:val="0"/>
        <w:autoSpaceDN w:val="0"/>
        <w:adjustRightInd w:val="0"/>
        <w:spacing w:line="240" w:lineRule="auto"/>
        <w:ind w:firstLine="0" w:firstLineChars="0"/>
        <w:jc w:val="left"/>
        <w:rPr>
          <w:rFonts w:cs="Times New Roman" w:eastAsiaTheme="minorEastAsia"/>
          <w:kern w:val="0"/>
          <w:sz w:val="32"/>
          <w:szCs w:val="32"/>
        </w:rPr>
      </w:pPr>
    </w:p>
    <w:p>
      <w:pPr>
        <w:autoSpaceDE w:val="0"/>
        <w:autoSpaceDN w:val="0"/>
        <w:adjustRightInd w:val="0"/>
        <w:spacing w:line="240" w:lineRule="auto"/>
        <w:ind w:firstLine="0" w:firstLineChars="0"/>
        <w:jc w:val="left"/>
        <w:rPr>
          <w:rFonts w:cs="Times New Roman" w:eastAsiaTheme="minorEastAsia"/>
          <w:kern w:val="0"/>
          <w:sz w:val="32"/>
          <w:szCs w:val="32"/>
        </w:rPr>
      </w:pPr>
    </w:p>
    <w:p>
      <w:pPr>
        <w:autoSpaceDE w:val="0"/>
        <w:autoSpaceDN w:val="0"/>
        <w:adjustRightInd w:val="0"/>
        <w:spacing w:line="240" w:lineRule="auto"/>
        <w:ind w:firstLine="0" w:firstLineChars="0"/>
        <w:jc w:val="left"/>
        <w:rPr>
          <w:rFonts w:cs="Times New Roman" w:eastAsiaTheme="minorEastAsia"/>
          <w:kern w:val="0"/>
          <w:sz w:val="32"/>
          <w:szCs w:val="32"/>
        </w:rPr>
      </w:pPr>
    </w:p>
    <w:p>
      <w:pPr>
        <w:autoSpaceDE w:val="0"/>
        <w:autoSpaceDN w:val="0"/>
        <w:adjustRightInd w:val="0"/>
        <w:spacing w:line="240" w:lineRule="auto"/>
        <w:ind w:firstLine="0" w:firstLineChars="0"/>
        <w:jc w:val="left"/>
        <w:rPr>
          <w:rFonts w:cs="Times New Roman" w:eastAsiaTheme="minorEastAsia"/>
          <w:kern w:val="0"/>
          <w:sz w:val="32"/>
          <w:szCs w:val="32"/>
        </w:rPr>
      </w:pPr>
    </w:p>
    <w:p>
      <w:pPr>
        <w:autoSpaceDE w:val="0"/>
        <w:autoSpaceDN w:val="0"/>
        <w:adjustRightInd w:val="0"/>
        <w:spacing w:line="240" w:lineRule="auto"/>
        <w:ind w:firstLine="0" w:firstLineChars="0"/>
        <w:jc w:val="left"/>
        <w:rPr>
          <w:rFonts w:cs="Times New Roman" w:eastAsiaTheme="minorEastAsia"/>
          <w:kern w:val="0"/>
          <w:sz w:val="32"/>
          <w:szCs w:val="32"/>
        </w:rPr>
      </w:pPr>
    </w:p>
    <w:p>
      <w:pPr>
        <w:autoSpaceDE w:val="0"/>
        <w:autoSpaceDN w:val="0"/>
        <w:adjustRightInd w:val="0"/>
        <w:spacing w:line="240" w:lineRule="auto"/>
        <w:ind w:firstLine="0" w:firstLineChars="0"/>
        <w:jc w:val="left"/>
        <w:rPr>
          <w:rFonts w:cs="Times New Roman" w:eastAsiaTheme="minorEastAsia"/>
          <w:kern w:val="0"/>
          <w:sz w:val="32"/>
          <w:szCs w:val="32"/>
        </w:rPr>
      </w:pPr>
    </w:p>
    <w:p>
      <w:pPr>
        <w:autoSpaceDE w:val="0"/>
        <w:autoSpaceDN w:val="0"/>
        <w:adjustRightInd w:val="0"/>
        <w:spacing w:line="240" w:lineRule="auto"/>
        <w:ind w:firstLine="0" w:firstLineChars="0"/>
        <w:jc w:val="left"/>
        <w:rPr>
          <w:rFonts w:cs="Times New Roman" w:eastAsiaTheme="minorEastAsia"/>
          <w:kern w:val="0"/>
          <w:sz w:val="32"/>
          <w:szCs w:val="32"/>
        </w:rPr>
      </w:pPr>
    </w:p>
    <w:p>
      <w:pPr>
        <w:autoSpaceDE w:val="0"/>
        <w:autoSpaceDN w:val="0"/>
        <w:adjustRightInd w:val="0"/>
        <w:spacing w:line="240" w:lineRule="auto"/>
        <w:ind w:firstLine="0" w:firstLineChars="0"/>
        <w:jc w:val="left"/>
        <w:rPr>
          <w:rFonts w:cs="Times New Roman" w:eastAsiaTheme="minorEastAsia"/>
          <w:kern w:val="0"/>
          <w:sz w:val="32"/>
          <w:szCs w:val="32"/>
        </w:rPr>
      </w:pPr>
    </w:p>
    <w:p>
      <w:pPr>
        <w:autoSpaceDE w:val="0"/>
        <w:autoSpaceDN w:val="0"/>
        <w:adjustRightInd w:val="0"/>
        <w:spacing w:line="520" w:lineRule="exact"/>
        <w:ind w:firstLine="0" w:firstLineChars="0"/>
        <w:jc w:val="center"/>
        <w:rPr>
          <w:rFonts w:cs="Times New Roman" w:eastAsiaTheme="minorEastAsia"/>
          <w:kern w:val="0"/>
          <w:sz w:val="32"/>
          <w:szCs w:val="32"/>
        </w:rPr>
      </w:pPr>
    </w:p>
    <w:p>
      <w:pPr>
        <w:autoSpaceDE w:val="0"/>
        <w:autoSpaceDN w:val="0"/>
        <w:adjustRightInd w:val="0"/>
        <w:spacing w:line="520" w:lineRule="exact"/>
        <w:ind w:firstLine="0" w:firstLineChars="0"/>
        <w:jc w:val="center"/>
        <w:rPr>
          <w:rFonts w:cs="Times New Roman" w:eastAsiaTheme="minorEastAsia"/>
          <w:b/>
          <w:kern w:val="0"/>
          <w:sz w:val="32"/>
          <w:szCs w:val="32"/>
        </w:rPr>
      </w:pPr>
      <w:r>
        <w:rPr>
          <w:rFonts w:cs="Times New Roman" w:hAnsiTheme="minorEastAsia" w:eastAsiaTheme="minorEastAsia"/>
          <w:b/>
          <w:kern w:val="0"/>
          <w:sz w:val="32"/>
          <w:szCs w:val="32"/>
        </w:rPr>
        <w:t>贵州昊华工程技术有限公司</w:t>
      </w:r>
    </w:p>
    <w:p>
      <w:pPr>
        <w:spacing w:line="520" w:lineRule="exact"/>
        <w:ind w:firstLine="0" w:firstLineChars="0"/>
        <w:jc w:val="center"/>
        <w:rPr>
          <w:rFonts w:cs="Times New Roman" w:eastAsiaTheme="minorEastAsia"/>
          <w:b/>
          <w:sz w:val="32"/>
          <w:szCs w:val="32"/>
        </w:rPr>
      </w:pPr>
      <w:r>
        <w:rPr>
          <w:rFonts w:cs="Times New Roman" w:hAnsiTheme="minorEastAsia" w:eastAsiaTheme="minorEastAsia"/>
          <w:b/>
          <w:kern w:val="0"/>
          <w:sz w:val="32"/>
          <w:szCs w:val="32"/>
        </w:rPr>
        <w:t>二〇二二年</w:t>
      </w:r>
      <w:r>
        <w:rPr>
          <w:rFonts w:hint="eastAsia" w:cs="Times New Roman" w:hAnsiTheme="minorEastAsia" w:eastAsiaTheme="minorEastAsia"/>
          <w:b/>
          <w:kern w:val="0"/>
          <w:sz w:val="32"/>
          <w:szCs w:val="32"/>
        </w:rPr>
        <w:t>十二</w:t>
      </w:r>
      <w:r>
        <w:rPr>
          <w:rFonts w:cs="Times New Roman" w:hAnsiTheme="minorEastAsia" w:eastAsiaTheme="minorEastAsia"/>
          <w:b/>
          <w:kern w:val="0"/>
          <w:sz w:val="32"/>
          <w:szCs w:val="32"/>
        </w:rPr>
        <w:t>月</w:t>
      </w:r>
    </w:p>
    <w:p>
      <w:pPr>
        <w:ind w:firstLine="560"/>
        <w:rPr>
          <w:rFonts w:cs="Times New Roman" w:eastAsiaTheme="minorEastAsia"/>
        </w:rPr>
      </w:pPr>
      <w:r>
        <w:rPr>
          <w:rFonts w:cs="Times New Roman" w:eastAsiaTheme="minorEastAsia"/>
        </w:rPr>
        <w:br w:type="page"/>
      </w:r>
    </w:p>
    <w:p>
      <w:pPr>
        <w:spacing w:line="900" w:lineRule="exact"/>
        <w:ind w:firstLine="883"/>
        <w:jc w:val="center"/>
        <w:rPr>
          <w:rFonts w:cs="Times New Roman" w:eastAsiaTheme="minorEastAsia"/>
          <w:b/>
          <w:sz w:val="44"/>
          <w:szCs w:val="44"/>
        </w:rPr>
      </w:pPr>
    </w:p>
    <w:p>
      <w:pPr>
        <w:spacing w:line="900" w:lineRule="exact"/>
        <w:ind w:firstLine="883"/>
        <w:jc w:val="center"/>
        <w:rPr>
          <w:rFonts w:cs="Times New Roman" w:eastAsiaTheme="minorEastAsia"/>
          <w:b/>
          <w:sz w:val="44"/>
          <w:szCs w:val="44"/>
        </w:rPr>
      </w:pPr>
    </w:p>
    <w:p>
      <w:pPr>
        <w:spacing w:line="900" w:lineRule="exact"/>
        <w:ind w:firstLine="0" w:firstLineChars="0"/>
        <w:jc w:val="center"/>
        <w:rPr>
          <w:rFonts w:cs="Times New Roman" w:eastAsiaTheme="minorEastAsia"/>
          <w:b/>
          <w:sz w:val="44"/>
          <w:szCs w:val="44"/>
        </w:rPr>
      </w:pPr>
      <w:r>
        <w:rPr>
          <w:rFonts w:hint="eastAsia" w:cs="Times New Roman" w:hAnsiTheme="minorEastAsia" w:eastAsiaTheme="minorEastAsia"/>
          <w:b/>
          <w:sz w:val="44"/>
          <w:szCs w:val="44"/>
        </w:rPr>
        <w:t>六枝特区化工园区</w:t>
      </w:r>
      <w:r>
        <w:rPr>
          <w:rFonts w:cs="Times New Roman" w:hAnsiTheme="minorEastAsia" w:eastAsiaTheme="minorEastAsia"/>
          <w:b/>
          <w:sz w:val="44"/>
          <w:szCs w:val="44"/>
        </w:rPr>
        <w:t>产业发展规划</w:t>
      </w:r>
    </w:p>
    <w:p>
      <w:pPr>
        <w:spacing w:line="900" w:lineRule="exact"/>
        <w:ind w:firstLine="0" w:firstLineChars="0"/>
        <w:jc w:val="center"/>
        <w:rPr>
          <w:rFonts w:cs="Times New Roman" w:eastAsiaTheme="minorEastAsia"/>
          <w:b/>
          <w:spacing w:val="40"/>
          <w:sz w:val="52"/>
          <w:szCs w:val="52"/>
        </w:rPr>
      </w:pPr>
      <w:r>
        <w:rPr>
          <w:rFonts w:cs="Times New Roman" w:hAnsiTheme="minorEastAsia" w:eastAsiaTheme="minorEastAsia"/>
          <w:b/>
          <w:sz w:val="44"/>
          <w:szCs w:val="44"/>
        </w:rPr>
        <w:t>（</w:t>
      </w:r>
      <w:r>
        <w:rPr>
          <w:rFonts w:cs="Times New Roman" w:eastAsiaTheme="minorEastAsia"/>
          <w:b/>
          <w:sz w:val="44"/>
          <w:szCs w:val="44"/>
        </w:rPr>
        <w:t>2022-203</w:t>
      </w:r>
      <w:r>
        <w:rPr>
          <w:rFonts w:hint="eastAsia" w:cs="Times New Roman" w:eastAsiaTheme="minorEastAsia"/>
          <w:b/>
          <w:sz w:val="44"/>
          <w:szCs w:val="44"/>
        </w:rPr>
        <w:t>5</w:t>
      </w:r>
      <w:r>
        <w:rPr>
          <w:rFonts w:cs="Times New Roman" w:hAnsiTheme="minorEastAsia" w:eastAsiaTheme="minorEastAsia"/>
          <w:b/>
          <w:sz w:val="44"/>
          <w:szCs w:val="44"/>
        </w:rPr>
        <w:t>）</w:t>
      </w:r>
    </w:p>
    <w:p>
      <w:pPr>
        <w:ind w:firstLine="643"/>
        <w:jc w:val="center"/>
        <w:rPr>
          <w:rFonts w:cs="Times New Roman" w:eastAsiaTheme="minorEastAsia"/>
          <w:b/>
          <w:sz w:val="32"/>
        </w:rPr>
      </w:pPr>
    </w:p>
    <w:p>
      <w:pPr>
        <w:pStyle w:val="9"/>
        <w:rPr>
          <w:rFonts w:eastAsiaTheme="minorEastAsia"/>
        </w:rPr>
      </w:pPr>
    </w:p>
    <w:p>
      <w:pPr>
        <w:ind w:firstLine="643"/>
        <w:jc w:val="center"/>
        <w:rPr>
          <w:rFonts w:cs="Times New Roman" w:eastAsiaTheme="minorEastAsia"/>
          <w:b/>
          <w:sz w:val="32"/>
        </w:rPr>
      </w:pPr>
    </w:p>
    <w:p>
      <w:pPr>
        <w:ind w:firstLine="643"/>
        <w:jc w:val="center"/>
        <w:rPr>
          <w:rFonts w:cs="Times New Roman" w:eastAsiaTheme="minorEastAsia"/>
          <w:b/>
          <w:sz w:val="32"/>
        </w:rPr>
      </w:pPr>
    </w:p>
    <w:p>
      <w:pPr>
        <w:ind w:firstLine="643"/>
        <w:jc w:val="center"/>
        <w:rPr>
          <w:rFonts w:cs="Times New Roman" w:eastAsiaTheme="minorEastAsia"/>
          <w:b/>
          <w:sz w:val="32"/>
        </w:rPr>
      </w:pPr>
    </w:p>
    <w:p>
      <w:pPr>
        <w:ind w:firstLine="2570" w:firstLineChars="800"/>
        <w:jc w:val="left"/>
        <w:rPr>
          <w:rFonts w:cs="Times New Roman" w:eastAsiaTheme="minorEastAsia"/>
          <w:b/>
          <w:sz w:val="32"/>
        </w:rPr>
      </w:pPr>
      <w:r>
        <w:rPr>
          <w:rFonts w:cs="Times New Roman" w:hAnsiTheme="minorEastAsia" w:eastAsiaTheme="minorEastAsia"/>
          <w:b/>
          <w:sz w:val="32"/>
        </w:rPr>
        <w:t>法定代表人：</w:t>
      </w:r>
    </w:p>
    <w:p>
      <w:pPr>
        <w:ind w:firstLine="2570" w:firstLineChars="800"/>
        <w:jc w:val="left"/>
        <w:rPr>
          <w:rFonts w:cs="Times New Roman" w:eastAsiaTheme="minorEastAsia"/>
          <w:b/>
          <w:sz w:val="32"/>
        </w:rPr>
      </w:pPr>
      <w:r>
        <w:rPr>
          <w:rFonts w:cs="Times New Roman" w:hAnsiTheme="minorEastAsia" w:eastAsiaTheme="minorEastAsia"/>
          <w:b/>
          <w:sz w:val="32"/>
        </w:rPr>
        <w:t>技术负责人：</w:t>
      </w:r>
    </w:p>
    <w:p>
      <w:pPr>
        <w:ind w:firstLine="2240" w:firstLineChars="800"/>
        <w:jc w:val="left"/>
        <w:rPr>
          <w:rFonts w:cs="Times New Roman" w:eastAsiaTheme="minorEastAsia"/>
        </w:rPr>
      </w:pPr>
    </w:p>
    <w:p>
      <w:pPr>
        <w:ind w:firstLine="560"/>
        <w:rPr>
          <w:rFonts w:cs="Times New Roman" w:eastAsiaTheme="minorEastAsia"/>
        </w:rPr>
      </w:pPr>
    </w:p>
    <w:p>
      <w:pPr>
        <w:ind w:firstLine="643"/>
        <w:jc w:val="center"/>
        <w:rPr>
          <w:rFonts w:cs="Times New Roman" w:eastAsiaTheme="minorEastAsia"/>
          <w:b/>
          <w:bCs/>
          <w:sz w:val="32"/>
        </w:rPr>
      </w:pPr>
    </w:p>
    <w:p>
      <w:pPr>
        <w:pStyle w:val="9"/>
        <w:rPr>
          <w:rFonts w:eastAsiaTheme="minorEastAsia"/>
        </w:rPr>
      </w:pPr>
    </w:p>
    <w:p>
      <w:pPr>
        <w:pStyle w:val="9"/>
        <w:rPr>
          <w:rFonts w:eastAsiaTheme="minorEastAsia"/>
        </w:rPr>
      </w:pPr>
    </w:p>
    <w:p>
      <w:pPr>
        <w:pStyle w:val="9"/>
        <w:rPr>
          <w:rFonts w:eastAsiaTheme="minorEastAsia"/>
        </w:rPr>
      </w:pPr>
    </w:p>
    <w:p>
      <w:pPr>
        <w:pStyle w:val="9"/>
        <w:rPr>
          <w:rFonts w:eastAsiaTheme="minorEastAsia"/>
        </w:rPr>
      </w:pPr>
    </w:p>
    <w:p>
      <w:pPr>
        <w:pStyle w:val="9"/>
        <w:rPr>
          <w:rFonts w:eastAsiaTheme="minorEastAsia"/>
        </w:rPr>
      </w:pPr>
    </w:p>
    <w:p>
      <w:pPr>
        <w:ind w:firstLine="0" w:firstLineChars="0"/>
        <w:jc w:val="center"/>
        <w:rPr>
          <w:rFonts w:cs="Times New Roman" w:eastAsiaTheme="minorEastAsia"/>
          <w:b/>
          <w:bCs/>
          <w:sz w:val="32"/>
        </w:rPr>
      </w:pPr>
      <w:r>
        <w:rPr>
          <w:rFonts w:cs="Times New Roman" w:hAnsiTheme="minorEastAsia" w:eastAsiaTheme="minorEastAsia"/>
          <w:b/>
          <w:bCs/>
          <w:sz w:val="32"/>
        </w:rPr>
        <w:t>证书编号：</w:t>
      </w:r>
    </w:p>
    <w:p>
      <w:pPr>
        <w:ind w:firstLine="0" w:firstLineChars="0"/>
        <w:jc w:val="center"/>
        <w:rPr>
          <w:rFonts w:cs="Times New Roman" w:eastAsiaTheme="minorEastAsia"/>
          <w:b/>
          <w:bCs/>
          <w:sz w:val="32"/>
        </w:rPr>
      </w:pPr>
    </w:p>
    <w:p>
      <w:pPr>
        <w:ind w:firstLine="0" w:firstLineChars="0"/>
        <w:jc w:val="center"/>
        <w:rPr>
          <w:rFonts w:cs="Times New Roman" w:eastAsiaTheme="minorEastAsia"/>
        </w:rPr>
      </w:pPr>
      <w:r>
        <w:rPr>
          <w:rFonts w:cs="Times New Roman" w:hAnsiTheme="minorEastAsia" w:eastAsiaTheme="minorEastAsia"/>
          <w:b/>
          <w:bCs/>
          <w:sz w:val="32"/>
          <w:szCs w:val="32"/>
        </w:rPr>
        <w:t>二</w:t>
      </w:r>
      <w:r>
        <w:rPr>
          <w:rFonts w:cs="Times New Roman" w:eastAsiaTheme="minorEastAsia"/>
          <w:b/>
          <w:sz w:val="32"/>
          <w:szCs w:val="32"/>
        </w:rPr>
        <w:t>O</w:t>
      </w:r>
      <w:r>
        <w:rPr>
          <w:rFonts w:cs="Times New Roman" w:hAnsiTheme="minorEastAsia" w:eastAsiaTheme="minorEastAsia"/>
          <w:b/>
          <w:bCs/>
          <w:sz w:val="32"/>
          <w:szCs w:val="32"/>
        </w:rPr>
        <w:t>二二年</w:t>
      </w:r>
      <w:r>
        <w:rPr>
          <w:rFonts w:hint="eastAsia" w:cs="Times New Roman" w:hAnsiTheme="minorEastAsia" w:eastAsiaTheme="minorEastAsia"/>
          <w:b/>
          <w:bCs/>
          <w:sz w:val="32"/>
          <w:szCs w:val="32"/>
        </w:rPr>
        <w:t>十二</w:t>
      </w:r>
      <w:r>
        <w:rPr>
          <w:rFonts w:cs="Times New Roman" w:hAnsiTheme="minorEastAsia" w:eastAsiaTheme="minorEastAsia"/>
          <w:b/>
          <w:bCs/>
          <w:sz w:val="32"/>
          <w:szCs w:val="32"/>
        </w:rPr>
        <w:t>月</w:t>
      </w:r>
    </w:p>
    <w:p>
      <w:pPr>
        <w:widowControl/>
        <w:spacing w:line="240" w:lineRule="auto"/>
        <w:ind w:firstLine="0" w:firstLineChars="0"/>
        <w:jc w:val="left"/>
        <w:rPr>
          <w:rFonts w:cs="Times New Roman" w:eastAsiaTheme="minorEastAsia"/>
          <w:b/>
          <w:bCs/>
          <w:szCs w:val="28"/>
        </w:rPr>
      </w:pPr>
      <w:r>
        <w:rPr>
          <w:rFonts w:cs="Times New Roman" w:eastAsiaTheme="minorEastAsia"/>
          <w:b/>
          <w:bCs/>
          <w:szCs w:val="28"/>
        </w:rPr>
        <mc:AlternateContent>
          <mc:Choice Requires="wps">
            <w:drawing>
              <wp:anchor distT="0" distB="0" distL="114300" distR="114300" simplePos="0" relativeHeight="251661312" behindDoc="0" locked="0" layoutInCell="1" allowOverlap="1">
                <wp:simplePos x="0" y="0"/>
                <wp:positionH relativeFrom="column">
                  <wp:posOffset>-7343140</wp:posOffset>
                </wp:positionH>
                <wp:positionV relativeFrom="paragraph">
                  <wp:posOffset>10673080</wp:posOffset>
                </wp:positionV>
                <wp:extent cx="19779615" cy="239395"/>
                <wp:effectExtent l="0" t="0" r="0" b="0"/>
                <wp:wrapNone/>
                <wp:docPr id="4" name="WordArt 8"/>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11922">
                          <a:off x="0" y="0"/>
                          <a:ext cx="19779615" cy="239395"/>
                        </a:xfrm>
                        <a:prstGeom prst="rect">
                          <a:avLst/>
                        </a:prstGeom>
                      </wps:spPr>
                      <wps:txbx>
                        <w:txbxContent>
                          <w:p>
                            <w:pPr>
                              <w:pStyle w:val="27"/>
                              <w:spacing w:before="0" w:beforeAutospacing="0" w:after="0" w:afterAutospacing="0"/>
                              <w:jc w:val="center"/>
                            </w:pPr>
                            <w:r>
                              <w:rPr>
                                <w:rFonts w:hint="eastAsia"/>
                                <w:outline/>
                                <w:color w:val="9CC2E5"/>
                                <w:sz w:val="72"/>
                                <w:szCs w:val="72"/>
                                <w14:textOutline w14:w="9525" w14:cap="flat" w14:cmpd="sng" w14:algn="ctr">
                                  <w14:solidFill>
                                    <w14:srgbClr w14:val="9CC2E5"/>
                                  </w14:solidFill>
                                  <w14:prstDash w14:val="solid"/>
                                  <w14:round/>
                                </w14:textOutline>
                                <w14:textFill>
                                  <w14:noFill/>
                                </w14:textFill>
                              </w:rPr>
                              <w:t>贵州万山经济开发区管理委员会万山区化工园区产业发展规划</w:t>
                            </w:r>
                          </w:p>
                        </w:txbxContent>
                      </wps:txbx>
                      <wps:bodyPr wrap="square" numCol="1" fromWordArt="1">
                        <a:prstTxWarp prst="textPlain">
                          <a:avLst>
                            <a:gd name="adj" fmla="val 50000"/>
                          </a:avLst>
                        </a:prstTxWarp>
                        <a:spAutoFit/>
                      </wps:bodyPr>
                    </wps:wsp>
                  </a:graphicData>
                </a:graphic>
              </wp:anchor>
            </w:drawing>
          </mc:Choice>
          <mc:Fallback>
            <w:pict>
              <v:shape id="WordArt 8" o:spid="_x0000_s1026" o:spt="202" type="#_x0000_t202" style="position:absolute;left:0pt;margin-left:-578.2pt;margin-top:840.4pt;height:18.85pt;width:1557.45pt;rotation:-2962142f;z-index:251661312;mso-width-relative:page;mso-height-relative:page;" filled="f" stroked="f" coordsize="21600,21600" o:gfxdata="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UAxjEtsAAAAQAQAA&#10;DwAAAAAAAAABACAAAAA4AAAAZHJzL2Rvd25yZXYueG1sUEsBAhQAFAAAAAgAh07iQGESZGYAAgAA&#10;6QMAAA4AAAAAAAAAAQAgAAAAQAEAAGRycy9lMm9Eb2MueG1sUEsFBgAAAAAGAAYAWQEAALIFAAAA&#10;AA==&#10;" adj="10800">
                <v:fill on="f" focussize="0,0"/>
                <v:stroke on="f"/>
                <v:imagedata o:title=""/>
                <o:lock v:ext="edit" text="t" aspectratio="f"/>
                <v:textbox style="mso-fit-shape-to-text:t;">
                  <w:txbxContent>
                    <w:p>
                      <w:pPr>
                        <w:pStyle w:val="27"/>
                        <w:spacing w:before="0" w:beforeAutospacing="0" w:after="0" w:afterAutospacing="0"/>
                        <w:jc w:val="center"/>
                      </w:pPr>
                      <w:r>
                        <w:rPr>
                          <w:rFonts w:hint="eastAsia"/>
                          <w:outline/>
                          <w:color w:val="9CC2E5"/>
                          <w:sz w:val="72"/>
                          <w:szCs w:val="72"/>
                          <w14:textOutline w14:w="9525" w14:cap="flat" w14:cmpd="sng" w14:algn="ctr">
                            <w14:solidFill>
                              <w14:srgbClr w14:val="9CC2E5"/>
                            </w14:solidFill>
                            <w14:prstDash w14:val="solid"/>
                            <w14:round/>
                          </w14:textOutline>
                          <w14:textFill>
                            <w14:noFill/>
                          </w14:textFill>
                        </w:rPr>
                        <w:t>贵州万山经济开发区管理委员会万山区化工园区产业发展规划</w:t>
                      </w:r>
                    </w:p>
                  </w:txbxContent>
                </v:textbox>
              </v:shape>
            </w:pict>
          </mc:Fallback>
        </mc:AlternateContent>
      </w:r>
    </w:p>
    <w:p>
      <w:pPr>
        <w:ind w:firstLine="562"/>
        <w:rPr>
          <w:rFonts w:cs="Times New Roman" w:eastAsiaTheme="minorEastAsia"/>
          <w:b/>
          <w:bCs/>
          <w:szCs w:val="28"/>
        </w:rPr>
      </w:pPr>
    </w:p>
    <w:tbl>
      <w:tblPr>
        <w:tblStyle w:val="30"/>
        <w:tblW w:w="7197" w:type="dxa"/>
        <w:jc w:val="right"/>
        <w:tblLayout w:type="fixed"/>
        <w:tblCellMar>
          <w:top w:w="0" w:type="dxa"/>
          <w:left w:w="108" w:type="dxa"/>
          <w:bottom w:w="0" w:type="dxa"/>
          <w:right w:w="108" w:type="dxa"/>
        </w:tblCellMar>
      </w:tblPr>
      <w:tblGrid>
        <w:gridCol w:w="1998"/>
        <w:gridCol w:w="5199"/>
      </w:tblGrid>
      <w:tr>
        <w:tblPrEx>
          <w:tblCellMar>
            <w:top w:w="0" w:type="dxa"/>
            <w:left w:w="108" w:type="dxa"/>
            <w:bottom w:w="0" w:type="dxa"/>
            <w:right w:w="108" w:type="dxa"/>
          </w:tblCellMar>
        </w:tblPrEx>
        <w:trPr>
          <w:trHeight w:val="23" w:hRule="atLeast"/>
          <w:jc w:val="right"/>
        </w:trPr>
        <w:tc>
          <w:tcPr>
            <w:tcW w:w="1998" w:type="dxa"/>
            <w:vAlign w:val="center"/>
          </w:tcPr>
          <w:p>
            <w:pPr>
              <w:adjustRightInd w:val="0"/>
              <w:snapToGrid w:val="0"/>
              <w:spacing w:before="120" w:beforeLines="50" w:after="120" w:afterLines="50" w:line="240" w:lineRule="auto"/>
              <w:ind w:firstLine="0" w:firstLineChars="0"/>
              <w:jc w:val="left"/>
              <w:rPr>
                <w:rFonts w:ascii="宋体" w:hAnsi="宋体"/>
                <w:b/>
                <w:szCs w:val="28"/>
              </w:rPr>
            </w:pPr>
            <w:r>
              <w:rPr>
                <w:rFonts w:hint="eastAsia" w:ascii="宋体" w:hAnsi="宋体"/>
                <w:b/>
                <w:szCs w:val="28"/>
              </w:rPr>
              <w:t>主</w:t>
            </w:r>
            <w:r>
              <w:rPr>
                <w:rFonts w:ascii="宋体" w:hAnsi="宋体"/>
                <w:b/>
                <w:szCs w:val="28"/>
              </w:rPr>
              <w:t>要编制人员</w:t>
            </w:r>
          </w:p>
        </w:tc>
        <w:tc>
          <w:tcPr>
            <w:tcW w:w="5199" w:type="dxa"/>
            <w:vAlign w:val="center"/>
          </w:tcPr>
          <w:p>
            <w:pPr>
              <w:adjustRightInd w:val="0"/>
              <w:snapToGrid w:val="0"/>
              <w:spacing w:before="120" w:beforeLines="50" w:after="120" w:afterLines="50" w:line="240" w:lineRule="auto"/>
              <w:ind w:firstLine="0" w:firstLineChars="0"/>
              <w:jc w:val="center"/>
              <w:rPr>
                <w:rFonts w:ascii="宋体" w:hAnsi="宋体"/>
                <w:b/>
                <w:szCs w:val="28"/>
              </w:rPr>
            </w:pPr>
          </w:p>
        </w:tc>
      </w:tr>
      <w:tr>
        <w:tblPrEx>
          <w:tblCellMar>
            <w:top w:w="0" w:type="dxa"/>
            <w:left w:w="108" w:type="dxa"/>
            <w:bottom w:w="0" w:type="dxa"/>
            <w:right w:w="108" w:type="dxa"/>
          </w:tblCellMar>
        </w:tblPrEx>
        <w:trPr>
          <w:trHeight w:val="23" w:hRule="atLeast"/>
          <w:jc w:val="right"/>
        </w:trPr>
        <w:tc>
          <w:tcPr>
            <w:tcW w:w="1998"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马</w:t>
            </w:r>
            <w:r>
              <w:rPr>
                <w:rFonts w:ascii="宋体" w:hAnsi="宋体"/>
                <w:szCs w:val="28"/>
              </w:rPr>
              <w:t>凤婷</w:t>
            </w:r>
          </w:p>
        </w:tc>
        <w:tc>
          <w:tcPr>
            <w:tcW w:w="5199"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注册咨询</w:t>
            </w:r>
            <w:r>
              <w:rPr>
                <w:rFonts w:ascii="宋体" w:hAnsi="宋体"/>
                <w:szCs w:val="28"/>
              </w:rPr>
              <w:t>师、工程师</w:t>
            </w:r>
          </w:p>
        </w:tc>
      </w:tr>
      <w:tr>
        <w:tblPrEx>
          <w:tblCellMar>
            <w:top w:w="0" w:type="dxa"/>
            <w:left w:w="108" w:type="dxa"/>
            <w:bottom w:w="0" w:type="dxa"/>
            <w:right w:w="108" w:type="dxa"/>
          </w:tblCellMar>
        </w:tblPrEx>
        <w:trPr>
          <w:trHeight w:val="23" w:hRule="atLeast"/>
          <w:jc w:val="right"/>
        </w:trPr>
        <w:tc>
          <w:tcPr>
            <w:tcW w:w="1998"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王</w:t>
            </w:r>
            <w:r>
              <w:rPr>
                <w:rFonts w:ascii="宋体" w:hAnsi="宋体"/>
                <w:szCs w:val="28"/>
              </w:rPr>
              <w:t>广树</w:t>
            </w:r>
          </w:p>
        </w:tc>
        <w:tc>
          <w:tcPr>
            <w:tcW w:w="5199"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注册咨询</w:t>
            </w:r>
            <w:r>
              <w:rPr>
                <w:rFonts w:ascii="宋体" w:hAnsi="宋体"/>
                <w:szCs w:val="28"/>
              </w:rPr>
              <w:t>师</w:t>
            </w:r>
          </w:p>
        </w:tc>
      </w:tr>
      <w:tr>
        <w:tblPrEx>
          <w:tblCellMar>
            <w:top w:w="0" w:type="dxa"/>
            <w:left w:w="108" w:type="dxa"/>
            <w:bottom w:w="0" w:type="dxa"/>
            <w:right w:w="108" w:type="dxa"/>
          </w:tblCellMar>
        </w:tblPrEx>
        <w:trPr>
          <w:trHeight w:val="23" w:hRule="atLeast"/>
          <w:jc w:val="right"/>
        </w:trPr>
        <w:tc>
          <w:tcPr>
            <w:tcW w:w="1998"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张</w:t>
            </w:r>
            <w:r>
              <w:rPr>
                <w:rFonts w:ascii="宋体" w:hAnsi="宋体"/>
                <w:szCs w:val="28"/>
              </w:rPr>
              <w:t>春燕</w:t>
            </w:r>
          </w:p>
        </w:tc>
        <w:tc>
          <w:tcPr>
            <w:tcW w:w="5199"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工程</w:t>
            </w:r>
            <w:r>
              <w:rPr>
                <w:rFonts w:ascii="宋体" w:hAnsi="宋体"/>
                <w:szCs w:val="28"/>
              </w:rPr>
              <w:t>师</w:t>
            </w:r>
          </w:p>
        </w:tc>
      </w:tr>
      <w:tr>
        <w:tblPrEx>
          <w:tblCellMar>
            <w:top w:w="0" w:type="dxa"/>
            <w:left w:w="108" w:type="dxa"/>
            <w:bottom w:w="0" w:type="dxa"/>
            <w:right w:w="108" w:type="dxa"/>
          </w:tblCellMar>
        </w:tblPrEx>
        <w:trPr>
          <w:trHeight w:val="23" w:hRule="atLeast"/>
          <w:jc w:val="right"/>
        </w:trPr>
        <w:tc>
          <w:tcPr>
            <w:tcW w:w="1998"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范</w:t>
            </w:r>
            <w:r>
              <w:rPr>
                <w:rFonts w:ascii="宋体" w:hAnsi="宋体"/>
                <w:szCs w:val="28"/>
              </w:rPr>
              <w:t>厚航</w:t>
            </w:r>
          </w:p>
        </w:tc>
        <w:tc>
          <w:tcPr>
            <w:tcW w:w="5199"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工程</w:t>
            </w:r>
            <w:r>
              <w:rPr>
                <w:rFonts w:ascii="宋体" w:hAnsi="宋体"/>
                <w:szCs w:val="28"/>
              </w:rPr>
              <w:t>师</w:t>
            </w:r>
          </w:p>
        </w:tc>
      </w:tr>
      <w:tr>
        <w:tblPrEx>
          <w:tblCellMar>
            <w:top w:w="0" w:type="dxa"/>
            <w:left w:w="108" w:type="dxa"/>
            <w:bottom w:w="0" w:type="dxa"/>
            <w:right w:w="108" w:type="dxa"/>
          </w:tblCellMar>
        </w:tblPrEx>
        <w:trPr>
          <w:trHeight w:val="23" w:hRule="atLeast"/>
          <w:jc w:val="right"/>
        </w:trPr>
        <w:tc>
          <w:tcPr>
            <w:tcW w:w="1998"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 xml:space="preserve">李  </w:t>
            </w:r>
            <w:r>
              <w:rPr>
                <w:rFonts w:ascii="宋体" w:hAnsi="宋体"/>
                <w:szCs w:val="28"/>
              </w:rPr>
              <w:t>娜</w:t>
            </w:r>
          </w:p>
        </w:tc>
        <w:tc>
          <w:tcPr>
            <w:tcW w:w="5199"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注册</w:t>
            </w:r>
            <w:r>
              <w:rPr>
                <w:rFonts w:ascii="宋体" w:hAnsi="宋体"/>
                <w:szCs w:val="28"/>
              </w:rPr>
              <w:t>造价师</w:t>
            </w:r>
          </w:p>
        </w:tc>
      </w:tr>
      <w:tr>
        <w:tblPrEx>
          <w:tblCellMar>
            <w:top w:w="0" w:type="dxa"/>
            <w:left w:w="108" w:type="dxa"/>
            <w:bottom w:w="0" w:type="dxa"/>
            <w:right w:w="108" w:type="dxa"/>
          </w:tblCellMar>
        </w:tblPrEx>
        <w:trPr>
          <w:trHeight w:val="23" w:hRule="atLeast"/>
          <w:jc w:val="right"/>
        </w:trPr>
        <w:tc>
          <w:tcPr>
            <w:tcW w:w="1998"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黄</w:t>
            </w:r>
            <w:r>
              <w:rPr>
                <w:rFonts w:ascii="宋体" w:hAnsi="宋体"/>
                <w:szCs w:val="28"/>
              </w:rPr>
              <w:t>军锋</w:t>
            </w:r>
          </w:p>
        </w:tc>
        <w:tc>
          <w:tcPr>
            <w:tcW w:w="5199"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注册咨询</w:t>
            </w:r>
            <w:r>
              <w:rPr>
                <w:rFonts w:ascii="宋体" w:hAnsi="宋体"/>
                <w:szCs w:val="28"/>
              </w:rPr>
              <w:t>师</w:t>
            </w:r>
          </w:p>
        </w:tc>
      </w:tr>
      <w:tr>
        <w:tblPrEx>
          <w:tblCellMar>
            <w:top w:w="0" w:type="dxa"/>
            <w:left w:w="108" w:type="dxa"/>
            <w:bottom w:w="0" w:type="dxa"/>
            <w:right w:w="108" w:type="dxa"/>
          </w:tblCellMar>
        </w:tblPrEx>
        <w:trPr>
          <w:trHeight w:val="23" w:hRule="atLeast"/>
          <w:jc w:val="right"/>
        </w:trPr>
        <w:tc>
          <w:tcPr>
            <w:tcW w:w="1998" w:type="dxa"/>
            <w:vAlign w:val="center"/>
          </w:tcPr>
          <w:p>
            <w:pPr>
              <w:adjustRightInd w:val="0"/>
              <w:snapToGrid w:val="0"/>
              <w:spacing w:before="120" w:beforeLines="50" w:after="120" w:afterLines="50" w:line="240" w:lineRule="auto"/>
              <w:ind w:firstLine="0" w:firstLineChars="0"/>
              <w:jc w:val="left"/>
              <w:rPr>
                <w:rFonts w:ascii="宋体" w:hAnsi="宋体"/>
                <w:szCs w:val="28"/>
              </w:rPr>
            </w:pPr>
          </w:p>
        </w:tc>
        <w:tc>
          <w:tcPr>
            <w:tcW w:w="5199" w:type="dxa"/>
            <w:vAlign w:val="center"/>
          </w:tcPr>
          <w:p>
            <w:pPr>
              <w:adjustRightInd w:val="0"/>
              <w:snapToGrid w:val="0"/>
              <w:spacing w:before="120" w:beforeLines="50" w:after="120" w:afterLines="50" w:line="240" w:lineRule="auto"/>
              <w:ind w:firstLine="0" w:firstLineChars="0"/>
              <w:jc w:val="left"/>
              <w:rPr>
                <w:rFonts w:ascii="宋体" w:hAnsi="宋体"/>
                <w:szCs w:val="28"/>
              </w:rPr>
            </w:pPr>
          </w:p>
        </w:tc>
      </w:tr>
      <w:tr>
        <w:tblPrEx>
          <w:tblCellMar>
            <w:top w:w="0" w:type="dxa"/>
            <w:left w:w="108" w:type="dxa"/>
            <w:bottom w:w="0" w:type="dxa"/>
            <w:right w:w="108" w:type="dxa"/>
          </w:tblCellMar>
        </w:tblPrEx>
        <w:trPr>
          <w:trHeight w:val="23" w:hRule="atLeast"/>
          <w:jc w:val="right"/>
        </w:trPr>
        <w:tc>
          <w:tcPr>
            <w:tcW w:w="1998" w:type="dxa"/>
            <w:vAlign w:val="center"/>
          </w:tcPr>
          <w:p>
            <w:pPr>
              <w:adjustRightInd w:val="0"/>
              <w:snapToGrid w:val="0"/>
              <w:spacing w:before="120" w:beforeLines="50" w:after="120" w:afterLines="50" w:line="240" w:lineRule="auto"/>
              <w:ind w:firstLine="0" w:firstLineChars="0"/>
              <w:jc w:val="left"/>
              <w:rPr>
                <w:rFonts w:ascii="宋体" w:hAnsi="宋体"/>
                <w:b/>
                <w:szCs w:val="28"/>
              </w:rPr>
            </w:pPr>
            <w:r>
              <w:rPr>
                <w:rFonts w:hint="eastAsia" w:ascii="宋体" w:hAnsi="宋体"/>
                <w:b/>
                <w:szCs w:val="28"/>
              </w:rPr>
              <w:t xml:space="preserve">校  </w:t>
            </w:r>
            <w:r>
              <w:rPr>
                <w:rFonts w:ascii="宋体" w:hAnsi="宋体"/>
                <w:b/>
                <w:szCs w:val="28"/>
              </w:rPr>
              <w:t>审</w:t>
            </w:r>
          </w:p>
        </w:tc>
        <w:tc>
          <w:tcPr>
            <w:tcW w:w="5199" w:type="dxa"/>
            <w:vAlign w:val="center"/>
          </w:tcPr>
          <w:p>
            <w:pPr>
              <w:adjustRightInd w:val="0"/>
              <w:snapToGrid w:val="0"/>
              <w:spacing w:before="120" w:beforeLines="50" w:after="120" w:afterLines="50" w:line="240" w:lineRule="auto"/>
              <w:ind w:firstLine="0" w:firstLineChars="0"/>
              <w:jc w:val="left"/>
              <w:rPr>
                <w:rFonts w:ascii="宋体" w:hAnsi="宋体"/>
                <w:szCs w:val="28"/>
              </w:rPr>
            </w:pPr>
          </w:p>
        </w:tc>
      </w:tr>
      <w:tr>
        <w:tblPrEx>
          <w:tblCellMar>
            <w:top w:w="0" w:type="dxa"/>
            <w:left w:w="108" w:type="dxa"/>
            <w:bottom w:w="0" w:type="dxa"/>
            <w:right w:w="108" w:type="dxa"/>
          </w:tblCellMar>
        </w:tblPrEx>
        <w:trPr>
          <w:trHeight w:val="23" w:hRule="atLeast"/>
          <w:jc w:val="right"/>
        </w:trPr>
        <w:tc>
          <w:tcPr>
            <w:tcW w:w="1998"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 xml:space="preserve">罗 </w:t>
            </w:r>
            <w:r>
              <w:rPr>
                <w:rFonts w:ascii="宋体" w:hAnsi="宋体"/>
                <w:szCs w:val="28"/>
              </w:rPr>
              <w:t xml:space="preserve"> 蔚</w:t>
            </w:r>
          </w:p>
        </w:tc>
        <w:tc>
          <w:tcPr>
            <w:tcW w:w="5199"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高</w:t>
            </w:r>
            <w:r>
              <w:rPr>
                <w:rFonts w:ascii="宋体" w:hAnsi="宋体"/>
                <w:szCs w:val="28"/>
              </w:rPr>
              <w:t>级工程师</w:t>
            </w:r>
          </w:p>
        </w:tc>
      </w:tr>
      <w:tr>
        <w:tblPrEx>
          <w:tblCellMar>
            <w:top w:w="0" w:type="dxa"/>
            <w:left w:w="108" w:type="dxa"/>
            <w:bottom w:w="0" w:type="dxa"/>
            <w:right w:w="108" w:type="dxa"/>
          </w:tblCellMar>
        </w:tblPrEx>
        <w:trPr>
          <w:trHeight w:val="23" w:hRule="atLeast"/>
          <w:jc w:val="right"/>
        </w:trPr>
        <w:tc>
          <w:tcPr>
            <w:tcW w:w="1998" w:type="dxa"/>
            <w:vAlign w:val="center"/>
          </w:tcPr>
          <w:p>
            <w:pPr>
              <w:adjustRightInd w:val="0"/>
              <w:snapToGrid w:val="0"/>
              <w:spacing w:before="120" w:beforeLines="50" w:after="120" w:afterLines="50" w:line="240" w:lineRule="auto"/>
              <w:ind w:firstLine="0" w:firstLineChars="0"/>
              <w:jc w:val="left"/>
              <w:rPr>
                <w:rFonts w:ascii="宋体" w:hAnsi="宋体"/>
                <w:szCs w:val="28"/>
              </w:rPr>
            </w:pPr>
          </w:p>
        </w:tc>
        <w:tc>
          <w:tcPr>
            <w:tcW w:w="5199" w:type="dxa"/>
            <w:vAlign w:val="center"/>
          </w:tcPr>
          <w:p>
            <w:pPr>
              <w:adjustRightInd w:val="0"/>
              <w:snapToGrid w:val="0"/>
              <w:spacing w:before="120" w:beforeLines="50" w:after="120" w:afterLines="50" w:line="240" w:lineRule="auto"/>
              <w:ind w:firstLine="0" w:firstLineChars="0"/>
              <w:jc w:val="left"/>
              <w:rPr>
                <w:rFonts w:ascii="宋体" w:hAnsi="宋体"/>
                <w:szCs w:val="28"/>
              </w:rPr>
            </w:pPr>
          </w:p>
        </w:tc>
      </w:tr>
      <w:tr>
        <w:tblPrEx>
          <w:tblCellMar>
            <w:top w:w="0" w:type="dxa"/>
            <w:left w:w="108" w:type="dxa"/>
            <w:bottom w:w="0" w:type="dxa"/>
            <w:right w:w="108" w:type="dxa"/>
          </w:tblCellMar>
        </w:tblPrEx>
        <w:trPr>
          <w:trHeight w:val="23" w:hRule="atLeast"/>
          <w:jc w:val="right"/>
        </w:trPr>
        <w:tc>
          <w:tcPr>
            <w:tcW w:w="1998" w:type="dxa"/>
            <w:vAlign w:val="center"/>
          </w:tcPr>
          <w:p>
            <w:pPr>
              <w:adjustRightInd w:val="0"/>
              <w:snapToGrid w:val="0"/>
              <w:spacing w:before="120" w:beforeLines="50" w:after="120" w:afterLines="50" w:line="240" w:lineRule="auto"/>
              <w:ind w:firstLine="0" w:firstLineChars="0"/>
              <w:jc w:val="left"/>
              <w:rPr>
                <w:rFonts w:ascii="宋体" w:hAnsi="宋体"/>
                <w:b/>
                <w:szCs w:val="28"/>
              </w:rPr>
            </w:pPr>
            <w:r>
              <w:rPr>
                <w:rFonts w:hint="eastAsia" w:ascii="宋体" w:hAnsi="宋体"/>
                <w:b/>
                <w:szCs w:val="28"/>
              </w:rPr>
              <w:t xml:space="preserve">审  </w:t>
            </w:r>
            <w:r>
              <w:rPr>
                <w:rFonts w:ascii="宋体" w:hAnsi="宋体"/>
                <w:b/>
                <w:szCs w:val="28"/>
              </w:rPr>
              <w:t>定</w:t>
            </w:r>
          </w:p>
        </w:tc>
        <w:tc>
          <w:tcPr>
            <w:tcW w:w="5199" w:type="dxa"/>
            <w:vAlign w:val="center"/>
          </w:tcPr>
          <w:p>
            <w:pPr>
              <w:adjustRightInd w:val="0"/>
              <w:snapToGrid w:val="0"/>
              <w:spacing w:before="120" w:beforeLines="50" w:after="120" w:afterLines="50" w:line="240" w:lineRule="auto"/>
              <w:ind w:firstLine="0" w:firstLineChars="0"/>
              <w:jc w:val="left"/>
              <w:rPr>
                <w:rFonts w:ascii="宋体" w:hAnsi="宋体"/>
                <w:szCs w:val="28"/>
              </w:rPr>
            </w:pPr>
          </w:p>
        </w:tc>
      </w:tr>
      <w:tr>
        <w:tblPrEx>
          <w:tblCellMar>
            <w:top w:w="0" w:type="dxa"/>
            <w:left w:w="108" w:type="dxa"/>
            <w:bottom w:w="0" w:type="dxa"/>
            <w:right w:w="108" w:type="dxa"/>
          </w:tblCellMar>
        </w:tblPrEx>
        <w:trPr>
          <w:trHeight w:val="23" w:hRule="atLeast"/>
          <w:jc w:val="right"/>
        </w:trPr>
        <w:tc>
          <w:tcPr>
            <w:tcW w:w="1998"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罗</w:t>
            </w:r>
            <w:r>
              <w:rPr>
                <w:rFonts w:ascii="宋体" w:hAnsi="宋体"/>
                <w:szCs w:val="28"/>
              </w:rPr>
              <w:t>维国</w:t>
            </w:r>
          </w:p>
        </w:tc>
        <w:tc>
          <w:tcPr>
            <w:tcW w:w="5199" w:type="dxa"/>
            <w:vAlign w:val="center"/>
          </w:tcPr>
          <w:p>
            <w:pPr>
              <w:adjustRightInd w:val="0"/>
              <w:snapToGrid w:val="0"/>
              <w:spacing w:before="120" w:beforeLines="50" w:after="120" w:afterLines="50" w:line="240" w:lineRule="auto"/>
              <w:ind w:firstLine="0" w:firstLineChars="0"/>
              <w:jc w:val="left"/>
              <w:rPr>
                <w:rFonts w:ascii="宋体" w:hAnsi="宋体"/>
                <w:szCs w:val="28"/>
              </w:rPr>
            </w:pPr>
            <w:r>
              <w:rPr>
                <w:rFonts w:hint="eastAsia" w:ascii="宋体" w:hAnsi="宋体"/>
                <w:szCs w:val="28"/>
              </w:rPr>
              <w:t>注册咨询</w:t>
            </w:r>
            <w:r>
              <w:rPr>
                <w:rFonts w:ascii="宋体" w:hAnsi="宋体"/>
                <w:szCs w:val="28"/>
              </w:rPr>
              <w:t>师</w:t>
            </w:r>
            <w:r>
              <w:rPr>
                <w:rFonts w:hint="eastAsia" w:ascii="宋体" w:hAnsi="宋体"/>
                <w:szCs w:val="28"/>
              </w:rPr>
              <w:t>、</w:t>
            </w:r>
            <w:r>
              <w:rPr>
                <w:rFonts w:ascii="宋体" w:hAnsi="宋体"/>
                <w:szCs w:val="28"/>
              </w:rPr>
              <w:t>工程师</w:t>
            </w:r>
          </w:p>
        </w:tc>
      </w:tr>
    </w:tbl>
    <w:p>
      <w:pPr>
        <w:ind w:firstLine="560"/>
        <w:rPr>
          <w:rFonts w:cs="Times New Roman" w:eastAsiaTheme="minorEastAsia"/>
          <w:szCs w:val="28"/>
        </w:rPr>
      </w:pPr>
    </w:p>
    <w:p>
      <w:pPr>
        <w:ind w:firstLine="560"/>
        <w:rPr>
          <w:rFonts w:cs="Times New Roman" w:eastAsiaTheme="minorEastAsia"/>
          <w:szCs w:val="28"/>
        </w:rPr>
      </w:pPr>
    </w:p>
    <w:p>
      <w:pPr>
        <w:ind w:firstLine="560"/>
        <w:rPr>
          <w:rFonts w:cs="Times New Roman" w:eastAsiaTheme="minorEastAsia"/>
          <w:szCs w:val="28"/>
        </w:rPr>
      </w:pPr>
    </w:p>
    <w:p>
      <w:pPr>
        <w:ind w:firstLine="643"/>
        <w:jc w:val="center"/>
        <w:rPr>
          <w:rFonts w:cs="Times New Roman" w:eastAsiaTheme="minorEastAsia"/>
          <w:b/>
          <w:bCs/>
          <w:sz w:val="32"/>
          <w:szCs w:val="32"/>
        </w:rPr>
      </w:pPr>
    </w:p>
    <w:p>
      <w:pPr>
        <w:ind w:firstLine="560"/>
        <w:jc w:val="center"/>
        <w:rPr>
          <w:rFonts w:cs="Times New Roman" w:eastAsiaTheme="minorEastAsia"/>
          <w:szCs w:val="28"/>
        </w:rPr>
      </w:pPr>
    </w:p>
    <w:p>
      <w:pPr>
        <w:ind w:firstLine="560"/>
        <w:rPr>
          <w:rFonts w:cs="Times New Roman" w:eastAsiaTheme="minorEastAsia"/>
          <w:szCs w:val="28"/>
        </w:rPr>
      </w:pPr>
    </w:p>
    <w:p>
      <w:pPr>
        <w:ind w:firstLine="560"/>
        <w:rPr>
          <w:rFonts w:cs="Times New Roman" w:eastAsiaTheme="minorEastAsia"/>
          <w:szCs w:val="28"/>
        </w:rPr>
        <w:sectPr>
          <w:headerReference r:id="rId7" w:type="first"/>
          <w:footerReference r:id="rId10" w:type="first"/>
          <w:headerReference r:id="rId5" w:type="default"/>
          <w:footerReference r:id="rId8" w:type="default"/>
          <w:headerReference r:id="rId6" w:type="even"/>
          <w:footerReference r:id="rId9" w:type="even"/>
          <w:pgSz w:w="11906" w:h="16838"/>
          <w:pgMar w:top="1247" w:right="1361" w:bottom="1247" w:left="1361" w:header="851" w:footer="992" w:gutter="0"/>
          <w:pgNumType w:start="0"/>
          <w:cols w:space="425" w:num="1"/>
          <w:titlePg/>
          <w:docGrid w:linePitch="381" w:charSpace="0"/>
        </w:sectPr>
      </w:pPr>
    </w:p>
    <w:sdt>
      <w:sdtPr>
        <w:rPr>
          <w:rFonts w:ascii="Times New Roman" w:hAnsi="Times New Roman" w:cs="Times New Roman" w:eastAsiaTheme="minorEastAsia"/>
          <w:color w:val="auto"/>
          <w:kern w:val="2"/>
          <w:sz w:val="28"/>
          <w:szCs w:val="21"/>
          <w:lang w:val="zh-CN"/>
        </w:rPr>
        <w:id w:val="1680550938"/>
        <w:docPartObj>
          <w:docPartGallery w:val="Table of Contents"/>
          <w:docPartUnique/>
        </w:docPartObj>
      </w:sdtPr>
      <w:sdtEndPr>
        <w:rPr>
          <w:rFonts w:ascii="Times New Roman" w:hAnsi="Times New Roman" w:cs="Times New Roman" w:eastAsiaTheme="minorEastAsia"/>
          <w:b/>
          <w:bCs/>
          <w:color w:val="auto"/>
          <w:kern w:val="2"/>
          <w:sz w:val="28"/>
          <w:szCs w:val="21"/>
          <w:lang w:val="zh-CN"/>
        </w:rPr>
      </w:sdtEndPr>
      <w:sdtContent>
        <w:p>
          <w:pPr>
            <w:pStyle w:val="48"/>
            <w:spacing w:before="190" w:after="190"/>
            <w:jc w:val="center"/>
            <w:rPr>
              <w:rFonts w:ascii="Times New Roman" w:hAnsi="Times New Roman" w:cs="Times New Roman" w:eastAsiaTheme="minorEastAsia"/>
              <w:b/>
              <w:color w:val="auto"/>
              <w:lang w:val="zh-CN"/>
            </w:rPr>
          </w:pPr>
          <w:r>
            <w:rPr>
              <w:rFonts w:ascii="Times New Roman" w:cs="Times New Roman" w:hAnsiTheme="minorEastAsia" w:eastAsiaTheme="minorEastAsia"/>
              <w:b/>
              <w:color w:val="auto"/>
              <w:lang w:val="zh-CN"/>
            </w:rPr>
            <w:t>目录</w:t>
          </w:r>
        </w:p>
        <w:p>
          <w:pPr>
            <w:pStyle w:val="22"/>
            <w:tabs>
              <w:tab w:val="right" w:leader="dot" w:pos="8296"/>
            </w:tabs>
            <w:rPr>
              <w:rFonts w:asciiTheme="minorHAnsi" w:hAnsiTheme="minorHAnsi" w:eastAsiaTheme="minorEastAsia" w:cstheme="minorBidi"/>
              <w:sz w:val="21"/>
              <w:szCs w:val="22"/>
            </w:rPr>
          </w:pPr>
          <w:r>
            <w:rPr>
              <w:rFonts w:ascii="Times New Roman" w:hAnsi="Times New Roman" w:cs="Times New Roman" w:eastAsiaTheme="minorEastAsia"/>
            </w:rPr>
            <w:fldChar w:fldCharType="begin"/>
          </w:r>
          <w:r>
            <w:rPr>
              <w:rFonts w:ascii="Times New Roman" w:hAnsi="Times New Roman" w:cs="Times New Roman" w:eastAsiaTheme="minorEastAsia"/>
            </w:rPr>
            <w:instrText xml:space="preserve"> TOC \o "1-2" \u </w:instrText>
          </w:r>
          <w:r>
            <w:rPr>
              <w:rFonts w:ascii="Times New Roman" w:hAnsi="Times New Roman" w:cs="Times New Roman" w:eastAsiaTheme="minorEastAsia"/>
            </w:rPr>
            <w:fldChar w:fldCharType="separate"/>
          </w:r>
          <w:r>
            <w:rPr>
              <w:rFonts w:hint="eastAsia" w:cs="Times New Roman" w:hAnsiTheme="minorEastAsia" w:eastAsiaTheme="minorEastAsia"/>
            </w:rPr>
            <w:t>第一章总论</w:t>
          </w:r>
          <w:r>
            <w:tab/>
          </w:r>
          <w:r>
            <w:fldChar w:fldCharType="begin"/>
          </w:r>
          <w:r>
            <w:instrText xml:space="preserve"> PAGEREF _Toc126591844 \h </w:instrText>
          </w:r>
          <w:r>
            <w:fldChar w:fldCharType="separate"/>
          </w:r>
          <w:r>
            <w:t>1</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1.1 </w:t>
          </w:r>
          <w:r>
            <w:rPr>
              <w:rFonts w:hint="eastAsia" w:cs="Times New Roman" w:hAnsiTheme="minorEastAsia" w:eastAsiaTheme="minorEastAsia"/>
            </w:rPr>
            <w:t>规划背景</w:t>
          </w:r>
          <w:r>
            <w:tab/>
          </w:r>
          <w:r>
            <w:fldChar w:fldCharType="begin"/>
          </w:r>
          <w:r>
            <w:instrText xml:space="preserve"> PAGEREF _Toc126591845 \h </w:instrText>
          </w:r>
          <w:r>
            <w:fldChar w:fldCharType="separate"/>
          </w:r>
          <w:r>
            <w:t>1</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1.2 </w:t>
          </w:r>
          <w:r>
            <w:rPr>
              <w:rFonts w:hint="eastAsia" w:cs="Times New Roman" w:hAnsiTheme="minorEastAsia" w:eastAsiaTheme="minorEastAsia"/>
            </w:rPr>
            <w:t>规划的必要性和意义</w:t>
          </w:r>
          <w:r>
            <w:tab/>
          </w:r>
          <w:r>
            <w:fldChar w:fldCharType="begin"/>
          </w:r>
          <w:r>
            <w:instrText xml:space="preserve"> PAGEREF _Toc126591846 \h </w:instrText>
          </w:r>
          <w:r>
            <w:fldChar w:fldCharType="separate"/>
          </w:r>
          <w:r>
            <w:t>2</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1.3 </w:t>
          </w:r>
          <w:r>
            <w:rPr>
              <w:rFonts w:hint="eastAsia" w:cs="Times New Roman" w:hAnsiTheme="minorEastAsia" w:eastAsiaTheme="minorEastAsia"/>
            </w:rPr>
            <w:t>规划编制依据</w:t>
          </w:r>
          <w:r>
            <w:tab/>
          </w:r>
          <w:r>
            <w:fldChar w:fldCharType="begin"/>
          </w:r>
          <w:r>
            <w:instrText xml:space="preserve"> PAGEREF _Toc126591847 \h </w:instrText>
          </w:r>
          <w:r>
            <w:fldChar w:fldCharType="separate"/>
          </w:r>
          <w:r>
            <w:t>6</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1.4 </w:t>
          </w:r>
          <w:r>
            <w:rPr>
              <w:rFonts w:hint="eastAsia" w:cs="Times New Roman" w:hAnsiTheme="minorEastAsia" w:eastAsiaTheme="minorEastAsia"/>
            </w:rPr>
            <w:t>规划范围及时限</w:t>
          </w:r>
          <w:r>
            <w:tab/>
          </w:r>
          <w:r>
            <w:fldChar w:fldCharType="begin"/>
          </w:r>
          <w:r>
            <w:instrText xml:space="preserve"> PAGEREF _Toc126591848 \h </w:instrText>
          </w:r>
          <w:r>
            <w:fldChar w:fldCharType="separate"/>
          </w:r>
          <w:r>
            <w:t>7</w:t>
          </w:r>
          <w:r>
            <w:fldChar w:fldCharType="end"/>
          </w:r>
        </w:p>
        <w:p>
          <w:pPr>
            <w:pStyle w:val="22"/>
            <w:tabs>
              <w:tab w:val="right" w:leader="dot" w:pos="8296"/>
            </w:tabs>
            <w:rPr>
              <w:rFonts w:asciiTheme="minorHAnsi" w:hAnsiTheme="minorHAnsi" w:eastAsiaTheme="minorEastAsia" w:cstheme="minorBidi"/>
              <w:sz w:val="21"/>
              <w:szCs w:val="22"/>
            </w:rPr>
          </w:pPr>
          <w:r>
            <w:rPr>
              <w:rFonts w:hint="eastAsia" w:cs="Times New Roman" w:hAnsiTheme="minorEastAsia" w:eastAsiaTheme="minorEastAsia"/>
            </w:rPr>
            <w:t>第二章产业发展基础</w:t>
          </w:r>
          <w:r>
            <w:tab/>
          </w:r>
          <w:r>
            <w:fldChar w:fldCharType="begin"/>
          </w:r>
          <w:r>
            <w:instrText xml:space="preserve"> PAGEREF _Toc126591849 \h </w:instrText>
          </w:r>
          <w:r>
            <w:fldChar w:fldCharType="separate"/>
          </w:r>
          <w:r>
            <w:t>8</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2.1 </w:t>
          </w:r>
          <w:r>
            <w:rPr>
              <w:rFonts w:hint="eastAsia" w:cs="Times New Roman" w:hAnsiTheme="minorEastAsia" w:eastAsiaTheme="minorEastAsia"/>
            </w:rPr>
            <w:t>六枝特区国民经济发展概况</w:t>
          </w:r>
          <w:r>
            <w:tab/>
          </w:r>
          <w:r>
            <w:fldChar w:fldCharType="begin"/>
          </w:r>
          <w:r>
            <w:instrText xml:space="preserve"> PAGEREF _Toc126591850 \h </w:instrText>
          </w:r>
          <w:r>
            <w:fldChar w:fldCharType="separate"/>
          </w:r>
          <w:r>
            <w:t>8</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2.2 </w:t>
          </w:r>
          <w:r>
            <w:rPr>
              <w:rFonts w:hint="eastAsia" w:cs="Times New Roman" w:hAnsiTheme="minorEastAsia" w:eastAsiaTheme="minorEastAsia"/>
            </w:rPr>
            <w:t>六枝经开区现状</w:t>
          </w:r>
          <w:r>
            <w:tab/>
          </w:r>
          <w:r>
            <w:fldChar w:fldCharType="begin"/>
          </w:r>
          <w:r>
            <w:instrText xml:space="preserve"> PAGEREF _Toc126591851 \h </w:instrText>
          </w:r>
          <w:r>
            <w:fldChar w:fldCharType="separate"/>
          </w:r>
          <w:r>
            <w:t>8</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2.3 </w:t>
          </w:r>
          <w:r>
            <w:rPr>
              <w:rFonts w:hint="eastAsia" w:cs="Times New Roman" w:hAnsiTheme="minorEastAsia" w:eastAsiaTheme="minorEastAsia"/>
            </w:rPr>
            <w:t>资源条件</w:t>
          </w:r>
          <w:r>
            <w:tab/>
          </w:r>
          <w:r>
            <w:fldChar w:fldCharType="begin"/>
          </w:r>
          <w:r>
            <w:instrText xml:space="preserve"> PAGEREF _Toc126591852 \h </w:instrText>
          </w:r>
          <w:r>
            <w:fldChar w:fldCharType="separate"/>
          </w:r>
          <w:r>
            <w:t>11</w:t>
          </w:r>
          <w:r>
            <w:fldChar w:fldCharType="end"/>
          </w:r>
        </w:p>
        <w:p>
          <w:pPr>
            <w:pStyle w:val="22"/>
            <w:tabs>
              <w:tab w:val="right" w:leader="dot" w:pos="8296"/>
            </w:tabs>
            <w:rPr>
              <w:rFonts w:asciiTheme="minorHAnsi" w:hAnsiTheme="minorHAnsi" w:eastAsiaTheme="minorEastAsia" w:cstheme="minorBidi"/>
              <w:sz w:val="21"/>
              <w:szCs w:val="22"/>
            </w:rPr>
          </w:pPr>
          <w:r>
            <w:rPr>
              <w:rFonts w:hint="eastAsia" w:cs="Times New Roman" w:hAnsiTheme="minorEastAsia" w:eastAsiaTheme="minorEastAsia"/>
            </w:rPr>
            <w:t>第三章发展环境分析</w:t>
          </w:r>
          <w:r>
            <w:tab/>
          </w:r>
          <w:r>
            <w:fldChar w:fldCharType="begin"/>
          </w:r>
          <w:r>
            <w:instrText xml:space="preserve"> PAGEREF _Toc126591853 \h </w:instrText>
          </w:r>
          <w:r>
            <w:fldChar w:fldCharType="separate"/>
          </w:r>
          <w:r>
            <w:t>15</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3.1</w:t>
          </w:r>
          <w:r>
            <w:rPr>
              <w:rFonts w:hint="eastAsia" w:cs="Times New Roman" w:hAnsiTheme="minorEastAsia" w:eastAsiaTheme="minorEastAsia"/>
            </w:rPr>
            <w:t>产业环境</w:t>
          </w:r>
          <w:r>
            <w:tab/>
          </w:r>
          <w:r>
            <w:fldChar w:fldCharType="begin"/>
          </w:r>
          <w:r>
            <w:instrText xml:space="preserve"> PAGEREF _Toc126591854 \h </w:instrText>
          </w:r>
          <w:r>
            <w:fldChar w:fldCharType="separate"/>
          </w:r>
          <w:r>
            <w:t>15</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3.2</w:t>
          </w:r>
          <w:r>
            <w:rPr>
              <w:rFonts w:hint="eastAsia" w:cs="Times New Roman" w:hAnsiTheme="minorEastAsia" w:eastAsiaTheme="minorEastAsia"/>
            </w:rPr>
            <w:t>政策符合性</w:t>
          </w:r>
          <w:r>
            <w:tab/>
          </w:r>
          <w:r>
            <w:fldChar w:fldCharType="begin"/>
          </w:r>
          <w:r>
            <w:instrText xml:space="preserve"> PAGEREF _Toc126591855 \h </w:instrText>
          </w:r>
          <w:r>
            <w:fldChar w:fldCharType="separate"/>
          </w:r>
          <w:r>
            <w:t>29</w:t>
          </w:r>
          <w:r>
            <w:fldChar w:fldCharType="end"/>
          </w:r>
        </w:p>
        <w:p>
          <w:pPr>
            <w:pStyle w:val="22"/>
            <w:tabs>
              <w:tab w:val="right" w:leader="dot" w:pos="8296"/>
            </w:tabs>
            <w:rPr>
              <w:rFonts w:asciiTheme="minorHAnsi" w:hAnsiTheme="minorHAnsi" w:eastAsiaTheme="minorEastAsia" w:cstheme="minorBidi"/>
              <w:sz w:val="21"/>
              <w:szCs w:val="22"/>
            </w:rPr>
          </w:pPr>
          <w:r>
            <w:rPr>
              <w:rFonts w:hint="eastAsia" w:cs="Times New Roman" w:hAnsiTheme="minorEastAsia" w:eastAsiaTheme="minorEastAsia"/>
            </w:rPr>
            <w:t>第四章规划总体要求</w:t>
          </w:r>
          <w:r>
            <w:tab/>
          </w:r>
          <w:r>
            <w:fldChar w:fldCharType="begin"/>
          </w:r>
          <w:r>
            <w:instrText xml:space="preserve"> PAGEREF _Toc126591856 \h </w:instrText>
          </w:r>
          <w:r>
            <w:fldChar w:fldCharType="separate"/>
          </w:r>
          <w:r>
            <w:t>31</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4.1 </w:t>
          </w:r>
          <w:r>
            <w:rPr>
              <w:rFonts w:hint="eastAsia" w:cs="Times New Roman" w:hAnsiTheme="minorEastAsia" w:eastAsiaTheme="minorEastAsia"/>
            </w:rPr>
            <w:t>指导思想</w:t>
          </w:r>
          <w:r>
            <w:tab/>
          </w:r>
          <w:r>
            <w:fldChar w:fldCharType="begin"/>
          </w:r>
          <w:r>
            <w:instrText xml:space="preserve"> PAGEREF _Toc126591857 \h </w:instrText>
          </w:r>
          <w:r>
            <w:fldChar w:fldCharType="separate"/>
          </w:r>
          <w:r>
            <w:t>31</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4.2 </w:t>
          </w:r>
          <w:r>
            <w:rPr>
              <w:rFonts w:hint="eastAsia" w:cs="Times New Roman" w:hAnsiTheme="minorEastAsia" w:eastAsiaTheme="minorEastAsia"/>
            </w:rPr>
            <w:t>基本原则</w:t>
          </w:r>
          <w:r>
            <w:tab/>
          </w:r>
          <w:r>
            <w:fldChar w:fldCharType="begin"/>
          </w:r>
          <w:r>
            <w:instrText xml:space="preserve"> PAGEREF _Toc126591858 \h </w:instrText>
          </w:r>
          <w:r>
            <w:fldChar w:fldCharType="separate"/>
          </w:r>
          <w:r>
            <w:t>31</w:t>
          </w:r>
          <w:r>
            <w:fldChar w:fldCharType="end"/>
          </w:r>
        </w:p>
        <w:p>
          <w:pPr>
            <w:pStyle w:val="22"/>
            <w:tabs>
              <w:tab w:val="right" w:leader="dot" w:pos="8296"/>
            </w:tabs>
            <w:rPr>
              <w:rFonts w:asciiTheme="minorHAnsi" w:hAnsiTheme="minorHAnsi" w:eastAsiaTheme="minorEastAsia" w:cstheme="minorBidi"/>
              <w:sz w:val="21"/>
              <w:szCs w:val="22"/>
            </w:rPr>
          </w:pPr>
          <w:r>
            <w:rPr>
              <w:rFonts w:hint="eastAsia" w:cs="Times New Roman" w:hAnsiTheme="minorEastAsia" w:eastAsiaTheme="minorEastAsia"/>
            </w:rPr>
            <w:t>第五章产业发展规划</w:t>
          </w:r>
          <w:r>
            <w:tab/>
          </w:r>
          <w:r>
            <w:fldChar w:fldCharType="begin"/>
          </w:r>
          <w:r>
            <w:instrText xml:space="preserve"> PAGEREF _Toc126591859 \h </w:instrText>
          </w:r>
          <w:r>
            <w:fldChar w:fldCharType="separate"/>
          </w:r>
          <w:r>
            <w:t>33</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5.1 </w:t>
          </w:r>
          <w:r>
            <w:rPr>
              <w:rFonts w:hint="eastAsia" w:cs="Times New Roman" w:hAnsiTheme="minorEastAsia" w:eastAsiaTheme="minorEastAsia"/>
            </w:rPr>
            <w:t>发展思路</w:t>
          </w:r>
          <w:r>
            <w:tab/>
          </w:r>
          <w:r>
            <w:fldChar w:fldCharType="begin"/>
          </w:r>
          <w:r>
            <w:instrText xml:space="preserve"> PAGEREF _Toc126591860 \h </w:instrText>
          </w:r>
          <w:r>
            <w:fldChar w:fldCharType="separate"/>
          </w:r>
          <w:r>
            <w:t>33</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5.2 </w:t>
          </w:r>
          <w:r>
            <w:rPr>
              <w:rFonts w:hint="eastAsia" w:cs="Times New Roman" w:hAnsiTheme="minorEastAsia" w:eastAsiaTheme="minorEastAsia"/>
            </w:rPr>
            <w:t>发展目标</w:t>
          </w:r>
          <w:r>
            <w:tab/>
          </w:r>
          <w:r>
            <w:fldChar w:fldCharType="begin"/>
          </w:r>
          <w:r>
            <w:instrText xml:space="preserve"> PAGEREF _Toc126591861 \h </w:instrText>
          </w:r>
          <w:r>
            <w:fldChar w:fldCharType="separate"/>
          </w:r>
          <w:r>
            <w:t>33</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5.3 </w:t>
          </w:r>
          <w:r>
            <w:rPr>
              <w:rFonts w:hint="eastAsia" w:cs="Times New Roman" w:hAnsiTheme="minorEastAsia" w:eastAsiaTheme="minorEastAsia"/>
            </w:rPr>
            <w:t>产业定位及发展方向</w:t>
          </w:r>
          <w:r>
            <w:tab/>
          </w:r>
          <w:r>
            <w:fldChar w:fldCharType="begin"/>
          </w:r>
          <w:r>
            <w:instrText xml:space="preserve"> PAGEREF _Toc126591862 \h </w:instrText>
          </w:r>
          <w:r>
            <w:fldChar w:fldCharType="separate"/>
          </w:r>
          <w:r>
            <w:t>34</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5.4</w:t>
          </w:r>
          <w:r>
            <w:rPr>
              <w:rFonts w:hint="eastAsia" w:cs="Times New Roman" w:hAnsiTheme="minorEastAsia" w:eastAsiaTheme="minorEastAsia"/>
            </w:rPr>
            <w:t>发展产业链</w:t>
          </w:r>
          <w:r>
            <w:tab/>
          </w:r>
          <w:r>
            <w:fldChar w:fldCharType="begin"/>
          </w:r>
          <w:r>
            <w:instrText xml:space="preserve"> PAGEREF _Toc126591863 \h </w:instrText>
          </w:r>
          <w:r>
            <w:fldChar w:fldCharType="separate"/>
          </w:r>
          <w:r>
            <w:t>36</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5.5</w:t>
          </w:r>
          <w:r>
            <w:rPr>
              <w:rFonts w:hint="eastAsia" w:cs="Times New Roman" w:hAnsiTheme="minorEastAsia" w:eastAsiaTheme="minorEastAsia"/>
            </w:rPr>
            <w:t>园区规划项目</w:t>
          </w:r>
          <w:r>
            <w:tab/>
          </w:r>
          <w:r>
            <w:fldChar w:fldCharType="begin"/>
          </w:r>
          <w:r>
            <w:instrText xml:space="preserve"> PAGEREF _Toc126591864 \h </w:instrText>
          </w:r>
          <w:r>
            <w:fldChar w:fldCharType="separate"/>
          </w:r>
          <w:r>
            <w:t>38</w:t>
          </w:r>
          <w:r>
            <w:fldChar w:fldCharType="end"/>
          </w:r>
        </w:p>
        <w:p>
          <w:pPr>
            <w:pStyle w:val="22"/>
            <w:tabs>
              <w:tab w:val="right" w:leader="dot" w:pos="8296"/>
            </w:tabs>
            <w:rPr>
              <w:rFonts w:asciiTheme="minorHAnsi" w:hAnsiTheme="minorHAnsi" w:eastAsiaTheme="minorEastAsia" w:cstheme="minorBidi"/>
              <w:sz w:val="21"/>
              <w:szCs w:val="22"/>
            </w:rPr>
          </w:pPr>
          <w:r>
            <w:rPr>
              <w:rFonts w:hint="eastAsia" w:cs="Times New Roman" w:hAnsiTheme="minorEastAsia" w:eastAsiaTheme="minorEastAsia"/>
            </w:rPr>
            <w:t>第六章初步空间规划</w:t>
          </w:r>
          <w:r>
            <w:tab/>
          </w:r>
          <w:r>
            <w:fldChar w:fldCharType="begin"/>
          </w:r>
          <w:r>
            <w:instrText xml:space="preserve"> PAGEREF _Toc126591865 \h </w:instrText>
          </w:r>
          <w:r>
            <w:fldChar w:fldCharType="separate"/>
          </w:r>
          <w:r>
            <w:t>39</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6.1</w:t>
          </w:r>
          <w:r>
            <w:rPr>
              <w:rFonts w:hint="eastAsia" w:cs="Times New Roman" w:hAnsiTheme="minorEastAsia" w:eastAsiaTheme="minorEastAsia"/>
            </w:rPr>
            <w:t>空间结构</w:t>
          </w:r>
          <w:r>
            <w:tab/>
          </w:r>
          <w:r>
            <w:fldChar w:fldCharType="begin"/>
          </w:r>
          <w:r>
            <w:instrText xml:space="preserve"> PAGEREF _Toc126591866 \h </w:instrText>
          </w:r>
          <w:r>
            <w:fldChar w:fldCharType="separate"/>
          </w:r>
          <w:r>
            <w:t>39</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6.2</w:t>
          </w:r>
          <w:r>
            <w:rPr>
              <w:rFonts w:hint="eastAsia" w:cs="Times New Roman" w:hAnsiTheme="minorEastAsia" w:eastAsiaTheme="minorEastAsia"/>
            </w:rPr>
            <w:t>产业功能区</w:t>
          </w:r>
          <w:r>
            <w:tab/>
          </w:r>
          <w:r>
            <w:fldChar w:fldCharType="begin"/>
          </w:r>
          <w:r>
            <w:instrText xml:space="preserve"> PAGEREF _Toc126591867 \h </w:instrText>
          </w:r>
          <w:r>
            <w:fldChar w:fldCharType="separate"/>
          </w:r>
          <w:r>
            <w:t>39</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6.3</w:t>
          </w:r>
          <w:r>
            <w:rPr>
              <w:rFonts w:hint="eastAsia" w:cs="Times New Roman" w:hAnsiTheme="minorEastAsia" w:eastAsiaTheme="minorEastAsia"/>
            </w:rPr>
            <w:t>公共管理服务设施</w:t>
          </w:r>
          <w:r>
            <w:tab/>
          </w:r>
          <w:r>
            <w:fldChar w:fldCharType="begin"/>
          </w:r>
          <w:r>
            <w:instrText xml:space="preserve"> PAGEREF _Toc126591868 \h </w:instrText>
          </w:r>
          <w:r>
            <w:fldChar w:fldCharType="separate"/>
          </w:r>
          <w:r>
            <w:t>39</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6.4</w:t>
          </w:r>
          <w:r>
            <w:rPr>
              <w:rFonts w:hint="eastAsia" w:cs="Times New Roman" w:hAnsiTheme="minorEastAsia" w:eastAsiaTheme="minorEastAsia"/>
            </w:rPr>
            <w:t>安全防护距离和缓冲带</w:t>
          </w:r>
          <w:r>
            <w:tab/>
          </w:r>
          <w:r>
            <w:fldChar w:fldCharType="begin"/>
          </w:r>
          <w:r>
            <w:instrText xml:space="preserve"> PAGEREF _Toc126591869 \h </w:instrText>
          </w:r>
          <w:r>
            <w:fldChar w:fldCharType="separate"/>
          </w:r>
          <w:r>
            <w:t>39</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6.5</w:t>
          </w:r>
          <w:r>
            <w:rPr>
              <w:rFonts w:hint="eastAsia" w:cs="Times New Roman" w:hAnsiTheme="minorEastAsia" w:eastAsiaTheme="minorEastAsia"/>
            </w:rPr>
            <w:t>土地开发控制</w:t>
          </w:r>
          <w:r>
            <w:tab/>
          </w:r>
          <w:r>
            <w:fldChar w:fldCharType="begin"/>
          </w:r>
          <w:r>
            <w:instrText xml:space="preserve"> PAGEREF _Toc126591870 \h </w:instrText>
          </w:r>
          <w:r>
            <w:fldChar w:fldCharType="separate"/>
          </w:r>
          <w:r>
            <w:t>40</w:t>
          </w:r>
          <w:r>
            <w:fldChar w:fldCharType="end"/>
          </w:r>
        </w:p>
        <w:p>
          <w:pPr>
            <w:pStyle w:val="22"/>
            <w:tabs>
              <w:tab w:val="right" w:leader="dot" w:pos="8296"/>
            </w:tabs>
            <w:rPr>
              <w:rFonts w:asciiTheme="minorHAnsi" w:hAnsiTheme="minorHAnsi" w:eastAsiaTheme="minorEastAsia" w:cstheme="minorBidi"/>
              <w:sz w:val="21"/>
              <w:szCs w:val="22"/>
            </w:rPr>
          </w:pPr>
          <w:r>
            <w:rPr>
              <w:rFonts w:hint="eastAsia" w:cs="Times New Roman" w:hAnsiTheme="minorEastAsia" w:eastAsiaTheme="minorEastAsia"/>
            </w:rPr>
            <w:t>第七章环境保护规划</w:t>
          </w:r>
          <w:r>
            <w:tab/>
          </w:r>
          <w:r>
            <w:fldChar w:fldCharType="begin"/>
          </w:r>
          <w:r>
            <w:instrText xml:space="preserve"> PAGEREF _Toc126591871 \h </w:instrText>
          </w:r>
          <w:r>
            <w:fldChar w:fldCharType="separate"/>
          </w:r>
          <w:r>
            <w:t>41</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rPr>
            <w:t xml:space="preserve">7.1 </w:t>
          </w:r>
          <w:r>
            <w:rPr>
              <w:rFonts w:hint="eastAsia" w:cs="Times New Roman"/>
            </w:rPr>
            <w:t>国家相关政策</w:t>
          </w:r>
          <w:r>
            <w:tab/>
          </w:r>
          <w:r>
            <w:fldChar w:fldCharType="begin"/>
          </w:r>
          <w:r>
            <w:instrText xml:space="preserve"> PAGEREF _Toc126591872 \h </w:instrText>
          </w:r>
          <w:r>
            <w:fldChar w:fldCharType="separate"/>
          </w:r>
          <w:r>
            <w:t>41</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rPr>
            <w:t xml:space="preserve">7.2 </w:t>
          </w:r>
          <w:r>
            <w:rPr>
              <w:rFonts w:hint="eastAsia" w:cs="Times New Roman"/>
            </w:rPr>
            <w:t>环保及绿色发展原则</w:t>
          </w:r>
          <w:r>
            <w:tab/>
          </w:r>
          <w:r>
            <w:fldChar w:fldCharType="begin"/>
          </w:r>
          <w:r>
            <w:instrText xml:space="preserve"> PAGEREF _Toc126591873 \h </w:instrText>
          </w:r>
          <w:r>
            <w:fldChar w:fldCharType="separate"/>
          </w:r>
          <w:r>
            <w:t>43</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rPr>
            <w:t xml:space="preserve">7.3 </w:t>
          </w:r>
          <w:r>
            <w:rPr>
              <w:rFonts w:hint="eastAsia" w:cs="Times New Roman"/>
            </w:rPr>
            <w:t>园区环境保护及绿色发展措施</w:t>
          </w:r>
          <w:r>
            <w:tab/>
          </w:r>
          <w:r>
            <w:fldChar w:fldCharType="begin"/>
          </w:r>
          <w:r>
            <w:instrText xml:space="preserve"> PAGEREF _Toc126591874 \h </w:instrText>
          </w:r>
          <w:r>
            <w:fldChar w:fldCharType="separate"/>
          </w:r>
          <w:r>
            <w:t>44</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7.4</w:t>
          </w:r>
          <w:r>
            <w:rPr>
              <w:rFonts w:hint="eastAsia" w:cs="Times New Roman" w:hAnsiTheme="minorEastAsia" w:eastAsiaTheme="minorEastAsia"/>
            </w:rPr>
            <w:t>环境管理及监测</w:t>
          </w:r>
          <w:r>
            <w:tab/>
          </w:r>
          <w:r>
            <w:fldChar w:fldCharType="begin"/>
          </w:r>
          <w:r>
            <w:instrText xml:space="preserve"> PAGEREF _Toc126591875 \h </w:instrText>
          </w:r>
          <w:r>
            <w:fldChar w:fldCharType="separate"/>
          </w:r>
          <w:r>
            <w:t>49</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7.5</w:t>
          </w:r>
          <w:r>
            <w:rPr>
              <w:rFonts w:hint="eastAsia" w:cs="Times New Roman" w:hAnsiTheme="minorEastAsia" w:eastAsiaTheme="minorEastAsia"/>
            </w:rPr>
            <w:t>环境风险防控体系</w:t>
          </w:r>
          <w:r>
            <w:tab/>
          </w:r>
          <w:r>
            <w:fldChar w:fldCharType="begin"/>
          </w:r>
          <w:r>
            <w:instrText xml:space="preserve"> PAGEREF _Toc126591876 \h </w:instrText>
          </w:r>
          <w:r>
            <w:fldChar w:fldCharType="separate"/>
          </w:r>
          <w:r>
            <w:t>50</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7.6</w:t>
          </w:r>
          <w:r>
            <w:rPr>
              <w:rFonts w:hint="eastAsia" w:cs="Times New Roman" w:eastAsiaTheme="minorEastAsia"/>
            </w:rPr>
            <w:t>园区生态环境保护一体化措施建议</w:t>
          </w:r>
          <w:r>
            <w:tab/>
          </w:r>
          <w:r>
            <w:fldChar w:fldCharType="begin"/>
          </w:r>
          <w:r>
            <w:instrText xml:space="preserve"> PAGEREF _Toc126591877 \h </w:instrText>
          </w:r>
          <w:r>
            <w:fldChar w:fldCharType="separate"/>
          </w:r>
          <w:r>
            <w:t>52</w:t>
          </w:r>
          <w:r>
            <w:fldChar w:fldCharType="end"/>
          </w:r>
        </w:p>
        <w:p>
          <w:pPr>
            <w:pStyle w:val="22"/>
            <w:tabs>
              <w:tab w:val="right" w:leader="dot" w:pos="8296"/>
            </w:tabs>
            <w:rPr>
              <w:rFonts w:asciiTheme="minorHAnsi" w:hAnsiTheme="minorHAnsi" w:eastAsiaTheme="minorEastAsia" w:cstheme="minorBidi"/>
              <w:sz w:val="21"/>
              <w:szCs w:val="22"/>
            </w:rPr>
          </w:pPr>
          <w:r>
            <w:rPr>
              <w:rFonts w:hint="eastAsia" w:cs="Times New Roman" w:hAnsiTheme="minorEastAsia" w:eastAsiaTheme="minorEastAsia"/>
            </w:rPr>
            <w:t>第八章安全防灾规划</w:t>
          </w:r>
          <w:r>
            <w:tab/>
          </w:r>
          <w:r>
            <w:fldChar w:fldCharType="begin"/>
          </w:r>
          <w:r>
            <w:instrText xml:space="preserve"> PAGEREF _Toc126591878 \h </w:instrText>
          </w:r>
          <w:r>
            <w:fldChar w:fldCharType="separate"/>
          </w:r>
          <w:r>
            <w:t>54</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hAnsiTheme="minorEastAsia" w:eastAsiaTheme="minorEastAsia"/>
            </w:rPr>
            <w:t>8.1</w:t>
          </w:r>
          <w:r>
            <w:rPr>
              <w:rFonts w:hint="eastAsia" w:cs="Times New Roman" w:hAnsiTheme="minorEastAsia" w:eastAsiaTheme="minorEastAsia"/>
            </w:rPr>
            <w:t>消防规划</w:t>
          </w:r>
          <w:r>
            <w:tab/>
          </w:r>
          <w:r>
            <w:fldChar w:fldCharType="begin"/>
          </w:r>
          <w:r>
            <w:instrText xml:space="preserve"> PAGEREF _Toc126591879 \h </w:instrText>
          </w:r>
          <w:r>
            <w:fldChar w:fldCharType="separate"/>
          </w:r>
          <w:r>
            <w:t>54</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hAnsiTheme="minorEastAsia" w:eastAsiaTheme="minorEastAsia"/>
            </w:rPr>
            <w:t>8.2</w:t>
          </w:r>
          <w:r>
            <w:rPr>
              <w:rFonts w:hint="eastAsia" w:cs="Times New Roman" w:hAnsiTheme="minorEastAsia" w:eastAsiaTheme="minorEastAsia"/>
            </w:rPr>
            <w:t>防灾减灾规划</w:t>
          </w:r>
          <w:r>
            <w:tab/>
          </w:r>
          <w:r>
            <w:fldChar w:fldCharType="begin"/>
          </w:r>
          <w:r>
            <w:instrText xml:space="preserve"> PAGEREF _Toc126591880 \h </w:instrText>
          </w:r>
          <w:r>
            <w:fldChar w:fldCharType="separate"/>
          </w:r>
          <w:r>
            <w:t>56</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hAnsiTheme="minorEastAsia" w:eastAsiaTheme="minorEastAsia"/>
            </w:rPr>
            <w:t>8.3</w:t>
          </w:r>
          <w:r>
            <w:rPr>
              <w:rFonts w:hint="eastAsia" w:cs="Times New Roman" w:hAnsiTheme="minorEastAsia" w:eastAsiaTheme="minorEastAsia"/>
            </w:rPr>
            <w:t>安全生产及劳动保护规划</w:t>
          </w:r>
          <w:r>
            <w:tab/>
          </w:r>
          <w:r>
            <w:fldChar w:fldCharType="begin"/>
          </w:r>
          <w:r>
            <w:instrText xml:space="preserve"> PAGEREF _Toc126591881 \h </w:instrText>
          </w:r>
          <w:r>
            <w:fldChar w:fldCharType="separate"/>
          </w:r>
          <w:r>
            <w:t>60</w:t>
          </w:r>
          <w:r>
            <w:fldChar w:fldCharType="end"/>
          </w:r>
        </w:p>
        <w:p>
          <w:pPr>
            <w:pStyle w:val="22"/>
            <w:tabs>
              <w:tab w:val="right" w:leader="dot" w:pos="8296"/>
            </w:tabs>
            <w:rPr>
              <w:rFonts w:asciiTheme="minorHAnsi" w:hAnsiTheme="minorHAnsi" w:eastAsiaTheme="minorEastAsia" w:cstheme="minorBidi"/>
              <w:sz w:val="21"/>
              <w:szCs w:val="22"/>
            </w:rPr>
          </w:pPr>
          <w:r>
            <w:rPr>
              <w:rFonts w:hint="eastAsia"/>
            </w:rPr>
            <w:t>第九章</w:t>
          </w:r>
          <w:r>
            <w:t xml:space="preserve"> </w:t>
          </w:r>
          <w:r>
            <w:rPr>
              <w:rFonts w:hint="eastAsia"/>
            </w:rPr>
            <w:t>公用工程规划</w:t>
          </w:r>
          <w:r>
            <w:tab/>
          </w:r>
          <w:r>
            <w:fldChar w:fldCharType="begin"/>
          </w:r>
          <w:r>
            <w:instrText xml:space="preserve"> PAGEREF _Toc126591882 \h </w:instrText>
          </w:r>
          <w:r>
            <w:fldChar w:fldCharType="separate"/>
          </w:r>
          <w:r>
            <w:t>66</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rPr>
            <w:t xml:space="preserve">9.1 </w:t>
          </w:r>
          <w:r>
            <w:rPr>
              <w:rFonts w:hint="eastAsia"/>
            </w:rPr>
            <w:t>给水工程规划</w:t>
          </w:r>
          <w:r>
            <w:tab/>
          </w:r>
          <w:r>
            <w:fldChar w:fldCharType="begin"/>
          </w:r>
          <w:r>
            <w:instrText xml:space="preserve"> PAGEREF _Toc126591883 \h </w:instrText>
          </w:r>
          <w:r>
            <w:fldChar w:fldCharType="separate"/>
          </w:r>
          <w:r>
            <w:t>66</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rPr>
            <w:t xml:space="preserve">9.2 </w:t>
          </w:r>
          <w:r>
            <w:rPr>
              <w:rFonts w:hint="eastAsia"/>
            </w:rPr>
            <w:t>排水工程规划</w:t>
          </w:r>
          <w:r>
            <w:tab/>
          </w:r>
          <w:r>
            <w:fldChar w:fldCharType="begin"/>
          </w:r>
          <w:r>
            <w:instrText xml:space="preserve"> PAGEREF _Toc126591884 \h </w:instrText>
          </w:r>
          <w:r>
            <w:fldChar w:fldCharType="separate"/>
          </w:r>
          <w:r>
            <w:t>69</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rPr>
            <w:t xml:space="preserve">9.3 </w:t>
          </w:r>
          <w:r>
            <w:rPr>
              <w:rFonts w:hint="eastAsia"/>
            </w:rPr>
            <w:t>雨水工程规划</w:t>
          </w:r>
          <w:r>
            <w:tab/>
          </w:r>
          <w:r>
            <w:fldChar w:fldCharType="begin"/>
          </w:r>
          <w:r>
            <w:instrText xml:space="preserve"> PAGEREF _Toc126591885 \h </w:instrText>
          </w:r>
          <w:r>
            <w:fldChar w:fldCharType="separate"/>
          </w:r>
          <w:r>
            <w:t>73</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rPr>
            <w:t xml:space="preserve">9.4 </w:t>
          </w:r>
          <w:r>
            <w:rPr>
              <w:rFonts w:hint="eastAsia"/>
            </w:rPr>
            <w:t>电力工程规划</w:t>
          </w:r>
          <w:r>
            <w:tab/>
          </w:r>
          <w:r>
            <w:fldChar w:fldCharType="begin"/>
          </w:r>
          <w:r>
            <w:instrText xml:space="preserve"> PAGEREF _Toc126591886 \h </w:instrText>
          </w:r>
          <w:r>
            <w:fldChar w:fldCharType="separate"/>
          </w:r>
          <w:r>
            <w:t>74</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rPr>
            <w:t xml:space="preserve">9.5 </w:t>
          </w:r>
          <w:r>
            <w:rPr>
              <w:rFonts w:hint="eastAsia"/>
            </w:rPr>
            <w:t>通信工程规划</w:t>
          </w:r>
          <w:r>
            <w:tab/>
          </w:r>
          <w:r>
            <w:fldChar w:fldCharType="begin"/>
          </w:r>
          <w:r>
            <w:instrText xml:space="preserve"> PAGEREF _Toc126591887 \h </w:instrText>
          </w:r>
          <w:r>
            <w:fldChar w:fldCharType="separate"/>
          </w:r>
          <w:r>
            <w:t>76</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rPr>
            <w:t xml:space="preserve">9.6 </w:t>
          </w:r>
          <w:r>
            <w:rPr>
              <w:rFonts w:hint="eastAsia"/>
            </w:rPr>
            <w:t>燃气工程规划</w:t>
          </w:r>
          <w:r>
            <w:tab/>
          </w:r>
          <w:r>
            <w:fldChar w:fldCharType="begin"/>
          </w:r>
          <w:r>
            <w:instrText xml:space="preserve"> PAGEREF _Toc126591888 \h </w:instrText>
          </w:r>
          <w:r>
            <w:fldChar w:fldCharType="separate"/>
          </w:r>
          <w:r>
            <w:t>77</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rPr>
            <w:t xml:space="preserve">9.7 </w:t>
          </w:r>
          <w:r>
            <w:rPr>
              <w:rFonts w:hint="eastAsia"/>
            </w:rPr>
            <w:t>环卫工程规划</w:t>
          </w:r>
          <w:r>
            <w:tab/>
          </w:r>
          <w:r>
            <w:fldChar w:fldCharType="begin"/>
          </w:r>
          <w:r>
            <w:instrText xml:space="preserve"> PAGEREF _Toc126591889 \h </w:instrText>
          </w:r>
          <w:r>
            <w:fldChar w:fldCharType="separate"/>
          </w:r>
          <w:r>
            <w:t>78</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rPr>
            <w:t xml:space="preserve">9.8 </w:t>
          </w:r>
          <w:r>
            <w:rPr>
              <w:rFonts w:hint="eastAsia"/>
            </w:rPr>
            <w:t>工业气体规划</w:t>
          </w:r>
          <w:r>
            <w:tab/>
          </w:r>
          <w:r>
            <w:fldChar w:fldCharType="begin"/>
          </w:r>
          <w:r>
            <w:instrText xml:space="preserve"> PAGEREF _Toc126591890 \h </w:instrText>
          </w:r>
          <w:r>
            <w:fldChar w:fldCharType="separate"/>
          </w:r>
          <w:r>
            <w:t>79</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rPr>
            <w:t xml:space="preserve">9.9 </w:t>
          </w:r>
          <w:r>
            <w:rPr>
              <w:rFonts w:hint="eastAsia"/>
            </w:rPr>
            <w:t>公共管廊规划</w:t>
          </w:r>
          <w:r>
            <w:tab/>
          </w:r>
          <w:r>
            <w:fldChar w:fldCharType="begin"/>
          </w:r>
          <w:r>
            <w:instrText xml:space="preserve"> PAGEREF _Toc126591891 \h </w:instrText>
          </w:r>
          <w:r>
            <w:fldChar w:fldCharType="separate"/>
          </w:r>
          <w:r>
            <w:t>80</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rPr>
            <w:t xml:space="preserve">9.10 </w:t>
          </w:r>
          <w:r>
            <w:rPr>
              <w:rFonts w:hint="eastAsia"/>
            </w:rPr>
            <w:t>维修规划</w:t>
          </w:r>
          <w:r>
            <w:tab/>
          </w:r>
          <w:r>
            <w:fldChar w:fldCharType="begin"/>
          </w:r>
          <w:r>
            <w:instrText xml:space="preserve"> PAGEREF _Toc126591892 \h </w:instrText>
          </w:r>
          <w:r>
            <w:fldChar w:fldCharType="separate"/>
          </w:r>
          <w:r>
            <w:t>82</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rPr>
            <w:t xml:space="preserve">9.11 </w:t>
          </w:r>
          <w:r>
            <w:rPr>
              <w:rFonts w:hint="eastAsia"/>
            </w:rPr>
            <w:t>化工园区安全风险智能化管控平台建设</w:t>
          </w:r>
          <w:r>
            <w:tab/>
          </w:r>
          <w:r>
            <w:fldChar w:fldCharType="begin"/>
          </w:r>
          <w:r>
            <w:instrText xml:space="preserve"> PAGEREF _Toc126591893 \h </w:instrText>
          </w:r>
          <w:r>
            <w:fldChar w:fldCharType="separate"/>
          </w:r>
          <w:r>
            <w:t>82</w:t>
          </w:r>
          <w:r>
            <w:fldChar w:fldCharType="end"/>
          </w:r>
        </w:p>
        <w:p>
          <w:pPr>
            <w:pStyle w:val="22"/>
            <w:tabs>
              <w:tab w:val="right" w:leader="dot" w:pos="8296"/>
            </w:tabs>
            <w:rPr>
              <w:rFonts w:asciiTheme="minorHAnsi" w:hAnsiTheme="minorHAnsi" w:eastAsiaTheme="minorEastAsia" w:cstheme="minorBidi"/>
              <w:sz w:val="21"/>
              <w:szCs w:val="22"/>
            </w:rPr>
          </w:pPr>
          <w:r>
            <w:rPr>
              <w:rFonts w:hint="eastAsia" w:cs="Times New Roman" w:hAnsiTheme="minorEastAsia" w:eastAsiaTheme="minorEastAsia"/>
            </w:rPr>
            <w:t>第十章</w:t>
          </w:r>
          <w:r>
            <w:rPr>
              <w:rFonts w:cs="Times New Roman" w:hAnsiTheme="minorEastAsia" w:eastAsiaTheme="minorEastAsia"/>
            </w:rPr>
            <w:t xml:space="preserve"> </w:t>
          </w:r>
          <w:r>
            <w:rPr>
              <w:rFonts w:hint="eastAsia" w:cs="Times New Roman" w:hAnsiTheme="minorEastAsia" w:eastAsiaTheme="minorEastAsia"/>
            </w:rPr>
            <w:t>规划支撑条件</w:t>
          </w:r>
          <w:r>
            <w:tab/>
          </w:r>
          <w:r>
            <w:fldChar w:fldCharType="begin"/>
          </w:r>
          <w:r>
            <w:instrText xml:space="preserve"> PAGEREF _Toc126591894 \h </w:instrText>
          </w:r>
          <w:r>
            <w:fldChar w:fldCharType="separate"/>
          </w:r>
          <w:r>
            <w:t>89</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10.1 </w:t>
          </w:r>
          <w:r>
            <w:rPr>
              <w:rFonts w:hint="eastAsia" w:cs="Times New Roman" w:hAnsiTheme="minorEastAsia" w:eastAsiaTheme="minorEastAsia"/>
            </w:rPr>
            <w:t>积极争取省及市政府的政策支持</w:t>
          </w:r>
          <w:r>
            <w:tab/>
          </w:r>
          <w:r>
            <w:fldChar w:fldCharType="begin"/>
          </w:r>
          <w:r>
            <w:instrText xml:space="preserve"> PAGEREF _Toc126591895 \h </w:instrText>
          </w:r>
          <w:r>
            <w:fldChar w:fldCharType="separate"/>
          </w:r>
          <w:r>
            <w:t>89</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10.2 </w:t>
          </w:r>
          <w:r>
            <w:rPr>
              <w:rFonts w:hint="eastAsia" w:cs="Times New Roman" w:hAnsiTheme="minorEastAsia" w:eastAsiaTheme="minorEastAsia"/>
            </w:rPr>
            <w:t>按照国家产业政策，严格行业准入</w:t>
          </w:r>
          <w:r>
            <w:tab/>
          </w:r>
          <w:r>
            <w:fldChar w:fldCharType="begin"/>
          </w:r>
          <w:r>
            <w:instrText xml:space="preserve"> PAGEREF _Toc126591896 \h </w:instrText>
          </w:r>
          <w:r>
            <w:fldChar w:fldCharType="separate"/>
          </w:r>
          <w:r>
            <w:t>89</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10.3 </w:t>
          </w:r>
          <w:r>
            <w:rPr>
              <w:rFonts w:hint="eastAsia" w:cs="Times New Roman" w:hAnsiTheme="minorEastAsia" w:eastAsiaTheme="minorEastAsia"/>
            </w:rPr>
            <w:t>优化投资环境和强化政府服务</w:t>
          </w:r>
          <w:r>
            <w:tab/>
          </w:r>
          <w:r>
            <w:fldChar w:fldCharType="begin"/>
          </w:r>
          <w:r>
            <w:instrText xml:space="preserve"> PAGEREF _Toc126591897 \h </w:instrText>
          </w:r>
          <w:r>
            <w:fldChar w:fldCharType="separate"/>
          </w:r>
          <w:r>
            <w:t>90</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10.4</w:t>
          </w:r>
          <w:r>
            <w:rPr>
              <w:rFonts w:hint="eastAsia" w:cs="Times New Roman" w:hAnsiTheme="minorEastAsia" w:eastAsiaTheme="minorEastAsia"/>
            </w:rPr>
            <w:t>加强技术创新</w:t>
          </w:r>
          <w:r>
            <w:tab/>
          </w:r>
          <w:r>
            <w:fldChar w:fldCharType="begin"/>
          </w:r>
          <w:r>
            <w:instrText xml:space="preserve"> PAGEREF _Toc126591898 \h </w:instrText>
          </w:r>
          <w:r>
            <w:fldChar w:fldCharType="separate"/>
          </w:r>
          <w:r>
            <w:t>90</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10.5</w:t>
          </w:r>
          <w:r>
            <w:rPr>
              <w:rFonts w:hint="eastAsia" w:cs="Times New Roman" w:hAnsiTheme="minorEastAsia" w:eastAsiaTheme="minorEastAsia"/>
            </w:rPr>
            <w:t>拓宽融资渠道</w:t>
          </w:r>
          <w:r>
            <w:tab/>
          </w:r>
          <w:r>
            <w:fldChar w:fldCharType="begin"/>
          </w:r>
          <w:r>
            <w:instrText xml:space="preserve"> PAGEREF _Toc126591899 \h </w:instrText>
          </w:r>
          <w:r>
            <w:fldChar w:fldCharType="separate"/>
          </w:r>
          <w:r>
            <w:t>91</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10.6 </w:t>
          </w:r>
          <w:r>
            <w:rPr>
              <w:rFonts w:hint="eastAsia" w:cs="Times New Roman" w:hAnsiTheme="minorEastAsia" w:eastAsiaTheme="minorEastAsia"/>
            </w:rPr>
            <w:t>加强人才队伍建设</w:t>
          </w:r>
          <w:r>
            <w:tab/>
          </w:r>
          <w:r>
            <w:fldChar w:fldCharType="begin"/>
          </w:r>
          <w:r>
            <w:instrText xml:space="preserve"> PAGEREF _Toc126591900 \h </w:instrText>
          </w:r>
          <w:r>
            <w:fldChar w:fldCharType="separate"/>
          </w:r>
          <w:r>
            <w:t>91</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10.7 </w:t>
          </w:r>
          <w:r>
            <w:rPr>
              <w:rFonts w:hint="eastAsia" w:cs="Times New Roman" w:hAnsiTheme="minorEastAsia" w:eastAsiaTheme="minorEastAsia"/>
            </w:rPr>
            <w:t>大力推动工业技术创新和产业升级</w:t>
          </w:r>
          <w:r>
            <w:tab/>
          </w:r>
          <w:r>
            <w:fldChar w:fldCharType="begin"/>
          </w:r>
          <w:r>
            <w:instrText xml:space="preserve"> PAGEREF _Toc126591901 \h </w:instrText>
          </w:r>
          <w:r>
            <w:fldChar w:fldCharType="separate"/>
          </w:r>
          <w:r>
            <w:t>92</w:t>
          </w:r>
          <w:r>
            <w:fldChar w:fldCharType="end"/>
          </w:r>
        </w:p>
        <w:p>
          <w:pPr>
            <w:pStyle w:val="22"/>
            <w:tabs>
              <w:tab w:val="right" w:leader="dot" w:pos="8296"/>
            </w:tabs>
            <w:rPr>
              <w:rFonts w:asciiTheme="minorHAnsi" w:hAnsiTheme="minorHAnsi" w:eastAsiaTheme="minorEastAsia" w:cstheme="minorBidi"/>
              <w:sz w:val="21"/>
              <w:szCs w:val="22"/>
            </w:rPr>
          </w:pPr>
          <w:r>
            <w:rPr>
              <w:rFonts w:hint="eastAsia" w:cs="Times New Roman" w:hAnsiTheme="minorEastAsia" w:eastAsiaTheme="minorEastAsia"/>
            </w:rPr>
            <w:t>第十一章规划效果</w:t>
          </w:r>
          <w:r>
            <w:tab/>
          </w:r>
          <w:r>
            <w:fldChar w:fldCharType="begin"/>
          </w:r>
          <w:r>
            <w:instrText xml:space="preserve"> PAGEREF _Toc126591902 \h </w:instrText>
          </w:r>
          <w:r>
            <w:fldChar w:fldCharType="separate"/>
          </w:r>
          <w:r>
            <w:t>93</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11.1 </w:t>
          </w:r>
          <w:r>
            <w:rPr>
              <w:rFonts w:hint="eastAsia" w:cs="Times New Roman" w:hAnsiTheme="minorEastAsia" w:eastAsiaTheme="minorEastAsia"/>
            </w:rPr>
            <w:t>总体效果</w:t>
          </w:r>
          <w:r>
            <w:tab/>
          </w:r>
          <w:r>
            <w:fldChar w:fldCharType="begin"/>
          </w:r>
          <w:r>
            <w:instrText xml:space="preserve"> PAGEREF _Toc126591903 \h </w:instrText>
          </w:r>
          <w:r>
            <w:fldChar w:fldCharType="separate"/>
          </w:r>
          <w:r>
            <w:t>93</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11.2 </w:t>
          </w:r>
          <w:r>
            <w:rPr>
              <w:rFonts w:hint="eastAsia" w:cs="Times New Roman" w:hAnsiTheme="minorEastAsia" w:eastAsiaTheme="minorEastAsia"/>
            </w:rPr>
            <w:t>产业规模</w:t>
          </w:r>
          <w:r>
            <w:tab/>
          </w:r>
          <w:r>
            <w:fldChar w:fldCharType="begin"/>
          </w:r>
          <w:r>
            <w:instrText xml:space="preserve"> PAGEREF _Toc126591904 \h </w:instrText>
          </w:r>
          <w:r>
            <w:fldChar w:fldCharType="separate"/>
          </w:r>
          <w:r>
            <w:t>93</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11.3 </w:t>
          </w:r>
          <w:r>
            <w:rPr>
              <w:rFonts w:hint="eastAsia" w:cs="Times New Roman" w:hAnsiTheme="minorEastAsia" w:eastAsiaTheme="minorEastAsia"/>
            </w:rPr>
            <w:t>投资及经济效益</w:t>
          </w:r>
          <w:r>
            <w:tab/>
          </w:r>
          <w:r>
            <w:fldChar w:fldCharType="begin"/>
          </w:r>
          <w:r>
            <w:instrText xml:space="preserve"> PAGEREF _Toc126591905 \h </w:instrText>
          </w:r>
          <w:r>
            <w:fldChar w:fldCharType="separate"/>
          </w:r>
          <w:r>
            <w:t>94</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11.4 </w:t>
          </w:r>
          <w:r>
            <w:rPr>
              <w:rFonts w:hint="eastAsia" w:cs="Times New Roman" w:hAnsiTheme="minorEastAsia" w:eastAsiaTheme="minorEastAsia"/>
            </w:rPr>
            <w:t>社会效益</w:t>
          </w:r>
          <w:r>
            <w:tab/>
          </w:r>
          <w:r>
            <w:fldChar w:fldCharType="begin"/>
          </w:r>
          <w:r>
            <w:instrText xml:space="preserve"> PAGEREF _Toc126591906 \h </w:instrText>
          </w:r>
          <w:r>
            <w:fldChar w:fldCharType="separate"/>
          </w:r>
          <w:r>
            <w:t>95</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11.5 </w:t>
          </w:r>
          <w:r>
            <w:rPr>
              <w:rFonts w:hint="eastAsia" w:cs="Times New Roman" w:hAnsiTheme="minorEastAsia" w:eastAsiaTheme="minorEastAsia"/>
            </w:rPr>
            <w:t>环境生态效益分析</w:t>
          </w:r>
          <w:r>
            <w:tab/>
          </w:r>
          <w:r>
            <w:fldChar w:fldCharType="begin"/>
          </w:r>
          <w:r>
            <w:instrText xml:space="preserve"> PAGEREF _Toc126591907 \h </w:instrText>
          </w:r>
          <w:r>
            <w:fldChar w:fldCharType="separate"/>
          </w:r>
          <w:r>
            <w:t>95</w:t>
          </w:r>
          <w:r>
            <w:fldChar w:fldCharType="end"/>
          </w:r>
        </w:p>
        <w:p>
          <w:pPr>
            <w:pStyle w:val="22"/>
            <w:tabs>
              <w:tab w:val="right" w:leader="dot" w:pos="8296"/>
            </w:tabs>
            <w:rPr>
              <w:rFonts w:asciiTheme="minorHAnsi" w:hAnsiTheme="minorHAnsi" w:eastAsiaTheme="minorEastAsia" w:cstheme="minorBidi"/>
              <w:sz w:val="21"/>
              <w:szCs w:val="22"/>
            </w:rPr>
          </w:pPr>
          <w:r>
            <w:rPr>
              <w:rFonts w:hint="eastAsia" w:cs="Times New Roman" w:hAnsiTheme="minorEastAsia" w:eastAsiaTheme="minorEastAsia"/>
            </w:rPr>
            <w:t>第十二章规划实施建议</w:t>
          </w:r>
          <w:r>
            <w:tab/>
          </w:r>
          <w:r>
            <w:fldChar w:fldCharType="begin"/>
          </w:r>
          <w:r>
            <w:instrText xml:space="preserve"> PAGEREF _Toc126591908 \h </w:instrText>
          </w:r>
          <w:r>
            <w:fldChar w:fldCharType="separate"/>
          </w:r>
          <w:r>
            <w:t>97</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12.1 </w:t>
          </w:r>
          <w:r>
            <w:rPr>
              <w:rFonts w:hint="eastAsia" w:cs="Times New Roman" w:hAnsiTheme="minorEastAsia" w:eastAsiaTheme="minorEastAsia"/>
            </w:rPr>
            <w:t>严格矿产资源的管理和科学利用，确保资源的供应</w:t>
          </w:r>
          <w:r>
            <w:tab/>
          </w:r>
          <w:r>
            <w:fldChar w:fldCharType="begin"/>
          </w:r>
          <w:r>
            <w:instrText xml:space="preserve"> PAGEREF _Toc126591909 \h </w:instrText>
          </w:r>
          <w:r>
            <w:fldChar w:fldCharType="separate"/>
          </w:r>
          <w:r>
            <w:t>97</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12.2 </w:t>
          </w:r>
          <w:r>
            <w:rPr>
              <w:rFonts w:hint="eastAsia" w:cs="Times New Roman" w:hAnsiTheme="minorEastAsia" w:eastAsiaTheme="minorEastAsia"/>
            </w:rPr>
            <w:t>优化招商引资的管理，严把项目关</w:t>
          </w:r>
          <w:r>
            <w:tab/>
          </w:r>
          <w:r>
            <w:fldChar w:fldCharType="begin"/>
          </w:r>
          <w:r>
            <w:instrText xml:space="preserve"> PAGEREF _Toc126591910 \h </w:instrText>
          </w:r>
          <w:r>
            <w:fldChar w:fldCharType="separate"/>
          </w:r>
          <w:r>
            <w:t>97</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12.3 </w:t>
          </w:r>
          <w:r>
            <w:rPr>
              <w:rFonts w:hint="eastAsia" w:cs="Times New Roman" w:hAnsiTheme="minorEastAsia" w:eastAsiaTheme="minorEastAsia"/>
            </w:rPr>
            <w:t>强化环保、安全、绿色、生态发展的管理</w:t>
          </w:r>
          <w:r>
            <w:tab/>
          </w:r>
          <w:r>
            <w:fldChar w:fldCharType="begin"/>
          </w:r>
          <w:r>
            <w:instrText xml:space="preserve"> PAGEREF _Toc126591911 \h </w:instrText>
          </w:r>
          <w:r>
            <w:fldChar w:fldCharType="separate"/>
          </w:r>
          <w:r>
            <w:t>98</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12.4 </w:t>
          </w:r>
          <w:r>
            <w:rPr>
              <w:rFonts w:hint="eastAsia" w:cs="Times New Roman" w:hAnsiTheme="minorEastAsia" w:eastAsiaTheme="minorEastAsia"/>
            </w:rPr>
            <w:t>加快园区信息、智能化发展，促进</w:t>
          </w:r>
          <w:r>
            <w:rPr>
              <w:rFonts w:cs="Times New Roman" w:eastAsiaTheme="minorEastAsia"/>
            </w:rPr>
            <w:t>“</w:t>
          </w:r>
          <w:r>
            <w:rPr>
              <w:rFonts w:hint="eastAsia" w:cs="Times New Roman" w:hAnsiTheme="minorEastAsia" w:eastAsiaTheme="minorEastAsia"/>
            </w:rPr>
            <w:t>两化</w:t>
          </w:r>
          <w:r>
            <w:rPr>
              <w:rFonts w:cs="Times New Roman" w:eastAsiaTheme="minorEastAsia"/>
            </w:rPr>
            <w:t>”</w:t>
          </w:r>
          <w:r>
            <w:rPr>
              <w:rFonts w:hint="eastAsia" w:cs="Times New Roman" w:hAnsiTheme="minorEastAsia" w:eastAsiaTheme="minorEastAsia"/>
            </w:rPr>
            <w:t>深度融合</w:t>
          </w:r>
          <w:r>
            <w:tab/>
          </w:r>
          <w:r>
            <w:fldChar w:fldCharType="begin"/>
          </w:r>
          <w:r>
            <w:instrText xml:space="preserve"> PAGEREF _Toc126591912 \h </w:instrText>
          </w:r>
          <w:r>
            <w:fldChar w:fldCharType="separate"/>
          </w:r>
          <w:r>
            <w:t>98</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12.5 </w:t>
          </w:r>
          <w:r>
            <w:rPr>
              <w:rFonts w:hint="eastAsia" w:cs="Times New Roman" w:hAnsiTheme="minorEastAsia" w:eastAsiaTheme="minorEastAsia"/>
            </w:rPr>
            <w:t>重视技术和管理人才的引进和培养</w:t>
          </w:r>
          <w:r>
            <w:tab/>
          </w:r>
          <w:r>
            <w:fldChar w:fldCharType="begin"/>
          </w:r>
          <w:r>
            <w:instrText xml:space="preserve"> PAGEREF _Toc126591913 \h </w:instrText>
          </w:r>
          <w:r>
            <w:fldChar w:fldCharType="separate"/>
          </w:r>
          <w:r>
            <w:t>98</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12.6 </w:t>
          </w:r>
          <w:r>
            <w:rPr>
              <w:rFonts w:hint="eastAsia" w:cs="Times New Roman" w:hAnsiTheme="minorEastAsia" w:eastAsiaTheme="minorEastAsia"/>
            </w:rPr>
            <w:t>完善创新机制，提高创新发展水平</w:t>
          </w:r>
          <w:r>
            <w:tab/>
          </w:r>
          <w:r>
            <w:fldChar w:fldCharType="begin"/>
          </w:r>
          <w:r>
            <w:instrText xml:space="preserve"> PAGEREF _Toc126591914 \h </w:instrText>
          </w:r>
          <w:r>
            <w:fldChar w:fldCharType="separate"/>
          </w:r>
          <w:r>
            <w:t>98</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12.7 </w:t>
          </w:r>
          <w:r>
            <w:rPr>
              <w:rFonts w:hint="eastAsia" w:cs="Times New Roman" w:hAnsiTheme="minorEastAsia" w:eastAsiaTheme="minorEastAsia"/>
            </w:rPr>
            <w:t>完善土地利用和基础设施建设，提升园区承载能力</w:t>
          </w:r>
          <w:r>
            <w:tab/>
          </w:r>
          <w:r>
            <w:fldChar w:fldCharType="begin"/>
          </w:r>
          <w:r>
            <w:instrText xml:space="preserve"> PAGEREF _Toc126591915 \h </w:instrText>
          </w:r>
          <w:r>
            <w:fldChar w:fldCharType="separate"/>
          </w:r>
          <w:r>
            <w:t>99</w:t>
          </w:r>
          <w:r>
            <w:fldChar w:fldCharType="end"/>
          </w:r>
        </w:p>
        <w:p>
          <w:pPr>
            <w:pStyle w:val="25"/>
            <w:tabs>
              <w:tab w:val="right" w:leader="dot" w:pos="8296"/>
            </w:tabs>
            <w:ind w:firstLine="480"/>
            <w:rPr>
              <w:rFonts w:asciiTheme="minorHAnsi" w:hAnsiTheme="minorHAnsi" w:eastAsiaTheme="minorEastAsia"/>
              <w:sz w:val="21"/>
              <w:szCs w:val="22"/>
            </w:rPr>
          </w:pPr>
          <w:r>
            <w:rPr>
              <w:rFonts w:cs="Times New Roman" w:eastAsiaTheme="minorEastAsia"/>
            </w:rPr>
            <w:t xml:space="preserve">12.8 </w:t>
          </w:r>
          <w:r>
            <w:rPr>
              <w:rFonts w:hint="eastAsia" w:cs="Times New Roman" w:hAnsiTheme="minorEastAsia" w:eastAsiaTheme="minorEastAsia"/>
            </w:rPr>
            <w:t>化工园区企业入驻条件</w:t>
          </w:r>
          <w:r>
            <w:tab/>
          </w:r>
          <w:r>
            <w:fldChar w:fldCharType="begin"/>
          </w:r>
          <w:r>
            <w:instrText xml:space="preserve"> PAGEREF _Toc126591916 \h </w:instrText>
          </w:r>
          <w:r>
            <w:fldChar w:fldCharType="separate"/>
          </w:r>
          <w:r>
            <w:t>99</w:t>
          </w:r>
          <w:r>
            <w:fldChar w:fldCharType="end"/>
          </w:r>
        </w:p>
        <w:p>
          <w:pPr>
            <w:ind w:firstLine="560"/>
            <w:rPr>
              <w:rFonts w:cs="Times New Roman" w:eastAsiaTheme="minorEastAsia"/>
            </w:rPr>
          </w:pPr>
          <w:r>
            <w:rPr>
              <w:rFonts w:cs="Times New Roman" w:eastAsiaTheme="minorEastAsia"/>
              <w:szCs w:val="24"/>
            </w:rPr>
            <w:fldChar w:fldCharType="end"/>
          </w:r>
        </w:p>
      </w:sdtContent>
    </w:sdt>
    <w:p>
      <w:pPr>
        <w:ind w:firstLine="560"/>
        <w:rPr>
          <w:rFonts w:cs="Times New Roman" w:eastAsiaTheme="minorEastAsia"/>
          <w:szCs w:val="28"/>
        </w:rPr>
      </w:pPr>
    </w:p>
    <w:p>
      <w:pPr>
        <w:ind w:firstLine="560"/>
        <w:rPr>
          <w:rFonts w:cs="Times New Roman" w:eastAsiaTheme="minorEastAsia"/>
          <w:szCs w:val="28"/>
        </w:rPr>
      </w:pPr>
    </w:p>
    <w:p>
      <w:pPr>
        <w:ind w:firstLine="560"/>
        <w:rPr>
          <w:rFonts w:cs="Times New Roman" w:eastAsiaTheme="minorEastAsia"/>
          <w:szCs w:val="28"/>
        </w:rPr>
        <w:sectPr>
          <w:headerReference r:id="rId11" w:type="default"/>
          <w:pgSz w:w="11906" w:h="16838"/>
          <w:pgMar w:top="1247" w:right="1361" w:bottom="1247" w:left="1361" w:header="851" w:footer="992" w:gutter="0"/>
          <w:pgNumType w:fmt="upperRoman" w:start="1"/>
          <w:cols w:space="425" w:num="1"/>
          <w:docGrid w:linePitch="381" w:charSpace="0"/>
        </w:sectPr>
      </w:pPr>
    </w:p>
    <w:p>
      <w:pPr>
        <w:pStyle w:val="3"/>
        <w:spacing w:before="190" w:after="190"/>
        <w:rPr>
          <w:rFonts w:cs="Times New Roman" w:eastAsiaTheme="minorEastAsia"/>
        </w:rPr>
      </w:pPr>
      <w:bookmarkStart w:id="0" w:name="_Toc126591844"/>
      <w:r>
        <w:rPr>
          <w:rFonts w:cs="Times New Roman" w:hAnsiTheme="minorEastAsia" w:eastAsiaTheme="minorEastAsia"/>
        </w:rPr>
        <w:t>第一章总论</w:t>
      </w:r>
      <w:bookmarkEnd w:id="0"/>
    </w:p>
    <w:p>
      <w:pPr>
        <w:pStyle w:val="4"/>
        <w:ind w:firstLine="602"/>
        <w:rPr>
          <w:rFonts w:cs="Times New Roman" w:eastAsiaTheme="minorEastAsia"/>
        </w:rPr>
      </w:pPr>
      <w:bookmarkStart w:id="1" w:name="_Toc126591845"/>
      <w:r>
        <w:rPr>
          <w:rFonts w:cs="Times New Roman" w:eastAsiaTheme="minorEastAsia"/>
        </w:rPr>
        <w:t xml:space="preserve">1.1 </w:t>
      </w:r>
      <w:r>
        <w:rPr>
          <w:rFonts w:cs="Times New Roman" w:hAnsiTheme="minorEastAsia" w:eastAsiaTheme="minorEastAsia"/>
        </w:rPr>
        <w:t>规划背景</w:t>
      </w:r>
      <w:bookmarkEnd w:id="1"/>
    </w:p>
    <w:p>
      <w:pPr>
        <w:ind w:firstLine="560"/>
        <w:rPr>
          <w:rFonts w:cs="Times New Roman" w:eastAsiaTheme="minorEastAsia"/>
        </w:rPr>
      </w:pPr>
      <w:r>
        <w:rPr>
          <w:rFonts w:cs="Times New Roman" w:hAnsiTheme="minorEastAsia" w:eastAsiaTheme="minorEastAsia"/>
        </w:rPr>
        <w:t>六枝特区属贵州省六盘水市辖区域，地处东经</w:t>
      </w:r>
      <w:r>
        <w:rPr>
          <w:rFonts w:cs="Times New Roman" w:eastAsiaTheme="minorEastAsia"/>
        </w:rPr>
        <w:t>105</w:t>
      </w:r>
      <w:r>
        <w:rPr>
          <w:rFonts w:cs="Times New Roman" w:eastAsiaTheme="minorEastAsia"/>
          <w:szCs w:val="28"/>
        </w:rPr>
        <w:t>°</w:t>
      </w:r>
      <w:r>
        <w:rPr>
          <w:rFonts w:cs="Times New Roman" w:eastAsiaTheme="minorEastAsia"/>
        </w:rPr>
        <w:t>08'-105</w:t>
      </w:r>
      <w:r>
        <w:rPr>
          <w:rFonts w:cs="Times New Roman" w:eastAsiaTheme="minorEastAsia"/>
          <w:szCs w:val="28"/>
        </w:rPr>
        <w:t>°</w:t>
      </w:r>
      <w:r>
        <w:rPr>
          <w:rFonts w:cs="Times New Roman" w:eastAsiaTheme="minorEastAsia"/>
        </w:rPr>
        <w:t>43'</w:t>
      </w:r>
      <w:r>
        <w:rPr>
          <w:rFonts w:cs="Times New Roman" w:hAnsiTheme="minorEastAsia" w:eastAsiaTheme="minorEastAsia"/>
        </w:rPr>
        <w:t>，北纬</w:t>
      </w:r>
      <w:r>
        <w:rPr>
          <w:rFonts w:cs="Times New Roman" w:eastAsiaTheme="minorEastAsia"/>
        </w:rPr>
        <w:t xml:space="preserve"> 25</w:t>
      </w:r>
      <w:r>
        <w:rPr>
          <w:rFonts w:cs="Times New Roman" w:eastAsiaTheme="minorEastAsia"/>
          <w:szCs w:val="28"/>
        </w:rPr>
        <w:t>°</w:t>
      </w:r>
      <w:r>
        <w:rPr>
          <w:rFonts w:cs="Times New Roman" w:eastAsiaTheme="minorEastAsia"/>
        </w:rPr>
        <w:t>59'-26</w:t>
      </w:r>
      <w:r>
        <w:rPr>
          <w:rFonts w:cs="Times New Roman" w:eastAsiaTheme="minorEastAsia"/>
          <w:szCs w:val="28"/>
        </w:rPr>
        <w:t>°</w:t>
      </w:r>
      <w:r>
        <w:rPr>
          <w:rFonts w:cs="Times New Roman" w:eastAsiaTheme="minorEastAsia"/>
        </w:rPr>
        <w:t>22’</w:t>
      </w:r>
      <w:r>
        <w:rPr>
          <w:rFonts w:cs="Times New Roman" w:hAnsiTheme="minorEastAsia" w:eastAsiaTheme="minorEastAsia"/>
        </w:rPr>
        <w:t>，距离贵州省会贵阳</w:t>
      </w:r>
      <w:r>
        <w:rPr>
          <w:rFonts w:cs="Times New Roman" w:eastAsiaTheme="minorEastAsia"/>
        </w:rPr>
        <w:t>172</w:t>
      </w:r>
      <w:r>
        <w:rPr>
          <w:rFonts w:cs="Times New Roman" w:hAnsiTheme="minorEastAsia" w:eastAsiaTheme="minorEastAsia"/>
        </w:rPr>
        <w:t>公里，距离六盘水市城区</w:t>
      </w:r>
      <w:r>
        <w:rPr>
          <w:rFonts w:cs="Times New Roman" w:eastAsiaTheme="minorEastAsia"/>
        </w:rPr>
        <w:t>98</w:t>
      </w:r>
      <w:r>
        <w:rPr>
          <w:rFonts w:cs="Times New Roman" w:hAnsiTheme="minorEastAsia" w:eastAsiaTheme="minorEastAsia"/>
        </w:rPr>
        <w:t>公里，东临贵州省的普定、镇宁两县，西接普安、晴隆、水城三县，南连关岭县，北靠织金、纳雍县，全区国土面积</w:t>
      </w:r>
      <w:r>
        <w:rPr>
          <w:rFonts w:cs="Times New Roman" w:eastAsiaTheme="minorEastAsia"/>
        </w:rPr>
        <w:t>1799.48</w:t>
      </w:r>
      <w:r>
        <w:rPr>
          <w:rFonts w:cs="Times New Roman" w:hAnsiTheme="minorEastAsia" w:eastAsiaTheme="minorEastAsia"/>
        </w:rPr>
        <w:t>平方公里。</w:t>
      </w:r>
      <w:r>
        <w:rPr>
          <w:rFonts w:hint="eastAsia" w:cs="Times New Roman" w:eastAsiaTheme="minorEastAsia"/>
        </w:rPr>
        <w:t>六枝</w:t>
      </w:r>
      <w:r>
        <w:rPr>
          <w:rFonts w:cs="Times New Roman" w:eastAsiaTheme="minorEastAsia"/>
        </w:rPr>
        <w:t>特区</w:t>
      </w:r>
      <w:r>
        <w:rPr>
          <w:rFonts w:hint="eastAsia" w:cs="Times New Roman" w:hAnsiTheme="minorEastAsia" w:eastAsiaTheme="minorEastAsia"/>
        </w:rPr>
        <w:t>辖3个街道、9个镇、6个乡（其中5个民族乡），共253个村（居），境内居住32个民族。根据第七次人口普查数据，六枝特区总人口75.84万人，其中常住人口为53.69万人。</w:t>
      </w:r>
    </w:p>
    <w:p>
      <w:pPr>
        <w:widowControl/>
        <w:shd w:val="clear" w:color="auto" w:fill="FFFFFF"/>
        <w:ind w:firstLine="560"/>
        <w:rPr>
          <w:rFonts w:cs="Times New Roman" w:eastAsiaTheme="minorEastAsia"/>
        </w:rPr>
      </w:pPr>
      <w:r>
        <w:rPr>
          <w:rFonts w:cs="Times New Roman" w:hAnsiTheme="minorEastAsia" w:eastAsiaTheme="minorEastAsia"/>
          <w:shd w:val="clear" w:color="auto" w:fill="FFFFFF"/>
        </w:rPr>
        <w:t>六枝特区能源资源富集。境内有</w:t>
      </w:r>
      <w:r>
        <w:rPr>
          <w:rFonts w:hint="eastAsia" w:cs="Times New Roman" w:hAnsiTheme="minorEastAsia" w:eastAsiaTheme="minorEastAsia"/>
          <w:shd w:val="clear" w:color="auto" w:fill="FFFFFF"/>
        </w:rPr>
        <w:t>煤炭、</w:t>
      </w:r>
      <w:r>
        <w:rPr>
          <w:rFonts w:cs="Times New Roman" w:hAnsiTheme="minorEastAsia" w:eastAsiaTheme="minorEastAsia"/>
          <w:shd w:val="clear" w:color="auto" w:fill="FFFFFF"/>
        </w:rPr>
        <w:t>萤石、</w:t>
      </w:r>
      <w:r>
        <w:rPr>
          <w:rFonts w:hint="eastAsia" w:cs="Times New Roman" w:hAnsiTheme="minorEastAsia" w:eastAsiaTheme="minorEastAsia"/>
          <w:shd w:val="clear" w:color="auto" w:fill="FFFFFF"/>
        </w:rPr>
        <w:t>锂矿石、</w:t>
      </w:r>
      <w:r>
        <w:rPr>
          <w:rFonts w:cs="Times New Roman" w:hAnsiTheme="minorEastAsia" w:eastAsiaTheme="minorEastAsia"/>
          <w:shd w:val="clear" w:color="auto" w:fill="FFFFFF"/>
        </w:rPr>
        <w:t>铁、硫、砷、铅、锌、冰洲石、重晶石、水晶石、石膏、石灰石、硅石、粘土等</w:t>
      </w:r>
      <w:r>
        <w:rPr>
          <w:rFonts w:cs="Times New Roman" w:eastAsiaTheme="minorEastAsia"/>
          <w:shd w:val="clear" w:color="auto" w:fill="FFFFFF"/>
        </w:rPr>
        <w:t>20</w:t>
      </w:r>
      <w:r>
        <w:rPr>
          <w:rFonts w:cs="Times New Roman" w:hAnsiTheme="minorEastAsia" w:eastAsiaTheme="minorEastAsia"/>
          <w:shd w:val="clear" w:color="auto" w:fill="FFFFFF"/>
        </w:rPr>
        <w:t>余种矿产资源</w:t>
      </w:r>
      <w:r>
        <w:rPr>
          <w:rFonts w:hint="eastAsia" w:cs="Times New Roman" w:hAnsiTheme="minorEastAsia" w:eastAsiaTheme="minorEastAsia"/>
          <w:shd w:val="clear" w:color="auto" w:fill="FFFFFF"/>
        </w:rPr>
        <w:t>。</w:t>
      </w:r>
      <w:r>
        <w:rPr>
          <w:rFonts w:cs="Times New Roman" w:hAnsiTheme="minorEastAsia" w:eastAsiaTheme="minorEastAsia"/>
          <w:shd w:val="clear" w:color="auto" w:fill="FFFFFF"/>
        </w:rPr>
        <w:t>已探明煤炭储量</w:t>
      </w:r>
      <w:r>
        <w:rPr>
          <w:rFonts w:cs="Times New Roman" w:eastAsiaTheme="minorEastAsia"/>
          <w:shd w:val="clear" w:color="auto" w:fill="FFFFFF"/>
        </w:rPr>
        <w:t>33</w:t>
      </w:r>
      <w:r>
        <w:rPr>
          <w:rFonts w:cs="Times New Roman" w:hAnsiTheme="minorEastAsia" w:eastAsiaTheme="minorEastAsia"/>
          <w:shd w:val="clear" w:color="auto" w:fill="FFFFFF"/>
        </w:rPr>
        <w:t>亿吨，煤层中蕴藏着丰富可供开发利用的煤层气，储量达</w:t>
      </w:r>
      <w:r>
        <w:rPr>
          <w:rFonts w:cs="Times New Roman" w:eastAsiaTheme="minorEastAsia"/>
          <w:shd w:val="clear" w:color="auto" w:fill="FFFFFF"/>
        </w:rPr>
        <w:t>650</w:t>
      </w:r>
      <w:r>
        <w:rPr>
          <w:rFonts w:cs="Times New Roman" w:hAnsiTheme="minorEastAsia" w:eastAsiaTheme="minorEastAsia"/>
          <w:shd w:val="clear" w:color="auto" w:fill="FFFFFF"/>
        </w:rPr>
        <w:t>亿立方米</w:t>
      </w:r>
      <w:r>
        <w:rPr>
          <w:rFonts w:hint="eastAsia" w:cs="Times New Roman" w:hAnsiTheme="minorEastAsia" w:eastAsiaTheme="minorEastAsia"/>
          <w:shd w:val="clear" w:color="auto" w:fill="FFFFFF"/>
        </w:rPr>
        <w:t>。萤石矿和锂矿属于共生矿，其中</w:t>
      </w:r>
      <w:r>
        <w:rPr>
          <w:rFonts w:cs="Times New Roman" w:eastAsiaTheme="minorEastAsia"/>
          <w:shd w:val="clear" w:color="auto" w:fill="FFFFFF"/>
        </w:rPr>
        <w:t>萤石矿</w:t>
      </w:r>
      <w:r>
        <w:rPr>
          <w:rFonts w:hint="eastAsia" w:cs="Times New Roman" w:eastAsiaTheme="minorEastAsia"/>
          <w:shd w:val="clear" w:color="auto" w:fill="FFFFFF"/>
        </w:rPr>
        <w:t>估算</w:t>
      </w:r>
      <w:r>
        <w:rPr>
          <w:rFonts w:cs="Times New Roman" w:eastAsiaTheme="minorEastAsia"/>
          <w:shd w:val="clear" w:color="auto" w:fill="FFFFFF"/>
        </w:rPr>
        <w:t>矿石量287.73万吨，平均品位28.40%</w:t>
      </w:r>
      <w:r>
        <w:rPr>
          <w:rFonts w:hint="eastAsia" w:cs="Times New Roman" w:eastAsiaTheme="minorEastAsia"/>
          <w:shd w:val="clear" w:color="auto" w:fill="FFFFFF"/>
        </w:rPr>
        <w:t>，</w:t>
      </w:r>
      <w:r>
        <w:rPr>
          <w:rFonts w:cs="Times New Roman" w:eastAsiaTheme="minorEastAsia"/>
          <w:shd w:val="clear" w:color="auto" w:fill="FFFFFF"/>
        </w:rPr>
        <w:t>氟化钙（CaF</w:t>
      </w:r>
      <w:r>
        <w:rPr>
          <w:rFonts w:cs="Times New Roman" w:eastAsiaTheme="minorEastAsia"/>
          <w:shd w:val="clear" w:color="auto" w:fill="FFFFFF"/>
          <w:vertAlign w:val="subscript"/>
        </w:rPr>
        <w:t>2</w:t>
      </w:r>
      <w:r>
        <w:rPr>
          <w:rFonts w:cs="Times New Roman" w:eastAsiaTheme="minorEastAsia"/>
          <w:shd w:val="clear" w:color="auto" w:fill="FFFFFF"/>
        </w:rPr>
        <w:t>）</w:t>
      </w:r>
      <w:r>
        <w:rPr>
          <w:rFonts w:hint="eastAsia" w:cs="Times New Roman" w:eastAsiaTheme="minorEastAsia"/>
          <w:shd w:val="clear" w:color="auto" w:fill="FFFFFF"/>
        </w:rPr>
        <w:t>矿物</w:t>
      </w:r>
      <w:r>
        <w:rPr>
          <w:rFonts w:cs="Times New Roman" w:eastAsiaTheme="minorEastAsia"/>
          <w:shd w:val="clear" w:color="auto" w:fill="FFFFFF"/>
        </w:rPr>
        <w:t>量81.73万吨；锂</w:t>
      </w:r>
      <w:r>
        <w:rPr>
          <w:rFonts w:hint="eastAsia" w:cs="Times New Roman" w:eastAsiaTheme="minorEastAsia"/>
          <w:shd w:val="clear" w:color="auto" w:fill="FFFFFF"/>
        </w:rPr>
        <w:t>粘土矿厚70-143m，Li</w:t>
      </w:r>
      <w:r>
        <w:rPr>
          <w:rFonts w:hint="eastAsia" w:cs="Times New Roman" w:eastAsiaTheme="minorEastAsia"/>
          <w:shd w:val="clear" w:color="auto" w:fill="FFFFFF"/>
          <w:vertAlign w:val="subscript"/>
        </w:rPr>
        <w:t>2</w:t>
      </w:r>
      <w:r>
        <w:rPr>
          <w:rFonts w:hint="eastAsia" w:cs="Times New Roman" w:eastAsiaTheme="minorEastAsia"/>
          <w:shd w:val="clear" w:color="auto" w:fill="FFFFFF"/>
        </w:rPr>
        <w:t>O含量0.2%-1.19%，估算</w:t>
      </w:r>
      <w:r>
        <w:rPr>
          <w:rFonts w:cs="Times New Roman" w:eastAsiaTheme="minorEastAsia"/>
          <w:shd w:val="clear" w:color="auto" w:fill="FFFFFF"/>
        </w:rPr>
        <w:t>氧化锂（</w:t>
      </w:r>
      <w:r>
        <w:rPr>
          <w:rFonts w:hint="eastAsia" w:cs="Times New Roman" w:eastAsiaTheme="minorEastAsia"/>
          <w:shd w:val="clear" w:color="auto" w:fill="FFFFFF"/>
        </w:rPr>
        <w:t>Li</w:t>
      </w:r>
      <w:r>
        <w:rPr>
          <w:rFonts w:hint="eastAsia" w:cs="Times New Roman" w:eastAsiaTheme="minorEastAsia"/>
          <w:shd w:val="clear" w:color="auto" w:fill="FFFFFF"/>
          <w:vertAlign w:val="subscript"/>
        </w:rPr>
        <w:t>2</w:t>
      </w:r>
      <w:r>
        <w:rPr>
          <w:rFonts w:hint="eastAsia" w:cs="Times New Roman" w:eastAsiaTheme="minorEastAsia"/>
          <w:shd w:val="clear" w:color="auto" w:fill="FFFFFF"/>
        </w:rPr>
        <w:t>O</w:t>
      </w:r>
      <w:r>
        <w:rPr>
          <w:rFonts w:cs="Times New Roman" w:eastAsiaTheme="minorEastAsia"/>
          <w:shd w:val="clear" w:color="auto" w:fill="FFFFFF"/>
        </w:rPr>
        <w:t>）</w:t>
      </w:r>
      <w:r>
        <w:rPr>
          <w:rFonts w:hint="eastAsia" w:cs="Times New Roman" w:eastAsiaTheme="minorEastAsia"/>
          <w:shd w:val="clear" w:color="auto" w:fill="FFFFFF"/>
        </w:rPr>
        <w:t>矿物</w:t>
      </w:r>
      <w:r>
        <w:rPr>
          <w:rFonts w:cs="Times New Roman" w:eastAsiaTheme="minorEastAsia"/>
          <w:shd w:val="clear" w:color="auto" w:fill="FFFFFF"/>
        </w:rPr>
        <w:t>量超50万吨。</w:t>
      </w:r>
      <w:r>
        <w:rPr>
          <w:rFonts w:hint="eastAsia" w:cs="Times New Roman" w:hAnsiTheme="minorEastAsia" w:eastAsiaTheme="minorEastAsia"/>
          <w:shd w:val="clear" w:color="auto" w:fill="FFFFFF"/>
        </w:rPr>
        <w:t>六枝特区化工园区</w:t>
      </w:r>
      <w:r>
        <w:rPr>
          <w:rFonts w:cs="Times New Roman" w:hAnsiTheme="minorEastAsia" w:eastAsiaTheme="minorEastAsia"/>
          <w:shd w:val="clear" w:color="auto" w:fill="FFFFFF"/>
        </w:rPr>
        <w:t>依托</w:t>
      </w:r>
      <w:r>
        <w:rPr>
          <w:rFonts w:cs="Times New Roman" w:hAnsiTheme="minorEastAsia" w:eastAsiaTheme="minorEastAsia"/>
          <w:kern w:val="0"/>
        </w:rPr>
        <w:t>区域丰富的</w:t>
      </w:r>
      <w:r>
        <w:rPr>
          <w:rFonts w:hint="eastAsia" w:cs="Times New Roman" w:hAnsiTheme="minorEastAsia" w:eastAsiaTheme="minorEastAsia"/>
          <w:kern w:val="0"/>
        </w:rPr>
        <w:t>煤炭及锂矿石</w:t>
      </w:r>
      <w:r>
        <w:rPr>
          <w:rFonts w:cs="Times New Roman" w:hAnsiTheme="minorEastAsia" w:eastAsiaTheme="minorEastAsia"/>
          <w:kern w:val="0"/>
        </w:rPr>
        <w:t>资源，</w:t>
      </w:r>
      <w:r>
        <w:rPr>
          <w:rFonts w:hint="eastAsia" w:cs="Times New Roman" w:hAnsiTheme="minorEastAsia" w:eastAsiaTheme="minorEastAsia"/>
          <w:kern w:val="0"/>
        </w:rPr>
        <w:t>主要</w:t>
      </w:r>
      <w:r>
        <w:rPr>
          <w:rFonts w:cs="Times New Roman" w:hAnsiTheme="minorEastAsia" w:eastAsiaTheme="minorEastAsia"/>
          <w:kern w:val="0"/>
        </w:rPr>
        <w:t>发展</w:t>
      </w:r>
      <w:r>
        <w:rPr>
          <w:rFonts w:hint="eastAsia" w:cs="Times New Roman" w:hAnsiTheme="minorEastAsia" w:eastAsiaTheme="minorEastAsia"/>
          <w:kern w:val="0"/>
        </w:rPr>
        <w:t>现代煤化工、精细化工等产业。其中煤化工发展以</w:t>
      </w:r>
      <w:r>
        <w:rPr>
          <w:rFonts w:cs="Times New Roman" w:hAnsiTheme="minorEastAsia" w:eastAsiaTheme="minorEastAsia"/>
          <w:kern w:val="0"/>
        </w:rPr>
        <w:t>煤</w:t>
      </w:r>
      <w:r>
        <w:rPr>
          <w:rFonts w:cs="Times New Roman" w:eastAsiaTheme="minorEastAsia"/>
          <w:kern w:val="0"/>
        </w:rPr>
        <w:t>—</w:t>
      </w:r>
      <w:r>
        <w:rPr>
          <w:rFonts w:cs="Times New Roman" w:hAnsiTheme="minorEastAsia" w:eastAsiaTheme="minorEastAsia"/>
          <w:kern w:val="0"/>
        </w:rPr>
        <w:t>焦</w:t>
      </w:r>
      <w:r>
        <w:rPr>
          <w:rFonts w:cs="Times New Roman" w:eastAsiaTheme="minorEastAsia"/>
          <w:kern w:val="0"/>
        </w:rPr>
        <w:t>—</w:t>
      </w:r>
      <w:r>
        <w:rPr>
          <w:rFonts w:cs="Times New Roman" w:hAnsiTheme="minorEastAsia" w:eastAsiaTheme="minorEastAsia"/>
          <w:kern w:val="0"/>
        </w:rPr>
        <w:t>氢为主体</w:t>
      </w:r>
      <w:r>
        <w:rPr>
          <w:rFonts w:hint="eastAsia" w:cs="Times New Roman" w:hAnsiTheme="minorEastAsia" w:eastAsiaTheme="minorEastAsia"/>
          <w:kern w:val="0"/>
        </w:rPr>
        <w:t>的现代煤化工</w:t>
      </w:r>
      <w:r>
        <w:rPr>
          <w:rFonts w:cs="Times New Roman" w:hAnsiTheme="minorEastAsia" w:eastAsiaTheme="minorEastAsia"/>
          <w:kern w:val="0"/>
        </w:rPr>
        <w:t>产业</w:t>
      </w:r>
      <w:r>
        <w:rPr>
          <w:rFonts w:hint="eastAsia" w:cs="Times New Roman" w:hAnsiTheme="minorEastAsia" w:eastAsiaTheme="minorEastAsia"/>
          <w:kern w:val="0"/>
        </w:rPr>
        <w:t>；精细化工发展依托锂矿石资源开发的碳酸锂中间产品，发展锂电池储能精细化学品为</w:t>
      </w:r>
      <w:r>
        <w:rPr>
          <w:rFonts w:cs="Times New Roman" w:hAnsiTheme="minorEastAsia" w:eastAsiaTheme="minorEastAsia"/>
          <w:kern w:val="0"/>
        </w:rPr>
        <w:t>代表的精细化工</w:t>
      </w:r>
      <w:r>
        <w:rPr>
          <w:rFonts w:hint="eastAsia" w:cs="Times New Roman" w:hAnsiTheme="minorEastAsia" w:eastAsiaTheme="minorEastAsia"/>
          <w:kern w:val="0"/>
        </w:rPr>
        <w:t>产业，</w:t>
      </w:r>
      <w:r>
        <w:rPr>
          <w:rFonts w:cs="Times New Roman" w:hAnsiTheme="minorEastAsia" w:eastAsiaTheme="minorEastAsia"/>
          <w:kern w:val="0"/>
        </w:rPr>
        <w:t>同时</w:t>
      </w:r>
      <w:r>
        <w:rPr>
          <w:rFonts w:cs="Times New Roman" w:hAnsiTheme="minorEastAsia" w:eastAsiaTheme="minorEastAsia"/>
        </w:rPr>
        <w:t>适度发展</w:t>
      </w:r>
      <w:r>
        <w:rPr>
          <w:rFonts w:hint="eastAsia" w:cs="Times New Roman" w:hAnsiTheme="minorEastAsia" w:eastAsiaTheme="minorEastAsia"/>
        </w:rPr>
        <w:t>其他精细化学品</w:t>
      </w:r>
      <w:r>
        <w:rPr>
          <w:rFonts w:cs="Times New Roman" w:hAnsiTheme="minorEastAsia" w:eastAsiaTheme="minorEastAsia"/>
        </w:rPr>
        <w:t>。将六枝化工园区</w:t>
      </w:r>
      <w:r>
        <w:rPr>
          <w:rFonts w:cs="Times New Roman" w:hAnsiTheme="minorEastAsia" w:eastAsiaTheme="minorEastAsia"/>
          <w:szCs w:val="28"/>
        </w:rPr>
        <w:t>打造全国现代化工循环经济示范基地、国家绿色化工产业示范基地、贵州省低碳化工创新试验基地，助推六枝城市经济的升级发展。</w:t>
      </w:r>
    </w:p>
    <w:p>
      <w:pPr>
        <w:ind w:firstLine="560"/>
        <w:rPr>
          <w:rFonts w:cs="Times New Roman" w:eastAsiaTheme="minorEastAsia"/>
          <w:szCs w:val="28"/>
        </w:rPr>
      </w:pPr>
      <w:r>
        <w:rPr>
          <w:rFonts w:cs="Times New Roman" w:hAnsiTheme="minorEastAsia" w:eastAsiaTheme="minorEastAsia"/>
          <w:szCs w:val="28"/>
        </w:rPr>
        <w:t>为顺应国家相关产业发展政策，优化六盘水市化工产业集聚，结合六盘水市化工产业发展特点，建设化工园区，合理布局化工上游和下游产业，延长化工产业链，适应六枝特区产业转型升级需求，为合理确定</w:t>
      </w:r>
      <w:r>
        <w:rPr>
          <w:rFonts w:hint="eastAsia" w:cs="Times New Roman" w:hAnsiTheme="minorEastAsia" w:eastAsiaTheme="minorEastAsia"/>
          <w:szCs w:val="28"/>
        </w:rPr>
        <w:t>六枝特区化工园区</w:t>
      </w:r>
      <w:r>
        <w:rPr>
          <w:rFonts w:cs="Times New Roman" w:hAnsiTheme="minorEastAsia" w:eastAsiaTheme="minorEastAsia"/>
          <w:szCs w:val="28"/>
        </w:rPr>
        <w:t>（以下简称园区）发展的产业、规模和发展方向，指导</w:t>
      </w:r>
      <w:r>
        <w:rPr>
          <w:rFonts w:cs="Times New Roman" w:hAnsiTheme="minorEastAsia" w:eastAsiaTheme="minorEastAsia"/>
        </w:rPr>
        <w:t>今后一段时期内化工园区产业高质量发展，</w:t>
      </w:r>
      <w:r>
        <w:rPr>
          <w:rFonts w:cs="Times New Roman" w:hAnsiTheme="minorEastAsia" w:eastAsiaTheme="minorEastAsia"/>
          <w:szCs w:val="28"/>
        </w:rPr>
        <w:t>特编制</w:t>
      </w:r>
      <w:r>
        <w:rPr>
          <w:rFonts w:cs="Times New Roman" w:hAnsiTheme="minorEastAsia" w:eastAsiaTheme="minorEastAsia"/>
        </w:rPr>
        <w:t>《</w:t>
      </w:r>
      <w:r>
        <w:rPr>
          <w:rFonts w:hint="eastAsia" w:cs="Times New Roman" w:hAnsiTheme="minorEastAsia" w:eastAsiaTheme="minorEastAsia"/>
        </w:rPr>
        <w:t>六枝特区化工园区</w:t>
      </w:r>
      <w:r>
        <w:rPr>
          <w:rFonts w:cs="Times New Roman" w:hAnsiTheme="minorEastAsia" w:eastAsiaTheme="minorEastAsia"/>
        </w:rPr>
        <w:t>产业发展规划》</w:t>
      </w:r>
      <w:r>
        <w:rPr>
          <w:rFonts w:cs="Times New Roman" w:hAnsiTheme="minorEastAsia" w:eastAsiaTheme="minorEastAsia"/>
          <w:szCs w:val="28"/>
        </w:rPr>
        <w:t>。</w:t>
      </w:r>
    </w:p>
    <w:p>
      <w:pPr>
        <w:pStyle w:val="4"/>
        <w:ind w:firstLine="602"/>
        <w:rPr>
          <w:rFonts w:cs="Times New Roman" w:eastAsiaTheme="minorEastAsia"/>
        </w:rPr>
      </w:pPr>
      <w:bookmarkStart w:id="2" w:name="_Toc126591846"/>
      <w:r>
        <w:rPr>
          <w:rFonts w:cs="Times New Roman" w:eastAsiaTheme="minorEastAsia"/>
        </w:rPr>
        <w:t xml:space="preserve">1.2 </w:t>
      </w:r>
      <w:r>
        <w:rPr>
          <w:rFonts w:cs="Times New Roman" w:hAnsiTheme="minorEastAsia" w:eastAsiaTheme="minorEastAsia"/>
        </w:rPr>
        <w:t>规划的必要性和意义</w:t>
      </w:r>
      <w:bookmarkEnd w:id="2"/>
    </w:p>
    <w:p>
      <w:pPr>
        <w:pStyle w:val="5"/>
        <w:ind w:firstLine="562"/>
        <w:rPr>
          <w:rFonts w:cs="Times New Roman" w:eastAsiaTheme="minorEastAsia"/>
        </w:rPr>
      </w:pPr>
      <w:r>
        <w:rPr>
          <w:rFonts w:cs="Times New Roman" w:eastAsiaTheme="minorEastAsia"/>
        </w:rPr>
        <w:t xml:space="preserve">1.2.1 </w:t>
      </w:r>
      <w:r>
        <w:rPr>
          <w:rFonts w:cs="Times New Roman" w:hAnsiTheme="minorEastAsia" w:eastAsiaTheme="minorEastAsia"/>
        </w:rPr>
        <w:t>规划是具体落实贵州省千亿级工业产业振兴行动方案的需要</w:t>
      </w:r>
    </w:p>
    <w:p>
      <w:pPr>
        <w:ind w:firstLine="560"/>
        <w:rPr>
          <w:rFonts w:cs="Times New Roman" w:eastAsiaTheme="minorEastAsia"/>
        </w:rPr>
      </w:pPr>
      <w:r>
        <w:rPr>
          <w:rFonts w:cs="Times New Roman" w:hAnsiTheme="minorEastAsia" w:eastAsiaTheme="minorEastAsia"/>
        </w:rPr>
        <w:t>贵州省十大千亿级工业产业振兴行动方案提出：</w:t>
      </w:r>
      <w:r>
        <w:rPr>
          <w:rFonts w:cs="Times New Roman" w:eastAsiaTheme="minorEastAsia"/>
        </w:rPr>
        <w:t>“</w:t>
      </w:r>
      <w:r>
        <w:rPr>
          <w:rFonts w:cs="Times New Roman" w:eastAsiaTheme="minorEastAsia"/>
          <w:shd w:val="clear" w:color="auto" w:fill="FFFFFF"/>
        </w:rPr>
        <w:t>(</w:t>
      </w:r>
      <w:r>
        <w:rPr>
          <w:rFonts w:cs="Times New Roman" w:hAnsiTheme="minorEastAsia" w:eastAsiaTheme="minorEastAsia"/>
          <w:shd w:val="clear" w:color="auto" w:fill="FFFFFF"/>
        </w:rPr>
        <w:t>五</w:t>
      </w:r>
      <w:r>
        <w:rPr>
          <w:rFonts w:cs="Times New Roman" w:eastAsiaTheme="minorEastAsia"/>
          <w:shd w:val="clear" w:color="auto" w:fill="FFFFFF"/>
        </w:rPr>
        <w:t>)</w:t>
      </w:r>
      <w:r>
        <w:rPr>
          <w:rFonts w:cs="Times New Roman" w:hAnsiTheme="minorEastAsia" w:eastAsiaTheme="minorEastAsia"/>
          <w:shd w:val="clear" w:color="auto" w:fill="FFFFFF"/>
        </w:rPr>
        <w:t>现代化工产业。大力发展化工新材料、精细磷化工、现代煤化工、橡胶制品、钡盐等现代化工产业，加快提升产学研深度融合水平和技术竞争力，着力推进全行业清洁生产和关联行业的耦合联产，努力建设全国主要的磷化工产业基地、重要的现代煤化工基地和新兴的精细化工基地。</w:t>
      </w:r>
      <w:r>
        <w:rPr>
          <w:rFonts w:cs="Times New Roman" w:eastAsiaTheme="minorEastAsia"/>
          <w:shd w:val="clear" w:color="auto" w:fill="FFFFFF"/>
        </w:rPr>
        <w:t>1.</w:t>
      </w:r>
      <w:r>
        <w:rPr>
          <w:rFonts w:cs="Times New Roman" w:hAnsiTheme="minorEastAsia" w:eastAsiaTheme="minorEastAsia"/>
          <w:shd w:val="clear" w:color="auto" w:fill="FFFFFF"/>
        </w:rPr>
        <w:t>持续优化产品结构。推动煤化工产品高端化，大力发展烯烃</w:t>
      </w:r>
      <w:r>
        <w:rPr>
          <w:rFonts w:cs="Times New Roman" w:eastAsiaTheme="minorEastAsia"/>
          <w:shd w:val="clear" w:color="auto" w:fill="FFFFFF"/>
        </w:rPr>
        <w:t>/</w:t>
      </w:r>
      <w:r>
        <w:rPr>
          <w:rFonts w:cs="Times New Roman" w:hAnsiTheme="minorEastAsia" w:eastAsiaTheme="minorEastAsia"/>
          <w:shd w:val="clear" w:color="auto" w:fill="FFFFFF"/>
        </w:rPr>
        <w:t>芳烃产品、煤制清洁燃料，优化发展焦化产品。</w:t>
      </w:r>
      <w:r>
        <w:rPr>
          <w:rFonts w:cs="Times New Roman" w:eastAsiaTheme="minorEastAsia"/>
          <w:shd w:val="clear" w:color="auto" w:fill="FFFFFF"/>
        </w:rPr>
        <w:t>”</w:t>
      </w:r>
      <w:r>
        <w:rPr>
          <w:rFonts w:cs="Times New Roman" w:hAnsiTheme="minorEastAsia" w:eastAsiaTheme="minorEastAsia"/>
          <w:shd w:val="clear" w:color="auto" w:fill="FFFFFF"/>
        </w:rPr>
        <w:t>。</w:t>
      </w:r>
    </w:p>
    <w:p>
      <w:pPr>
        <w:ind w:firstLine="560"/>
        <w:rPr>
          <w:rFonts w:cs="Times New Roman" w:eastAsiaTheme="minorEastAsia"/>
        </w:rPr>
      </w:pPr>
      <w:r>
        <w:rPr>
          <w:rFonts w:hint="eastAsia" w:cs="Times New Roman" w:hAnsiTheme="minorEastAsia" w:eastAsiaTheme="minorEastAsia"/>
        </w:rPr>
        <w:t>六枝特区化工园区现代煤化工</w:t>
      </w:r>
      <w:r>
        <w:rPr>
          <w:rFonts w:cs="Times New Roman" w:hAnsiTheme="minorEastAsia" w:eastAsiaTheme="minorEastAsia"/>
        </w:rPr>
        <w:t>产业、</w:t>
      </w:r>
      <w:r>
        <w:rPr>
          <w:rFonts w:hint="eastAsia" w:cs="Times New Roman" w:hAnsiTheme="minorEastAsia" w:eastAsiaTheme="minorEastAsia"/>
        </w:rPr>
        <w:t>精细化学品产业</w:t>
      </w:r>
      <w:r>
        <w:rPr>
          <w:rFonts w:cs="Times New Roman" w:hAnsiTheme="minorEastAsia" w:eastAsiaTheme="minorEastAsia"/>
        </w:rPr>
        <w:t>的高质量和绿色发展是当地经济发展的需要，也是推动全省十大千亿级工业产业振兴的具体措施，对区域工业产业和全省整体现代化工产业的振兴发展均具有非常重要的意义。</w:t>
      </w:r>
    </w:p>
    <w:p>
      <w:pPr>
        <w:pStyle w:val="5"/>
        <w:ind w:firstLine="562"/>
        <w:rPr>
          <w:rFonts w:cs="Times New Roman" w:eastAsiaTheme="minorEastAsia"/>
        </w:rPr>
      </w:pPr>
      <w:r>
        <w:rPr>
          <w:rFonts w:cs="Times New Roman" w:eastAsiaTheme="minorEastAsia"/>
        </w:rPr>
        <w:t xml:space="preserve">1.2.2 </w:t>
      </w:r>
      <w:r>
        <w:rPr>
          <w:rFonts w:cs="Times New Roman" w:hAnsiTheme="minorEastAsia" w:eastAsiaTheme="minorEastAsia"/>
        </w:rPr>
        <w:t>规划是《贵州省</w:t>
      </w:r>
      <w:r>
        <w:rPr>
          <w:rFonts w:cs="Times New Roman" w:eastAsiaTheme="minorEastAsia"/>
        </w:rPr>
        <w:t>“</w:t>
      </w:r>
      <w:r>
        <w:rPr>
          <w:rFonts w:cs="Times New Roman" w:hAnsiTheme="minorEastAsia" w:eastAsiaTheme="minorEastAsia"/>
        </w:rPr>
        <w:t>十四五</w:t>
      </w:r>
      <w:r>
        <w:rPr>
          <w:rFonts w:cs="Times New Roman" w:eastAsiaTheme="minorEastAsia"/>
        </w:rPr>
        <w:t>”</w:t>
      </w:r>
      <w:r>
        <w:rPr>
          <w:rFonts w:cs="Times New Roman" w:hAnsiTheme="minorEastAsia" w:eastAsiaTheme="minorEastAsia"/>
        </w:rPr>
        <w:t>工业发展规划》</w:t>
      </w:r>
      <w:r>
        <w:rPr>
          <w:rFonts w:hint="eastAsia" w:cs="Times New Roman" w:hAnsiTheme="minorEastAsia" w:eastAsiaTheme="minorEastAsia"/>
        </w:rPr>
        <w:t>、</w:t>
      </w:r>
      <w:r>
        <w:rPr>
          <w:rFonts w:cs="Times New Roman" w:hAnsiTheme="minorEastAsia" w:eastAsiaTheme="minorEastAsia"/>
        </w:rPr>
        <w:t>《贵州省现代化工产业发展规划（</w:t>
      </w:r>
      <w:r>
        <w:rPr>
          <w:rFonts w:cs="Times New Roman" w:eastAsiaTheme="minorEastAsia"/>
        </w:rPr>
        <w:t>2019-2025</w:t>
      </w:r>
      <w:r>
        <w:rPr>
          <w:rFonts w:cs="Times New Roman" w:hAnsiTheme="minorEastAsia" w:eastAsiaTheme="minorEastAsia"/>
        </w:rPr>
        <w:t>）》</w:t>
      </w:r>
      <w:r>
        <w:rPr>
          <w:rFonts w:hint="eastAsia" w:cs="Times New Roman" w:hAnsiTheme="minorEastAsia" w:eastAsiaTheme="minorEastAsia"/>
        </w:rPr>
        <w:t>和</w:t>
      </w:r>
      <w:r>
        <w:rPr>
          <w:rFonts w:cs="Times New Roman" w:hAnsiTheme="minorEastAsia" w:eastAsiaTheme="minorEastAsia"/>
        </w:rPr>
        <w:t>《贵州省煤化工产业发展规划（</w:t>
      </w:r>
      <w:r>
        <w:rPr>
          <w:rFonts w:cs="Times New Roman" w:eastAsiaTheme="minorEastAsia"/>
        </w:rPr>
        <w:t>2019</w:t>
      </w:r>
      <w:r>
        <w:rPr>
          <w:rFonts w:cs="Times New Roman" w:hAnsiTheme="minorEastAsia" w:eastAsiaTheme="minorEastAsia"/>
        </w:rPr>
        <w:t>－</w:t>
      </w:r>
      <w:r>
        <w:rPr>
          <w:rFonts w:cs="Times New Roman" w:eastAsiaTheme="minorEastAsia"/>
        </w:rPr>
        <w:t>2025</w:t>
      </w:r>
      <w:r>
        <w:rPr>
          <w:rFonts w:cs="Times New Roman" w:hAnsiTheme="minorEastAsia" w:eastAsiaTheme="minorEastAsia"/>
        </w:rPr>
        <w:t>年）》的具体落实</w:t>
      </w:r>
    </w:p>
    <w:p>
      <w:pPr>
        <w:ind w:firstLine="560"/>
        <w:rPr>
          <w:rFonts w:cs="Times New Roman" w:eastAsiaTheme="minorEastAsia"/>
        </w:rPr>
      </w:pPr>
      <w:r>
        <w:rPr>
          <w:rFonts w:cs="Times New Roman" w:hAnsiTheme="minorEastAsia" w:eastAsiaTheme="minorEastAsia"/>
        </w:rPr>
        <w:t>《</w:t>
      </w:r>
      <w:r>
        <w:rPr>
          <w:rFonts w:cs="Times New Roman" w:hAnsiTheme="minorEastAsia" w:eastAsiaTheme="minorEastAsia"/>
          <w:szCs w:val="28"/>
        </w:rPr>
        <w:t>贵州省</w:t>
      </w:r>
      <w:r>
        <w:rPr>
          <w:rFonts w:cs="Times New Roman" w:eastAsiaTheme="minorEastAsia"/>
          <w:szCs w:val="28"/>
        </w:rPr>
        <w:t>“</w:t>
      </w:r>
      <w:r>
        <w:rPr>
          <w:rFonts w:cs="Times New Roman" w:hAnsiTheme="minorEastAsia" w:eastAsiaTheme="minorEastAsia"/>
          <w:szCs w:val="28"/>
        </w:rPr>
        <w:t>十四五</w:t>
      </w:r>
      <w:r>
        <w:rPr>
          <w:rFonts w:cs="Times New Roman" w:eastAsiaTheme="minorEastAsia"/>
          <w:szCs w:val="28"/>
        </w:rPr>
        <w:t>”</w:t>
      </w:r>
      <w:r>
        <w:rPr>
          <w:rFonts w:cs="Times New Roman" w:hAnsiTheme="minorEastAsia" w:eastAsiaTheme="minorEastAsia"/>
          <w:szCs w:val="28"/>
        </w:rPr>
        <w:t>工业发展规划</w:t>
      </w:r>
      <w:r>
        <w:rPr>
          <w:rFonts w:cs="Times New Roman" w:hAnsiTheme="minorEastAsia" w:eastAsiaTheme="minorEastAsia"/>
        </w:rPr>
        <w:t>》</w:t>
      </w:r>
      <w:r>
        <w:rPr>
          <w:rFonts w:cs="Times New Roman" w:hAnsiTheme="minorEastAsia" w:eastAsiaTheme="minorEastAsia"/>
          <w:szCs w:val="28"/>
        </w:rPr>
        <w:t>提出：积极推进煤化工新型化。以煤炭资源高效利用为主攻方向，</w:t>
      </w:r>
      <w:r>
        <w:rPr>
          <w:rFonts w:cs="Times New Roman" w:hAnsiTheme="minorEastAsia" w:eastAsiaTheme="minorEastAsia"/>
          <w:bCs/>
          <w:szCs w:val="28"/>
        </w:rPr>
        <w:t>改造提升传统煤化工产业，应用先进原煤气化技术重点改造传统甲醇、合成氨装置，采用先进技术改造现有生产装置。加快发展煤制聚乙醇酸（</w:t>
      </w:r>
      <w:r>
        <w:rPr>
          <w:rFonts w:cs="Times New Roman" w:eastAsiaTheme="minorEastAsia"/>
          <w:bCs/>
          <w:szCs w:val="28"/>
        </w:rPr>
        <w:t>PGA</w:t>
      </w:r>
      <w:r>
        <w:rPr>
          <w:rFonts w:cs="Times New Roman" w:hAnsiTheme="minorEastAsia" w:eastAsiaTheme="minorEastAsia"/>
          <w:bCs/>
          <w:szCs w:val="28"/>
        </w:rPr>
        <w:t>）、煤制烯烃、芳烃、乙二醇等煤基材料及聚酯材料、可降解塑料等产品。</w:t>
      </w:r>
    </w:p>
    <w:p>
      <w:pPr>
        <w:ind w:firstLine="560"/>
        <w:rPr>
          <w:rFonts w:cs="Times New Roman" w:eastAsiaTheme="minorEastAsia"/>
        </w:rPr>
      </w:pPr>
      <w:r>
        <w:rPr>
          <w:rFonts w:cs="Times New Roman" w:hAnsiTheme="minorEastAsia" w:eastAsiaTheme="minorEastAsia"/>
        </w:rPr>
        <w:t>《贵州省现代化工产业发展规划（</w:t>
      </w:r>
      <w:r>
        <w:rPr>
          <w:rFonts w:cs="Times New Roman" w:eastAsiaTheme="minorEastAsia"/>
        </w:rPr>
        <w:t>2019</w:t>
      </w:r>
      <w:r>
        <w:rPr>
          <w:rFonts w:cs="Times New Roman" w:hAnsiTheme="minorEastAsia" w:eastAsiaTheme="minorEastAsia"/>
        </w:rPr>
        <w:t>－</w:t>
      </w:r>
      <w:r>
        <w:rPr>
          <w:rFonts w:cs="Times New Roman" w:eastAsiaTheme="minorEastAsia"/>
        </w:rPr>
        <w:t>2025</w:t>
      </w:r>
      <w:r>
        <w:rPr>
          <w:rFonts w:cs="Times New Roman" w:hAnsiTheme="minorEastAsia" w:eastAsiaTheme="minorEastAsia"/>
        </w:rPr>
        <w:t>年）》</w:t>
      </w:r>
      <w:r>
        <w:rPr>
          <w:rFonts w:cs="Times New Roman" w:hAnsiTheme="minorEastAsia" w:eastAsiaTheme="minorEastAsia"/>
          <w:szCs w:val="28"/>
        </w:rPr>
        <w:t>提出：</w:t>
      </w:r>
      <w:r>
        <w:rPr>
          <w:rFonts w:cs="Times New Roman" w:eastAsiaTheme="minorEastAsia"/>
        </w:rPr>
        <w:t>“</w:t>
      </w:r>
      <w:r>
        <w:rPr>
          <w:rFonts w:cs="Times New Roman" w:hAnsiTheme="minorEastAsia" w:eastAsiaTheme="minorEastAsia"/>
        </w:rPr>
        <w:t>推动煤化工产业新型化。按照生态优先、有序开发、规范发展的要求，优化存量，培育增量，推进煤炭资源的高效清洁转化。改造提升传统煤化工产业，应用先进煤气化技术重点改造传统甲醇、合成氨装置；采用先进的干法熄焦、焦炉气利用技术改造现有生产装置。培育发展现代煤化工产业，重点发展煤制烯烃、乙二醇、聚酯类新材料等精深加工产品。实现全省煤化工发展从过度依赖资源向市场主导转变、从资源消耗向创新驱动转变，从低附加值向高附加值转变、从耗能污染向环境友好转变，提高企业经济效益和市场竞争力，促进贵州省煤化工产业健康有序发展。</w:t>
      </w:r>
    </w:p>
    <w:p>
      <w:pPr>
        <w:ind w:firstLine="560"/>
        <w:rPr>
          <w:rFonts w:cs="Times New Roman" w:eastAsiaTheme="minorEastAsia"/>
        </w:rPr>
      </w:pPr>
      <w:r>
        <w:rPr>
          <w:rFonts w:cs="Times New Roman" w:hAnsiTheme="minorEastAsia" w:eastAsiaTheme="minorEastAsia"/>
        </w:rPr>
        <w:t>《贵州省煤化工产业发展规划（</w:t>
      </w:r>
      <w:r>
        <w:rPr>
          <w:rFonts w:cs="Times New Roman" w:eastAsiaTheme="minorEastAsia"/>
        </w:rPr>
        <w:t>2019</w:t>
      </w:r>
      <w:r>
        <w:rPr>
          <w:rFonts w:cs="Times New Roman" w:hAnsiTheme="minorEastAsia" w:eastAsiaTheme="minorEastAsia"/>
        </w:rPr>
        <w:t>－</w:t>
      </w:r>
      <w:r>
        <w:rPr>
          <w:rFonts w:cs="Times New Roman" w:eastAsiaTheme="minorEastAsia"/>
        </w:rPr>
        <w:t>2025</w:t>
      </w:r>
      <w:r>
        <w:rPr>
          <w:rFonts w:cs="Times New Roman" w:hAnsiTheme="minorEastAsia" w:eastAsiaTheme="minorEastAsia"/>
        </w:rPr>
        <w:t>年）》提出：</w:t>
      </w:r>
      <w:r>
        <w:rPr>
          <w:rFonts w:cs="Times New Roman" w:eastAsiaTheme="minorEastAsia"/>
        </w:rPr>
        <w:t>“</w:t>
      </w:r>
      <w:r>
        <w:rPr>
          <w:rFonts w:cs="Times New Roman" w:hAnsiTheme="minorEastAsia" w:eastAsiaTheme="minorEastAsia"/>
        </w:rPr>
        <w:t>（一）推动产业集聚融合发展。根据</w:t>
      </w:r>
      <w:r>
        <w:rPr>
          <w:rFonts w:cs="Times New Roman" w:eastAsiaTheme="minorEastAsia"/>
        </w:rPr>
        <w:t>“</w:t>
      </w:r>
      <w:r>
        <w:rPr>
          <w:rFonts w:cs="Times New Roman" w:hAnsiTheme="minorEastAsia" w:eastAsiaTheme="minorEastAsia"/>
        </w:rPr>
        <w:t>量力而行、量水而行、量环境承载能力而行</w:t>
      </w:r>
      <w:r>
        <w:rPr>
          <w:rFonts w:cs="Times New Roman" w:eastAsiaTheme="minorEastAsia"/>
        </w:rPr>
        <w:t>”</w:t>
      </w:r>
      <w:r>
        <w:rPr>
          <w:rFonts w:cs="Times New Roman" w:hAnsiTheme="minorEastAsia" w:eastAsiaTheme="minorEastAsia"/>
        </w:rPr>
        <w:t>的布局要求，依托合成氨气化装置改造、煤制烯烃、煤制乙二醇、煤焦化一体化等重大项目建设，按照</w:t>
      </w:r>
      <w:r>
        <w:rPr>
          <w:rFonts w:cs="Times New Roman" w:eastAsiaTheme="minorEastAsia"/>
        </w:rPr>
        <w:t>“</w:t>
      </w:r>
      <w:r>
        <w:rPr>
          <w:rFonts w:cs="Times New Roman" w:hAnsiTheme="minorEastAsia" w:eastAsiaTheme="minorEastAsia"/>
        </w:rPr>
        <w:t>产业园区化、装置大型化、生产柔性化、产品多元化</w:t>
      </w:r>
      <w:r>
        <w:rPr>
          <w:rFonts w:cs="Times New Roman" w:eastAsiaTheme="minorEastAsia"/>
        </w:rPr>
        <w:t>”</w:t>
      </w:r>
      <w:r>
        <w:rPr>
          <w:rFonts w:cs="Times New Roman" w:hAnsiTheme="minorEastAsia" w:eastAsiaTheme="minorEastAsia"/>
        </w:rPr>
        <w:t>的模式，合理控制总量，突出技术特色，努力建设具有先进水平的煤化工产业集聚区和生产基地。鼓励煤化电热一体化、多联产发展，促进煤化工与煤炭开采、电力、石油化工、冶金建材、磷化工、氟化工、化纤等产业融合发展，构建循环经济产业链和产业集群，提升资源能源利用效率。（三）培育壮大现代煤化工。充分利用贵州省煤炭、水、交通区位等要素资源优势，坚持高起点谋划、差异化发展，加快发展一批市场需求旺盛、技术含量较高的现代煤化工产品，加快构建具有市场竞争力的现代煤化工产业体系。稳步推进现代煤化工关键技术产业化示范工程，加快煤制烯烃及后加工有机产品、煤制乙二醇及聚酯纤维、煤焦油精深加工等现代煤化工项目建设，适时推进芳烃项目建设，弥补产业短板。</w:t>
      </w:r>
      <w:r>
        <w:rPr>
          <w:rFonts w:cs="Times New Roman" w:eastAsiaTheme="minorEastAsia"/>
        </w:rPr>
        <w:t>”</w:t>
      </w:r>
    </w:p>
    <w:p>
      <w:pPr>
        <w:ind w:firstLine="560"/>
        <w:rPr>
          <w:rFonts w:cs="Times New Roman" w:hAnsiTheme="minorEastAsia" w:eastAsiaTheme="minorEastAsia"/>
        </w:rPr>
      </w:pPr>
      <w:r>
        <w:rPr>
          <w:rFonts w:hint="eastAsia" w:cs="Times New Roman" w:hAnsiTheme="minorEastAsia" w:eastAsiaTheme="minorEastAsia"/>
        </w:rPr>
        <w:t>六枝特区化工园区</w:t>
      </w:r>
      <w:r>
        <w:rPr>
          <w:rFonts w:cs="Times New Roman" w:hAnsiTheme="minorEastAsia" w:eastAsiaTheme="minorEastAsia"/>
        </w:rPr>
        <w:t>的产业发展是落实《贵州省现代化工产业发展规划（</w:t>
      </w:r>
      <w:r>
        <w:rPr>
          <w:rFonts w:cs="Times New Roman" w:eastAsiaTheme="minorEastAsia"/>
        </w:rPr>
        <w:t>2019</w:t>
      </w:r>
      <w:r>
        <w:rPr>
          <w:rFonts w:cs="Times New Roman" w:hAnsiTheme="minorEastAsia" w:eastAsiaTheme="minorEastAsia"/>
        </w:rPr>
        <w:t>－</w:t>
      </w:r>
      <w:r>
        <w:rPr>
          <w:rFonts w:cs="Times New Roman" w:eastAsiaTheme="minorEastAsia"/>
        </w:rPr>
        <w:t>2025</w:t>
      </w:r>
      <w:r>
        <w:rPr>
          <w:rFonts w:cs="Times New Roman" w:hAnsiTheme="minorEastAsia" w:eastAsiaTheme="minorEastAsia"/>
        </w:rPr>
        <w:t>年）》和《贵州省煤化工产业发展规划（</w:t>
      </w:r>
      <w:r>
        <w:rPr>
          <w:rFonts w:cs="Times New Roman" w:eastAsiaTheme="minorEastAsia"/>
        </w:rPr>
        <w:t>2019</w:t>
      </w:r>
      <w:r>
        <w:rPr>
          <w:rFonts w:cs="Times New Roman" w:hAnsiTheme="minorEastAsia" w:eastAsiaTheme="minorEastAsia"/>
        </w:rPr>
        <w:t>－</w:t>
      </w:r>
      <w:r>
        <w:rPr>
          <w:rFonts w:cs="Times New Roman" w:eastAsiaTheme="minorEastAsia"/>
        </w:rPr>
        <w:t>2025</w:t>
      </w:r>
      <w:r>
        <w:rPr>
          <w:rFonts w:cs="Times New Roman" w:hAnsiTheme="minorEastAsia" w:eastAsiaTheme="minorEastAsia"/>
        </w:rPr>
        <w:t>年）》的具体举措。</w:t>
      </w:r>
    </w:p>
    <w:p>
      <w:pPr>
        <w:ind w:firstLine="560"/>
        <w:rPr>
          <w:rFonts w:cs="Times New Roman" w:hAnsiTheme="minorEastAsia"/>
        </w:rPr>
      </w:pPr>
      <w:r>
        <w:rPr>
          <w:rFonts w:hint="eastAsia" w:cs="Times New Roman" w:hAnsiTheme="minorEastAsia" w:eastAsiaTheme="minorEastAsia"/>
        </w:rPr>
        <w:t>1.2.3规划是落实</w:t>
      </w:r>
      <w:r>
        <w:rPr>
          <w:rFonts w:cs="Times New Roman" w:hAnsiTheme="minorEastAsia" w:eastAsiaTheme="minorEastAsia"/>
        </w:rPr>
        <w:t>《2022年推进贵州省新能源电池及材料产业高质量发展行动方案》</w:t>
      </w:r>
      <w:r>
        <w:rPr>
          <w:rFonts w:hint="eastAsia" w:cs="Times New Roman" w:hAnsiTheme="minorEastAsia" w:eastAsiaTheme="minorEastAsia"/>
        </w:rPr>
        <w:t>和</w:t>
      </w:r>
      <w:r>
        <w:rPr>
          <w:rFonts w:cs="Times New Roman" w:hAnsiTheme="minorEastAsia" w:eastAsiaTheme="minorEastAsia"/>
        </w:rPr>
        <w:t>《关于推进锂电池材料产业高质量发展的指导意见》</w:t>
      </w:r>
      <w:r>
        <w:rPr>
          <w:rFonts w:hint="eastAsia" w:cs="Times New Roman" w:hAnsiTheme="minorEastAsia" w:eastAsiaTheme="minorEastAsia"/>
        </w:rPr>
        <w:t>（</w:t>
      </w:r>
      <w:r>
        <w:rPr>
          <w:rFonts w:cs="Times New Roman" w:hAnsiTheme="minorEastAsia" w:eastAsiaTheme="minorEastAsia"/>
        </w:rPr>
        <w:t>黔</w:t>
      </w:r>
      <w:r>
        <w:rPr>
          <w:rFonts w:hint="eastAsia" w:cs="Times New Roman" w:hAnsiTheme="minorEastAsia" w:eastAsiaTheme="minorEastAsia"/>
        </w:rPr>
        <w:t>新工[2021]2号）的需要</w:t>
      </w:r>
    </w:p>
    <w:p>
      <w:pPr>
        <w:ind w:firstLine="560"/>
        <w:rPr>
          <w:rFonts w:cs="Times New Roman" w:hAnsiTheme="minorEastAsia" w:eastAsiaTheme="minorEastAsia"/>
        </w:rPr>
      </w:pPr>
      <w:r>
        <w:rPr>
          <w:rFonts w:hint="eastAsia" w:cs="Times New Roman" w:hAnsiTheme="minorEastAsia" w:eastAsiaTheme="minorEastAsia"/>
        </w:rPr>
        <w:t>《2022年推进贵州省新能源电池及材料产业高质量发展行动方案》指出：“‘黔西南—六盘水’新能源电池及材料产业聚集区。充分发挥黔西南州地方电网和六盘水市煤炭资源禀赋优势，以义龙新区为重点，兴仁经开区、盘北经开区、六枝经开区等为支撑，加快培育以三元正极材料及原辅料为代表的电池材料及原辅料产业集聚区，重点补齐锂盐材料短板，着力突破“煤焦油—针状焦—负极材料”产业路径，适度布局负极材料项目。”</w:t>
      </w:r>
    </w:p>
    <w:p>
      <w:pPr>
        <w:ind w:firstLine="560"/>
        <w:rPr>
          <w:rFonts w:cs="Times New Roman" w:hAnsiTheme="minorEastAsia" w:eastAsiaTheme="minorEastAsia"/>
        </w:rPr>
      </w:pPr>
      <w:r>
        <w:rPr>
          <w:rFonts w:hint="eastAsia" w:cs="Times New Roman" w:hAnsiTheme="minorEastAsia" w:eastAsiaTheme="minorEastAsia"/>
        </w:rPr>
        <w:t>《关于推进锂电池材料产业高质量发展的指导意见》（黔新工[2021]2号）指出，“提升锰酸锂、磷酸锰铁锂等正极材料生产能力，有序提升锂电池负极材料生产供应和配套能力，加快提升电解液生产能力，稳步提高隔膜等锂电池主要原料配套能力，补齐碳酸锂等锂盐材料短板；推进贵州六盘水产业结构转型升级示范区建设，统筹考虑要素资源优势和环境承载能力，依托六盘水煤焦化产业基础，延伸煤系针状焦、煤沥青等煤焦化副产品产业链条，大力发展人造石墨、硅碳、合金等负极材料，以盘北经开区、大龙经开区、六枝经开区、黔西南高新区等为重点，培育打造锂电池负极材料产业集群。”</w:t>
      </w:r>
    </w:p>
    <w:p>
      <w:pPr>
        <w:ind w:firstLine="560"/>
        <w:rPr>
          <w:rFonts w:cs="Times New Roman" w:hAnsiTheme="minorEastAsia" w:eastAsiaTheme="minorEastAsia"/>
        </w:rPr>
      </w:pPr>
      <w:r>
        <w:rPr>
          <w:rFonts w:hint="eastAsia" w:cs="Times New Roman" w:hAnsiTheme="minorEastAsia" w:eastAsiaTheme="minorEastAsia"/>
        </w:rPr>
        <w:t>六枝特区化工园区产业规划布局有“煤焦油—针状焦—负极材料”、“碳酸锂—锂电正极材料”等产业链，是落实《2022年推进贵州省新能源电池及材料产业高质量发展行动方案》和《关于推进锂电池材料产业高质量发展的指导意见》（黔新工[2021]2号）的重要举措。</w:t>
      </w:r>
    </w:p>
    <w:p>
      <w:pPr>
        <w:pStyle w:val="5"/>
        <w:ind w:firstLine="562"/>
        <w:rPr>
          <w:rFonts w:cs="Times New Roman" w:eastAsiaTheme="minorEastAsia"/>
          <w:szCs w:val="28"/>
        </w:rPr>
      </w:pPr>
      <w:r>
        <w:rPr>
          <w:rFonts w:cs="Times New Roman" w:eastAsiaTheme="minorEastAsia"/>
          <w:szCs w:val="28"/>
        </w:rPr>
        <w:t>1.2.</w:t>
      </w:r>
      <w:r>
        <w:rPr>
          <w:rFonts w:hint="eastAsia" w:cs="Times New Roman" w:eastAsiaTheme="minorEastAsia"/>
          <w:szCs w:val="28"/>
        </w:rPr>
        <w:t>4</w:t>
      </w:r>
      <w:r>
        <w:rPr>
          <w:rFonts w:cs="Times New Roman" w:eastAsiaTheme="minorEastAsia"/>
          <w:szCs w:val="28"/>
        </w:rPr>
        <w:t xml:space="preserve"> </w:t>
      </w:r>
      <w:r>
        <w:rPr>
          <w:rFonts w:cs="Times New Roman" w:hAnsiTheme="minorEastAsia" w:eastAsiaTheme="minorEastAsia"/>
          <w:szCs w:val="28"/>
        </w:rPr>
        <w:t>规划是落实《六枝特区国民经济和社会发展第十四个五年规划和二〇三五年远景目标纲要》的需要</w:t>
      </w:r>
    </w:p>
    <w:p>
      <w:pPr>
        <w:ind w:firstLine="560"/>
        <w:rPr>
          <w:rFonts w:cs="Times New Roman" w:eastAsiaTheme="minorEastAsia"/>
          <w:shd w:val="clear" w:color="auto" w:fill="FFFFFF"/>
        </w:rPr>
      </w:pPr>
      <w:r>
        <w:rPr>
          <w:rFonts w:cs="Times New Roman" w:hAnsiTheme="minorEastAsia" w:eastAsiaTheme="minorEastAsia"/>
          <w:kern w:val="0"/>
          <w:szCs w:val="28"/>
        </w:rPr>
        <w:t>《</w:t>
      </w:r>
      <w:r>
        <w:rPr>
          <w:rFonts w:cs="Times New Roman" w:hAnsiTheme="minorEastAsia" w:eastAsiaTheme="minorEastAsia"/>
        </w:rPr>
        <w:t>六枝特区国民经济和社会发展第十四个五年规划和二〇三五年远景目标纲要</w:t>
      </w:r>
      <w:r>
        <w:rPr>
          <w:rFonts w:cs="Times New Roman" w:hAnsiTheme="minorEastAsia" w:eastAsiaTheme="minorEastAsia"/>
          <w:kern w:val="0"/>
          <w:szCs w:val="28"/>
        </w:rPr>
        <w:t>》提出：</w:t>
      </w:r>
      <w:r>
        <w:rPr>
          <w:rFonts w:cs="Times New Roman" w:eastAsiaTheme="minorEastAsia"/>
          <w:kern w:val="0"/>
          <w:szCs w:val="28"/>
        </w:rPr>
        <w:t>“</w:t>
      </w:r>
      <w:r>
        <w:rPr>
          <w:rFonts w:cs="Times New Roman" w:hAnsiTheme="minorEastAsia" w:eastAsiaTheme="minorEastAsia"/>
          <w:shd w:val="clear" w:color="auto" w:fill="FFFFFF"/>
        </w:rPr>
        <w:t>培育壮大新兴产业：融入新发展格局，立足优势资源，突出发展新型能源化工、新材料、新型建材、大医药健康等新兴产业，加快新旧动能转换，推动产业转型升级。加快发展新型能源化工。以深化能源供给侧结构性改革为主线，立足全区资源优势，重点围绕锂电新能源产业、氢能源产业、生物质能产业做好能源产业转型工作，推动全区新型能源产业方面取得新突破。发展壮大锂电产业。在规划期内，建成六枝含锂多金属矿山、锂矿高效综合利用选矿厂、</w:t>
      </w:r>
      <w:r>
        <w:rPr>
          <w:rFonts w:cs="Times New Roman" w:eastAsiaTheme="minorEastAsia"/>
          <w:shd w:val="clear" w:color="auto" w:fill="FFFFFF"/>
        </w:rPr>
        <w:t>2</w:t>
      </w:r>
      <w:r>
        <w:rPr>
          <w:rFonts w:cs="Times New Roman" w:hAnsiTheme="minorEastAsia" w:eastAsiaTheme="minorEastAsia"/>
          <w:shd w:val="clear" w:color="auto" w:fill="FFFFFF"/>
        </w:rPr>
        <w:t>万吨</w:t>
      </w:r>
      <w:r>
        <w:rPr>
          <w:rFonts w:cs="Times New Roman" w:eastAsiaTheme="minorEastAsia"/>
          <w:shd w:val="clear" w:color="auto" w:fill="FFFFFF"/>
        </w:rPr>
        <w:t>/</w:t>
      </w:r>
      <w:r>
        <w:rPr>
          <w:rFonts w:cs="Times New Roman" w:hAnsiTheme="minorEastAsia" w:eastAsiaTheme="minorEastAsia"/>
          <w:shd w:val="clear" w:color="auto" w:fill="FFFFFF"/>
        </w:rPr>
        <w:t>年锂电材料厂。抢抓锂电等新能源产业转型政策机遇，积极引进企业（央企）进驻，实施重大项目谋划，推动锂电新能源快速发展，重点建设贵州首个碳酸锂生产基地，将六枝打造为</w:t>
      </w:r>
      <w:r>
        <w:rPr>
          <w:rFonts w:cs="Times New Roman" w:eastAsiaTheme="minorEastAsia"/>
          <w:shd w:val="clear" w:color="auto" w:fill="FFFFFF"/>
        </w:rPr>
        <w:t>“</w:t>
      </w:r>
      <w:r>
        <w:rPr>
          <w:rFonts w:cs="Times New Roman" w:hAnsiTheme="minorEastAsia" w:eastAsiaTheme="minorEastAsia"/>
          <w:shd w:val="clear" w:color="auto" w:fill="FFFFFF"/>
        </w:rPr>
        <w:t>西南重要锂生产示范基地</w:t>
      </w:r>
      <w:r>
        <w:rPr>
          <w:rFonts w:cs="Times New Roman" w:eastAsiaTheme="minorEastAsia"/>
          <w:shd w:val="clear" w:color="auto" w:fill="FFFFFF"/>
        </w:rPr>
        <w:t>”</w:t>
      </w:r>
      <w:r>
        <w:rPr>
          <w:rFonts w:cs="Times New Roman" w:hAnsiTheme="minorEastAsia" w:eastAsiaTheme="minorEastAsia"/>
          <w:shd w:val="clear" w:color="auto" w:fill="FFFFFF"/>
        </w:rPr>
        <w:t>。发展氢能源产业。积极探索煤制氢术工艺，加快氢能源产业发展，启动建设加氢站</w:t>
      </w:r>
      <w:r>
        <w:rPr>
          <w:rFonts w:cs="Times New Roman" w:eastAsiaTheme="minorEastAsia"/>
          <w:shd w:val="clear" w:color="auto" w:fill="FFFFFF"/>
        </w:rPr>
        <w:t>2</w:t>
      </w:r>
      <w:r>
        <w:rPr>
          <w:rFonts w:cs="Times New Roman" w:hAnsiTheme="minorEastAsia" w:eastAsiaTheme="minorEastAsia"/>
          <w:shd w:val="clear" w:color="auto" w:fill="FFFFFF"/>
        </w:rPr>
        <w:t>座。</w:t>
      </w:r>
      <w:r>
        <w:rPr>
          <w:rFonts w:cs="Times New Roman" w:eastAsiaTheme="minorEastAsia"/>
          <w:shd w:val="clear" w:color="auto" w:fill="FFFFFF"/>
        </w:rPr>
        <w:t>”</w:t>
      </w:r>
    </w:p>
    <w:p>
      <w:pPr>
        <w:ind w:firstLine="560"/>
        <w:rPr>
          <w:rFonts w:cs="Times New Roman" w:eastAsiaTheme="minorEastAsia"/>
        </w:rPr>
      </w:pPr>
      <w:r>
        <w:rPr>
          <w:rFonts w:cs="Times New Roman" w:hAnsiTheme="minorEastAsia" w:eastAsiaTheme="minorEastAsia"/>
        </w:rPr>
        <w:t>本规划对于落实实施《六枝特区国民经济和社会发展第十四个五年规划和二〇三五年远景目标纲要》，打造具有产业特色的化工园区，又快又好的发展六枝特区地方经济具有极其重要的意义。</w:t>
      </w:r>
    </w:p>
    <w:p>
      <w:pPr>
        <w:pStyle w:val="5"/>
        <w:ind w:firstLine="562"/>
        <w:rPr>
          <w:rFonts w:cs="Times New Roman" w:eastAsiaTheme="minorEastAsia"/>
        </w:rPr>
      </w:pPr>
      <w:r>
        <w:rPr>
          <w:rFonts w:cs="Times New Roman" w:eastAsiaTheme="minorEastAsia"/>
        </w:rPr>
        <w:t>1.2.</w:t>
      </w:r>
      <w:r>
        <w:rPr>
          <w:rFonts w:hint="eastAsia" w:cs="Times New Roman" w:eastAsiaTheme="minorEastAsia"/>
        </w:rPr>
        <w:t>5</w:t>
      </w:r>
      <w:r>
        <w:rPr>
          <w:rFonts w:cs="Times New Roman" w:eastAsiaTheme="minorEastAsia"/>
        </w:rPr>
        <w:t xml:space="preserve"> </w:t>
      </w:r>
      <w:r>
        <w:rPr>
          <w:rFonts w:cs="Times New Roman" w:hAnsiTheme="minorEastAsia" w:eastAsiaTheme="minorEastAsia"/>
        </w:rPr>
        <w:t>规划是具体落实《六盘水市</w:t>
      </w:r>
      <w:r>
        <w:rPr>
          <w:rFonts w:cs="Times New Roman" w:eastAsiaTheme="minorEastAsia"/>
        </w:rPr>
        <w:t>“</w:t>
      </w:r>
      <w:r>
        <w:rPr>
          <w:rFonts w:cs="Times New Roman" w:hAnsiTheme="minorEastAsia" w:eastAsiaTheme="minorEastAsia"/>
        </w:rPr>
        <w:t>十四五</w:t>
      </w:r>
      <w:r>
        <w:rPr>
          <w:rFonts w:cs="Times New Roman" w:eastAsiaTheme="minorEastAsia"/>
        </w:rPr>
        <w:t>”</w:t>
      </w:r>
      <w:r>
        <w:rPr>
          <w:rFonts w:cs="Times New Roman" w:hAnsiTheme="minorEastAsia" w:eastAsiaTheme="minorEastAsia"/>
        </w:rPr>
        <w:t>焦化产业发展规划（</w:t>
      </w:r>
      <w:r>
        <w:rPr>
          <w:rFonts w:cs="Times New Roman" w:eastAsiaTheme="minorEastAsia"/>
        </w:rPr>
        <w:t>2020-2025</w:t>
      </w:r>
      <w:r>
        <w:rPr>
          <w:rFonts w:cs="Times New Roman" w:hAnsiTheme="minorEastAsia" w:eastAsiaTheme="minorEastAsia"/>
        </w:rPr>
        <w:t>）》的需要</w:t>
      </w:r>
    </w:p>
    <w:p>
      <w:pPr>
        <w:tabs>
          <w:tab w:val="left" w:pos="8680"/>
        </w:tabs>
        <w:ind w:firstLine="560"/>
        <w:rPr>
          <w:rFonts w:cs="Times New Roman" w:hAnsiTheme="minorEastAsia" w:eastAsiaTheme="minorEastAsia"/>
        </w:rPr>
      </w:pPr>
      <w:r>
        <w:rPr>
          <w:rFonts w:cs="Times New Roman" w:hAnsiTheme="minorEastAsia" w:eastAsiaTheme="minorEastAsia"/>
        </w:rPr>
        <w:t>《六盘水市</w:t>
      </w:r>
      <w:r>
        <w:rPr>
          <w:rFonts w:cs="Times New Roman" w:eastAsiaTheme="minorEastAsia"/>
        </w:rPr>
        <w:t>“</w:t>
      </w:r>
      <w:r>
        <w:rPr>
          <w:rFonts w:cs="Times New Roman" w:hAnsiTheme="minorEastAsia" w:eastAsiaTheme="minorEastAsia"/>
        </w:rPr>
        <w:t>十四五</w:t>
      </w:r>
      <w:r>
        <w:rPr>
          <w:rFonts w:cs="Times New Roman" w:eastAsiaTheme="minorEastAsia"/>
        </w:rPr>
        <w:t>”</w:t>
      </w:r>
      <w:r>
        <w:rPr>
          <w:rFonts w:cs="Times New Roman" w:hAnsiTheme="minorEastAsia" w:eastAsiaTheme="minorEastAsia"/>
        </w:rPr>
        <w:t>焦化产业发展规划（</w:t>
      </w:r>
      <w:r>
        <w:rPr>
          <w:rFonts w:cs="Times New Roman" w:eastAsiaTheme="minorEastAsia"/>
        </w:rPr>
        <w:t>2020-2025</w:t>
      </w:r>
      <w:r>
        <w:rPr>
          <w:rFonts w:cs="Times New Roman" w:hAnsiTheme="minorEastAsia" w:eastAsiaTheme="minorEastAsia"/>
        </w:rPr>
        <w:t>）》</w:t>
      </w:r>
      <w:r>
        <w:rPr>
          <w:rFonts w:hint="eastAsia" w:cs="Times New Roman" w:hAnsiTheme="minorEastAsia" w:eastAsiaTheme="minorEastAsia"/>
        </w:rPr>
        <w:t>指出“</w:t>
      </w:r>
      <w:r>
        <w:rPr>
          <w:rFonts w:cs="Times New Roman" w:hAnsiTheme="minorEastAsia" w:eastAsiaTheme="minorEastAsia"/>
        </w:rPr>
        <w:t>充分利用六盘水市煤炭、交通区位等要素优势，坚持高起点谋划、差异化发展，加快发展一批市场需求旺盛、技术含量较高的焦化下游产品，加快构建具有市场竞争力的焦化产业体系。转化煤焦油、粗苯、焦炉煤气等焦化副产品，生产精细化学品、高附加值碳材料、</w:t>
      </w:r>
      <w:r>
        <w:rPr>
          <w:rFonts w:cs="Times New Roman" w:eastAsiaTheme="minorEastAsia"/>
        </w:rPr>
        <w:t>LNG</w:t>
      </w:r>
      <w:r>
        <w:rPr>
          <w:rFonts w:cs="Times New Roman" w:hAnsiTheme="minorEastAsia" w:eastAsiaTheme="minorEastAsia"/>
        </w:rPr>
        <w:t>及氢能等清洁能源材料，以及重要的化工原料，实现传统焦化产业向精细化工、清洁能源的转型升级。大力发展基础焦化产品深加工，提升产品附加值和经济效益</w:t>
      </w:r>
      <w:r>
        <w:rPr>
          <w:rFonts w:hint="eastAsia" w:cs="Times New Roman" w:hAnsiTheme="minorEastAsia" w:eastAsiaTheme="minorEastAsia"/>
        </w:rPr>
        <w:t>；</w:t>
      </w:r>
      <w:r>
        <w:rPr>
          <w:rFonts w:cs="Times New Roman" w:hAnsiTheme="minorEastAsia" w:eastAsiaTheme="minorEastAsia"/>
        </w:rPr>
        <w:t>根据六盘水市科技、经济、社会发展需要，围绕焦化产业重点规划项目，着力实现资源的合理配置，不断优化以调整产业结构、提高发展质量，建立结构合理、优化组合、多维支撑的六盘水市焦化产业布局体系。</w:t>
      </w:r>
      <w:r>
        <w:rPr>
          <w:rFonts w:hint="eastAsia" w:cs="Times New Roman" w:hAnsiTheme="minorEastAsia" w:eastAsiaTheme="minorEastAsia"/>
        </w:rPr>
        <w:t>综合考虑国土空间规划布局、产业集聚发展、园区功能建设、环保、安全等因素谋划六盘水市煤焦化产业布局，着重在六盘水路喜循环经济产业园、盘北经济开发区、盘南产业园、水城经济开发区、钟山产业园等重点工业园区发展煤焦化产业。”</w:t>
      </w:r>
    </w:p>
    <w:p>
      <w:pPr>
        <w:tabs>
          <w:tab w:val="left" w:pos="8680"/>
        </w:tabs>
        <w:ind w:firstLine="560"/>
        <w:rPr>
          <w:rFonts w:cs="Times New Roman" w:eastAsiaTheme="minorEastAsia"/>
        </w:rPr>
      </w:pPr>
      <w:r>
        <w:rPr>
          <w:rFonts w:hint="eastAsia" w:cs="Times New Roman" w:hAnsiTheme="minorEastAsia" w:eastAsiaTheme="minorEastAsia"/>
        </w:rPr>
        <w:t>本规划</w:t>
      </w:r>
      <w:r>
        <w:rPr>
          <w:rFonts w:cs="Times New Roman" w:hAnsiTheme="minorEastAsia" w:eastAsiaTheme="minorEastAsia"/>
        </w:rPr>
        <w:t>按照</w:t>
      </w:r>
      <w:r>
        <w:rPr>
          <w:rFonts w:cs="Times New Roman" w:eastAsiaTheme="minorEastAsia"/>
        </w:rPr>
        <w:t>“</w:t>
      </w:r>
      <w:r>
        <w:rPr>
          <w:rFonts w:cs="Times New Roman" w:hAnsiTheme="minorEastAsia" w:eastAsiaTheme="minorEastAsia"/>
        </w:rPr>
        <w:t>一园两区</w:t>
      </w:r>
      <w:r>
        <w:rPr>
          <w:rFonts w:cs="Times New Roman" w:eastAsiaTheme="minorEastAsia"/>
        </w:rPr>
        <w:t>”</w:t>
      </w:r>
      <w:r>
        <w:rPr>
          <w:rFonts w:cs="Times New Roman" w:hAnsiTheme="minorEastAsia" w:eastAsiaTheme="minorEastAsia"/>
        </w:rPr>
        <w:t>（一园：</w:t>
      </w:r>
      <w:r>
        <w:rPr>
          <w:rFonts w:hint="eastAsia" w:cs="Times New Roman" w:hAnsiTheme="minorEastAsia" w:eastAsiaTheme="minorEastAsia"/>
        </w:rPr>
        <w:t>六枝特区化工园区</w:t>
      </w:r>
      <w:r>
        <w:rPr>
          <w:rFonts w:cs="Times New Roman" w:hAnsiTheme="minorEastAsia" w:eastAsiaTheme="minorEastAsia"/>
        </w:rPr>
        <w:t>；两区：</w:t>
      </w:r>
      <w:r>
        <w:rPr>
          <w:rFonts w:hint="eastAsia" w:cs="Times New Roman" w:hAnsiTheme="minorEastAsia" w:eastAsiaTheme="minorEastAsia"/>
        </w:rPr>
        <w:t>现代煤化工产业区、精细化工产业区</w:t>
      </w:r>
      <w:r>
        <w:rPr>
          <w:rFonts w:cs="Times New Roman" w:hAnsiTheme="minorEastAsia" w:eastAsiaTheme="minorEastAsia"/>
        </w:rPr>
        <w:t>）的产业布局推动全市焦化产业协同发展。因此，本规划是具体落实《六盘水市</w:t>
      </w:r>
      <w:r>
        <w:rPr>
          <w:rFonts w:cs="Times New Roman" w:eastAsiaTheme="minorEastAsia"/>
        </w:rPr>
        <w:t>“</w:t>
      </w:r>
      <w:r>
        <w:rPr>
          <w:rFonts w:cs="Times New Roman" w:hAnsiTheme="minorEastAsia" w:eastAsiaTheme="minorEastAsia"/>
        </w:rPr>
        <w:t>十四五</w:t>
      </w:r>
      <w:r>
        <w:rPr>
          <w:rFonts w:cs="Times New Roman" w:eastAsiaTheme="minorEastAsia"/>
        </w:rPr>
        <w:t>”</w:t>
      </w:r>
      <w:r>
        <w:rPr>
          <w:rFonts w:cs="Times New Roman" w:hAnsiTheme="minorEastAsia" w:eastAsiaTheme="minorEastAsia"/>
        </w:rPr>
        <w:t>焦化产业发展规划（</w:t>
      </w:r>
      <w:r>
        <w:rPr>
          <w:rFonts w:cs="Times New Roman" w:eastAsiaTheme="minorEastAsia"/>
        </w:rPr>
        <w:t>2020-2025</w:t>
      </w:r>
      <w:r>
        <w:rPr>
          <w:rFonts w:cs="Times New Roman" w:hAnsiTheme="minorEastAsia" w:eastAsiaTheme="minorEastAsia"/>
        </w:rPr>
        <w:t>）》的重要体现。</w:t>
      </w:r>
    </w:p>
    <w:p>
      <w:pPr>
        <w:pStyle w:val="5"/>
        <w:ind w:firstLine="562"/>
        <w:rPr>
          <w:rFonts w:cs="Times New Roman" w:eastAsiaTheme="minorEastAsia"/>
        </w:rPr>
      </w:pPr>
      <w:r>
        <w:rPr>
          <w:rFonts w:cs="Times New Roman" w:eastAsiaTheme="minorEastAsia"/>
        </w:rPr>
        <w:t>1.2.</w:t>
      </w:r>
      <w:r>
        <w:rPr>
          <w:rFonts w:hint="eastAsia" w:cs="Times New Roman" w:eastAsiaTheme="minorEastAsia"/>
        </w:rPr>
        <w:t>6</w:t>
      </w:r>
      <w:r>
        <w:rPr>
          <w:rFonts w:cs="Times New Roman" w:eastAsiaTheme="minorEastAsia"/>
        </w:rPr>
        <w:t xml:space="preserve"> </w:t>
      </w:r>
      <w:r>
        <w:rPr>
          <w:rFonts w:cs="Times New Roman" w:hAnsiTheme="minorEastAsia" w:eastAsiaTheme="minorEastAsia"/>
        </w:rPr>
        <w:t>充分利用优势资源和产业基础，发展地方经济</w:t>
      </w:r>
    </w:p>
    <w:p>
      <w:pPr>
        <w:ind w:firstLine="560"/>
        <w:rPr>
          <w:rFonts w:cs="Times New Roman" w:eastAsiaTheme="minorEastAsia"/>
        </w:rPr>
      </w:pPr>
      <w:r>
        <w:rPr>
          <w:rFonts w:cs="Times New Roman" w:hAnsiTheme="minorEastAsia" w:eastAsiaTheme="minorEastAsia"/>
          <w:shd w:val="clear" w:color="auto" w:fill="FFFFFF"/>
        </w:rPr>
        <w:t>六枝特区能源资源富集。境内有</w:t>
      </w:r>
      <w:r>
        <w:rPr>
          <w:rFonts w:hint="eastAsia" w:cs="Times New Roman" w:hAnsiTheme="minorEastAsia" w:eastAsiaTheme="minorEastAsia"/>
          <w:shd w:val="clear" w:color="auto" w:fill="FFFFFF"/>
        </w:rPr>
        <w:t>煤炭、</w:t>
      </w:r>
      <w:r>
        <w:rPr>
          <w:rFonts w:cs="Times New Roman" w:hAnsiTheme="minorEastAsia" w:eastAsiaTheme="minorEastAsia"/>
          <w:shd w:val="clear" w:color="auto" w:fill="FFFFFF"/>
        </w:rPr>
        <w:t>萤石、</w:t>
      </w:r>
      <w:r>
        <w:rPr>
          <w:rFonts w:hint="eastAsia" w:cs="Times New Roman" w:hAnsiTheme="minorEastAsia" w:eastAsiaTheme="minorEastAsia"/>
          <w:shd w:val="clear" w:color="auto" w:fill="FFFFFF"/>
        </w:rPr>
        <w:t>锂矿石、</w:t>
      </w:r>
      <w:r>
        <w:rPr>
          <w:rFonts w:cs="Times New Roman" w:hAnsiTheme="minorEastAsia" w:eastAsiaTheme="minorEastAsia"/>
          <w:shd w:val="clear" w:color="auto" w:fill="FFFFFF"/>
        </w:rPr>
        <w:t>铁、硫、砷、铅、锌、冰洲石、重晶石、水晶石、石膏、石灰石、硅石、粘土等</w:t>
      </w:r>
      <w:r>
        <w:rPr>
          <w:rFonts w:cs="Times New Roman" w:eastAsiaTheme="minorEastAsia"/>
          <w:shd w:val="clear" w:color="auto" w:fill="FFFFFF"/>
        </w:rPr>
        <w:t>20</w:t>
      </w:r>
      <w:r>
        <w:rPr>
          <w:rFonts w:cs="Times New Roman" w:hAnsiTheme="minorEastAsia" w:eastAsiaTheme="minorEastAsia"/>
          <w:shd w:val="clear" w:color="auto" w:fill="FFFFFF"/>
        </w:rPr>
        <w:t>余种矿产资源</w:t>
      </w:r>
      <w:r>
        <w:rPr>
          <w:rFonts w:hint="eastAsia" w:cs="Times New Roman" w:hAnsiTheme="minorEastAsia" w:eastAsiaTheme="minorEastAsia"/>
          <w:shd w:val="clear" w:color="auto" w:fill="FFFFFF"/>
        </w:rPr>
        <w:t>。</w:t>
      </w:r>
      <w:r>
        <w:rPr>
          <w:rFonts w:cs="Times New Roman" w:hAnsiTheme="minorEastAsia" w:eastAsiaTheme="minorEastAsia"/>
          <w:shd w:val="clear" w:color="auto" w:fill="FFFFFF"/>
        </w:rPr>
        <w:t>已探明煤炭储量</w:t>
      </w:r>
      <w:r>
        <w:rPr>
          <w:rFonts w:cs="Times New Roman" w:eastAsiaTheme="minorEastAsia"/>
          <w:shd w:val="clear" w:color="auto" w:fill="FFFFFF"/>
        </w:rPr>
        <w:t>33</w:t>
      </w:r>
      <w:r>
        <w:rPr>
          <w:rFonts w:cs="Times New Roman" w:hAnsiTheme="minorEastAsia" w:eastAsiaTheme="minorEastAsia"/>
          <w:shd w:val="clear" w:color="auto" w:fill="FFFFFF"/>
        </w:rPr>
        <w:t>亿吨，煤层中蕴藏着丰富可供开发利用的煤层气，储量达</w:t>
      </w:r>
      <w:r>
        <w:rPr>
          <w:rFonts w:cs="Times New Roman" w:eastAsiaTheme="minorEastAsia"/>
          <w:shd w:val="clear" w:color="auto" w:fill="FFFFFF"/>
        </w:rPr>
        <w:t>650</w:t>
      </w:r>
      <w:r>
        <w:rPr>
          <w:rFonts w:cs="Times New Roman" w:hAnsiTheme="minorEastAsia" w:eastAsiaTheme="minorEastAsia"/>
          <w:shd w:val="clear" w:color="auto" w:fill="FFFFFF"/>
        </w:rPr>
        <w:t>亿立方米</w:t>
      </w:r>
      <w:r>
        <w:rPr>
          <w:rFonts w:hint="eastAsia" w:cs="Times New Roman" w:hAnsiTheme="minorEastAsia" w:eastAsiaTheme="minorEastAsia"/>
          <w:shd w:val="clear" w:color="auto" w:fill="FFFFFF"/>
        </w:rPr>
        <w:t>。萤石矿和锂矿属于共生矿，其中</w:t>
      </w:r>
      <w:r>
        <w:rPr>
          <w:rFonts w:cs="Times New Roman" w:eastAsiaTheme="minorEastAsia"/>
          <w:shd w:val="clear" w:color="auto" w:fill="FFFFFF"/>
        </w:rPr>
        <w:t>萤石矿</w:t>
      </w:r>
      <w:r>
        <w:rPr>
          <w:rFonts w:hint="eastAsia" w:cs="Times New Roman" w:eastAsiaTheme="minorEastAsia"/>
          <w:shd w:val="clear" w:color="auto" w:fill="FFFFFF"/>
        </w:rPr>
        <w:t>估算</w:t>
      </w:r>
      <w:r>
        <w:rPr>
          <w:rFonts w:cs="Times New Roman" w:eastAsiaTheme="minorEastAsia"/>
          <w:shd w:val="clear" w:color="auto" w:fill="FFFFFF"/>
        </w:rPr>
        <w:t>矿石量287.73万吨，平均品位28.40%</w:t>
      </w:r>
      <w:r>
        <w:rPr>
          <w:rFonts w:hint="eastAsia" w:cs="Times New Roman" w:eastAsiaTheme="minorEastAsia"/>
          <w:shd w:val="clear" w:color="auto" w:fill="FFFFFF"/>
        </w:rPr>
        <w:t>，</w:t>
      </w:r>
      <w:r>
        <w:rPr>
          <w:rFonts w:cs="Times New Roman" w:eastAsiaTheme="minorEastAsia"/>
          <w:shd w:val="clear" w:color="auto" w:fill="FFFFFF"/>
        </w:rPr>
        <w:t>氟化钙（CaF</w:t>
      </w:r>
      <w:r>
        <w:rPr>
          <w:rFonts w:cs="Times New Roman" w:eastAsiaTheme="minorEastAsia"/>
          <w:shd w:val="clear" w:color="auto" w:fill="FFFFFF"/>
          <w:vertAlign w:val="subscript"/>
        </w:rPr>
        <w:t>2</w:t>
      </w:r>
      <w:r>
        <w:rPr>
          <w:rFonts w:cs="Times New Roman" w:eastAsiaTheme="minorEastAsia"/>
          <w:shd w:val="clear" w:color="auto" w:fill="FFFFFF"/>
        </w:rPr>
        <w:t>）</w:t>
      </w:r>
      <w:r>
        <w:rPr>
          <w:rFonts w:hint="eastAsia" w:cs="Times New Roman" w:eastAsiaTheme="minorEastAsia"/>
          <w:shd w:val="clear" w:color="auto" w:fill="FFFFFF"/>
        </w:rPr>
        <w:t>矿物</w:t>
      </w:r>
      <w:r>
        <w:rPr>
          <w:rFonts w:cs="Times New Roman" w:eastAsiaTheme="minorEastAsia"/>
          <w:shd w:val="clear" w:color="auto" w:fill="FFFFFF"/>
        </w:rPr>
        <w:t>量81.73万吨；锂</w:t>
      </w:r>
      <w:r>
        <w:rPr>
          <w:rFonts w:hint="eastAsia" w:cs="Times New Roman" w:eastAsiaTheme="minorEastAsia"/>
          <w:shd w:val="clear" w:color="auto" w:fill="FFFFFF"/>
        </w:rPr>
        <w:t>粘土矿厚70-143m，Li</w:t>
      </w:r>
      <w:r>
        <w:rPr>
          <w:rFonts w:hint="eastAsia" w:cs="Times New Roman" w:eastAsiaTheme="minorEastAsia"/>
          <w:shd w:val="clear" w:color="auto" w:fill="FFFFFF"/>
          <w:vertAlign w:val="subscript"/>
        </w:rPr>
        <w:t>2</w:t>
      </w:r>
      <w:r>
        <w:rPr>
          <w:rFonts w:hint="eastAsia" w:cs="Times New Roman" w:eastAsiaTheme="minorEastAsia"/>
          <w:shd w:val="clear" w:color="auto" w:fill="FFFFFF"/>
        </w:rPr>
        <w:t>O含量0.2%-1.19%，估算</w:t>
      </w:r>
      <w:r>
        <w:rPr>
          <w:rFonts w:cs="Times New Roman" w:eastAsiaTheme="minorEastAsia"/>
          <w:shd w:val="clear" w:color="auto" w:fill="FFFFFF"/>
        </w:rPr>
        <w:t>氧化锂（</w:t>
      </w:r>
      <w:r>
        <w:rPr>
          <w:rFonts w:hint="eastAsia" w:cs="Times New Roman" w:eastAsiaTheme="minorEastAsia"/>
          <w:shd w:val="clear" w:color="auto" w:fill="FFFFFF"/>
        </w:rPr>
        <w:t>Li</w:t>
      </w:r>
      <w:r>
        <w:rPr>
          <w:rFonts w:hint="eastAsia" w:cs="Times New Roman" w:eastAsiaTheme="minorEastAsia"/>
          <w:shd w:val="clear" w:color="auto" w:fill="FFFFFF"/>
          <w:vertAlign w:val="subscript"/>
        </w:rPr>
        <w:t>2</w:t>
      </w:r>
      <w:r>
        <w:rPr>
          <w:rFonts w:hint="eastAsia" w:cs="Times New Roman" w:eastAsiaTheme="minorEastAsia"/>
          <w:shd w:val="clear" w:color="auto" w:fill="FFFFFF"/>
        </w:rPr>
        <w:t>O</w:t>
      </w:r>
      <w:r>
        <w:rPr>
          <w:rFonts w:cs="Times New Roman" w:eastAsiaTheme="minorEastAsia"/>
          <w:shd w:val="clear" w:color="auto" w:fill="FFFFFF"/>
        </w:rPr>
        <w:t>）</w:t>
      </w:r>
      <w:r>
        <w:rPr>
          <w:rFonts w:hint="eastAsia" w:cs="Times New Roman" w:eastAsiaTheme="minorEastAsia"/>
          <w:shd w:val="clear" w:color="auto" w:fill="FFFFFF"/>
        </w:rPr>
        <w:t>矿物</w:t>
      </w:r>
      <w:r>
        <w:rPr>
          <w:rFonts w:cs="Times New Roman" w:eastAsiaTheme="minorEastAsia"/>
          <w:shd w:val="clear" w:color="auto" w:fill="FFFFFF"/>
        </w:rPr>
        <w:t>量超50万吨。</w:t>
      </w:r>
      <w:r>
        <w:rPr>
          <w:rFonts w:cs="Times New Roman" w:hAnsiTheme="minorEastAsia" w:eastAsiaTheme="minorEastAsia"/>
          <w:szCs w:val="24"/>
        </w:rPr>
        <w:t>六枝特区煤种全、煤质好，且易开采，丰富的煤炭、锂</w:t>
      </w:r>
      <w:r>
        <w:rPr>
          <w:rFonts w:hint="eastAsia" w:cs="Times New Roman" w:hAnsiTheme="minorEastAsia" w:eastAsiaTheme="minorEastAsia"/>
          <w:szCs w:val="24"/>
        </w:rPr>
        <w:t>矿石</w:t>
      </w:r>
      <w:r>
        <w:rPr>
          <w:rFonts w:cs="Times New Roman" w:hAnsiTheme="minorEastAsia" w:eastAsiaTheme="minorEastAsia"/>
          <w:szCs w:val="24"/>
        </w:rPr>
        <w:t>资源为</w:t>
      </w:r>
      <w:r>
        <w:rPr>
          <w:rFonts w:hint="eastAsia" w:cs="Times New Roman" w:hAnsiTheme="minorEastAsia" w:eastAsiaTheme="minorEastAsia"/>
          <w:szCs w:val="24"/>
        </w:rPr>
        <w:t>园区</w:t>
      </w:r>
      <w:r>
        <w:rPr>
          <w:rFonts w:hint="eastAsia" w:cs="Times New Roman" w:hAnsiTheme="minorEastAsia" w:eastAsiaTheme="minorEastAsia"/>
        </w:rPr>
        <w:t>现代煤化工</w:t>
      </w:r>
      <w:r>
        <w:rPr>
          <w:rFonts w:cs="Times New Roman" w:hAnsiTheme="minorEastAsia" w:eastAsiaTheme="minorEastAsia"/>
        </w:rPr>
        <w:t>产业、</w:t>
      </w:r>
      <w:r>
        <w:rPr>
          <w:rFonts w:hint="eastAsia" w:cs="Times New Roman" w:hAnsiTheme="minorEastAsia" w:eastAsiaTheme="minorEastAsia"/>
        </w:rPr>
        <w:t>精细化工产业</w:t>
      </w:r>
      <w:r>
        <w:rPr>
          <w:rFonts w:cs="Times New Roman" w:hAnsiTheme="minorEastAsia" w:eastAsiaTheme="minorEastAsia"/>
          <w:szCs w:val="24"/>
        </w:rPr>
        <w:t>发展提供了强有力的资源保障。</w:t>
      </w:r>
    </w:p>
    <w:p>
      <w:pPr>
        <w:ind w:firstLine="560"/>
        <w:rPr>
          <w:rFonts w:cs="Times New Roman" w:eastAsiaTheme="minorEastAsia"/>
        </w:rPr>
      </w:pPr>
      <w:r>
        <w:rPr>
          <w:rFonts w:cs="Times New Roman" w:hAnsiTheme="minorEastAsia" w:eastAsiaTheme="minorEastAsia"/>
        </w:rPr>
        <w:t>本规划充分利用当地及周边的资源</w:t>
      </w:r>
      <w:r>
        <w:rPr>
          <w:rFonts w:hint="eastAsia" w:cs="Times New Roman" w:hAnsiTheme="minorEastAsia" w:eastAsiaTheme="minorEastAsia"/>
        </w:rPr>
        <w:t>，</w:t>
      </w:r>
      <w:r>
        <w:rPr>
          <w:rFonts w:cs="Times New Roman" w:hAnsiTheme="minorEastAsia" w:eastAsiaTheme="minorEastAsia"/>
        </w:rPr>
        <w:t>发展</w:t>
      </w:r>
      <w:r>
        <w:rPr>
          <w:rFonts w:hint="eastAsia" w:cs="Times New Roman" w:hAnsiTheme="minorEastAsia" w:eastAsiaTheme="minorEastAsia"/>
        </w:rPr>
        <w:t>现代煤化工</w:t>
      </w:r>
      <w:r>
        <w:rPr>
          <w:rFonts w:cs="Times New Roman" w:hAnsiTheme="minorEastAsia" w:eastAsiaTheme="minorEastAsia"/>
        </w:rPr>
        <w:t>产业、</w:t>
      </w:r>
      <w:r>
        <w:rPr>
          <w:rFonts w:hint="eastAsia" w:cs="Times New Roman" w:hAnsiTheme="minorEastAsia" w:eastAsiaTheme="minorEastAsia"/>
        </w:rPr>
        <w:t>以锂电池储能化学品为主的精细化工产业</w:t>
      </w:r>
      <w:r>
        <w:rPr>
          <w:rFonts w:cs="Times New Roman" w:hAnsiTheme="minorEastAsia" w:eastAsiaTheme="minorEastAsia"/>
        </w:rPr>
        <w:t>，提高</w:t>
      </w:r>
      <w:r>
        <w:rPr>
          <w:rFonts w:hint="eastAsia" w:cs="Times New Roman" w:hAnsiTheme="minorEastAsia" w:eastAsiaTheme="minorEastAsia"/>
        </w:rPr>
        <w:t>产品</w:t>
      </w:r>
      <w:r>
        <w:rPr>
          <w:rFonts w:cs="Times New Roman" w:hAnsiTheme="minorEastAsia" w:eastAsiaTheme="minorEastAsia"/>
        </w:rPr>
        <w:t>附加值，提高资源的利用效率，可最大限度的体现资源的使用价值，变资源优势为经济优势，对于提升地方化学工业发展水平、促进地方经济的快速发展非常重要。</w:t>
      </w:r>
    </w:p>
    <w:p>
      <w:pPr>
        <w:pStyle w:val="4"/>
        <w:ind w:firstLine="602"/>
        <w:rPr>
          <w:rFonts w:cs="Times New Roman" w:eastAsiaTheme="minorEastAsia"/>
        </w:rPr>
      </w:pPr>
      <w:bookmarkStart w:id="3" w:name="_Toc126591847"/>
      <w:r>
        <w:rPr>
          <w:rFonts w:cs="Times New Roman" w:eastAsiaTheme="minorEastAsia"/>
        </w:rPr>
        <w:t xml:space="preserve">1.3 </w:t>
      </w:r>
      <w:r>
        <w:rPr>
          <w:rFonts w:cs="Times New Roman" w:hAnsiTheme="minorEastAsia" w:eastAsiaTheme="minorEastAsia"/>
        </w:rPr>
        <w:t>规划编制依据</w:t>
      </w:r>
      <w:bookmarkEnd w:id="3"/>
    </w:p>
    <w:p>
      <w:pPr>
        <w:ind w:firstLine="560"/>
      </w:pPr>
      <w:r>
        <w:t>国务院《关于支持贵州在新时代西部大开发上闯新路的意见》国发〔2022〕2号；</w:t>
      </w:r>
    </w:p>
    <w:p>
      <w:pPr>
        <w:ind w:firstLine="560"/>
        <w:rPr>
          <w:rFonts w:cs="Times New Roman" w:eastAsiaTheme="minorEastAsia"/>
        </w:rPr>
      </w:pPr>
      <w:r>
        <w:rPr>
          <w:rFonts w:cs="Times New Roman" w:hAnsiTheme="minorEastAsia" w:eastAsiaTheme="minorEastAsia"/>
        </w:rPr>
        <w:t>《中华人民共和国国民经济和社会发展第十四个五年规划和</w:t>
      </w:r>
      <w:r>
        <w:rPr>
          <w:rFonts w:cs="Times New Roman" w:eastAsiaTheme="minorEastAsia"/>
        </w:rPr>
        <w:t>2035</w:t>
      </w:r>
      <w:r>
        <w:rPr>
          <w:rFonts w:cs="Times New Roman" w:hAnsiTheme="minorEastAsia" w:eastAsiaTheme="minorEastAsia"/>
        </w:rPr>
        <w:t>年远景目标纲要》；</w:t>
      </w:r>
    </w:p>
    <w:p>
      <w:pPr>
        <w:ind w:firstLine="560"/>
        <w:rPr>
          <w:rFonts w:cs="Times New Roman" w:eastAsiaTheme="minorEastAsia"/>
        </w:rPr>
      </w:pPr>
      <w:r>
        <w:rPr>
          <w:rFonts w:cs="Times New Roman" w:hAnsiTheme="minorEastAsia" w:eastAsiaTheme="minorEastAsia"/>
        </w:rPr>
        <w:t>《国务院关于印发</w:t>
      </w:r>
      <w:r>
        <w:rPr>
          <w:rFonts w:cs="Times New Roman" w:eastAsiaTheme="minorEastAsia"/>
        </w:rPr>
        <w:t>2030</w:t>
      </w:r>
      <w:r>
        <w:rPr>
          <w:rFonts w:cs="Times New Roman" w:hAnsiTheme="minorEastAsia" w:eastAsiaTheme="minorEastAsia"/>
        </w:rPr>
        <w:t>年前碳达峰行动方案的通知》（国发〔</w:t>
      </w:r>
      <w:r>
        <w:rPr>
          <w:rFonts w:cs="Times New Roman" w:eastAsiaTheme="minorEastAsia"/>
        </w:rPr>
        <w:t>2021</w:t>
      </w:r>
      <w:r>
        <w:rPr>
          <w:rFonts w:cs="Times New Roman" w:hAnsiTheme="minorEastAsia" w:eastAsiaTheme="minorEastAsia"/>
        </w:rPr>
        <w:t>〕</w:t>
      </w:r>
      <w:r>
        <w:rPr>
          <w:rFonts w:cs="Times New Roman" w:eastAsiaTheme="minorEastAsia"/>
        </w:rPr>
        <w:t>23</w:t>
      </w:r>
      <w:r>
        <w:rPr>
          <w:rFonts w:cs="Times New Roman" w:hAnsiTheme="minorEastAsia" w:eastAsiaTheme="minorEastAsia"/>
        </w:rPr>
        <w:t>号）；</w:t>
      </w:r>
    </w:p>
    <w:p>
      <w:pPr>
        <w:ind w:firstLine="560"/>
        <w:rPr>
          <w:rFonts w:cs="Times New Roman" w:eastAsiaTheme="minorEastAsia"/>
        </w:rPr>
      </w:pPr>
      <w:r>
        <w:rPr>
          <w:rFonts w:cs="Times New Roman" w:hAnsiTheme="minorEastAsia" w:eastAsiaTheme="minorEastAsia"/>
        </w:rPr>
        <w:t>《化工园区建设标准和认定管理办法（试行）》（工信部联原〔</w:t>
      </w:r>
      <w:r>
        <w:rPr>
          <w:rFonts w:cs="Times New Roman" w:eastAsiaTheme="minorEastAsia"/>
        </w:rPr>
        <w:t>2021</w:t>
      </w:r>
      <w:r>
        <w:rPr>
          <w:rFonts w:cs="Times New Roman" w:hAnsiTheme="minorEastAsia" w:eastAsiaTheme="minorEastAsia"/>
        </w:rPr>
        <w:t>〕</w:t>
      </w:r>
      <w:r>
        <w:rPr>
          <w:rFonts w:cs="Times New Roman" w:eastAsiaTheme="minorEastAsia"/>
        </w:rPr>
        <w:t>220</w:t>
      </w:r>
      <w:r>
        <w:rPr>
          <w:rFonts w:cs="Times New Roman" w:hAnsiTheme="minorEastAsia" w:eastAsiaTheme="minorEastAsia"/>
        </w:rPr>
        <w:t>号）；</w:t>
      </w:r>
    </w:p>
    <w:p>
      <w:pPr>
        <w:ind w:firstLine="560"/>
        <w:rPr>
          <w:rFonts w:cs="Times New Roman" w:eastAsiaTheme="minorEastAsia"/>
        </w:rPr>
      </w:pPr>
      <w:r>
        <w:rPr>
          <w:rFonts w:cs="Times New Roman" w:hAnsiTheme="minorEastAsia" w:eastAsiaTheme="minorEastAsia"/>
        </w:rPr>
        <w:t>《关于</w:t>
      </w:r>
      <w:r>
        <w:rPr>
          <w:rFonts w:cs="Times New Roman" w:eastAsiaTheme="minorEastAsia"/>
        </w:rPr>
        <w:t>“</w:t>
      </w:r>
      <w:r>
        <w:rPr>
          <w:rFonts w:cs="Times New Roman" w:hAnsiTheme="minorEastAsia" w:eastAsiaTheme="minorEastAsia"/>
        </w:rPr>
        <w:t>十四五</w:t>
      </w:r>
      <w:r>
        <w:rPr>
          <w:rFonts w:cs="Times New Roman" w:eastAsiaTheme="minorEastAsia"/>
        </w:rPr>
        <w:t>”</w:t>
      </w:r>
      <w:r>
        <w:rPr>
          <w:rFonts w:cs="Times New Roman" w:hAnsiTheme="minorEastAsia" w:eastAsiaTheme="minorEastAsia"/>
        </w:rPr>
        <w:t>推动石化化工行业高质量发展的指导意见》（工信部联原〔</w:t>
      </w:r>
      <w:r>
        <w:rPr>
          <w:rFonts w:cs="Times New Roman" w:eastAsiaTheme="minorEastAsia"/>
        </w:rPr>
        <w:t>2022</w:t>
      </w:r>
      <w:r>
        <w:rPr>
          <w:rFonts w:cs="Times New Roman" w:hAnsiTheme="minorEastAsia" w:eastAsiaTheme="minorEastAsia"/>
        </w:rPr>
        <w:t>〕</w:t>
      </w:r>
      <w:r>
        <w:rPr>
          <w:rFonts w:cs="Times New Roman" w:eastAsiaTheme="minorEastAsia"/>
        </w:rPr>
        <w:t>34</w:t>
      </w:r>
      <w:r>
        <w:rPr>
          <w:rFonts w:cs="Times New Roman" w:hAnsiTheme="minorEastAsia" w:eastAsiaTheme="minorEastAsia"/>
        </w:rPr>
        <w:t>号）；</w:t>
      </w:r>
    </w:p>
    <w:p>
      <w:pPr>
        <w:ind w:firstLine="560"/>
        <w:rPr>
          <w:rFonts w:cs="Times New Roman" w:eastAsiaTheme="minorEastAsia"/>
        </w:rPr>
      </w:pPr>
      <w:r>
        <w:rPr>
          <w:rFonts w:cs="Times New Roman" w:hAnsiTheme="minorEastAsia" w:eastAsiaTheme="minorEastAsia"/>
        </w:rPr>
        <w:t>国家发改委《产业结构调整指导目录（</w:t>
      </w:r>
      <w:r>
        <w:rPr>
          <w:rFonts w:cs="Times New Roman" w:eastAsiaTheme="minorEastAsia"/>
        </w:rPr>
        <w:t>2019</w:t>
      </w:r>
      <w:r>
        <w:rPr>
          <w:rFonts w:cs="Times New Roman" w:hAnsiTheme="minorEastAsia" w:eastAsiaTheme="minorEastAsia"/>
        </w:rPr>
        <w:t>年版）》；</w:t>
      </w:r>
    </w:p>
    <w:p>
      <w:pPr>
        <w:ind w:firstLine="560"/>
        <w:rPr>
          <w:szCs w:val="24"/>
        </w:rPr>
      </w:pPr>
      <w:r>
        <w:rPr>
          <w:szCs w:val="24"/>
        </w:rPr>
        <w:t>《锂离子电池行业规范条件（2021 年本）》</w:t>
      </w:r>
      <w:r>
        <w:rPr>
          <w:rFonts w:hint="eastAsia"/>
          <w:szCs w:val="24"/>
        </w:rPr>
        <w:t>；</w:t>
      </w:r>
    </w:p>
    <w:p>
      <w:pPr>
        <w:ind w:firstLine="560"/>
        <w:rPr>
          <w:szCs w:val="24"/>
        </w:rPr>
      </w:pPr>
      <w:r>
        <w:rPr>
          <w:szCs w:val="24"/>
        </w:rPr>
        <w:t>《关于〈焦化行业规范条件〉的公告》（工业和信息化部公告 2020 年第 28 号）</w:t>
      </w:r>
      <w:r>
        <w:rPr>
          <w:rFonts w:hint="eastAsia"/>
          <w:szCs w:val="24"/>
        </w:rPr>
        <w:t>；</w:t>
      </w:r>
    </w:p>
    <w:p>
      <w:pPr>
        <w:ind w:firstLine="560"/>
        <w:rPr>
          <w:rFonts w:cs="Times New Roman" w:eastAsiaTheme="minorEastAsia"/>
        </w:rPr>
      </w:pPr>
      <w:r>
        <w:rPr>
          <w:rFonts w:cs="Times New Roman" w:hAnsiTheme="minorEastAsia" w:eastAsiaTheme="minorEastAsia"/>
        </w:rPr>
        <w:t>《贵州省国民经济和社会发展第十四个五年规划和</w:t>
      </w:r>
      <w:r>
        <w:rPr>
          <w:rFonts w:cs="Times New Roman" w:eastAsiaTheme="minorEastAsia"/>
        </w:rPr>
        <w:t>2035</w:t>
      </w:r>
      <w:r>
        <w:rPr>
          <w:rFonts w:cs="Times New Roman" w:hAnsiTheme="minorEastAsia" w:eastAsiaTheme="minorEastAsia"/>
        </w:rPr>
        <w:t>年远景目标纲要》；</w:t>
      </w:r>
    </w:p>
    <w:p>
      <w:pPr>
        <w:ind w:firstLine="560"/>
        <w:rPr>
          <w:rFonts w:cs="Times New Roman" w:eastAsiaTheme="minorEastAsia"/>
        </w:rPr>
      </w:pPr>
      <w:r>
        <w:rPr>
          <w:rFonts w:cs="Times New Roman" w:hAnsiTheme="minorEastAsia" w:eastAsiaTheme="minorEastAsia"/>
        </w:rPr>
        <w:t>《贵州省十大千亿级工业产业振兴行动方案》（黔府发〔</w:t>
      </w:r>
      <w:r>
        <w:rPr>
          <w:rFonts w:cs="Times New Roman" w:eastAsiaTheme="minorEastAsia"/>
        </w:rPr>
        <w:t>2018</w:t>
      </w:r>
      <w:r>
        <w:rPr>
          <w:rFonts w:cs="Times New Roman" w:hAnsiTheme="minorEastAsia" w:eastAsiaTheme="minorEastAsia"/>
        </w:rPr>
        <w:t>〕</w:t>
      </w:r>
      <w:r>
        <w:rPr>
          <w:rFonts w:cs="Times New Roman" w:eastAsiaTheme="minorEastAsia"/>
        </w:rPr>
        <w:t>33</w:t>
      </w:r>
      <w:r>
        <w:rPr>
          <w:rFonts w:cs="Times New Roman" w:hAnsiTheme="minorEastAsia" w:eastAsiaTheme="minorEastAsia"/>
        </w:rPr>
        <w:t>号）；</w:t>
      </w:r>
    </w:p>
    <w:p>
      <w:pPr>
        <w:ind w:firstLine="560"/>
        <w:rPr>
          <w:rFonts w:cs="Times New Roman" w:eastAsiaTheme="minorEastAsia"/>
        </w:rPr>
      </w:pPr>
      <w:r>
        <w:rPr>
          <w:rFonts w:cs="Times New Roman" w:hAnsiTheme="minorEastAsia" w:eastAsiaTheme="minorEastAsia"/>
        </w:rPr>
        <w:t>《贵州省</w:t>
      </w:r>
      <w:r>
        <w:rPr>
          <w:rFonts w:cs="Times New Roman" w:eastAsiaTheme="minorEastAsia"/>
        </w:rPr>
        <w:t>“</w:t>
      </w:r>
      <w:r>
        <w:rPr>
          <w:rFonts w:cs="Times New Roman" w:hAnsiTheme="minorEastAsia" w:eastAsiaTheme="minorEastAsia"/>
        </w:rPr>
        <w:t>十四五</w:t>
      </w:r>
      <w:r>
        <w:rPr>
          <w:rFonts w:cs="Times New Roman" w:eastAsiaTheme="minorEastAsia"/>
        </w:rPr>
        <w:t>”</w:t>
      </w:r>
      <w:r>
        <w:rPr>
          <w:rFonts w:cs="Times New Roman" w:hAnsiTheme="minorEastAsia" w:eastAsiaTheme="minorEastAsia"/>
        </w:rPr>
        <w:t>工业发展规划》；</w:t>
      </w:r>
    </w:p>
    <w:p>
      <w:pPr>
        <w:ind w:firstLine="560"/>
        <w:rPr>
          <w:rFonts w:cs="Times New Roman" w:eastAsiaTheme="minorEastAsia"/>
        </w:rPr>
      </w:pPr>
      <w:r>
        <w:rPr>
          <w:rFonts w:cs="Times New Roman" w:hAnsiTheme="minorEastAsia" w:eastAsiaTheme="minorEastAsia"/>
        </w:rPr>
        <w:t>《贵州省现代化工产业发展规划（</w:t>
      </w:r>
      <w:r>
        <w:rPr>
          <w:rFonts w:cs="Times New Roman" w:eastAsiaTheme="minorEastAsia"/>
        </w:rPr>
        <w:t>2019-2025</w:t>
      </w:r>
      <w:r>
        <w:rPr>
          <w:rFonts w:cs="Times New Roman" w:hAnsiTheme="minorEastAsia" w:eastAsiaTheme="minorEastAsia"/>
        </w:rPr>
        <w:t>年）》；</w:t>
      </w:r>
    </w:p>
    <w:p>
      <w:pPr>
        <w:ind w:firstLine="560"/>
        <w:rPr>
          <w:rFonts w:cs="Times New Roman" w:hAnsiTheme="minorEastAsia" w:eastAsiaTheme="minorEastAsia"/>
        </w:rPr>
      </w:pPr>
      <w:r>
        <w:rPr>
          <w:rFonts w:cs="Times New Roman" w:hAnsiTheme="minorEastAsia" w:eastAsiaTheme="minorEastAsia"/>
        </w:rPr>
        <w:t>《贵州省煤化工产业发展规划（</w:t>
      </w:r>
      <w:r>
        <w:rPr>
          <w:rFonts w:cs="Times New Roman" w:eastAsiaTheme="minorEastAsia"/>
        </w:rPr>
        <w:t>2019</w:t>
      </w:r>
      <w:r>
        <w:rPr>
          <w:rFonts w:cs="Times New Roman" w:hAnsiTheme="minorEastAsia" w:eastAsiaTheme="minorEastAsia"/>
        </w:rPr>
        <w:t>－</w:t>
      </w:r>
      <w:r>
        <w:rPr>
          <w:rFonts w:cs="Times New Roman" w:eastAsiaTheme="minorEastAsia"/>
        </w:rPr>
        <w:t>2025</w:t>
      </w:r>
      <w:r>
        <w:rPr>
          <w:rFonts w:cs="Times New Roman" w:hAnsiTheme="minorEastAsia" w:eastAsiaTheme="minorEastAsia"/>
        </w:rPr>
        <w:t>年）》</w:t>
      </w:r>
      <w:r>
        <w:rPr>
          <w:rFonts w:hint="eastAsia" w:cs="Times New Roman" w:hAnsiTheme="minorEastAsia" w:eastAsiaTheme="minorEastAsia"/>
        </w:rPr>
        <w:t>（2022年</w:t>
      </w:r>
      <w:r>
        <w:rPr>
          <w:rFonts w:cs="Times New Roman" w:hAnsiTheme="minorEastAsia" w:eastAsiaTheme="minorEastAsia"/>
        </w:rPr>
        <w:t>修订）</w:t>
      </w:r>
      <w:r>
        <w:rPr>
          <w:rFonts w:hint="eastAsia" w:cs="Times New Roman" w:hAnsiTheme="minorEastAsia" w:eastAsiaTheme="minorEastAsia"/>
        </w:rPr>
        <w:t>；</w:t>
      </w:r>
    </w:p>
    <w:p>
      <w:pPr>
        <w:ind w:firstLine="560"/>
        <w:rPr>
          <w:rFonts w:cs="Times New Roman" w:hAnsiTheme="minorEastAsia" w:eastAsiaTheme="minorEastAsia"/>
        </w:rPr>
      </w:pPr>
      <w:r>
        <w:rPr>
          <w:rFonts w:cs="Times New Roman" w:hAnsiTheme="minorEastAsia" w:eastAsiaTheme="minorEastAsia"/>
        </w:rPr>
        <w:t>《2022年推进贵州省新能源电池及材料产业高质量发展行动方案》</w:t>
      </w:r>
      <w:r>
        <w:rPr>
          <w:rFonts w:hint="eastAsia" w:cs="Times New Roman" w:hAnsiTheme="minorEastAsia" w:eastAsiaTheme="minorEastAsia"/>
        </w:rPr>
        <w:t>；</w:t>
      </w:r>
    </w:p>
    <w:p>
      <w:pPr>
        <w:ind w:firstLine="560"/>
        <w:rPr>
          <w:rFonts w:cs="Times New Roman" w:hAnsiTheme="minorEastAsia" w:eastAsiaTheme="minorEastAsia"/>
        </w:rPr>
      </w:pPr>
      <w:r>
        <w:rPr>
          <w:rFonts w:cs="Times New Roman" w:hAnsiTheme="minorEastAsia" w:eastAsiaTheme="minorEastAsia"/>
        </w:rPr>
        <w:t>《关于推进锂电池材料产业高质量发展的指导意见》</w:t>
      </w:r>
      <w:r>
        <w:rPr>
          <w:rFonts w:hint="eastAsia" w:cs="Times New Roman" w:hAnsiTheme="minorEastAsia" w:eastAsiaTheme="minorEastAsia"/>
        </w:rPr>
        <w:t>（</w:t>
      </w:r>
      <w:r>
        <w:rPr>
          <w:rFonts w:cs="Times New Roman" w:hAnsiTheme="minorEastAsia" w:eastAsiaTheme="minorEastAsia"/>
        </w:rPr>
        <w:t>黔</w:t>
      </w:r>
      <w:r>
        <w:rPr>
          <w:rFonts w:hint="eastAsia" w:cs="Times New Roman" w:hAnsiTheme="minorEastAsia" w:eastAsiaTheme="minorEastAsia"/>
        </w:rPr>
        <w:t>新工[2021]2号）；</w:t>
      </w:r>
    </w:p>
    <w:p>
      <w:pPr>
        <w:ind w:firstLine="560"/>
        <w:rPr>
          <w:rFonts w:cs="Times New Roman" w:eastAsiaTheme="minorEastAsia"/>
        </w:rPr>
      </w:pPr>
      <w:r>
        <w:rPr>
          <w:rFonts w:cs="Times New Roman" w:hAnsiTheme="minorEastAsia" w:eastAsiaTheme="minorEastAsia"/>
        </w:rPr>
        <w:t>《贵州省化工园区认定办法（试行）》（黔工信原材料〔</w:t>
      </w:r>
      <w:r>
        <w:rPr>
          <w:rFonts w:cs="Times New Roman" w:eastAsiaTheme="minorEastAsia"/>
        </w:rPr>
        <w:t>2021</w:t>
      </w:r>
      <w:r>
        <w:rPr>
          <w:rFonts w:cs="Times New Roman" w:hAnsiTheme="minorEastAsia" w:eastAsiaTheme="minorEastAsia"/>
        </w:rPr>
        <w:t>〕</w:t>
      </w:r>
      <w:r>
        <w:rPr>
          <w:rFonts w:cs="Times New Roman" w:eastAsiaTheme="minorEastAsia"/>
        </w:rPr>
        <w:t>21</w:t>
      </w:r>
      <w:r>
        <w:rPr>
          <w:rFonts w:cs="Times New Roman" w:hAnsiTheme="minorEastAsia" w:eastAsiaTheme="minorEastAsia"/>
        </w:rPr>
        <w:t>号）；</w:t>
      </w:r>
    </w:p>
    <w:p>
      <w:pPr>
        <w:ind w:firstLine="560"/>
        <w:rPr>
          <w:rFonts w:cs="Times New Roman" w:eastAsiaTheme="minorEastAsia"/>
        </w:rPr>
      </w:pPr>
      <w:r>
        <w:rPr>
          <w:rFonts w:cs="Times New Roman" w:hAnsiTheme="minorEastAsia" w:eastAsiaTheme="minorEastAsia"/>
        </w:rPr>
        <w:t>《贵州省产业转移指导目录（</w:t>
      </w:r>
      <w:r>
        <w:rPr>
          <w:rFonts w:cs="Times New Roman" w:eastAsiaTheme="minorEastAsia"/>
        </w:rPr>
        <w:t>2016</w:t>
      </w:r>
      <w:r>
        <w:rPr>
          <w:rFonts w:cs="Times New Roman" w:hAnsiTheme="minorEastAsia" w:eastAsiaTheme="minorEastAsia"/>
        </w:rPr>
        <w:t>年本）》；</w:t>
      </w:r>
    </w:p>
    <w:p>
      <w:pPr>
        <w:ind w:firstLine="560"/>
        <w:rPr>
          <w:rFonts w:cs="Times New Roman" w:eastAsiaTheme="minorEastAsia"/>
        </w:rPr>
      </w:pPr>
      <w:r>
        <w:rPr>
          <w:rFonts w:cs="Times New Roman" w:hAnsiTheme="minorEastAsia" w:eastAsiaTheme="minorEastAsia"/>
        </w:rPr>
        <w:t>《六盘水市国民经济和社会发展第十四个五年规划和</w:t>
      </w:r>
      <w:r>
        <w:rPr>
          <w:rFonts w:cs="Times New Roman" w:eastAsiaTheme="minorEastAsia"/>
        </w:rPr>
        <w:t>2035</w:t>
      </w:r>
      <w:r>
        <w:rPr>
          <w:rFonts w:cs="Times New Roman" w:hAnsiTheme="minorEastAsia" w:eastAsiaTheme="minorEastAsia"/>
        </w:rPr>
        <w:t>年远景目标纲要》；</w:t>
      </w:r>
    </w:p>
    <w:p>
      <w:pPr>
        <w:ind w:firstLine="560"/>
        <w:rPr>
          <w:rFonts w:cs="Times New Roman" w:eastAsiaTheme="minorEastAsia"/>
        </w:rPr>
      </w:pPr>
      <w:r>
        <w:rPr>
          <w:rFonts w:cs="Times New Roman" w:hAnsiTheme="minorEastAsia" w:eastAsiaTheme="minorEastAsia"/>
        </w:rPr>
        <w:t>《六盘水市</w:t>
      </w:r>
      <w:r>
        <w:rPr>
          <w:rFonts w:cs="Times New Roman" w:eastAsiaTheme="minorEastAsia"/>
        </w:rPr>
        <w:t>“</w:t>
      </w:r>
      <w:r>
        <w:rPr>
          <w:rFonts w:cs="Times New Roman" w:hAnsiTheme="minorEastAsia" w:eastAsiaTheme="minorEastAsia"/>
        </w:rPr>
        <w:t>十四五</w:t>
      </w:r>
      <w:r>
        <w:rPr>
          <w:rFonts w:cs="Times New Roman" w:eastAsiaTheme="minorEastAsia"/>
        </w:rPr>
        <w:t>”</w:t>
      </w:r>
      <w:r>
        <w:rPr>
          <w:rFonts w:cs="Times New Roman" w:hAnsiTheme="minorEastAsia" w:eastAsiaTheme="minorEastAsia"/>
        </w:rPr>
        <w:t>煤焦化产业发展规划（</w:t>
      </w:r>
      <w:r>
        <w:rPr>
          <w:rFonts w:cs="Times New Roman" w:eastAsiaTheme="minorEastAsia"/>
        </w:rPr>
        <w:t>2021-2025</w:t>
      </w:r>
      <w:r>
        <w:rPr>
          <w:rFonts w:cs="Times New Roman" w:hAnsiTheme="minorEastAsia" w:eastAsiaTheme="minorEastAsia"/>
        </w:rPr>
        <w:t>）；</w:t>
      </w:r>
    </w:p>
    <w:p>
      <w:pPr>
        <w:ind w:firstLine="560"/>
        <w:rPr>
          <w:rFonts w:cs="Times New Roman" w:hAnsiTheme="minorEastAsia" w:eastAsiaTheme="minorEastAsia"/>
        </w:rPr>
      </w:pPr>
      <w:r>
        <w:rPr>
          <w:rFonts w:cs="Times New Roman" w:hAnsiTheme="minorEastAsia" w:eastAsiaTheme="minorEastAsia"/>
        </w:rPr>
        <w:t>《六枝特区国民经济和社会发展第十四个五年规划和二〇三五年远景目标纲要》</w:t>
      </w:r>
      <w:r>
        <w:rPr>
          <w:rFonts w:hint="eastAsia" w:cs="Times New Roman" w:hAnsiTheme="minorEastAsia" w:eastAsiaTheme="minorEastAsia"/>
        </w:rPr>
        <w:t>；</w:t>
      </w:r>
    </w:p>
    <w:p>
      <w:pPr>
        <w:ind w:firstLine="560"/>
        <w:rPr>
          <w:rFonts w:cs="Times New Roman" w:hAnsiTheme="minorEastAsia" w:eastAsiaTheme="minorEastAsia"/>
        </w:rPr>
      </w:pPr>
      <w:r>
        <w:rPr>
          <w:rFonts w:hint="eastAsia" w:cs="Times New Roman" w:hAnsiTheme="minorEastAsia" w:eastAsiaTheme="minorEastAsia"/>
        </w:rPr>
        <w:t>《六枝特区国土空间总体规划（2021-2035年）》。</w:t>
      </w:r>
    </w:p>
    <w:p>
      <w:pPr>
        <w:pStyle w:val="4"/>
        <w:ind w:firstLine="602"/>
        <w:rPr>
          <w:rFonts w:cs="Times New Roman" w:eastAsiaTheme="minorEastAsia"/>
        </w:rPr>
      </w:pPr>
      <w:bookmarkStart w:id="4" w:name="_Toc126591848"/>
      <w:r>
        <w:rPr>
          <w:rFonts w:cs="Times New Roman" w:eastAsiaTheme="minorEastAsia"/>
        </w:rPr>
        <w:t xml:space="preserve">1.4 </w:t>
      </w:r>
      <w:r>
        <w:rPr>
          <w:rFonts w:cs="Times New Roman" w:hAnsiTheme="minorEastAsia" w:eastAsiaTheme="minorEastAsia"/>
        </w:rPr>
        <w:t>规划范围及时限</w:t>
      </w:r>
      <w:bookmarkEnd w:id="4"/>
    </w:p>
    <w:p>
      <w:pPr>
        <w:pStyle w:val="5"/>
        <w:ind w:firstLine="562"/>
        <w:rPr>
          <w:rFonts w:cs="Times New Roman" w:eastAsiaTheme="minorEastAsia"/>
        </w:rPr>
      </w:pPr>
      <w:r>
        <w:rPr>
          <w:rFonts w:cs="Times New Roman" w:eastAsiaTheme="minorEastAsia"/>
        </w:rPr>
        <w:t xml:space="preserve">1.4.1 </w:t>
      </w:r>
      <w:r>
        <w:rPr>
          <w:rFonts w:cs="Times New Roman" w:hAnsiTheme="minorEastAsia" w:eastAsiaTheme="minorEastAsia"/>
        </w:rPr>
        <w:t>规划范围</w:t>
      </w:r>
    </w:p>
    <w:p>
      <w:pPr>
        <w:ind w:firstLine="560"/>
        <w:rPr>
          <w:rFonts w:cs="Times New Roman"/>
          <w:szCs w:val="28"/>
        </w:rPr>
      </w:pPr>
      <w:r>
        <w:rPr>
          <w:rFonts w:hint="eastAsia" w:cs="Times New Roman"/>
          <w:szCs w:val="28"/>
        </w:rPr>
        <w:t>六枝特区化工园区</w:t>
      </w:r>
      <w:r>
        <w:rPr>
          <w:rFonts w:cs="Times New Roman"/>
          <w:szCs w:val="28"/>
        </w:rPr>
        <w:t>位于六枝特区新窑镇，东</w:t>
      </w:r>
      <w:r>
        <w:rPr>
          <w:rFonts w:hint="eastAsia" w:cs="Times New Roman"/>
          <w:szCs w:val="28"/>
        </w:rPr>
        <w:t>至</w:t>
      </w:r>
      <w:r>
        <w:rPr>
          <w:rFonts w:cs="Times New Roman"/>
          <w:szCs w:val="28"/>
        </w:rPr>
        <w:t>新窑镇那玉村、上营盘村</w:t>
      </w:r>
      <w:r>
        <w:rPr>
          <w:rFonts w:hint="eastAsia" w:cs="Times New Roman"/>
          <w:szCs w:val="28"/>
        </w:rPr>
        <w:t>，</w:t>
      </w:r>
      <w:r>
        <w:rPr>
          <w:rFonts w:cs="Times New Roman"/>
          <w:szCs w:val="28"/>
        </w:rPr>
        <w:t>南抵新窑镇那秀村、六枝特区塔山街道高峰村</w:t>
      </w:r>
      <w:r>
        <w:rPr>
          <w:rFonts w:hint="eastAsia" w:cs="Times New Roman"/>
          <w:szCs w:val="28"/>
        </w:rPr>
        <w:t>，</w:t>
      </w:r>
      <w:r>
        <w:rPr>
          <w:rFonts w:cs="Times New Roman"/>
          <w:szCs w:val="28"/>
        </w:rPr>
        <w:t>西</w:t>
      </w:r>
      <w:r>
        <w:rPr>
          <w:rFonts w:hint="eastAsia" w:cs="Times New Roman"/>
          <w:szCs w:val="28"/>
        </w:rPr>
        <w:t>至</w:t>
      </w:r>
      <w:r>
        <w:rPr>
          <w:rFonts w:cs="Times New Roman"/>
          <w:szCs w:val="28"/>
        </w:rPr>
        <w:t>新窑镇那秀村、上营盘村、新河村</w:t>
      </w:r>
      <w:r>
        <w:rPr>
          <w:rFonts w:hint="eastAsia" w:cs="Times New Roman"/>
          <w:szCs w:val="28"/>
        </w:rPr>
        <w:t>，</w:t>
      </w:r>
      <w:r>
        <w:rPr>
          <w:rFonts w:cs="Times New Roman"/>
          <w:szCs w:val="28"/>
        </w:rPr>
        <w:t>北抵新窑镇新河村。</w:t>
      </w:r>
    </w:p>
    <w:p>
      <w:pPr>
        <w:pStyle w:val="2"/>
        <w:rPr>
          <w:rFonts w:cs="Times New Roman"/>
          <w:szCs w:val="28"/>
        </w:rPr>
      </w:pPr>
      <w:r>
        <w:drawing>
          <wp:anchor distT="0" distB="0" distL="114300" distR="114300" simplePos="0" relativeHeight="251662336" behindDoc="1" locked="0" layoutInCell="1" allowOverlap="1">
            <wp:simplePos x="0" y="0"/>
            <wp:positionH relativeFrom="column">
              <wp:posOffset>-333375</wp:posOffset>
            </wp:positionH>
            <wp:positionV relativeFrom="paragraph">
              <wp:posOffset>118745</wp:posOffset>
            </wp:positionV>
            <wp:extent cx="6470650" cy="3068320"/>
            <wp:effectExtent l="0" t="0" r="6350" b="17780"/>
            <wp:wrapNone/>
            <wp:docPr id="1" name="图片 1" descr="文档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档1"/>
                    <pic:cNvPicPr>
                      <a:picLocks noChangeAspect="1"/>
                    </pic:cNvPicPr>
                  </pic:nvPicPr>
                  <pic:blipFill>
                    <a:blip r:embed="rId13"/>
                    <a:srcRect l="5569" t="14983" r="6952" b="26350"/>
                    <a:stretch>
                      <a:fillRect/>
                    </a:stretch>
                  </pic:blipFill>
                  <pic:spPr>
                    <a:xfrm>
                      <a:off x="0" y="0"/>
                      <a:ext cx="6470650" cy="3068320"/>
                    </a:xfrm>
                    <a:prstGeom prst="rect">
                      <a:avLst/>
                    </a:prstGeom>
                    <a:noFill/>
                    <a:ln>
                      <a:noFill/>
                    </a:ln>
                  </pic:spPr>
                </pic:pic>
              </a:graphicData>
            </a:graphic>
          </wp:anchor>
        </w:drawing>
      </w:r>
    </w:p>
    <w:p>
      <w:pPr>
        <w:rPr>
          <w:rFonts w:cs="Times New Roman"/>
          <w:szCs w:val="28"/>
        </w:rPr>
      </w:pPr>
    </w:p>
    <w:p>
      <w:pPr>
        <w:pStyle w:val="2"/>
        <w:rPr>
          <w:rFonts w:cs="Times New Roman"/>
          <w:szCs w:val="28"/>
        </w:rPr>
      </w:pPr>
    </w:p>
    <w:p>
      <w:pPr>
        <w:rPr>
          <w:rFonts w:cs="Times New Roman"/>
          <w:szCs w:val="28"/>
        </w:rPr>
      </w:pPr>
    </w:p>
    <w:p>
      <w:pPr>
        <w:pStyle w:val="2"/>
      </w:pPr>
    </w:p>
    <w:p>
      <w:pPr>
        <w:keepNext/>
        <w:keepLines/>
        <w:ind w:firstLine="560"/>
      </w:pPr>
    </w:p>
    <w:p>
      <w:pPr>
        <w:pStyle w:val="9"/>
        <w:ind w:firstLine="422"/>
        <w:jc w:val="center"/>
        <w:rPr>
          <w:rFonts w:eastAsia="宋体"/>
          <w:b/>
          <w:bCs/>
          <w:sz w:val="21"/>
        </w:rPr>
      </w:pPr>
    </w:p>
    <w:p>
      <w:pPr>
        <w:pStyle w:val="9"/>
        <w:ind w:firstLine="422"/>
        <w:jc w:val="center"/>
        <w:rPr>
          <w:rFonts w:eastAsia="宋体"/>
          <w:b/>
          <w:bCs/>
          <w:sz w:val="21"/>
        </w:rPr>
      </w:pPr>
    </w:p>
    <w:p>
      <w:pPr>
        <w:pStyle w:val="9"/>
        <w:ind w:firstLine="422"/>
        <w:jc w:val="center"/>
        <w:rPr>
          <w:rFonts w:eastAsia="宋体"/>
          <w:b/>
          <w:bCs/>
          <w:sz w:val="21"/>
        </w:rPr>
      </w:pPr>
    </w:p>
    <w:p>
      <w:pPr>
        <w:pStyle w:val="9"/>
        <w:ind w:firstLine="422"/>
        <w:jc w:val="center"/>
        <w:rPr>
          <w:rFonts w:eastAsia="宋体"/>
          <w:b/>
          <w:bCs/>
          <w:sz w:val="21"/>
        </w:rPr>
      </w:pPr>
    </w:p>
    <w:p>
      <w:pPr>
        <w:pStyle w:val="9"/>
        <w:ind w:firstLine="422"/>
        <w:jc w:val="center"/>
        <w:rPr>
          <w:rFonts w:eastAsia="宋体"/>
          <w:b/>
          <w:bCs/>
          <w:sz w:val="21"/>
        </w:rPr>
      </w:pPr>
    </w:p>
    <w:p>
      <w:pPr>
        <w:pStyle w:val="9"/>
        <w:ind w:firstLine="422"/>
        <w:jc w:val="center"/>
        <w:rPr>
          <w:rFonts w:eastAsia="宋体"/>
          <w:b/>
          <w:bCs/>
          <w:sz w:val="21"/>
        </w:rPr>
      </w:pPr>
    </w:p>
    <w:p>
      <w:pPr>
        <w:pStyle w:val="9"/>
        <w:ind w:firstLine="422"/>
        <w:jc w:val="center"/>
        <w:rPr>
          <w:rFonts w:eastAsia="宋体"/>
          <w:b/>
          <w:bCs/>
          <w:sz w:val="21"/>
        </w:rPr>
      </w:pPr>
    </w:p>
    <w:p>
      <w:pPr>
        <w:pStyle w:val="9"/>
        <w:ind w:firstLine="422"/>
        <w:jc w:val="center"/>
        <w:rPr>
          <w:rFonts w:eastAsia="宋体"/>
          <w:b/>
          <w:bCs/>
          <w:sz w:val="21"/>
        </w:rPr>
      </w:pPr>
    </w:p>
    <w:p>
      <w:pPr>
        <w:pStyle w:val="9"/>
        <w:ind w:firstLine="422"/>
        <w:jc w:val="center"/>
        <w:rPr>
          <w:rFonts w:ascii="宋体" w:hAnsi="宋体" w:eastAsia="宋体" w:cs="宋体"/>
          <w:b/>
          <w:bCs/>
          <w:sz w:val="21"/>
        </w:rPr>
      </w:pPr>
      <w:r>
        <w:rPr>
          <w:rFonts w:eastAsia="宋体"/>
          <w:b/>
          <w:bCs/>
          <w:sz w:val="21"/>
        </w:rPr>
        <w:t>图1-1</w:t>
      </w:r>
      <w:r>
        <w:rPr>
          <w:rFonts w:hint="eastAsia" w:ascii="宋体" w:hAnsi="宋体" w:eastAsia="宋体" w:cs="宋体"/>
          <w:b/>
          <w:bCs/>
          <w:sz w:val="21"/>
        </w:rPr>
        <w:t xml:space="preserve">  化工园区规划范围图</w:t>
      </w:r>
    </w:p>
    <w:p>
      <w:pPr>
        <w:pStyle w:val="5"/>
        <w:ind w:firstLine="562"/>
        <w:rPr>
          <w:rFonts w:cs="Times New Roman" w:eastAsiaTheme="minorEastAsia"/>
        </w:rPr>
      </w:pPr>
      <w:r>
        <w:rPr>
          <w:rFonts w:hint="eastAsia" w:cs="Times New Roman" w:eastAsiaTheme="minorEastAsia"/>
        </w:rPr>
        <w:t>1.4.2</w:t>
      </w:r>
      <w:r>
        <w:rPr>
          <w:rFonts w:cs="Times New Roman" w:eastAsiaTheme="minorEastAsia"/>
        </w:rPr>
        <w:t>规划面积</w:t>
      </w:r>
    </w:p>
    <w:p>
      <w:pPr>
        <w:ind w:firstLine="560"/>
        <w:rPr>
          <w:rFonts w:cs="Times New Roman" w:hAnsiTheme="minorEastAsia" w:eastAsiaTheme="minorEastAsia"/>
          <w:szCs w:val="24"/>
        </w:rPr>
      </w:pPr>
      <w:r>
        <w:rPr>
          <w:rFonts w:cs="Times New Roman" w:hAnsiTheme="minorEastAsia" w:eastAsiaTheme="minorEastAsia"/>
          <w:szCs w:val="24"/>
        </w:rPr>
        <w:t>六枝</w:t>
      </w:r>
      <w:r>
        <w:rPr>
          <w:rFonts w:hint="eastAsia" w:cs="Times New Roman" w:hAnsiTheme="minorEastAsia" w:eastAsiaTheme="minorEastAsia"/>
          <w:szCs w:val="24"/>
        </w:rPr>
        <w:t>特</w:t>
      </w:r>
      <w:r>
        <w:rPr>
          <w:rFonts w:cs="Times New Roman" w:hAnsiTheme="minorEastAsia" w:eastAsiaTheme="minorEastAsia"/>
          <w:szCs w:val="24"/>
        </w:rPr>
        <w:t>区化工园区总规划面积约</w:t>
      </w:r>
      <w:r>
        <w:rPr>
          <w:rFonts w:hint="eastAsia" w:cs="Times New Roman" w:hAnsiTheme="minorEastAsia" w:eastAsiaTheme="minorEastAsia"/>
          <w:szCs w:val="24"/>
        </w:rPr>
        <w:t>3.11</w:t>
      </w:r>
      <w:r>
        <w:rPr>
          <w:rFonts w:cs="Times New Roman" w:hAnsiTheme="minorEastAsia" w:eastAsiaTheme="minorEastAsia"/>
          <w:szCs w:val="24"/>
        </w:rPr>
        <w:t>平方公里。</w:t>
      </w:r>
    </w:p>
    <w:p>
      <w:pPr>
        <w:pStyle w:val="5"/>
        <w:ind w:firstLine="562"/>
        <w:rPr>
          <w:rFonts w:cs="Times New Roman" w:eastAsiaTheme="minorEastAsia"/>
        </w:rPr>
      </w:pPr>
      <w:r>
        <w:rPr>
          <w:rFonts w:cs="Times New Roman" w:eastAsiaTheme="minorEastAsia"/>
        </w:rPr>
        <w:t>1.4.</w:t>
      </w:r>
      <w:r>
        <w:rPr>
          <w:rFonts w:hint="eastAsia" w:cs="Times New Roman" w:eastAsiaTheme="minorEastAsia"/>
        </w:rPr>
        <w:t>3</w:t>
      </w:r>
      <w:r>
        <w:rPr>
          <w:rFonts w:cs="Times New Roman" w:hAnsiTheme="minorEastAsia" w:eastAsiaTheme="minorEastAsia"/>
        </w:rPr>
        <w:t>规划时限</w:t>
      </w:r>
    </w:p>
    <w:p>
      <w:pPr>
        <w:ind w:firstLine="560"/>
        <w:rPr>
          <w:rFonts w:cs="Times New Roman" w:hAnsiTheme="minorEastAsia" w:eastAsiaTheme="minorEastAsia"/>
          <w:szCs w:val="24"/>
        </w:rPr>
      </w:pPr>
      <w:r>
        <w:rPr>
          <w:rFonts w:cs="Times New Roman" w:hAnsiTheme="minorEastAsia" w:eastAsiaTheme="minorEastAsia"/>
          <w:szCs w:val="24"/>
        </w:rPr>
        <w:t>规划按照“统一规划，分期实施”的原则，规划期限为2022～203</w:t>
      </w:r>
      <w:r>
        <w:rPr>
          <w:rFonts w:hint="eastAsia" w:cs="Times New Roman" w:hAnsiTheme="minorEastAsia" w:eastAsiaTheme="minorEastAsia"/>
          <w:szCs w:val="24"/>
        </w:rPr>
        <w:t>5</w:t>
      </w:r>
      <w:r>
        <w:rPr>
          <w:rFonts w:cs="Times New Roman" w:hAnsiTheme="minorEastAsia" w:eastAsiaTheme="minorEastAsia"/>
          <w:szCs w:val="24"/>
        </w:rPr>
        <w:t>年。</w:t>
      </w:r>
    </w:p>
    <w:p>
      <w:pPr>
        <w:ind w:firstLine="560"/>
        <w:rPr>
          <w:rFonts w:cs="Times New Roman" w:hAnsiTheme="minorEastAsia" w:eastAsiaTheme="minorEastAsia"/>
          <w:szCs w:val="24"/>
        </w:rPr>
      </w:pPr>
      <w:r>
        <w:rPr>
          <w:rFonts w:cs="Times New Roman" w:hAnsiTheme="minorEastAsia" w:eastAsiaTheme="minorEastAsia"/>
          <w:szCs w:val="24"/>
        </w:rPr>
        <w:t>（1）近期2022～202</w:t>
      </w:r>
      <w:r>
        <w:rPr>
          <w:rFonts w:hint="eastAsia" w:cs="Times New Roman" w:hAnsiTheme="minorEastAsia" w:eastAsiaTheme="minorEastAsia"/>
          <w:szCs w:val="24"/>
        </w:rPr>
        <w:t>8</w:t>
      </w:r>
      <w:r>
        <w:rPr>
          <w:rFonts w:cs="Times New Roman" w:hAnsiTheme="minorEastAsia" w:eastAsiaTheme="minorEastAsia"/>
          <w:szCs w:val="24"/>
        </w:rPr>
        <w:t>年。产业园区基础设施建设和产业集聚形成阶段。</w:t>
      </w:r>
    </w:p>
    <w:p>
      <w:pPr>
        <w:ind w:firstLine="560"/>
        <w:rPr>
          <w:rFonts w:cs="Times New Roman" w:eastAsiaTheme="minorEastAsia"/>
          <w:kern w:val="0"/>
          <w:szCs w:val="28"/>
        </w:rPr>
      </w:pPr>
      <w:r>
        <w:rPr>
          <w:rFonts w:cs="Times New Roman" w:hAnsiTheme="minorEastAsia" w:eastAsiaTheme="minorEastAsia"/>
          <w:szCs w:val="24"/>
        </w:rPr>
        <w:t>（2）远期202</w:t>
      </w:r>
      <w:r>
        <w:rPr>
          <w:rFonts w:hint="eastAsia" w:cs="Times New Roman" w:hAnsiTheme="minorEastAsia" w:eastAsiaTheme="minorEastAsia"/>
          <w:szCs w:val="24"/>
        </w:rPr>
        <w:t>9</w:t>
      </w:r>
      <w:r>
        <w:rPr>
          <w:rFonts w:cs="Times New Roman" w:hAnsiTheme="minorEastAsia" w:eastAsiaTheme="minorEastAsia"/>
          <w:szCs w:val="24"/>
        </w:rPr>
        <w:t>～203</w:t>
      </w:r>
      <w:r>
        <w:rPr>
          <w:rFonts w:hint="eastAsia" w:cs="Times New Roman" w:hAnsiTheme="minorEastAsia" w:eastAsiaTheme="minorEastAsia"/>
          <w:szCs w:val="24"/>
        </w:rPr>
        <w:t>5</w:t>
      </w:r>
      <w:r>
        <w:rPr>
          <w:rFonts w:cs="Times New Roman" w:hAnsiTheme="minorEastAsia" w:eastAsiaTheme="minorEastAsia"/>
          <w:szCs w:val="24"/>
        </w:rPr>
        <w:t>年。产业发展期，是进一步提升和拓展工业园区阶段。</w:t>
      </w:r>
      <w:r>
        <w:rPr>
          <w:rFonts w:cs="Times New Roman" w:eastAsiaTheme="minorEastAsia"/>
          <w:kern w:val="0"/>
          <w:szCs w:val="28"/>
        </w:rPr>
        <w:br w:type="page"/>
      </w:r>
    </w:p>
    <w:p>
      <w:pPr>
        <w:pStyle w:val="3"/>
        <w:spacing w:before="120" w:after="120"/>
        <w:ind w:firstLine="643"/>
        <w:rPr>
          <w:rFonts w:cs="Times New Roman" w:eastAsiaTheme="minorEastAsia"/>
        </w:rPr>
      </w:pPr>
      <w:bookmarkStart w:id="5" w:name="_Toc126591849"/>
      <w:r>
        <w:rPr>
          <w:rFonts w:cs="Times New Roman" w:hAnsiTheme="minorEastAsia" w:eastAsiaTheme="minorEastAsia"/>
        </w:rPr>
        <w:t>第二章产业发展基础</w:t>
      </w:r>
      <w:bookmarkEnd w:id="5"/>
    </w:p>
    <w:p>
      <w:pPr>
        <w:pStyle w:val="4"/>
        <w:ind w:firstLine="602"/>
        <w:rPr>
          <w:rFonts w:cs="Times New Roman" w:eastAsiaTheme="minorEastAsia"/>
        </w:rPr>
      </w:pPr>
      <w:bookmarkStart w:id="6" w:name="_Toc126591850"/>
      <w:r>
        <w:rPr>
          <w:rFonts w:cs="Times New Roman" w:eastAsiaTheme="minorEastAsia"/>
        </w:rPr>
        <w:t xml:space="preserve">2.1 </w:t>
      </w:r>
      <w:r>
        <w:rPr>
          <w:rFonts w:cs="Times New Roman" w:hAnsiTheme="minorEastAsia" w:eastAsiaTheme="minorEastAsia"/>
        </w:rPr>
        <w:t>六枝特区国民经济发展概况</w:t>
      </w:r>
      <w:bookmarkEnd w:id="6"/>
    </w:p>
    <w:p>
      <w:pPr>
        <w:ind w:firstLine="560"/>
        <w:rPr>
          <w:rFonts w:cs="Times New Roman" w:eastAsiaTheme="minorEastAsia"/>
          <w:szCs w:val="28"/>
        </w:rPr>
      </w:pPr>
      <w:r>
        <w:rPr>
          <w:rFonts w:cs="Times New Roman" w:eastAsiaTheme="minorEastAsia"/>
          <w:szCs w:val="28"/>
        </w:rPr>
        <w:t>2021</w:t>
      </w:r>
      <w:r>
        <w:rPr>
          <w:rFonts w:cs="Times New Roman" w:hAnsiTheme="minorEastAsia" w:eastAsiaTheme="minorEastAsia"/>
          <w:szCs w:val="28"/>
        </w:rPr>
        <w:t>年，在区委区政府的坚强领导下，全区上下深入贯彻习近平总书记视察贵州重要讲话和对贵州对六盘水对六枝重要指示批示精神，坚持以高质量发展统揽全局，守好发展和生态两条底线，深入实施乡村振兴、大数据、大生态三大战略行动，围绕</w:t>
      </w:r>
      <w:r>
        <w:rPr>
          <w:rFonts w:cs="Times New Roman" w:eastAsiaTheme="minorEastAsia"/>
          <w:szCs w:val="28"/>
        </w:rPr>
        <w:t>“</w:t>
      </w:r>
      <w:r>
        <w:rPr>
          <w:rFonts w:cs="Times New Roman" w:hAnsiTheme="minorEastAsia" w:eastAsiaTheme="minorEastAsia"/>
          <w:szCs w:val="28"/>
        </w:rPr>
        <w:t>四新</w:t>
      </w:r>
      <w:r>
        <w:rPr>
          <w:rFonts w:cs="Times New Roman" w:eastAsiaTheme="minorEastAsia"/>
          <w:szCs w:val="28"/>
        </w:rPr>
        <w:t>”</w:t>
      </w:r>
      <w:r>
        <w:rPr>
          <w:rFonts w:cs="Times New Roman" w:hAnsiTheme="minorEastAsia" w:eastAsiaTheme="minorEastAsia"/>
          <w:szCs w:val="28"/>
        </w:rPr>
        <w:t>主攻</w:t>
      </w:r>
      <w:r>
        <w:rPr>
          <w:rFonts w:cs="Times New Roman" w:eastAsiaTheme="minorEastAsia"/>
          <w:szCs w:val="28"/>
        </w:rPr>
        <w:t>“</w:t>
      </w:r>
      <w:r>
        <w:rPr>
          <w:rFonts w:cs="Times New Roman" w:hAnsiTheme="minorEastAsia" w:eastAsiaTheme="minorEastAsia"/>
          <w:szCs w:val="28"/>
        </w:rPr>
        <w:t>四化</w:t>
      </w:r>
      <w:r>
        <w:rPr>
          <w:rFonts w:cs="Times New Roman" w:eastAsiaTheme="minorEastAsia"/>
          <w:szCs w:val="28"/>
        </w:rPr>
        <w:t>”</w:t>
      </w:r>
      <w:r>
        <w:rPr>
          <w:rFonts w:cs="Times New Roman" w:hAnsiTheme="minorEastAsia" w:eastAsiaTheme="minorEastAsia"/>
          <w:szCs w:val="28"/>
        </w:rPr>
        <w:t>，全力做好</w:t>
      </w:r>
      <w:r>
        <w:rPr>
          <w:rFonts w:cs="Times New Roman" w:eastAsiaTheme="minorEastAsia"/>
          <w:szCs w:val="28"/>
        </w:rPr>
        <w:t>“</w:t>
      </w:r>
      <w:r>
        <w:rPr>
          <w:rFonts w:cs="Times New Roman" w:hAnsiTheme="minorEastAsia" w:eastAsiaTheme="minorEastAsia"/>
          <w:szCs w:val="28"/>
        </w:rPr>
        <w:t>六稳</w:t>
      </w:r>
      <w:r>
        <w:rPr>
          <w:rFonts w:cs="Times New Roman" w:eastAsiaTheme="minorEastAsia"/>
          <w:szCs w:val="28"/>
        </w:rPr>
        <w:t>”</w:t>
      </w:r>
      <w:r>
        <w:rPr>
          <w:rFonts w:cs="Times New Roman" w:hAnsiTheme="minorEastAsia" w:eastAsiaTheme="minorEastAsia"/>
          <w:szCs w:val="28"/>
        </w:rPr>
        <w:t>工作、落实</w:t>
      </w:r>
      <w:r>
        <w:rPr>
          <w:rFonts w:cs="Times New Roman" w:eastAsiaTheme="minorEastAsia"/>
          <w:szCs w:val="28"/>
        </w:rPr>
        <w:t>“</w:t>
      </w:r>
      <w:r>
        <w:rPr>
          <w:rFonts w:cs="Times New Roman" w:hAnsiTheme="minorEastAsia" w:eastAsiaTheme="minorEastAsia"/>
          <w:szCs w:val="28"/>
        </w:rPr>
        <w:t>六保</w:t>
      </w:r>
      <w:r>
        <w:rPr>
          <w:rFonts w:cs="Times New Roman" w:eastAsiaTheme="minorEastAsia"/>
          <w:szCs w:val="28"/>
        </w:rPr>
        <w:t>”</w:t>
      </w:r>
      <w:r>
        <w:rPr>
          <w:rFonts w:cs="Times New Roman" w:hAnsiTheme="minorEastAsia" w:eastAsiaTheme="minorEastAsia"/>
          <w:szCs w:val="28"/>
        </w:rPr>
        <w:t>任务，统筹推进疫情防控和经济社会发展，全区经济发展稳中向好、稳中提质，高质量发展迈出了坚实步伐，实现</w:t>
      </w:r>
      <w:r>
        <w:rPr>
          <w:rFonts w:cs="Times New Roman" w:eastAsiaTheme="minorEastAsia"/>
          <w:szCs w:val="28"/>
        </w:rPr>
        <w:t>“</w:t>
      </w:r>
      <w:r>
        <w:rPr>
          <w:rFonts w:cs="Times New Roman" w:hAnsiTheme="minorEastAsia" w:eastAsiaTheme="minorEastAsia"/>
          <w:szCs w:val="28"/>
        </w:rPr>
        <w:t>十四五</w:t>
      </w:r>
      <w:r>
        <w:rPr>
          <w:rFonts w:cs="Times New Roman" w:eastAsiaTheme="minorEastAsia"/>
          <w:szCs w:val="28"/>
        </w:rPr>
        <w:t>”</w:t>
      </w:r>
      <w:r>
        <w:rPr>
          <w:rFonts w:cs="Times New Roman" w:hAnsiTheme="minorEastAsia" w:eastAsiaTheme="minorEastAsia"/>
          <w:szCs w:val="28"/>
        </w:rPr>
        <w:t>良好开局。</w:t>
      </w:r>
    </w:p>
    <w:p>
      <w:pPr>
        <w:ind w:firstLine="560"/>
        <w:rPr>
          <w:rFonts w:cs="Times New Roman" w:eastAsiaTheme="minorEastAsia"/>
          <w:szCs w:val="28"/>
        </w:rPr>
      </w:pPr>
      <w:r>
        <w:rPr>
          <w:rFonts w:cs="Times New Roman" w:eastAsiaTheme="minorEastAsia"/>
        </w:rPr>
        <w:t>2</w:t>
      </w:r>
      <w:r>
        <w:rPr>
          <w:rFonts w:cs="Times New Roman" w:eastAsiaTheme="minorEastAsia"/>
          <w:szCs w:val="28"/>
        </w:rPr>
        <w:t>021</w:t>
      </w:r>
      <w:r>
        <w:rPr>
          <w:rFonts w:cs="Times New Roman" w:hAnsiTheme="minorEastAsia" w:eastAsiaTheme="minorEastAsia"/>
          <w:szCs w:val="28"/>
        </w:rPr>
        <w:t>年，六枝特区全年地区生产总值</w:t>
      </w:r>
      <w:r>
        <w:rPr>
          <w:rFonts w:cs="Times New Roman" w:eastAsiaTheme="minorEastAsia"/>
          <w:szCs w:val="28"/>
        </w:rPr>
        <w:t>142.13</w:t>
      </w:r>
      <w:r>
        <w:rPr>
          <w:rFonts w:cs="Times New Roman" w:hAnsiTheme="minorEastAsia" w:eastAsiaTheme="minorEastAsia"/>
          <w:szCs w:val="28"/>
        </w:rPr>
        <w:t>亿元</w:t>
      </w:r>
      <w:r>
        <w:rPr>
          <w:rFonts w:cs="Times New Roman" w:eastAsiaTheme="minorEastAsia"/>
          <w:szCs w:val="28"/>
        </w:rPr>
        <w:t>，</w:t>
      </w:r>
      <w:r>
        <w:rPr>
          <w:rFonts w:cs="Times New Roman" w:hAnsiTheme="minorEastAsia" w:eastAsiaTheme="minorEastAsia"/>
          <w:szCs w:val="28"/>
        </w:rPr>
        <w:t>按可比价格计算</w:t>
      </w:r>
      <w:r>
        <w:rPr>
          <w:rFonts w:cs="Times New Roman" w:eastAsiaTheme="minorEastAsia"/>
          <w:szCs w:val="28"/>
        </w:rPr>
        <w:t>，</w:t>
      </w:r>
      <w:r>
        <w:rPr>
          <w:rFonts w:cs="Times New Roman" w:hAnsiTheme="minorEastAsia" w:eastAsiaTheme="minorEastAsia"/>
          <w:szCs w:val="28"/>
        </w:rPr>
        <w:t>比上年增长</w:t>
      </w:r>
      <w:r>
        <w:rPr>
          <w:rFonts w:cs="Times New Roman" w:eastAsiaTheme="minorEastAsia"/>
          <w:szCs w:val="28"/>
        </w:rPr>
        <w:t>6.5%</w:t>
      </w:r>
      <w:r>
        <w:rPr>
          <w:rFonts w:cs="Times New Roman" w:hAnsiTheme="minorEastAsia" w:eastAsiaTheme="minorEastAsia"/>
          <w:szCs w:val="28"/>
        </w:rPr>
        <w:t>。其中</w:t>
      </w:r>
      <w:r>
        <w:rPr>
          <w:rFonts w:cs="Times New Roman" w:eastAsiaTheme="minorEastAsia"/>
          <w:szCs w:val="28"/>
        </w:rPr>
        <w:t>，</w:t>
      </w:r>
      <w:r>
        <w:rPr>
          <w:rFonts w:cs="Times New Roman" w:hAnsiTheme="minorEastAsia" w:eastAsiaTheme="minorEastAsia"/>
          <w:szCs w:val="28"/>
        </w:rPr>
        <w:t>第一产业增加值</w:t>
      </w:r>
      <w:r>
        <w:rPr>
          <w:rFonts w:cs="Times New Roman" w:eastAsiaTheme="minorEastAsia"/>
          <w:szCs w:val="28"/>
        </w:rPr>
        <w:t>44.01</w:t>
      </w:r>
      <w:r>
        <w:rPr>
          <w:rFonts w:cs="Times New Roman" w:hAnsiTheme="minorEastAsia" w:eastAsiaTheme="minorEastAsia"/>
          <w:szCs w:val="28"/>
        </w:rPr>
        <w:t>亿元</w:t>
      </w:r>
      <w:r>
        <w:rPr>
          <w:rFonts w:cs="Times New Roman" w:eastAsiaTheme="minorEastAsia"/>
          <w:szCs w:val="28"/>
        </w:rPr>
        <w:t>，</w:t>
      </w:r>
      <w:r>
        <w:rPr>
          <w:rFonts w:cs="Times New Roman" w:hAnsiTheme="minorEastAsia" w:eastAsiaTheme="minorEastAsia"/>
          <w:szCs w:val="28"/>
        </w:rPr>
        <w:t>比上年增长</w:t>
      </w:r>
      <w:r>
        <w:rPr>
          <w:rFonts w:cs="Times New Roman" w:eastAsiaTheme="minorEastAsia"/>
          <w:szCs w:val="28"/>
        </w:rPr>
        <w:t>6.7%；</w:t>
      </w:r>
      <w:r>
        <w:rPr>
          <w:rFonts w:cs="Times New Roman" w:hAnsiTheme="minorEastAsia" w:eastAsiaTheme="minorEastAsia"/>
          <w:szCs w:val="28"/>
        </w:rPr>
        <w:t>第二产业增加值</w:t>
      </w:r>
      <w:r>
        <w:rPr>
          <w:rFonts w:cs="Times New Roman" w:eastAsiaTheme="minorEastAsia"/>
          <w:szCs w:val="28"/>
        </w:rPr>
        <w:t>29.15</w:t>
      </w:r>
      <w:r>
        <w:rPr>
          <w:rFonts w:cs="Times New Roman" w:hAnsiTheme="minorEastAsia" w:eastAsiaTheme="minorEastAsia"/>
          <w:szCs w:val="28"/>
        </w:rPr>
        <w:t>亿元</w:t>
      </w:r>
      <w:r>
        <w:rPr>
          <w:rFonts w:cs="Times New Roman" w:eastAsiaTheme="minorEastAsia"/>
          <w:szCs w:val="28"/>
        </w:rPr>
        <w:t>，</w:t>
      </w:r>
      <w:r>
        <w:rPr>
          <w:rFonts w:cs="Times New Roman" w:hAnsiTheme="minorEastAsia" w:eastAsiaTheme="minorEastAsia"/>
          <w:szCs w:val="28"/>
        </w:rPr>
        <w:t>增长</w:t>
      </w:r>
      <w:r>
        <w:rPr>
          <w:rFonts w:cs="Times New Roman" w:eastAsiaTheme="minorEastAsia"/>
          <w:szCs w:val="28"/>
        </w:rPr>
        <w:t>5.6%；</w:t>
      </w:r>
      <w:r>
        <w:rPr>
          <w:rFonts w:cs="Times New Roman" w:hAnsiTheme="minorEastAsia" w:eastAsiaTheme="minorEastAsia"/>
          <w:szCs w:val="28"/>
        </w:rPr>
        <w:t>第三产业增加值</w:t>
      </w:r>
      <w:r>
        <w:rPr>
          <w:rFonts w:cs="Times New Roman" w:eastAsiaTheme="minorEastAsia"/>
          <w:szCs w:val="28"/>
        </w:rPr>
        <w:t>68.98</w:t>
      </w:r>
      <w:r>
        <w:rPr>
          <w:rFonts w:cs="Times New Roman" w:hAnsiTheme="minorEastAsia" w:eastAsiaTheme="minorEastAsia"/>
          <w:szCs w:val="28"/>
        </w:rPr>
        <w:t>亿元</w:t>
      </w:r>
      <w:r>
        <w:rPr>
          <w:rFonts w:cs="Times New Roman" w:eastAsiaTheme="minorEastAsia"/>
          <w:szCs w:val="28"/>
        </w:rPr>
        <w:t>，</w:t>
      </w:r>
      <w:r>
        <w:rPr>
          <w:rFonts w:cs="Times New Roman" w:hAnsiTheme="minorEastAsia" w:eastAsiaTheme="minorEastAsia"/>
          <w:szCs w:val="28"/>
        </w:rPr>
        <w:t>增长</w:t>
      </w:r>
      <w:r>
        <w:rPr>
          <w:rFonts w:cs="Times New Roman" w:eastAsiaTheme="minorEastAsia"/>
          <w:szCs w:val="28"/>
        </w:rPr>
        <w:t>6.8%</w:t>
      </w:r>
      <w:r>
        <w:rPr>
          <w:rFonts w:cs="Times New Roman" w:hAnsiTheme="minorEastAsia" w:eastAsiaTheme="minorEastAsia"/>
          <w:szCs w:val="28"/>
        </w:rPr>
        <w:t>。</w:t>
      </w:r>
    </w:p>
    <w:p>
      <w:pPr>
        <w:ind w:firstLine="560"/>
        <w:rPr>
          <w:rFonts w:cs="Times New Roman" w:eastAsiaTheme="minorEastAsia"/>
          <w:szCs w:val="28"/>
        </w:rPr>
      </w:pPr>
      <w:r>
        <w:rPr>
          <w:rFonts w:cs="Times New Roman" w:eastAsiaTheme="minorEastAsia"/>
          <w:szCs w:val="28"/>
        </w:rPr>
        <w:t>2021</w:t>
      </w:r>
      <w:r>
        <w:rPr>
          <w:rFonts w:cs="Times New Roman" w:hAnsiTheme="minorEastAsia" w:eastAsiaTheme="minorEastAsia"/>
          <w:szCs w:val="28"/>
        </w:rPr>
        <w:t>年，全年农林牧渔业总产值达</w:t>
      </w:r>
      <w:r>
        <w:rPr>
          <w:rFonts w:cs="Times New Roman" w:eastAsiaTheme="minorEastAsia"/>
          <w:szCs w:val="28"/>
        </w:rPr>
        <w:t>75.90</w:t>
      </w:r>
      <w:r>
        <w:rPr>
          <w:rFonts w:cs="Times New Roman" w:hAnsiTheme="minorEastAsia" w:eastAsiaTheme="minorEastAsia"/>
          <w:szCs w:val="28"/>
        </w:rPr>
        <w:t>亿元</w:t>
      </w:r>
      <w:r>
        <w:rPr>
          <w:rFonts w:cs="Times New Roman" w:eastAsiaTheme="minorEastAsia"/>
          <w:szCs w:val="28"/>
        </w:rPr>
        <w:t>，</w:t>
      </w:r>
      <w:r>
        <w:rPr>
          <w:rFonts w:cs="Times New Roman" w:hAnsiTheme="minorEastAsia" w:eastAsiaTheme="minorEastAsia"/>
          <w:szCs w:val="28"/>
        </w:rPr>
        <w:t>同比增长</w:t>
      </w:r>
      <w:r>
        <w:rPr>
          <w:rFonts w:cs="Times New Roman" w:eastAsiaTheme="minorEastAsia"/>
          <w:szCs w:val="28"/>
        </w:rPr>
        <w:t>1.24%</w:t>
      </w:r>
      <w:r>
        <w:rPr>
          <w:rFonts w:cs="Times New Roman" w:hAnsiTheme="minorEastAsia" w:eastAsiaTheme="minorEastAsia"/>
          <w:szCs w:val="28"/>
        </w:rPr>
        <w:t>。其中</w:t>
      </w:r>
      <w:r>
        <w:rPr>
          <w:rFonts w:cs="Times New Roman" w:eastAsiaTheme="minorEastAsia"/>
          <w:szCs w:val="28"/>
        </w:rPr>
        <w:t>，</w:t>
      </w:r>
      <w:r>
        <w:rPr>
          <w:rFonts w:cs="Times New Roman" w:hAnsiTheme="minorEastAsia" w:eastAsiaTheme="minorEastAsia"/>
          <w:szCs w:val="28"/>
        </w:rPr>
        <w:t>农业总产值</w:t>
      </w:r>
      <w:r>
        <w:rPr>
          <w:rFonts w:cs="Times New Roman" w:eastAsiaTheme="minorEastAsia"/>
          <w:szCs w:val="28"/>
        </w:rPr>
        <w:t>53.05</w:t>
      </w:r>
      <w:r>
        <w:rPr>
          <w:rFonts w:cs="Times New Roman" w:hAnsiTheme="minorEastAsia" w:eastAsiaTheme="minorEastAsia"/>
          <w:szCs w:val="28"/>
        </w:rPr>
        <w:t>亿元</w:t>
      </w:r>
      <w:r>
        <w:rPr>
          <w:rFonts w:cs="Times New Roman" w:eastAsiaTheme="minorEastAsia"/>
          <w:szCs w:val="28"/>
        </w:rPr>
        <w:t>，</w:t>
      </w:r>
      <w:r>
        <w:rPr>
          <w:rFonts w:cs="Times New Roman" w:hAnsiTheme="minorEastAsia" w:eastAsiaTheme="minorEastAsia"/>
          <w:szCs w:val="28"/>
        </w:rPr>
        <w:t>同比下降</w:t>
      </w:r>
      <w:r>
        <w:rPr>
          <w:rFonts w:cs="Times New Roman" w:eastAsiaTheme="minorEastAsia"/>
          <w:szCs w:val="28"/>
        </w:rPr>
        <w:t>3.67%；</w:t>
      </w:r>
      <w:r>
        <w:rPr>
          <w:rFonts w:cs="Times New Roman" w:hAnsiTheme="minorEastAsia" w:eastAsiaTheme="minorEastAsia"/>
          <w:szCs w:val="28"/>
        </w:rPr>
        <w:t>林业总产值</w:t>
      </w:r>
      <w:r>
        <w:rPr>
          <w:rFonts w:cs="Times New Roman" w:eastAsiaTheme="minorEastAsia"/>
          <w:szCs w:val="28"/>
        </w:rPr>
        <w:t>3.59</w:t>
      </w:r>
      <w:r>
        <w:rPr>
          <w:rFonts w:cs="Times New Roman" w:hAnsiTheme="minorEastAsia" w:eastAsiaTheme="minorEastAsia"/>
          <w:szCs w:val="28"/>
        </w:rPr>
        <w:t>亿元</w:t>
      </w:r>
      <w:r>
        <w:rPr>
          <w:rFonts w:cs="Times New Roman" w:eastAsiaTheme="minorEastAsia"/>
          <w:szCs w:val="28"/>
        </w:rPr>
        <w:t>，</w:t>
      </w:r>
      <w:r>
        <w:rPr>
          <w:rFonts w:cs="Times New Roman" w:hAnsiTheme="minorEastAsia" w:eastAsiaTheme="minorEastAsia"/>
          <w:szCs w:val="28"/>
        </w:rPr>
        <w:t>同比下降</w:t>
      </w:r>
      <w:r>
        <w:rPr>
          <w:rFonts w:cs="Times New Roman" w:eastAsiaTheme="minorEastAsia"/>
          <w:szCs w:val="28"/>
        </w:rPr>
        <w:t>19.87%；</w:t>
      </w:r>
      <w:r>
        <w:rPr>
          <w:rFonts w:cs="Times New Roman" w:hAnsiTheme="minorEastAsia" w:eastAsiaTheme="minorEastAsia"/>
          <w:szCs w:val="28"/>
        </w:rPr>
        <w:t>牧业总产值</w:t>
      </w:r>
      <w:r>
        <w:rPr>
          <w:rFonts w:cs="Times New Roman" w:eastAsiaTheme="minorEastAsia"/>
          <w:szCs w:val="28"/>
        </w:rPr>
        <w:t>14.51</w:t>
      </w:r>
      <w:r>
        <w:rPr>
          <w:rFonts w:cs="Times New Roman" w:hAnsiTheme="minorEastAsia" w:eastAsiaTheme="minorEastAsia"/>
          <w:szCs w:val="28"/>
        </w:rPr>
        <w:t>亿元</w:t>
      </w:r>
      <w:r>
        <w:rPr>
          <w:rFonts w:cs="Times New Roman" w:eastAsiaTheme="minorEastAsia"/>
          <w:szCs w:val="28"/>
        </w:rPr>
        <w:t>，</w:t>
      </w:r>
      <w:r>
        <w:rPr>
          <w:rFonts w:cs="Times New Roman" w:hAnsiTheme="minorEastAsia" w:eastAsiaTheme="minorEastAsia"/>
          <w:szCs w:val="28"/>
        </w:rPr>
        <w:t>同比增长</w:t>
      </w:r>
      <w:r>
        <w:rPr>
          <w:rFonts w:cs="Times New Roman" w:eastAsiaTheme="minorEastAsia"/>
          <w:szCs w:val="28"/>
        </w:rPr>
        <w:t>30.25%；</w:t>
      </w:r>
      <w:r>
        <w:rPr>
          <w:rFonts w:cs="Times New Roman" w:hAnsiTheme="minorEastAsia" w:eastAsiaTheme="minorEastAsia"/>
          <w:szCs w:val="28"/>
        </w:rPr>
        <w:t>渔业总产值</w:t>
      </w:r>
      <w:r>
        <w:rPr>
          <w:rFonts w:cs="Times New Roman" w:eastAsiaTheme="minorEastAsia"/>
          <w:szCs w:val="28"/>
        </w:rPr>
        <w:t>0.45</w:t>
      </w:r>
      <w:r>
        <w:rPr>
          <w:rFonts w:cs="Times New Roman" w:hAnsiTheme="minorEastAsia" w:eastAsiaTheme="minorEastAsia"/>
          <w:szCs w:val="28"/>
        </w:rPr>
        <w:t>亿元</w:t>
      </w:r>
      <w:r>
        <w:rPr>
          <w:rFonts w:cs="Times New Roman" w:eastAsiaTheme="minorEastAsia"/>
          <w:szCs w:val="28"/>
        </w:rPr>
        <w:t>，</w:t>
      </w:r>
      <w:r>
        <w:rPr>
          <w:rFonts w:cs="Times New Roman" w:hAnsiTheme="minorEastAsia" w:eastAsiaTheme="minorEastAsia"/>
          <w:szCs w:val="28"/>
        </w:rPr>
        <w:t>同比增长</w:t>
      </w:r>
      <w:r>
        <w:rPr>
          <w:rFonts w:cs="Times New Roman" w:eastAsiaTheme="minorEastAsia"/>
          <w:szCs w:val="28"/>
        </w:rPr>
        <w:t>25%；</w:t>
      </w:r>
      <w:r>
        <w:rPr>
          <w:rFonts w:cs="Times New Roman" w:hAnsiTheme="minorEastAsia" w:eastAsiaTheme="minorEastAsia"/>
          <w:szCs w:val="28"/>
        </w:rPr>
        <w:t>农林牧渔服务业产值</w:t>
      </w:r>
      <w:r>
        <w:rPr>
          <w:rFonts w:cs="Times New Roman" w:eastAsiaTheme="minorEastAsia"/>
          <w:szCs w:val="28"/>
        </w:rPr>
        <w:t>4.31</w:t>
      </w:r>
      <w:r>
        <w:rPr>
          <w:rFonts w:cs="Times New Roman" w:hAnsiTheme="minorEastAsia" w:eastAsiaTheme="minorEastAsia"/>
          <w:szCs w:val="28"/>
        </w:rPr>
        <w:t>亿元</w:t>
      </w:r>
      <w:r>
        <w:rPr>
          <w:rFonts w:cs="Times New Roman" w:eastAsiaTheme="minorEastAsia"/>
          <w:szCs w:val="28"/>
        </w:rPr>
        <w:t>，</w:t>
      </w:r>
      <w:r>
        <w:rPr>
          <w:rFonts w:cs="Times New Roman" w:hAnsiTheme="minorEastAsia" w:eastAsiaTheme="minorEastAsia"/>
          <w:szCs w:val="28"/>
        </w:rPr>
        <w:t>同比增长</w:t>
      </w:r>
      <w:r>
        <w:rPr>
          <w:rFonts w:cs="Times New Roman" w:eastAsiaTheme="minorEastAsia"/>
          <w:szCs w:val="28"/>
        </w:rPr>
        <w:t>9.67%</w:t>
      </w:r>
      <w:r>
        <w:rPr>
          <w:rFonts w:cs="Times New Roman" w:hAnsiTheme="minorEastAsia" w:eastAsiaTheme="minorEastAsia"/>
          <w:szCs w:val="28"/>
        </w:rPr>
        <w:t>。</w:t>
      </w:r>
    </w:p>
    <w:p>
      <w:pPr>
        <w:ind w:firstLine="560"/>
        <w:rPr>
          <w:rFonts w:cs="Times New Roman" w:eastAsiaTheme="minorEastAsia"/>
          <w:szCs w:val="28"/>
        </w:rPr>
      </w:pPr>
      <w:r>
        <w:rPr>
          <w:rFonts w:cs="Times New Roman" w:eastAsiaTheme="minorEastAsia"/>
          <w:szCs w:val="28"/>
        </w:rPr>
        <w:t>2021</w:t>
      </w:r>
      <w:r>
        <w:rPr>
          <w:rFonts w:cs="Times New Roman" w:hAnsiTheme="minorEastAsia" w:eastAsiaTheme="minorEastAsia"/>
          <w:szCs w:val="28"/>
        </w:rPr>
        <w:t>年，全年工业增加值</w:t>
      </w:r>
      <w:r>
        <w:rPr>
          <w:rFonts w:cs="Times New Roman" w:eastAsiaTheme="minorEastAsia"/>
          <w:szCs w:val="28"/>
        </w:rPr>
        <w:t>20.03</w:t>
      </w:r>
      <w:r>
        <w:rPr>
          <w:rFonts w:cs="Times New Roman" w:hAnsiTheme="minorEastAsia" w:eastAsiaTheme="minorEastAsia"/>
          <w:szCs w:val="28"/>
        </w:rPr>
        <w:t>亿元</w:t>
      </w:r>
      <w:r>
        <w:rPr>
          <w:rFonts w:cs="Times New Roman" w:eastAsiaTheme="minorEastAsia"/>
          <w:szCs w:val="28"/>
        </w:rPr>
        <w:t>，</w:t>
      </w:r>
      <w:r>
        <w:rPr>
          <w:rFonts w:cs="Times New Roman" w:hAnsiTheme="minorEastAsia" w:eastAsiaTheme="minorEastAsia"/>
          <w:szCs w:val="28"/>
        </w:rPr>
        <w:t>同比增长</w:t>
      </w:r>
      <w:r>
        <w:rPr>
          <w:rFonts w:cs="Times New Roman" w:eastAsiaTheme="minorEastAsia"/>
          <w:szCs w:val="28"/>
        </w:rPr>
        <w:t>3.9%，</w:t>
      </w:r>
      <w:r>
        <w:rPr>
          <w:rFonts w:cs="Times New Roman" w:hAnsiTheme="minorEastAsia" w:eastAsiaTheme="minorEastAsia"/>
          <w:szCs w:val="28"/>
        </w:rPr>
        <w:t>其中</w:t>
      </w:r>
      <w:r>
        <w:rPr>
          <w:rFonts w:cs="Times New Roman" w:eastAsiaTheme="minorEastAsia"/>
          <w:szCs w:val="28"/>
        </w:rPr>
        <w:t>，</w:t>
      </w:r>
      <w:r>
        <w:rPr>
          <w:rFonts w:cs="Times New Roman" w:hAnsiTheme="minorEastAsia" w:eastAsiaTheme="minorEastAsia"/>
          <w:szCs w:val="28"/>
        </w:rPr>
        <w:t>规模</w:t>
      </w:r>
      <w:r>
        <w:rPr>
          <w:rFonts w:cs="Times New Roman" w:eastAsiaTheme="minorEastAsia"/>
          <w:szCs w:val="28"/>
        </w:rPr>
        <w:t>(2000</w:t>
      </w:r>
      <w:r>
        <w:rPr>
          <w:rFonts w:cs="Times New Roman" w:hAnsiTheme="minorEastAsia" w:eastAsiaTheme="minorEastAsia"/>
          <w:szCs w:val="28"/>
        </w:rPr>
        <w:t>万元</w:t>
      </w:r>
      <w:r>
        <w:rPr>
          <w:rFonts w:cs="Times New Roman" w:eastAsiaTheme="minorEastAsia"/>
          <w:szCs w:val="28"/>
        </w:rPr>
        <w:t>)</w:t>
      </w:r>
      <w:r>
        <w:rPr>
          <w:rFonts w:cs="Times New Roman" w:hAnsiTheme="minorEastAsia" w:eastAsiaTheme="minorEastAsia"/>
          <w:szCs w:val="28"/>
        </w:rPr>
        <w:t>以上工业增加值同比增长</w:t>
      </w:r>
      <w:r>
        <w:rPr>
          <w:rFonts w:cs="Times New Roman" w:eastAsiaTheme="minorEastAsia"/>
          <w:szCs w:val="28"/>
        </w:rPr>
        <w:t>7.0%，</w:t>
      </w:r>
      <w:r>
        <w:rPr>
          <w:rFonts w:cs="Times New Roman" w:hAnsiTheme="minorEastAsia" w:eastAsiaTheme="minorEastAsia"/>
          <w:szCs w:val="28"/>
        </w:rPr>
        <w:t>增速较</w:t>
      </w:r>
      <w:r>
        <w:rPr>
          <w:rFonts w:cs="Times New Roman" w:eastAsiaTheme="minorEastAsia"/>
          <w:szCs w:val="28"/>
        </w:rPr>
        <w:t>2020</w:t>
      </w:r>
      <w:r>
        <w:rPr>
          <w:rFonts w:cs="Times New Roman" w:hAnsiTheme="minorEastAsia" w:eastAsiaTheme="minorEastAsia"/>
          <w:szCs w:val="28"/>
        </w:rPr>
        <w:t>年提高</w:t>
      </w:r>
      <w:r>
        <w:rPr>
          <w:rFonts w:cs="Times New Roman" w:eastAsiaTheme="minorEastAsia"/>
          <w:szCs w:val="28"/>
        </w:rPr>
        <w:t>0.4</w:t>
      </w:r>
      <w:r>
        <w:rPr>
          <w:rFonts w:cs="Times New Roman" w:hAnsiTheme="minorEastAsia" w:eastAsiaTheme="minorEastAsia"/>
          <w:szCs w:val="28"/>
        </w:rPr>
        <w:t>个百分点。</w:t>
      </w:r>
    </w:p>
    <w:p>
      <w:pPr>
        <w:pStyle w:val="4"/>
        <w:ind w:firstLine="602"/>
        <w:rPr>
          <w:rFonts w:cs="Times New Roman" w:eastAsiaTheme="minorEastAsia"/>
        </w:rPr>
      </w:pPr>
      <w:bookmarkStart w:id="7" w:name="_Toc126591851"/>
      <w:r>
        <w:rPr>
          <w:rFonts w:cs="Times New Roman" w:eastAsiaTheme="minorEastAsia"/>
        </w:rPr>
        <w:t xml:space="preserve">2.2 </w:t>
      </w:r>
      <w:r>
        <w:rPr>
          <w:rFonts w:cs="Times New Roman" w:hAnsiTheme="minorEastAsia" w:eastAsiaTheme="minorEastAsia"/>
        </w:rPr>
        <w:t>六枝经开区现状</w:t>
      </w:r>
      <w:bookmarkEnd w:id="7"/>
    </w:p>
    <w:p>
      <w:pPr>
        <w:pStyle w:val="5"/>
        <w:ind w:firstLine="562"/>
        <w:rPr>
          <w:rFonts w:cs="Times New Roman" w:eastAsiaTheme="minorEastAsia"/>
        </w:rPr>
      </w:pPr>
      <w:r>
        <w:rPr>
          <w:rFonts w:cs="Times New Roman" w:eastAsiaTheme="minorEastAsia"/>
        </w:rPr>
        <w:t xml:space="preserve">2.2.1 </w:t>
      </w:r>
      <w:r>
        <w:rPr>
          <w:rFonts w:cs="Times New Roman" w:hAnsiTheme="minorEastAsia" w:eastAsiaTheme="minorEastAsia"/>
        </w:rPr>
        <w:t>规范范围及定位</w:t>
      </w:r>
    </w:p>
    <w:p>
      <w:pPr>
        <w:ind w:firstLine="560"/>
        <w:rPr>
          <w:rFonts w:cs="Times New Roman" w:eastAsiaTheme="minorEastAsia"/>
        </w:rPr>
      </w:pPr>
      <w:r>
        <w:rPr>
          <w:rFonts w:cs="Times New Roman" w:eastAsiaTheme="minorEastAsia"/>
        </w:rPr>
        <w:t>1</w:t>
      </w:r>
      <w:r>
        <w:rPr>
          <w:rFonts w:cs="Times New Roman" w:hAnsiTheme="minorEastAsia" w:eastAsiaTheme="minorEastAsia"/>
        </w:rPr>
        <w:t>、规划范围</w:t>
      </w:r>
    </w:p>
    <w:p>
      <w:pPr>
        <w:ind w:firstLine="560"/>
        <w:rPr>
          <w:rFonts w:cs="Times New Roman" w:hAnsiTheme="minorEastAsia" w:eastAsiaTheme="minorEastAsia"/>
        </w:rPr>
      </w:pPr>
      <w:r>
        <w:rPr>
          <w:rFonts w:cs="Times New Roman" w:hAnsiTheme="minorEastAsia" w:eastAsiaTheme="minorEastAsia"/>
        </w:rPr>
        <w:t>六枝经济开发区</w:t>
      </w:r>
      <w:r>
        <w:rPr>
          <w:rFonts w:hint="eastAsia" w:cs="Times New Roman" w:hAnsiTheme="minorEastAsia" w:eastAsiaTheme="minorEastAsia"/>
        </w:rPr>
        <w:t>规划范围面积共35.84平方公里，由岩脚园区、路喜园区、木岗园区三大园区组成，总体形成“一区三园”的空间布局。核心区范围面积11.73平方公里。</w:t>
      </w:r>
    </w:p>
    <w:p>
      <w:pPr>
        <w:ind w:firstLine="560"/>
        <w:rPr>
          <w:rFonts w:cs="Times New Roman" w:eastAsiaTheme="minorEastAsia"/>
        </w:rPr>
      </w:pPr>
      <w:r>
        <w:rPr>
          <w:rFonts w:hint="eastAsia" w:cs="Times New Roman" w:eastAsiaTheme="minorEastAsia"/>
        </w:rPr>
        <w:t>岩脚园区范围：规划范围面积11.61平方公里（东至岩脚镇新寨村，南至廻龙溪，西至岩脚镇民兴村，北至梭戛乡沙子村、安柱村（三岔河）），核心区范围3.4826平方公里。</w:t>
      </w:r>
    </w:p>
    <w:p>
      <w:pPr>
        <w:ind w:firstLine="560"/>
        <w:rPr>
          <w:rFonts w:cs="Times New Roman" w:eastAsiaTheme="minorEastAsia"/>
        </w:rPr>
      </w:pPr>
      <w:r>
        <w:rPr>
          <w:rFonts w:hint="eastAsia" w:cs="Times New Roman" w:eastAsiaTheme="minorEastAsia"/>
        </w:rPr>
        <w:t>路喜园区范围：规划范围面积14.02平方公里，分为那玉片区9.97平方公里（东至新窑镇那玉村，南至新窑镇上营盘村，西至新窑镇上营盘村，北至新窑镇新河村）、平桥片区4.05平方公里。核心区范围3.2375平方公里。</w:t>
      </w:r>
    </w:p>
    <w:p>
      <w:pPr>
        <w:ind w:firstLine="560"/>
        <w:rPr>
          <w:rFonts w:cs="Times New Roman" w:eastAsiaTheme="minorEastAsia"/>
        </w:rPr>
      </w:pPr>
      <w:r>
        <w:rPr>
          <w:rFonts w:hint="eastAsia" w:cs="Times New Roman" w:eastAsiaTheme="minorEastAsia"/>
        </w:rPr>
        <w:t>木岗园区范围：规划范围面积10.21平方公里，分为木岗片区6.95平方公里（东至木岗镇小黄桶村、木岗场村，南至木岗镇把仕村，西至木岗镇小木岗村，北至木岗镇小黄桶村）、索考片区3.26平方公里（东至落别乡木厂村，南至落别乡牛角村，西至都香高速，北至落别乡抵耳村）。核心区范围5.0099平方公里。</w:t>
      </w:r>
    </w:p>
    <w:p>
      <w:pPr>
        <w:ind w:firstLine="560"/>
        <w:rPr>
          <w:rFonts w:cs="Times New Roman" w:eastAsiaTheme="minorEastAsia"/>
        </w:rPr>
      </w:pPr>
      <w:r>
        <w:rPr>
          <w:rFonts w:cs="Times New Roman" w:eastAsiaTheme="minorEastAsia"/>
        </w:rPr>
        <w:t>2</w:t>
      </w:r>
      <w:r>
        <w:rPr>
          <w:rFonts w:cs="Times New Roman" w:hAnsiTheme="minorEastAsia" w:eastAsiaTheme="minorEastAsia"/>
        </w:rPr>
        <w:t>、规划定位</w:t>
      </w:r>
    </w:p>
    <w:p>
      <w:pPr>
        <w:widowControl/>
        <w:ind w:firstLine="560"/>
        <w:jc w:val="left"/>
        <w:rPr>
          <w:rFonts w:cs="Times New Roman" w:eastAsiaTheme="minorEastAsia"/>
        </w:rPr>
      </w:pPr>
      <w:r>
        <w:rPr>
          <w:rFonts w:cs="Times New Roman" w:hAnsiTheme="minorEastAsia" w:eastAsiaTheme="minorEastAsia"/>
        </w:rPr>
        <w:t>根据贵州省人民政府批复的总体规划</w:t>
      </w:r>
      <w:r>
        <w:rPr>
          <w:rFonts w:hint="eastAsia" w:cs="Times New Roman" w:hAnsiTheme="minorEastAsia" w:eastAsiaTheme="minorEastAsia"/>
        </w:rPr>
        <w:t>，</w:t>
      </w:r>
      <w:r>
        <w:rPr>
          <w:rFonts w:cs="Times New Roman" w:hAnsiTheme="minorEastAsia" w:eastAsiaTheme="minorEastAsia"/>
        </w:rPr>
        <w:t>明确六枝经开区的产业定位为</w:t>
      </w:r>
      <w:r>
        <w:rPr>
          <w:rFonts w:cs="Times New Roman" w:eastAsiaTheme="minorEastAsia"/>
        </w:rPr>
        <w:t>“</w:t>
      </w:r>
      <w:r>
        <w:rPr>
          <w:rFonts w:cs="Times New Roman" w:hAnsiTheme="minorEastAsia" w:eastAsiaTheme="minorEastAsia"/>
        </w:rPr>
        <w:t>坚持以习近平新时代中国特色社会主义思想为指导，认真贯彻省委、省政府决策部署，围绕</w:t>
      </w:r>
      <w:r>
        <w:rPr>
          <w:rFonts w:cs="Times New Roman" w:eastAsiaTheme="minorEastAsia"/>
        </w:rPr>
        <w:t>“</w:t>
      </w:r>
      <w:r>
        <w:rPr>
          <w:rFonts w:cs="Times New Roman" w:hAnsiTheme="minorEastAsia" w:eastAsiaTheme="minorEastAsia"/>
        </w:rPr>
        <w:t>四新</w:t>
      </w:r>
      <w:r>
        <w:rPr>
          <w:rFonts w:cs="Times New Roman" w:eastAsiaTheme="minorEastAsia"/>
        </w:rPr>
        <w:t>”</w:t>
      </w:r>
      <w:r>
        <w:rPr>
          <w:rFonts w:cs="Times New Roman" w:hAnsiTheme="minorEastAsia" w:eastAsiaTheme="minorEastAsia"/>
        </w:rPr>
        <w:t>主攻</w:t>
      </w:r>
      <w:r>
        <w:rPr>
          <w:rFonts w:cs="Times New Roman" w:eastAsiaTheme="minorEastAsia"/>
        </w:rPr>
        <w:t>“</w:t>
      </w:r>
      <w:r>
        <w:rPr>
          <w:rFonts w:cs="Times New Roman" w:hAnsiTheme="minorEastAsia" w:eastAsiaTheme="minorEastAsia"/>
        </w:rPr>
        <w:t>四化</w:t>
      </w:r>
      <w:r>
        <w:rPr>
          <w:rFonts w:cs="Times New Roman" w:eastAsiaTheme="minorEastAsia"/>
        </w:rPr>
        <w:t>”</w:t>
      </w:r>
      <w:r>
        <w:rPr>
          <w:rFonts w:cs="Times New Roman" w:hAnsiTheme="minorEastAsia" w:eastAsiaTheme="minorEastAsia"/>
        </w:rPr>
        <w:t>，强化高质量发展导向，加强安全生产和生态环境保护，打造新型工业化发展的引领区、开放型经济建设的先行区、深化</w:t>
      </w:r>
      <w:r>
        <w:rPr>
          <w:rFonts w:cs="Times New Roman" w:eastAsiaTheme="minorEastAsia"/>
        </w:rPr>
        <w:t>“</w:t>
      </w:r>
      <w:r>
        <w:rPr>
          <w:rFonts w:cs="Times New Roman" w:hAnsiTheme="minorEastAsia" w:eastAsiaTheme="minorEastAsia"/>
        </w:rPr>
        <w:t>放管服</w:t>
      </w:r>
      <w:r>
        <w:rPr>
          <w:rFonts w:cs="Times New Roman" w:eastAsiaTheme="minorEastAsia"/>
        </w:rPr>
        <w:t>”</w:t>
      </w:r>
      <w:r>
        <w:rPr>
          <w:rFonts w:cs="Times New Roman" w:hAnsiTheme="minorEastAsia" w:eastAsiaTheme="minorEastAsia"/>
        </w:rPr>
        <w:t>改革的示范区。</w:t>
      </w:r>
      <w:r>
        <w:rPr>
          <w:rFonts w:cs="Times New Roman" w:eastAsiaTheme="minorEastAsia"/>
        </w:rPr>
        <w:t>”</w:t>
      </w:r>
    </w:p>
    <w:p>
      <w:pPr>
        <w:pStyle w:val="5"/>
        <w:spacing w:line="470" w:lineRule="exact"/>
        <w:ind w:firstLine="562"/>
        <w:rPr>
          <w:rFonts w:cs="Times New Roman" w:eastAsiaTheme="minorEastAsia"/>
        </w:rPr>
      </w:pPr>
      <w:r>
        <w:rPr>
          <w:rFonts w:cs="Times New Roman" w:eastAsiaTheme="minorEastAsia"/>
        </w:rPr>
        <w:t xml:space="preserve">2.2.2 </w:t>
      </w:r>
      <w:r>
        <w:rPr>
          <w:rFonts w:hint="eastAsia" w:cs="Times New Roman" w:eastAsiaTheme="minorEastAsia"/>
        </w:rPr>
        <w:t>产业</w:t>
      </w:r>
      <w:r>
        <w:rPr>
          <w:rFonts w:cs="Times New Roman" w:hAnsiTheme="minorEastAsia" w:eastAsiaTheme="minorEastAsia"/>
        </w:rPr>
        <w:t>发展情况</w:t>
      </w:r>
    </w:p>
    <w:p>
      <w:pPr>
        <w:spacing w:line="470" w:lineRule="exact"/>
        <w:ind w:firstLine="560"/>
        <w:rPr>
          <w:rFonts w:cs="Times New Roman" w:hAnsiTheme="minorEastAsia" w:eastAsiaTheme="minorEastAsia"/>
        </w:rPr>
      </w:pPr>
      <w:r>
        <w:rPr>
          <w:rFonts w:hint="eastAsia" w:cs="Times New Roman" w:hAnsiTheme="minorEastAsia" w:eastAsiaTheme="minorEastAsia"/>
        </w:rPr>
        <w:t>2021年六枝经开区工业总产值38.64亿元，完成工业投资34.3亿元，完成税收收入1.6亿元，招商引资到位资金21.6亿元。现经开区内共有60家企业，其中规上企业共14家。按照“一区三园”布局，充分发挥各园区优势，科学合理地配置各类资源，各园区主导产业逐渐清晰。</w:t>
      </w:r>
    </w:p>
    <w:p>
      <w:pPr>
        <w:spacing w:line="470" w:lineRule="exact"/>
        <w:ind w:firstLine="560"/>
        <w:rPr>
          <w:rFonts w:cs="Times New Roman" w:hAnsiTheme="minorEastAsia" w:eastAsiaTheme="minorEastAsia"/>
        </w:rPr>
      </w:pPr>
      <w:r>
        <w:rPr>
          <w:rFonts w:hint="eastAsia" w:cs="Times New Roman" w:hAnsiTheme="minorEastAsia" w:eastAsiaTheme="minorEastAsia"/>
        </w:rPr>
        <w:t>2021年岩脚园区工业总产值17.21亿元，累计税收1109万元。园区以第二产业为主，现园区内共有11家企业，其中规上企业共3家。主要以福能电力有限公司（岩脚电厂）为龙头企业，通过福能电力产出的粉煤灰，煤蒸汽，下游企业进行再利用的能源、食品为主的产业集群。一产以传统种植为主，三产主要为小城镇的生活性服务产业。</w:t>
      </w:r>
    </w:p>
    <w:p>
      <w:pPr>
        <w:spacing w:line="470" w:lineRule="exact"/>
        <w:ind w:firstLine="560"/>
        <w:rPr>
          <w:rFonts w:cs="Times New Roman" w:hAnsiTheme="minorEastAsia" w:eastAsiaTheme="minorEastAsia"/>
        </w:rPr>
      </w:pPr>
      <w:r>
        <w:rPr>
          <w:rFonts w:hint="eastAsia" w:cs="Times New Roman" w:hAnsiTheme="minorEastAsia" w:eastAsiaTheme="minorEastAsia"/>
        </w:rPr>
        <w:t>2021年路喜园区规上工业总产值达11.42亿元。现有企业16个，位于园区规划范围内企业6个，主要为规上企业，集中在能源化工和新型建材业，围绕全区萤石（锂）矿资源优势，积极推进锂电新能源（磷酸铁锂）产业发展。</w:t>
      </w:r>
    </w:p>
    <w:p>
      <w:pPr>
        <w:spacing w:line="470" w:lineRule="exact"/>
        <w:ind w:firstLine="560"/>
        <w:rPr>
          <w:rFonts w:cs="Times New Roman" w:hAnsiTheme="minorEastAsia" w:eastAsiaTheme="minorEastAsia"/>
        </w:rPr>
      </w:pPr>
      <w:r>
        <w:rPr>
          <w:rFonts w:hint="eastAsia" w:cs="Times New Roman" w:hAnsiTheme="minorEastAsia" w:eastAsiaTheme="minorEastAsia"/>
        </w:rPr>
        <w:t>2021年，木岗园区完成固定资产投资5.33亿元 ，完成工业总产值8.43亿元。目前，共有入驻企业33家，规上企业7家。其中木岗片区入驻企业27家，规上企业5家。</w:t>
      </w:r>
    </w:p>
    <w:p>
      <w:pPr>
        <w:spacing w:line="470" w:lineRule="exact"/>
        <w:ind w:firstLine="560"/>
        <w:rPr>
          <w:rFonts w:cs="Times New Roman" w:hAnsiTheme="minorEastAsia" w:eastAsiaTheme="minorEastAsia"/>
        </w:rPr>
      </w:pPr>
      <w:r>
        <w:rPr>
          <w:rFonts w:cs="Times New Roman" w:hAnsiTheme="minorEastAsia" w:eastAsiaTheme="minorEastAsia"/>
        </w:rPr>
        <w:t>园区已完成市政二级道路建设</w:t>
      </w:r>
      <w:r>
        <w:rPr>
          <w:rFonts w:cs="Times New Roman" w:eastAsiaTheme="minorEastAsia"/>
        </w:rPr>
        <w:t>10</w:t>
      </w:r>
      <w:r>
        <w:rPr>
          <w:rFonts w:cs="Times New Roman" w:hAnsiTheme="minorEastAsia" w:eastAsiaTheme="minorEastAsia"/>
        </w:rPr>
        <w:t>余公里，铺设给排水管网</w:t>
      </w:r>
      <w:r>
        <w:rPr>
          <w:rFonts w:cs="Times New Roman" w:eastAsiaTheme="minorEastAsia"/>
        </w:rPr>
        <w:t>35</w:t>
      </w:r>
      <w:r>
        <w:rPr>
          <w:rFonts w:cs="Times New Roman" w:hAnsiTheme="minorEastAsia" w:eastAsiaTheme="minorEastAsia"/>
        </w:rPr>
        <w:t>公里、通讯光缆</w:t>
      </w:r>
      <w:r>
        <w:rPr>
          <w:rFonts w:cs="Times New Roman" w:eastAsiaTheme="minorEastAsia"/>
        </w:rPr>
        <w:t>23</w:t>
      </w:r>
      <w:r>
        <w:rPr>
          <w:rFonts w:cs="Times New Roman" w:hAnsiTheme="minorEastAsia" w:eastAsiaTheme="minorEastAsia"/>
        </w:rPr>
        <w:t>公里、燃气管网</w:t>
      </w:r>
      <w:r>
        <w:rPr>
          <w:rFonts w:cs="Times New Roman" w:eastAsiaTheme="minorEastAsia"/>
        </w:rPr>
        <w:t>25</w:t>
      </w:r>
      <w:r>
        <w:rPr>
          <w:rFonts w:cs="Times New Roman" w:hAnsiTheme="minorEastAsia" w:eastAsiaTheme="minorEastAsia"/>
        </w:rPr>
        <w:t>公里、架设输电线路</w:t>
      </w:r>
      <w:r>
        <w:rPr>
          <w:rFonts w:cs="Times New Roman" w:eastAsiaTheme="minorEastAsia"/>
        </w:rPr>
        <w:t>23</w:t>
      </w:r>
      <w:r>
        <w:rPr>
          <w:rFonts w:cs="Times New Roman" w:hAnsiTheme="minorEastAsia" w:eastAsiaTheme="minorEastAsia"/>
        </w:rPr>
        <w:t>公里、基本实现</w:t>
      </w:r>
      <w:r>
        <w:rPr>
          <w:rFonts w:cs="Times New Roman" w:eastAsiaTheme="minorEastAsia"/>
        </w:rPr>
        <w:t>“</w:t>
      </w:r>
      <w:r>
        <w:rPr>
          <w:rFonts w:cs="Times New Roman" w:hAnsiTheme="minorEastAsia" w:eastAsiaTheme="minorEastAsia"/>
        </w:rPr>
        <w:t>七通一平</w:t>
      </w:r>
      <w:r>
        <w:rPr>
          <w:rFonts w:cs="Times New Roman" w:eastAsiaTheme="minorEastAsia"/>
        </w:rPr>
        <w:t>”</w:t>
      </w:r>
      <w:r>
        <w:rPr>
          <w:rFonts w:cs="Times New Roman" w:hAnsiTheme="minorEastAsia" w:eastAsiaTheme="minorEastAsia"/>
        </w:rPr>
        <w:t>。现在在建的由污水处理厂、自来水厂、</w:t>
      </w:r>
      <w:r>
        <w:rPr>
          <w:rFonts w:cs="Times New Roman" w:eastAsiaTheme="minorEastAsia"/>
        </w:rPr>
        <w:t>20</w:t>
      </w:r>
      <w:r>
        <w:rPr>
          <w:rFonts w:cs="Times New Roman" w:hAnsiTheme="minorEastAsia" w:eastAsiaTheme="minorEastAsia"/>
        </w:rPr>
        <w:t>万平米厂房、岩脚园区产业大道等一批基础设施项目。</w:t>
      </w:r>
      <w:r>
        <w:rPr>
          <w:rFonts w:cs="Times New Roman" w:eastAsiaTheme="minorEastAsia"/>
        </w:rPr>
        <w:t>“</w:t>
      </w:r>
      <w:r>
        <w:rPr>
          <w:rFonts w:cs="Times New Roman" w:hAnsiTheme="minorEastAsia" w:eastAsiaTheme="minorEastAsia"/>
        </w:rPr>
        <w:t>十四五</w:t>
      </w:r>
      <w:r>
        <w:rPr>
          <w:rFonts w:cs="Times New Roman" w:eastAsiaTheme="minorEastAsia"/>
        </w:rPr>
        <w:t>”</w:t>
      </w:r>
      <w:r>
        <w:rPr>
          <w:rFonts w:cs="Times New Roman" w:hAnsiTheme="minorEastAsia" w:eastAsiaTheme="minorEastAsia"/>
        </w:rPr>
        <w:t>期间，六枝经开区的目标是建成优势工业突出、产业布局优化、综合服务功能完善的现代经济开发区；贵州西部地区面向沿海及东南亚地区的重点产业转移承载地；贵州新型能源化工循环经济示范基地；贵州省重点新材料生产集聚区；贵州省纺织产业示范基地。</w:t>
      </w:r>
    </w:p>
    <w:p>
      <w:pPr>
        <w:pStyle w:val="5"/>
        <w:spacing w:line="470" w:lineRule="exact"/>
        <w:ind w:firstLine="562"/>
        <w:rPr>
          <w:rFonts w:cs="Times New Roman" w:eastAsiaTheme="minorEastAsia"/>
        </w:rPr>
      </w:pPr>
      <w:r>
        <w:rPr>
          <w:rFonts w:cs="Times New Roman" w:eastAsiaTheme="minorEastAsia"/>
        </w:rPr>
        <w:t>2.2.</w:t>
      </w:r>
      <w:r>
        <w:rPr>
          <w:rFonts w:hint="eastAsia" w:cs="Times New Roman" w:eastAsiaTheme="minorEastAsia"/>
        </w:rPr>
        <w:t>3</w:t>
      </w:r>
      <w:r>
        <w:rPr>
          <w:rFonts w:cs="Times New Roman" w:hAnsiTheme="minorEastAsia" w:eastAsiaTheme="minorEastAsia"/>
        </w:rPr>
        <w:t>存在问题</w:t>
      </w:r>
    </w:p>
    <w:p>
      <w:pPr>
        <w:spacing w:line="470" w:lineRule="exact"/>
        <w:ind w:firstLine="560"/>
        <w:rPr>
          <w:rFonts w:cs="Times New Roman" w:eastAsiaTheme="minorEastAsia"/>
          <w:bCs/>
        </w:rPr>
      </w:pPr>
      <w:r>
        <w:rPr>
          <w:rFonts w:cs="Times New Roman" w:eastAsiaTheme="minorEastAsia"/>
        </w:rPr>
        <w:t>1</w:t>
      </w:r>
      <w:r>
        <w:rPr>
          <w:rFonts w:cs="Times New Roman" w:hAnsiTheme="minorEastAsia" w:eastAsiaTheme="minorEastAsia"/>
        </w:rPr>
        <w:t>、</w:t>
      </w:r>
      <w:r>
        <w:rPr>
          <w:rFonts w:hint="eastAsia" w:cs="Times New Roman" w:hAnsiTheme="minorEastAsia" w:eastAsiaTheme="minorEastAsia"/>
        </w:rPr>
        <w:t>经济总量小，在市内省内排名靠后、创新能力不足。经开区内企业研发经费占生产总值比重、规模以上企业研发经费占主营业务收入比重偏低，企业投入科技创新的动力不足。截至2020年底，经开区内高新技术企业仅有六枝特区华兴管业公司和贵州金指纹科技有限公司2家企业，仅占经开区入驻企业总数约1.5%，实现高新技术企业产值7208.7万元，仅占经开区工业总产值约2.4%。</w:t>
      </w:r>
    </w:p>
    <w:p>
      <w:pPr>
        <w:spacing w:line="470" w:lineRule="exact"/>
        <w:ind w:firstLine="560"/>
        <w:rPr>
          <w:rFonts w:cs="Times New Roman" w:hAnsiTheme="minorEastAsia" w:eastAsiaTheme="minorEastAsia"/>
        </w:rPr>
      </w:pPr>
      <w:r>
        <w:rPr>
          <w:rFonts w:cs="Times New Roman" w:eastAsiaTheme="minorEastAsia"/>
        </w:rPr>
        <w:t>2</w:t>
      </w:r>
      <w:r>
        <w:rPr>
          <w:rFonts w:cs="Times New Roman" w:hAnsiTheme="minorEastAsia" w:eastAsiaTheme="minorEastAsia"/>
        </w:rPr>
        <w:t>、</w:t>
      </w:r>
      <w:r>
        <w:rPr>
          <w:rFonts w:hint="eastAsia" w:cs="Times New Roman" w:hAnsiTheme="minorEastAsia" w:eastAsiaTheme="minorEastAsia"/>
        </w:rPr>
        <w:t>土地集约化水平不高，闲置厂房、企业多。</w:t>
      </w:r>
    </w:p>
    <w:p>
      <w:pPr>
        <w:spacing w:line="470" w:lineRule="exact"/>
        <w:ind w:firstLine="560"/>
        <w:rPr>
          <w:rFonts w:cs="Times New Roman" w:hAnsiTheme="minorEastAsia" w:eastAsiaTheme="minorEastAsia"/>
        </w:rPr>
      </w:pPr>
      <w:r>
        <w:rPr>
          <w:rFonts w:hint="eastAsia" w:cs="Times New Roman" w:hAnsiTheme="minorEastAsia" w:eastAsiaTheme="minorEastAsia"/>
        </w:rPr>
        <w:t>土地的产出效益较低：经开区三大园区开发面积35.42平方公里，实际建设用地面积5.06平方公里，园区工业用地面积2.32平方公里，亩均工业产值86.95万元，约为全省平均水平（每亩123万元）的70%，远低于全国平均水平（每亩10000万元）。</w:t>
      </w:r>
    </w:p>
    <w:p>
      <w:pPr>
        <w:spacing w:line="470" w:lineRule="exact"/>
        <w:ind w:firstLine="560"/>
        <w:rPr>
          <w:rFonts w:cs="Times New Roman" w:hAnsiTheme="minorEastAsia" w:eastAsiaTheme="minorEastAsia"/>
        </w:rPr>
      </w:pPr>
      <w:r>
        <w:rPr>
          <w:rFonts w:hint="eastAsia" w:cs="Times New Roman" w:hAnsiTheme="minorEastAsia" w:eastAsiaTheme="minorEastAsia"/>
        </w:rPr>
        <w:t>土地集约化水平不高：村庄布局分散，工业用地布局分散，存量用地较多，存在较多闲置用地，土地集约化水平不高。</w:t>
      </w:r>
    </w:p>
    <w:p>
      <w:pPr>
        <w:spacing w:line="470" w:lineRule="exact"/>
        <w:ind w:firstLine="560"/>
        <w:rPr>
          <w:rFonts w:cs="Times New Roman" w:hAnsiTheme="minorEastAsia" w:eastAsiaTheme="minorEastAsia"/>
        </w:rPr>
      </w:pPr>
      <w:r>
        <w:rPr>
          <w:rFonts w:hint="eastAsia" w:cs="Times New Roman" w:hAnsiTheme="minorEastAsia" w:eastAsiaTheme="minorEastAsia"/>
        </w:rPr>
        <w:t>园区闲置厂房、企业较多：路喜园区范围内15家企业，5家处于破产重组，木岗园区园区内共有企业34家，其中24家正常运营，5家处于在建，5家已经停产，部分厂房闲置。</w:t>
      </w:r>
    </w:p>
    <w:p>
      <w:pPr>
        <w:spacing w:line="470" w:lineRule="exact"/>
        <w:ind w:firstLine="560"/>
        <w:rPr>
          <w:rFonts w:cs="Times New Roman" w:hAnsiTheme="minorEastAsia" w:eastAsiaTheme="minorEastAsia"/>
        </w:rPr>
      </w:pPr>
      <w:r>
        <w:rPr>
          <w:rFonts w:cs="Times New Roman" w:eastAsiaTheme="minorEastAsia"/>
        </w:rPr>
        <w:t>3</w:t>
      </w:r>
      <w:r>
        <w:rPr>
          <w:rFonts w:cs="Times New Roman" w:hAnsiTheme="minorEastAsia" w:eastAsiaTheme="minorEastAsia"/>
        </w:rPr>
        <w:t>、</w:t>
      </w:r>
      <w:r>
        <w:rPr>
          <w:rFonts w:hint="eastAsia" w:cs="Times New Roman" w:hAnsiTheme="minorEastAsia" w:eastAsiaTheme="minorEastAsia"/>
        </w:rPr>
        <w:t>产业结构有待提升，产业链延伸不足</w:t>
      </w:r>
    </w:p>
    <w:p>
      <w:pPr>
        <w:spacing w:line="470" w:lineRule="exact"/>
        <w:ind w:firstLine="560"/>
        <w:rPr>
          <w:rFonts w:cs="Times New Roman" w:hAnsiTheme="minorEastAsia" w:eastAsiaTheme="minorEastAsia"/>
        </w:rPr>
      </w:pPr>
      <w:r>
        <w:rPr>
          <w:rFonts w:hint="eastAsia" w:cs="Times New Roman" w:hAnsiTheme="minorEastAsia" w:eastAsiaTheme="minorEastAsia"/>
        </w:rPr>
        <w:t>产业结构不合理，有待提升。从工业产值来看，经开区能源电力、建材等传统产业占工业总量比重仍然较大，占比达60%以上，且大部分处于产业链、价值链低端。新能源、医药大健康、装备制造、新材料、纺织业等新兴产业有所发展，但体量过小。仓储物流、科技服务、金融服务等配套产业发展滞后。产业结构不优，整体产业发展后劲不足。</w:t>
      </w:r>
    </w:p>
    <w:p>
      <w:pPr>
        <w:spacing w:line="470" w:lineRule="exact"/>
        <w:ind w:firstLine="560"/>
        <w:rPr>
          <w:rFonts w:cs="Times New Roman" w:hAnsiTheme="minorEastAsia" w:eastAsiaTheme="minorEastAsia"/>
        </w:rPr>
      </w:pPr>
      <w:r>
        <w:rPr>
          <w:rFonts w:hint="eastAsia" w:cs="Times New Roman" w:hAnsiTheme="minorEastAsia" w:eastAsiaTheme="minorEastAsia"/>
        </w:rPr>
        <w:t>产业链延伸不足：经开区内产业间相互关联度较低，产品单一性极强，产业链较短。岩脚园区福能电厂、六矿瑞安水泥缺少下游配套产业；木岗纺织产业、智能装备制造业，路喜园区煤焦化产业大多为工业生产的初级产品，均处于产业链的低端，延伸不足。</w:t>
      </w:r>
    </w:p>
    <w:p>
      <w:pPr>
        <w:spacing w:line="470" w:lineRule="exact"/>
        <w:ind w:firstLine="560"/>
        <w:rPr>
          <w:rFonts w:cs="Times New Roman" w:hAnsiTheme="minorEastAsia" w:eastAsiaTheme="minorEastAsia"/>
        </w:rPr>
      </w:pPr>
      <w:r>
        <w:rPr>
          <w:rFonts w:hint="eastAsia" w:cs="Times New Roman" w:hAnsiTheme="minorEastAsia" w:eastAsiaTheme="minorEastAsia"/>
        </w:rPr>
        <w:t>产业集聚度不高，缺少龙头企业带动。产业布局分散，未能形成产业集群，部分产业医药大健康、装备制造、新材料缺少龙头企业。</w:t>
      </w:r>
    </w:p>
    <w:p>
      <w:pPr>
        <w:spacing w:line="470" w:lineRule="exact"/>
        <w:ind w:firstLine="560"/>
      </w:pPr>
      <w:r>
        <w:rPr>
          <w:rFonts w:hint="eastAsia"/>
        </w:rPr>
        <w:t>4、</w:t>
      </w:r>
      <w:r>
        <w:t>基础设施还有待进一步完善。</w:t>
      </w:r>
      <w:r>
        <w:rPr>
          <w:rFonts w:hint="eastAsia"/>
        </w:rPr>
        <w:t>生活性配套设施总量缺乏，经开区内文体设施缺乏，商业服务设施较少。生产性服务业缺乏，后续发展动力不足，创新研究、人才培育、仓储物流等功能缺失。基础设施总量不足，缺少物流集散中心、货运停车场、污水处理厂、给水厂等设施。</w:t>
      </w:r>
    </w:p>
    <w:p>
      <w:pPr>
        <w:spacing w:line="470" w:lineRule="exact"/>
        <w:ind w:firstLine="560"/>
      </w:pPr>
      <w:r>
        <w:rPr>
          <w:rFonts w:hint="eastAsia"/>
        </w:rPr>
        <w:t>5、与周边区域协调发展较弱。经开区与周边区域在经济、产业、基础设施共建等方面的联系均还比较弱，未能充分有效的利用黄桶的交通物流优势，提升区域辐射能力，路喜园区与中心城区的产城融合还不强，没有形成推进城乡统筹建设以及区域资源整合、利益共享、互联互动、共同发展的体制、机制和政策环境。区内配套设施较落后，尚需进一步完善。</w:t>
      </w:r>
    </w:p>
    <w:p>
      <w:pPr>
        <w:pStyle w:val="4"/>
        <w:spacing w:line="470" w:lineRule="exact"/>
        <w:ind w:firstLine="602"/>
        <w:rPr>
          <w:rFonts w:cs="Times New Roman" w:eastAsiaTheme="minorEastAsia"/>
        </w:rPr>
      </w:pPr>
      <w:bookmarkStart w:id="8" w:name="_Toc126591852"/>
      <w:r>
        <w:rPr>
          <w:rFonts w:cs="Times New Roman" w:eastAsiaTheme="minorEastAsia"/>
        </w:rPr>
        <w:t xml:space="preserve">2.3 </w:t>
      </w:r>
      <w:r>
        <w:rPr>
          <w:rFonts w:cs="Times New Roman" w:hAnsiTheme="minorEastAsia" w:eastAsiaTheme="minorEastAsia"/>
        </w:rPr>
        <w:t>资源条件</w:t>
      </w:r>
      <w:bookmarkEnd w:id="8"/>
    </w:p>
    <w:p>
      <w:pPr>
        <w:pStyle w:val="5"/>
        <w:spacing w:line="470" w:lineRule="exact"/>
        <w:ind w:firstLine="562"/>
        <w:rPr>
          <w:rFonts w:cs="Times New Roman" w:eastAsiaTheme="minorEastAsia"/>
        </w:rPr>
      </w:pPr>
      <w:r>
        <w:rPr>
          <w:rFonts w:cs="Times New Roman" w:eastAsiaTheme="minorEastAsia"/>
        </w:rPr>
        <w:t xml:space="preserve">2.3.1 </w:t>
      </w:r>
      <w:r>
        <w:rPr>
          <w:rFonts w:cs="Times New Roman" w:hAnsiTheme="minorEastAsia" w:eastAsiaTheme="minorEastAsia"/>
        </w:rPr>
        <w:t>交通条件</w:t>
      </w:r>
    </w:p>
    <w:p>
      <w:pPr>
        <w:adjustRightInd w:val="0"/>
        <w:snapToGrid w:val="0"/>
        <w:spacing w:line="470" w:lineRule="exact"/>
        <w:ind w:firstLine="560"/>
        <w:rPr>
          <w:rFonts w:cs="Times New Roman" w:eastAsiaTheme="minorEastAsia"/>
        </w:rPr>
      </w:pPr>
      <w:r>
        <w:rPr>
          <w:rFonts w:cs="Times New Roman" w:hAnsiTheme="minorEastAsia" w:eastAsiaTheme="minorEastAsia"/>
        </w:rPr>
        <w:t>六盘水市六枝特区位于贵州省西部，行政上属六盘水市管辖。特区东邻普定、镇宁，西接水城、普安及晴隆，南连关岭，北毗织金、纳雍。南北长</w:t>
      </w:r>
      <w:r>
        <w:rPr>
          <w:rFonts w:cs="Times New Roman" w:eastAsiaTheme="minorEastAsia"/>
        </w:rPr>
        <w:t>61km</w:t>
      </w:r>
      <w:r>
        <w:rPr>
          <w:rFonts w:cs="Times New Roman" w:hAnsiTheme="minorEastAsia" w:eastAsiaTheme="minorEastAsia"/>
        </w:rPr>
        <w:t>，东西宽</w:t>
      </w:r>
      <w:r>
        <w:rPr>
          <w:rFonts w:cs="Times New Roman" w:eastAsiaTheme="minorEastAsia"/>
        </w:rPr>
        <w:t>60km</w:t>
      </w:r>
      <w:r>
        <w:rPr>
          <w:rFonts w:cs="Times New Roman" w:hAnsiTheme="minorEastAsia" w:eastAsiaTheme="minorEastAsia"/>
        </w:rPr>
        <w:t>，总面积约</w:t>
      </w:r>
      <w:r>
        <w:rPr>
          <w:rFonts w:cs="Times New Roman" w:eastAsiaTheme="minorEastAsia"/>
        </w:rPr>
        <w:t>1790.11km</w:t>
      </w:r>
      <w:r>
        <w:rPr>
          <w:rFonts w:cs="Times New Roman" w:eastAsiaTheme="minorEastAsia"/>
          <w:vertAlign w:val="superscript"/>
        </w:rPr>
        <w:t>2</w:t>
      </w:r>
      <w:r>
        <w:rPr>
          <w:rFonts w:cs="Times New Roman" w:hAnsiTheme="minorEastAsia" w:eastAsiaTheme="minorEastAsia"/>
        </w:rPr>
        <w:t>，地理坐标：东经</w:t>
      </w:r>
      <w:r>
        <w:rPr>
          <w:rFonts w:cs="Times New Roman" w:eastAsiaTheme="minorEastAsia"/>
        </w:rPr>
        <w:t>105°08′</w:t>
      </w:r>
      <w:r>
        <w:rPr>
          <w:rFonts w:cs="Times New Roman" w:hAnsiTheme="minorEastAsia" w:eastAsiaTheme="minorEastAsia"/>
        </w:rPr>
        <w:t>～</w:t>
      </w:r>
      <w:r>
        <w:rPr>
          <w:rFonts w:cs="Times New Roman" w:eastAsiaTheme="minorEastAsia"/>
        </w:rPr>
        <w:t>105°43′</w:t>
      </w:r>
      <w:r>
        <w:rPr>
          <w:rFonts w:cs="Times New Roman" w:hAnsiTheme="minorEastAsia" w:eastAsiaTheme="minorEastAsia"/>
        </w:rPr>
        <w:t>，北纬</w:t>
      </w:r>
      <w:r>
        <w:rPr>
          <w:rFonts w:cs="Times New Roman" w:eastAsiaTheme="minorEastAsia"/>
        </w:rPr>
        <w:t>25°59′</w:t>
      </w:r>
      <w:r>
        <w:rPr>
          <w:rFonts w:cs="Times New Roman" w:hAnsiTheme="minorEastAsia" w:eastAsiaTheme="minorEastAsia"/>
        </w:rPr>
        <w:t>～</w:t>
      </w:r>
      <w:r>
        <w:rPr>
          <w:rFonts w:cs="Times New Roman" w:eastAsiaTheme="minorEastAsia"/>
        </w:rPr>
        <w:t>26°33′</w:t>
      </w:r>
      <w:r>
        <w:rPr>
          <w:rFonts w:cs="Times New Roman" w:hAnsiTheme="minorEastAsia" w:eastAsiaTheme="minorEastAsia"/>
        </w:rPr>
        <w:t>。六枝特区是</w:t>
      </w:r>
      <w:r>
        <w:rPr>
          <w:rFonts w:cs="Times New Roman" w:eastAsiaTheme="minorEastAsia"/>
        </w:rPr>
        <w:t>“</w:t>
      </w:r>
      <w:r>
        <w:rPr>
          <w:rFonts w:cs="Times New Roman" w:hAnsiTheme="minorEastAsia" w:eastAsiaTheme="minorEastAsia"/>
        </w:rPr>
        <w:t>江南煤都、中国凉都</w:t>
      </w:r>
      <w:r>
        <w:rPr>
          <w:rFonts w:cs="Times New Roman" w:eastAsiaTheme="minorEastAsia"/>
        </w:rPr>
        <w:t>”</w:t>
      </w:r>
      <w:r>
        <w:rPr>
          <w:rFonts w:cs="Times New Roman" w:hAnsiTheme="minorEastAsia" w:eastAsiaTheme="minorEastAsia"/>
        </w:rPr>
        <w:t>六盘水市的东大门，古夜郎腹地，距贵阳市</w:t>
      </w:r>
      <w:r>
        <w:rPr>
          <w:rFonts w:cs="Times New Roman" w:eastAsiaTheme="minorEastAsia"/>
        </w:rPr>
        <w:t xml:space="preserve"> 172 </w:t>
      </w:r>
      <w:r>
        <w:rPr>
          <w:rFonts w:cs="Times New Roman" w:hAnsiTheme="minorEastAsia" w:eastAsiaTheme="minorEastAsia"/>
        </w:rPr>
        <w:t>公里，距六盘水市中心</w:t>
      </w:r>
      <w:r>
        <w:rPr>
          <w:rFonts w:cs="Times New Roman" w:eastAsiaTheme="minorEastAsia"/>
        </w:rPr>
        <w:t xml:space="preserve"> 98 </w:t>
      </w:r>
      <w:r>
        <w:rPr>
          <w:rFonts w:cs="Times New Roman" w:hAnsiTheme="minorEastAsia" w:eastAsiaTheme="minorEastAsia"/>
        </w:rPr>
        <w:t>公里。</w:t>
      </w:r>
    </w:p>
    <w:p>
      <w:pPr>
        <w:adjustRightInd w:val="0"/>
        <w:snapToGrid w:val="0"/>
        <w:spacing w:line="470" w:lineRule="exact"/>
        <w:ind w:firstLine="560"/>
        <w:rPr>
          <w:rFonts w:cs="Times New Roman" w:eastAsiaTheme="minorEastAsia"/>
        </w:rPr>
      </w:pPr>
      <w:r>
        <w:rPr>
          <w:rFonts w:cs="Times New Roman" w:hAnsiTheme="minorEastAsia" w:eastAsiaTheme="minorEastAsia"/>
        </w:rPr>
        <w:t>六枝特区内交通四通八达，纵横交错，贵昆及株六电气化铁路横穿六枝，黄桶编组站是株六复线铁路与隆（四川隆昌）百（广西百色）铁路十字交汇点；国道</w:t>
      </w:r>
      <w:r>
        <w:rPr>
          <w:rFonts w:cs="Times New Roman" w:eastAsiaTheme="minorEastAsia"/>
        </w:rPr>
        <w:t>G356</w:t>
      </w:r>
      <w:r>
        <w:rPr>
          <w:rFonts w:cs="Times New Roman" w:hAnsiTheme="minorEastAsia" w:eastAsiaTheme="minorEastAsia"/>
        </w:rPr>
        <w:t>和省道</w:t>
      </w:r>
      <w:r>
        <w:rPr>
          <w:rFonts w:cs="Times New Roman" w:eastAsiaTheme="minorEastAsia"/>
        </w:rPr>
        <w:t>S214</w:t>
      </w:r>
      <w:r>
        <w:rPr>
          <w:rFonts w:cs="Times New Roman" w:hAnsiTheme="minorEastAsia" w:eastAsiaTheme="minorEastAsia"/>
        </w:rPr>
        <w:t>纵贯南北；六盘水至镇宁高速公路建成通车，六枝经纳雍至睛隆、六枝至安龙、安顺至盘县高速公路开工建设，六枝高速公路网络四通八达；安六高铁建成通车，</w:t>
      </w:r>
      <w:r>
        <w:rPr>
          <w:rFonts w:cs="Times New Roman" w:eastAsiaTheme="minorEastAsia"/>
        </w:rPr>
        <w:t>“</w:t>
      </w:r>
      <w:r>
        <w:rPr>
          <w:rFonts w:cs="Times New Roman" w:hAnsiTheme="minorEastAsia" w:eastAsiaTheme="minorEastAsia"/>
        </w:rPr>
        <w:t>四横两纵多连接</w:t>
      </w:r>
      <w:r>
        <w:rPr>
          <w:rFonts w:cs="Times New Roman" w:eastAsiaTheme="minorEastAsia"/>
        </w:rPr>
        <w:t>”</w:t>
      </w:r>
      <w:r>
        <w:rPr>
          <w:rFonts w:cs="Times New Roman" w:hAnsiTheme="minorEastAsia" w:eastAsiaTheme="minorEastAsia"/>
        </w:rPr>
        <w:t>的铁路、公路网络逐步形成，已成为贵州西部重要的物资集散地和交通枢纽。</w:t>
      </w:r>
    </w:p>
    <w:p>
      <w:pPr>
        <w:pStyle w:val="5"/>
        <w:spacing w:line="470" w:lineRule="exact"/>
        <w:ind w:firstLine="562"/>
        <w:rPr>
          <w:rFonts w:cs="Times New Roman" w:eastAsiaTheme="minorEastAsia"/>
        </w:rPr>
      </w:pPr>
      <w:r>
        <w:rPr>
          <w:rFonts w:cs="Times New Roman" w:eastAsiaTheme="minorEastAsia"/>
        </w:rPr>
        <w:t xml:space="preserve">2.3.2 </w:t>
      </w:r>
      <w:r>
        <w:rPr>
          <w:rFonts w:cs="Times New Roman" w:hAnsiTheme="minorEastAsia" w:eastAsiaTheme="minorEastAsia"/>
        </w:rPr>
        <w:t>矿产资源</w:t>
      </w:r>
    </w:p>
    <w:p>
      <w:pPr>
        <w:spacing w:line="470" w:lineRule="exact"/>
        <w:ind w:firstLine="560"/>
        <w:rPr>
          <w:rFonts w:cs="Times New Roman" w:eastAsiaTheme="minorEastAsia"/>
        </w:rPr>
      </w:pPr>
      <w:r>
        <w:rPr>
          <w:rFonts w:cs="Times New Roman" w:hAnsiTheme="minorEastAsia" w:eastAsiaTheme="minorEastAsia"/>
          <w:shd w:val="clear" w:color="auto" w:fill="FFFFFF"/>
        </w:rPr>
        <w:t>六枝特区能源资源富集。境内有</w:t>
      </w:r>
      <w:r>
        <w:rPr>
          <w:rFonts w:hint="eastAsia" w:cs="Times New Roman" w:hAnsiTheme="minorEastAsia" w:eastAsiaTheme="minorEastAsia"/>
          <w:shd w:val="clear" w:color="auto" w:fill="FFFFFF"/>
        </w:rPr>
        <w:t>煤炭、</w:t>
      </w:r>
      <w:r>
        <w:rPr>
          <w:rFonts w:cs="Times New Roman" w:hAnsiTheme="minorEastAsia" w:eastAsiaTheme="minorEastAsia"/>
          <w:shd w:val="clear" w:color="auto" w:fill="FFFFFF"/>
        </w:rPr>
        <w:t>萤石、</w:t>
      </w:r>
      <w:r>
        <w:rPr>
          <w:rFonts w:hint="eastAsia" w:cs="Times New Roman" w:hAnsiTheme="minorEastAsia" w:eastAsiaTheme="minorEastAsia"/>
          <w:shd w:val="clear" w:color="auto" w:fill="FFFFFF"/>
        </w:rPr>
        <w:t>锂矿石、</w:t>
      </w:r>
      <w:r>
        <w:rPr>
          <w:rFonts w:cs="Times New Roman" w:hAnsiTheme="minorEastAsia" w:eastAsiaTheme="minorEastAsia"/>
          <w:shd w:val="clear" w:color="auto" w:fill="FFFFFF"/>
        </w:rPr>
        <w:t>铁、硫、砷、铅、锌、冰洲石、重晶石、水晶石、石膏、石灰石、硅石、粘土等</w:t>
      </w:r>
      <w:r>
        <w:rPr>
          <w:rFonts w:cs="Times New Roman" w:eastAsiaTheme="minorEastAsia"/>
          <w:shd w:val="clear" w:color="auto" w:fill="FFFFFF"/>
        </w:rPr>
        <w:t>20</w:t>
      </w:r>
      <w:r>
        <w:rPr>
          <w:rFonts w:cs="Times New Roman" w:hAnsiTheme="minorEastAsia" w:eastAsiaTheme="minorEastAsia"/>
          <w:shd w:val="clear" w:color="auto" w:fill="FFFFFF"/>
        </w:rPr>
        <w:t>余种矿产资源</w:t>
      </w:r>
      <w:r>
        <w:rPr>
          <w:rFonts w:hint="eastAsia" w:cs="Times New Roman" w:hAnsiTheme="minorEastAsia" w:eastAsiaTheme="minorEastAsia"/>
          <w:shd w:val="clear" w:color="auto" w:fill="FFFFFF"/>
        </w:rPr>
        <w:t>。</w:t>
      </w:r>
      <w:r>
        <w:rPr>
          <w:rFonts w:cs="Times New Roman" w:hAnsiTheme="minorEastAsia" w:eastAsiaTheme="minorEastAsia"/>
          <w:shd w:val="clear" w:color="auto" w:fill="FFFFFF"/>
        </w:rPr>
        <w:t>已探明煤炭储量</w:t>
      </w:r>
      <w:r>
        <w:rPr>
          <w:rFonts w:cs="Times New Roman" w:eastAsiaTheme="minorEastAsia"/>
          <w:shd w:val="clear" w:color="auto" w:fill="FFFFFF"/>
        </w:rPr>
        <w:t>33</w:t>
      </w:r>
      <w:r>
        <w:rPr>
          <w:rFonts w:cs="Times New Roman" w:hAnsiTheme="minorEastAsia" w:eastAsiaTheme="minorEastAsia"/>
          <w:shd w:val="clear" w:color="auto" w:fill="FFFFFF"/>
        </w:rPr>
        <w:t>亿吨，煤层中蕴藏着丰富可供开发利用的煤层气，储量达</w:t>
      </w:r>
      <w:r>
        <w:rPr>
          <w:rFonts w:cs="Times New Roman" w:eastAsiaTheme="minorEastAsia"/>
          <w:shd w:val="clear" w:color="auto" w:fill="FFFFFF"/>
        </w:rPr>
        <w:t>650</w:t>
      </w:r>
      <w:r>
        <w:rPr>
          <w:rFonts w:cs="Times New Roman" w:hAnsiTheme="minorEastAsia" w:eastAsiaTheme="minorEastAsia"/>
          <w:shd w:val="clear" w:color="auto" w:fill="FFFFFF"/>
        </w:rPr>
        <w:t>亿立方米</w:t>
      </w:r>
      <w:r>
        <w:rPr>
          <w:rFonts w:hint="eastAsia" w:cs="Times New Roman" w:hAnsiTheme="minorEastAsia" w:eastAsiaTheme="minorEastAsia"/>
          <w:shd w:val="clear" w:color="auto" w:fill="FFFFFF"/>
        </w:rPr>
        <w:t>。平桥片区萤石矿和锂矿属于共生矿，其中</w:t>
      </w:r>
      <w:r>
        <w:rPr>
          <w:rFonts w:cs="Times New Roman" w:eastAsiaTheme="minorEastAsia"/>
          <w:shd w:val="clear" w:color="auto" w:fill="FFFFFF"/>
        </w:rPr>
        <w:t>萤石矿</w:t>
      </w:r>
      <w:r>
        <w:rPr>
          <w:rFonts w:hint="eastAsia" w:cs="Times New Roman" w:eastAsiaTheme="minorEastAsia"/>
          <w:shd w:val="clear" w:color="auto" w:fill="FFFFFF"/>
        </w:rPr>
        <w:t>估算</w:t>
      </w:r>
      <w:r>
        <w:rPr>
          <w:rFonts w:cs="Times New Roman" w:eastAsiaTheme="minorEastAsia"/>
          <w:shd w:val="clear" w:color="auto" w:fill="FFFFFF"/>
        </w:rPr>
        <w:t>矿石量287.73万吨，平均品位28.40%</w:t>
      </w:r>
      <w:r>
        <w:rPr>
          <w:rFonts w:hint="eastAsia" w:cs="Times New Roman" w:eastAsiaTheme="minorEastAsia"/>
          <w:shd w:val="clear" w:color="auto" w:fill="FFFFFF"/>
        </w:rPr>
        <w:t>，</w:t>
      </w:r>
      <w:r>
        <w:rPr>
          <w:rFonts w:cs="Times New Roman" w:eastAsiaTheme="minorEastAsia"/>
          <w:shd w:val="clear" w:color="auto" w:fill="FFFFFF"/>
        </w:rPr>
        <w:t>氟化钙（CaF</w:t>
      </w:r>
      <w:r>
        <w:rPr>
          <w:rFonts w:cs="Times New Roman" w:eastAsiaTheme="minorEastAsia"/>
          <w:shd w:val="clear" w:color="auto" w:fill="FFFFFF"/>
          <w:vertAlign w:val="subscript"/>
        </w:rPr>
        <w:t>2</w:t>
      </w:r>
      <w:r>
        <w:rPr>
          <w:rFonts w:cs="Times New Roman" w:eastAsiaTheme="minorEastAsia"/>
          <w:shd w:val="clear" w:color="auto" w:fill="FFFFFF"/>
        </w:rPr>
        <w:t>）</w:t>
      </w:r>
      <w:r>
        <w:rPr>
          <w:rFonts w:hint="eastAsia" w:cs="Times New Roman" w:eastAsiaTheme="minorEastAsia"/>
          <w:shd w:val="clear" w:color="auto" w:fill="FFFFFF"/>
        </w:rPr>
        <w:t>矿物</w:t>
      </w:r>
      <w:r>
        <w:rPr>
          <w:rFonts w:cs="Times New Roman" w:eastAsiaTheme="minorEastAsia"/>
          <w:shd w:val="clear" w:color="auto" w:fill="FFFFFF"/>
        </w:rPr>
        <w:t>量81.73万吨；锂</w:t>
      </w:r>
      <w:r>
        <w:rPr>
          <w:rFonts w:hint="eastAsia" w:cs="Times New Roman" w:eastAsiaTheme="minorEastAsia"/>
          <w:shd w:val="clear" w:color="auto" w:fill="FFFFFF"/>
        </w:rPr>
        <w:t>粘土矿厚70-143m，Li</w:t>
      </w:r>
      <w:r>
        <w:rPr>
          <w:rFonts w:hint="eastAsia" w:cs="Times New Roman" w:eastAsiaTheme="minorEastAsia"/>
          <w:shd w:val="clear" w:color="auto" w:fill="FFFFFF"/>
          <w:vertAlign w:val="subscript"/>
        </w:rPr>
        <w:t>2</w:t>
      </w:r>
      <w:r>
        <w:rPr>
          <w:rFonts w:hint="eastAsia" w:cs="Times New Roman" w:eastAsiaTheme="minorEastAsia"/>
          <w:shd w:val="clear" w:color="auto" w:fill="FFFFFF"/>
        </w:rPr>
        <w:t>O含量0.2%-1.19%，估算</w:t>
      </w:r>
      <w:r>
        <w:rPr>
          <w:rFonts w:cs="Times New Roman" w:eastAsiaTheme="minorEastAsia"/>
          <w:shd w:val="clear" w:color="auto" w:fill="FFFFFF"/>
        </w:rPr>
        <w:t>氧化锂（</w:t>
      </w:r>
      <w:r>
        <w:rPr>
          <w:rFonts w:hint="eastAsia" w:cs="Times New Roman" w:eastAsiaTheme="minorEastAsia"/>
          <w:shd w:val="clear" w:color="auto" w:fill="FFFFFF"/>
        </w:rPr>
        <w:t>Li</w:t>
      </w:r>
      <w:r>
        <w:rPr>
          <w:rFonts w:hint="eastAsia" w:cs="Times New Roman" w:eastAsiaTheme="minorEastAsia"/>
          <w:shd w:val="clear" w:color="auto" w:fill="FFFFFF"/>
          <w:vertAlign w:val="subscript"/>
        </w:rPr>
        <w:t>2</w:t>
      </w:r>
      <w:r>
        <w:rPr>
          <w:rFonts w:hint="eastAsia" w:cs="Times New Roman" w:eastAsiaTheme="minorEastAsia"/>
          <w:shd w:val="clear" w:color="auto" w:fill="FFFFFF"/>
        </w:rPr>
        <w:t>O</w:t>
      </w:r>
      <w:r>
        <w:rPr>
          <w:rFonts w:cs="Times New Roman" w:eastAsiaTheme="minorEastAsia"/>
          <w:shd w:val="clear" w:color="auto" w:fill="FFFFFF"/>
        </w:rPr>
        <w:t>）</w:t>
      </w:r>
      <w:r>
        <w:rPr>
          <w:rFonts w:hint="eastAsia" w:cs="Times New Roman" w:eastAsiaTheme="minorEastAsia"/>
          <w:shd w:val="clear" w:color="auto" w:fill="FFFFFF"/>
        </w:rPr>
        <w:t>矿物</w:t>
      </w:r>
      <w:r>
        <w:rPr>
          <w:rFonts w:cs="Times New Roman" w:eastAsiaTheme="minorEastAsia"/>
          <w:shd w:val="clear" w:color="auto" w:fill="FFFFFF"/>
        </w:rPr>
        <w:t>量超50万吨。</w:t>
      </w:r>
      <w:r>
        <w:rPr>
          <w:rFonts w:cs="Times New Roman" w:hAnsiTheme="minorEastAsia" w:eastAsiaTheme="minorEastAsia"/>
          <w:szCs w:val="24"/>
        </w:rPr>
        <w:t>六枝特区煤种全、煤质好，且易开采，丰富的煤炭、锂</w:t>
      </w:r>
      <w:r>
        <w:rPr>
          <w:rFonts w:hint="eastAsia" w:cs="Times New Roman" w:hAnsiTheme="minorEastAsia" w:eastAsiaTheme="minorEastAsia"/>
          <w:szCs w:val="24"/>
        </w:rPr>
        <w:t>矿石</w:t>
      </w:r>
      <w:r>
        <w:rPr>
          <w:rFonts w:cs="Times New Roman" w:hAnsiTheme="minorEastAsia" w:eastAsiaTheme="minorEastAsia"/>
          <w:szCs w:val="24"/>
        </w:rPr>
        <w:t>资源为</w:t>
      </w:r>
      <w:r>
        <w:rPr>
          <w:rFonts w:hint="eastAsia" w:cs="Times New Roman" w:hAnsiTheme="minorEastAsia" w:eastAsiaTheme="minorEastAsia"/>
          <w:szCs w:val="24"/>
        </w:rPr>
        <w:t>园区</w:t>
      </w:r>
      <w:r>
        <w:rPr>
          <w:rFonts w:hint="eastAsia" w:cs="Times New Roman" w:hAnsiTheme="minorEastAsia" w:eastAsiaTheme="minorEastAsia"/>
        </w:rPr>
        <w:t>现代煤化工</w:t>
      </w:r>
      <w:r>
        <w:rPr>
          <w:rFonts w:cs="Times New Roman" w:hAnsiTheme="minorEastAsia" w:eastAsiaTheme="minorEastAsia"/>
        </w:rPr>
        <w:t>产业、</w:t>
      </w:r>
      <w:r>
        <w:rPr>
          <w:rFonts w:hint="eastAsia" w:cs="Times New Roman" w:hAnsiTheme="minorEastAsia" w:eastAsiaTheme="minorEastAsia"/>
        </w:rPr>
        <w:t>精细</w:t>
      </w:r>
      <w:r>
        <w:rPr>
          <w:rFonts w:cs="Times New Roman" w:hAnsiTheme="minorEastAsia" w:eastAsiaTheme="minorEastAsia"/>
        </w:rPr>
        <w:t>化</w:t>
      </w:r>
      <w:r>
        <w:rPr>
          <w:rFonts w:hint="eastAsia" w:cs="Times New Roman" w:hAnsiTheme="minorEastAsia" w:eastAsiaTheme="minorEastAsia"/>
        </w:rPr>
        <w:t>工产业</w:t>
      </w:r>
      <w:r>
        <w:rPr>
          <w:rFonts w:cs="Times New Roman" w:hAnsiTheme="minorEastAsia" w:eastAsiaTheme="minorEastAsia"/>
          <w:szCs w:val="24"/>
        </w:rPr>
        <w:t>发展提供了资源保障。</w:t>
      </w:r>
    </w:p>
    <w:p>
      <w:pPr>
        <w:pStyle w:val="5"/>
        <w:spacing w:line="470" w:lineRule="exact"/>
        <w:ind w:firstLine="562"/>
        <w:rPr>
          <w:rFonts w:cs="Times New Roman" w:eastAsiaTheme="minorEastAsia"/>
        </w:rPr>
      </w:pPr>
      <w:r>
        <w:rPr>
          <w:rFonts w:cs="Times New Roman" w:eastAsiaTheme="minorEastAsia"/>
        </w:rPr>
        <w:t>2.3.3</w:t>
      </w:r>
      <w:r>
        <w:rPr>
          <w:rFonts w:cs="Times New Roman" w:hAnsiTheme="minorEastAsia" w:eastAsiaTheme="minorEastAsia"/>
        </w:rPr>
        <w:t>水资源</w:t>
      </w:r>
    </w:p>
    <w:p>
      <w:pPr>
        <w:spacing w:line="470" w:lineRule="exact"/>
        <w:ind w:firstLine="560"/>
        <w:rPr>
          <w:rFonts w:cs="Times New Roman" w:eastAsiaTheme="minorEastAsia"/>
          <w:szCs w:val="24"/>
        </w:rPr>
      </w:pPr>
      <w:r>
        <w:rPr>
          <w:rFonts w:cs="Times New Roman" w:hAnsiTheme="minorEastAsia" w:eastAsiaTheme="minorEastAsia"/>
          <w:szCs w:val="24"/>
        </w:rPr>
        <w:t>六枝特区处于三岔河及北盘江两水系上游的分水岭地带，境内河流分别流入长江和珠江水系，大小河流共</w:t>
      </w:r>
      <w:r>
        <w:rPr>
          <w:rFonts w:cs="Times New Roman" w:eastAsiaTheme="minorEastAsia"/>
          <w:szCs w:val="24"/>
        </w:rPr>
        <w:t xml:space="preserve">40 </w:t>
      </w:r>
      <w:r>
        <w:rPr>
          <w:rFonts w:cs="Times New Roman" w:hAnsiTheme="minorEastAsia" w:eastAsiaTheme="minorEastAsia"/>
          <w:szCs w:val="24"/>
        </w:rPr>
        <w:t>余条。其中主河道长</w:t>
      </w:r>
      <w:r>
        <w:rPr>
          <w:rFonts w:cs="Times New Roman" w:eastAsiaTheme="minorEastAsia"/>
          <w:szCs w:val="24"/>
        </w:rPr>
        <w:t xml:space="preserve">10km </w:t>
      </w:r>
      <w:r>
        <w:rPr>
          <w:rFonts w:cs="Times New Roman" w:hAnsiTheme="minorEastAsia" w:eastAsiaTheme="minorEastAsia"/>
          <w:szCs w:val="24"/>
        </w:rPr>
        <w:t>以上的河流有</w:t>
      </w:r>
      <w:r>
        <w:rPr>
          <w:rFonts w:cs="Times New Roman" w:eastAsiaTheme="minorEastAsia"/>
          <w:szCs w:val="24"/>
        </w:rPr>
        <w:t>25</w:t>
      </w:r>
      <w:r>
        <w:rPr>
          <w:rFonts w:cs="Times New Roman" w:hAnsiTheme="minorEastAsia" w:eastAsiaTheme="minorEastAsia"/>
          <w:szCs w:val="24"/>
        </w:rPr>
        <w:t>条，河流总长度</w:t>
      </w:r>
      <w:r>
        <w:rPr>
          <w:rFonts w:cs="Times New Roman" w:eastAsiaTheme="minorEastAsia"/>
          <w:szCs w:val="24"/>
        </w:rPr>
        <w:t>361.20km</w:t>
      </w:r>
      <w:r>
        <w:rPr>
          <w:rFonts w:cs="Times New Roman" w:hAnsiTheme="minorEastAsia" w:eastAsiaTheme="minorEastAsia"/>
          <w:szCs w:val="24"/>
        </w:rPr>
        <w:t>。五指山主脉的老、马大山～老黑山，是境内的主要分水岭，北部为三岔河流域，属长江水系，南部为北盘江流域，属珠江水系。</w:t>
      </w:r>
    </w:p>
    <w:p>
      <w:pPr>
        <w:spacing w:line="470" w:lineRule="exact"/>
        <w:ind w:firstLine="560"/>
        <w:rPr>
          <w:rFonts w:cs="Times New Roman" w:eastAsiaTheme="minorEastAsia"/>
          <w:szCs w:val="24"/>
        </w:rPr>
      </w:pPr>
      <w:r>
        <w:rPr>
          <w:rFonts w:cs="Times New Roman" w:hAnsiTheme="minorEastAsia" w:eastAsiaTheme="minorEastAsia"/>
          <w:szCs w:val="24"/>
        </w:rPr>
        <w:t>北盘江从水城流入，在水城、普安和六枝特区三县交界处入境内，流经湾河后出境流入关岭自治县。北盘江境内河段从水城县獭猫河</w:t>
      </w:r>
      <w:r>
        <w:rPr>
          <w:rFonts w:cs="Times New Roman" w:eastAsiaTheme="minorEastAsia"/>
          <w:szCs w:val="24"/>
        </w:rPr>
        <w:t>(</w:t>
      </w:r>
      <w:r>
        <w:rPr>
          <w:rFonts w:cs="Times New Roman" w:hAnsiTheme="minorEastAsia" w:eastAsiaTheme="minorEastAsia"/>
          <w:szCs w:val="24"/>
        </w:rPr>
        <w:t>渡口</w:t>
      </w:r>
      <w:r>
        <w:rPr>
          <w:rFonts w:cs="Times New Roman" w:eastAsiaTheme="minorEastAsia"/>
          <w:szCs w:val="24"/>
        </w:rPr>
        <w:t>)</w:t>
      </w:r>
      <w:r>
        <w:rPr>
          <w:rFonts w:cs="Times New Roman" w:hAnsiTheme="minorEastAsia" w:eastAsiaTheme="minorEastAsia"/>
          <w:szCs w:val="24"/>
        </w:rPr>
        <w:t>起至六枝特区流出止，全长</w:t>
      </w:r>
      <w:r>
        <w:rPr>
          <w:rFonts w:cs="Times New Roman" w:eastAsiaTheme="minorEastAsia"/>
          <w:szCs w:val="24"/>
        </w:rPr>
        <w:t>31.7km</w:t>
      </w:r>
      <w:r>
        <w:rPr>
          <w:rFonts w:cs="Times New Roman" w:hAnsiTheme="minorEastAsia" w:eastAsiaTheme="minorEastAsia"/>
          <w:szCs w:val="24"/>
        </w:rPr>
        <w:t>，经阿朗坪、鲁戛、毛口等地，是六枝特区与普安县、晴隆县的界河，河道狭窄，深切呈</w:t>
      </w:r>
      <w:r>
        <w:rPr>
          <w:rFonts w:cs="Times New Roman" w:eastAsiaTheme="minorEastAsia"/>
          <w:szCs w:val="24"/>
        </w:rPr>
        <w:t>“V”</w:t>
      </w:r>
      <w:r>
        <w:rPr>
          <w:rFonts w:cs="Times New Roman" w:hAnsiTheme="minorEastAsia" w:eastAsiaTheme="minorEastAsia"/>
          <w:szCs w:val="24"/>
        </w:rPr>
        <w:t>型河谷，全段河床平均比降为</w:t>
      </w:r>
      <w:r>
        <w:rPr>
          <w:rFonts w:cs="Times New Roman" w:eastAsiaTheme="minorEastAsia"/>
          <w:szCs w:val="24"/>
        </w:rPr>
        <w:t>1.6%</w:t>
      </w:r>
      <w:r>
        <w:rPr>
          <w:rFonts w:cs="Times New Roman" w:hAnsiTheme="minorEastAsia" w:eastAsiaTheme="minorEastAsia"/>
          <w:szCs w:val="24"/>
        </w:rPr>
        <w:t>。北盘江在六枝境内流域面积为</w:t>
      </w:r>
      <w:r>
        <w:rPr>
          <w:rFonts w:cs="Times New Roman" w:eastAsiaTheme="minorEastAsia"/>
          <w:szCs w:val="24"/>
        </w:rPr>
        <w:t>648.6km</w:t>
      </w:r>
      <w:r>
        <w:rPr>
          <w:rFonts w:cs="Times New Roman" w:eastAsiaTheme="minorEastAsia"/>
          <w:szCs w:val="24"/>
          <w:vertAlign w:val="superscript"/>
        </w:rPr>
        <w:t>2</w:t>
      </w:r>
      <w:r>
        <w:rPr>
          <w:rFonts w:cs="Times New Roman" w:hAnsiTheme="minorEastAsia" w:eastAsiaTheme="minorEastAsia"/>
          <w:szCs w:val="24"/>
        </w:rPr>
        <w:t>，六枝境内段主要支流有月亮河、磨盘河、花德河等。</w:t>
      </w:r>
    </w:p>
    <w:p>
      <w:pPr>
        <w:spacing w:line="470" w:lineRule="exact"/>
        <w:ind w:firstLine="560"/>
        <w:rPr>
          <w:rFonts w:cs="Times New Roman" w:eastAsiaTheme="minorEastAsia"/>
          <w:szCs w:val="24"/>
        </w:rPr>
      </w:pPr>
      <w:r>
        <w:rPr>
          <w:rFonts w:cs="Times New Roman" w:hAnsiTheme="minorEastAsia" w:eastAsiaTheme="minorEastAsia"/>
          <w:szCs w:val="24"/>
        </w:rPr>
        <w:t>打邦河为北盘江的一级支流，发源于六枝特区新窑乡头塘，流经六枝、平寨、那克、玉黑、纳果、板梅、在可布处落别河汇入后出境，全长</w:t>
      </w:r>
      <w:r>
        <w:rPr>
          <w:rFonts w:cs="Times New Roman" w:eastAsiaTheme="minorEastAsia"/>
          <w:szCs w:val="24"/>
        </w:rPr>
        <w:t>107km</w:t>
      </w:r>
      <w:r>
        <w:rPr>
          <w:rFonts w:cs="Times New Roman" w:hAnsiTheme="minorEastAsia" w:eastAsiaTheme="minorEastAsia"/>
          <w:szCs w:val="24"/>
        </w:rPr>
        <w:t>，流域面积</w:t>
      </w:r>
      <w:r>
        <w:rPr>
          <w:rFonts w:cs="Times New Roman" w:eastAsiaTheme="minorEastAsia"/>
          <w:szCs w:val="24"/>
        </w:rPr>
        <w:t>2864km</w:t>
      </w:r>
      <w:r>
        <w:rPr>
          <w:rFonts w:cs="Times New Roman" w:eastAsiaTheme="minorEastAsia"/>
          <w:szCs w:val="24"/>
          <w:vertAlign w:val="superscript"/>
        </w:rPr>
        <w:t>2</w:t>
      </w:r>
      <w:r>
        <w:rPr>
          <w:rFonts w:cs="Times New Roman" w:hAnsiTheme="minorEastAsia" w:eastAsiaTheme="minorEastAsia"/>
          <w:szCs w:val="24"/>
        </w:rPr>
        <w:t>。其中六枝境内流域面积</w:t>
      </w:r>
      <w:r>
        <w:rPr>
          <w:rFonts w:cs="Times New Roman" w:eastAsiaTheme="minorEastAsia"/>
          <w:szCs w:val="24"/>
        </w:rPr>
        <w:t>495.9km</w:t>
      </w:r>
      <w:r>
        <w:rPr>
          <w:rFonts w:cs="Times New Roman" w:eastAsiaTheme="minorEastAsia"/>
          <w:szCs w:val="24"/>
          <w:vertAlign w:val="superscript"/>
        </w:rPr>
        <w:t>2</w:t>
      </w:r>
      <w:r>
        <w:rPr>
          <w:rFonts w:cs="Times New Roman" w:hAnsiTheme="minorEastAsia" w:eastAsiaTheme="minorEastAsia"/>
          <w:szCs w:val="24"/>
        </w:rPr>
        <w:t>，打邦河在六枝境内段主要的支流有郎岱河、落别河、六枝河等。</w:t>
      </w:r>
    </w:p>
    <w:p>
      <w:pPr>
        <w:spacing w:line="470" w:lineRule="exact"/>
        <w:ind w:firstLine="560"/>
      </w:pPr>
      <w:r>
        <w:t>三岔河为乌江上游，三岔河干流全长325.6km，流域集水面积7264km</w:t>
      </w:r>
      <w:r>
        <w:rPr>
          <w:vertAlign w:val="superscript"/>
        </w:rPr>
        <w:t>2</w:t>
      </w:r>
      <w:r>
        <w:t>。其中六枝境内流域面积647.6km</w:t>
      </w:r>
      <w:r>
        <w:rPr>
          <w:vertAlign w:val="superscript"/>
        </w:rPr>
        <w:t>2</w:t>
      </w:r>
      <w:r>
        <w:t>，六枝境内段主要支流有懒龙河、黑塘河、岩脚河、木贡河、雨亥河、</w:t>
      </w:r>
      <w:r>
        <w:rPr>
          <w:rFonts w:hint="eastAsia" w:cs="Times New Roman" w:hAnsiTheme="minorEastAsia" w:eastAsiaTheme="minorEastAsia"/>
        </w:rPr>
        <w:t>岱翁</w:t>
      </w:r>
      <w:r>
        <w:t>河、岔河、沙子河、倮木河。本流域内(除三岔河段外)流域面积在100km</w:t>
      </w:r>
      <w:r>
        <w:rPr>
          <w:vertAlign w:val="superscript"/>
        </w:rPr>
        <w:t>2</w:t>
      </w:r>
      <w:r>
        <w:t>以上的河流有岩脚河、懒龙河。</w:t>
      </w:r>
    </w:p>
    <w:p>
      <w:pPr>
        <w:spacing w:line="470" w:lineRule="exact"/>
        <w:ind w:firstLine="560"/>
      </w:pPr>
      <w:r>
        <w:rPr>
          <w:rFonts w:hint="eastAsia"/>
        </w:rPr>
        <w:t>六枝特区化工园区涉及的地表水为</w:t>
      </w:r>
      <w:r>
        <w:t>岱翁河</w:t>
      </w:r>
      <w:r>
        <w:rPr>
          <w:rFonts w:hint="eastAsia"/>
        </w:rPr>
        <w:t>，属三岔河一级支流，</w:t>
      </w:r>
      <w:r>
        <w:t>发源于沙子坡，河长为11km，流域面积为29.11km</w:t>
      </w:r>
      <w:r>
        <w:rPr>
          <w:vertAlign w:val="superscript"/>
        </w:rPr>
        <w:t>2</w:t>
      </w:r>
      <w:r>
        <w:t>，最枯流量为0.12m</w:t>
      </w:r>
      <w:r>
        <w:rPr>
          <w:vertAlign w:val="superscript"/>
        </w:rPr>
        <w:t>3</w:t>
      </w:r>
      <w:r>
        <w:t>/s，多年平均流量为0.72m</w:t>
      </w:r>
      <w:r>
        <w:rPr>
          <w:vertAlign w:val="superscript"/>
        </w:rPr>
        <w:t>3</w:t>
      </w:r>
      <w:r>
        <w:t>/s，河水自西向东流，流经茨脚、那秀约2.4km，在杨家寨处折向北，流经10km后汇入岩脚河，再流经约9km后进入阿珠水库，最终进入夜郎湖</w:t>
      </w:r>
      <w:r>
        <w:rPr>
          <w:rFonts w:hint="eastAsia"/>
        </w:rPr>
        <w:t>。</w:t>
      </w:r>
    </w:p>
    <w:p>
      <w:pPr>
        <w:pStyle w:val="5"/>
        <w:spacing w:line="470" w:lineRule="exact"/>
        <w:ind w:firstLine="562"/>
        <w:rPr>
          <w:rFonts w:cs="Times New Roman" w:eastAsiaTheme="minorEastAsia"/>
        </w:rPr>
      </w:pPr>
      <w:r>
        <w:rPr>
          <w:rFonts w:cs="Times New Roman" w:eastAsiaTheme="minorEastAsia"/>
        </w:rPr>
        <w:t>2.</w:t>
      </w:r>
      <w:r>
        <w:rPr>
          <w:rFonts w:hint="eastAsia" w:cs="Times New Roman" w:eastAsiaTheme="minorEastAsia"/>
        </w:rPr>
        <w:t>3</w:t>
      </w:r>
      <w:r>
        <w:rPr>
          <w:rFonts w:cs="Times New Roman" w:eastAsiaTheme="minorEastAsia"/>
        </w:rPr>
        <w:t>.</w:t>
      </w:r>
      <w:r>
        <w:rPr>
          <w:rFonts w:hint="eastAsia" w:cs="Times New Roman" w:eastAsiaTheme="minorEastAsia"/>
        </w:rPr>
        <w:t>4土</w:t>
      </w:r>
      <w:r>
        <w:rPr>
          <w:rFonts w:cs="Times New Roman" w:eastAsiaTheme="minorEastAsia"/>
        </w:rPr>
        <w:t>地</w:t>
      </w:r>
      <w:r>
        <w:rPr>
          <w:rFonts w:hint="eastAsia" w:cs="Times New Roman" w:eastAsiaTheme="minorEastAsia"/>
        </w:rPr>
        <w:t>资源</w:t>
      </w:r>
    </w:p>
    <w:p>
      <w:pPr>
        <w:spacing w:line="470" w:lineRule="exact"/>
        <w:ind w:firstLine="560"/>
      </w:pPr>
      <w:r>
        <w:rPr>
          <w:rFonts w:hint="eastAsia"/>
        </w:rPr>
        <w:t>经</w:t>
      </w:r>
      <w:r>
        <w:t>开区</w:t>
      </w:r>
      <w:r>
        <w:rPr>
          <w:rFonts w:hint="eastAsia"/>
        </w:rPr>
        <w:t>城乡建设用地（含村庄建设用地）约为711.07公顷，约占规划区总面积的19.84%。城市建设用地约为495.07公顷，其中占比最高的为工业用地，面积约为238.49公顷，约占城市建设用地的48.17% 。</w:t>
      </w:r>
    </w:p>
    <w:p>
      <w:pPr>
        <w:spacing w:line="470" w:lineRule="exact"/>
        <w:ind w:firstLine="480"/>
      </w:pPr>
      <w:r>
        <w:rPr>
          <w:rFonts w:cs="Times New Roman"/>
          <w:sz w:val="24"/>
          <w:szCs w:val="24"/>
        </w:rPr>
        <w:drawing>
          <wp:anchor distT="0" distB="0" distL="114300" distR="114300" simplePos="0" relativeHeight="251659264" behindDoc="1" locked="0" layoutInCell="1" allowOverlap="1">
            <wp:simplePos x="0" y="0"/>
            <wp:positionH relativeFrom="column">
              <wp:posOffset>-100330</wp:posOffset>
            </wp:positionH>
            <wp:positionV relativeFrom="paragraph">
              <wp:posOffset>1503045</wp:posOffset>
            </wp:positionV>
            <wp:extent cx="5839460" cy="3044190"/>
            <wp:effectExtent l="0" t="0" r="2540" b="3810"/>
            <wp:wrapNone/>
            <wp:docPr id="5" name="图片 2" descr="六枝园区与基本保护农田、城镇开发边界关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六枝园区与基本保护农田、城镇开发边界关系图"/>
                    <pic:cNvPicPr>
                      <a:picLocks noChangeAspect="1"/>
                    </pic:cNvPicPr>
                  </pic:nvPicPr>
                  <pic:blipFill>
                    <a:blip r:embed="rId14"/>
                    <a:srcRect l="2975" t="13000" r="3592" b="22061"/>
                    <a:stretch>
                      <a:fillRect/>
                    </a:stretch>
                  </pic:blipFill>
                  <pic:spPr>
                    <a:xfrm>
                      <a:off x="0" y="0"/>
                      <a:ext cx="5839460" cy="3044190"/>
                    </a:xfrm>
                    <a:prstGeom prst="rect">
                      <a:avLst/>
                    </a:prstGeom>
                    <a:noFill/>
                    <a:ln>
                      <a:noFill/>
                    </a:ln>
                  </pic:spPr>
                </pic:pic>
              </a:graphicData>
            </a:graphic>
          </wp:anchor>
        </w:drawing>
      </w:r>
      <w:r>
        <w:t>六枝</w:t>
      </w:r>
      <w:r>
        <w:rPr>
          <w:rFonts w:hint="eastAsia"/>
        </w:rPr>
        <w:t>特</w:t>
      </w:r>
      <w:r>
        <w:t>区化工园区总规划面积约</w:t>
      </w:r>
      <w:r>
        <w:rPr>
          <w:rFonts w:hint="eastAsia"/>
        </w:rPr>
        <w:t>3.11</w:t>
      </w:r>
      <w:r>
        <w:t>平方公里</w:t>
      </w:r>
      <w:r>
        <w:rPr>
          <w:rFonts w:hint="eastAsia"/>
        </w:rPr>
        <w:t>，依据六枝特区国土空间规划，园区内部存在少量非城镇开发边界。园区内不涉及生态保护红线和基本保护农田，不涉及自然保护区，水源保护地等约束性内容。园区应与上级主管部门协调，调整不符合国土空间规划的用地性质，以保障园区未来发展的用地使用。</w:t>
      </w:r>
    </w:p>
    <w:p>
      <w:pPr>
        <w:keepNext/>
        <w:keepLines/>
        <w:spacing w:before="120" w:beforeLines="50"/>
        <w:ind w:firstLine="422"/>
        <w:jc w:val="center"/>
        <w:rPr>
          <w:rFonts w:cs="Times New Roman"/>
          <w:b/>
          <w:bCs/>
          <w:sz w:val="21"/>
        </w:rPr>
      </w:pPr>
    </w:p>
    <w:p>
      <w:pPr>
        <w:keepNext/>
        <w:keepLines/>
        <w:spacing w:before="120" w:beforeLines="50"/>
        <w:ind w:firstLine="422"/>
        <w:jc w:val="center"/>
        <w:rPr>
          <w:rFonts w:cs="Times New Roman"/>
          <w:b/>
          <w:bCs/>
          <w:sz w:val="21"/>
        </w:rPr>
      </w:pPr>
    </w:p>
    <w:p>
      <w:pPr>
        <w:keepNext/>
        <w:keepLines/>
        <w:spacing w:before="120" w:beforeLines="50"/>
        <w:ind w:firstLine="422"/>
        <w:jc w:val="center"/>
        <w:rPr>
          <w:rFonts w:cs="Times New Roman"/>
          <w:b/>
          <w:bCs/>
          <w:sz w:val="21"/>
        </w:rPr>
      </w:pPr>
    </w:p>
    <w:p>
      <w:pPr>
        <w:keepNext/>
        <w:keepLines/>
        <w:spacing w:before="120" w:beforeLines="50"/>
        <w:ind w:firstLine="422"/>
        <w:jc w:val="center"/>
        <w:rPr>
          <w:rFonts w:cs="Times New Roman"/>
          <w:b/>
          <w:bCs/>
          <w:sz w:val="21"/>
        </w:rPr>
      </w:pPr>
    </w:p>
    <w:p>
      <w:pPr>
        <w:keepNext/>
        <w:keepLines/>
        <w:spacing w:before="120" w:beforeLines="50"/>
        <w:ind w:firstLine="422"/>
        <w:jc w:val="center"/>
        <w:rPr>
          <w:rFonts w:cs="Times New Roman"/>
          <w:b/>
          <w:bCs/>
          <w:sz w:val="21"/>
        </w:rPr>
      </w:pPr>
    </w:p>
    <w:p>
      <w:pPr>
        <w:keepNext/>
        <w:keepLines/>
        <w:spacing w:before="120" w:beforeLines="50"/>
        <w:ind w:firstLine="422"/>
        <w:jc w:val="center"/>
        <w:rPr>
          <w:rFonts w:cs="Times New Roman"/>
          <w:b/>
          <w:bCs/>
          <w:sz w:val="21"/>
        </w:rPr>
      </w:pPr>
    </w:p>
    <w:p>
      <w:pPr>
        <w:keepNext/>
        <w:keepLines/>
        <w:spacing w:before="120" w:beforeLines="50"/>
        <w:ind w:firstLine="422"/>
        <w:jc w:val="center"/>
        <w:rPr>
          <w:rFonts w:cs="Times New Roman"/>
          <w:b/>
          <w:bCs/>
          <w:sz w:val="21"/>
        </w:rPr>
      </w:pPr>
    </w:p>
    <w:p>
      <w:pPr>
        <w:keepNext/>
        <w:keepLines/>
        <w:spacing w:before="120" w:beforeLines="50"/>
        <w:ind w:firstLine="422"/>
        <w:jc w:val="center"/>
        <w:rPr>
          <w:b/>
          <w:bCs/>
          <w:sz w:val="21"/>
        </w:rPr>
      </w:pPr>
      <w:r>
        <w:rPr>
          <w:rFonts w:hint="eastAsia" w:cs="Times New Roman"/>
          <w:b/>
          <w:bCs/>
          <w:sz w:val="21"/>
        </w:rPr>
        <w:t>图2-1  化工园区与城镇开发边界、基本保护农田关系</w:t>
      </w:r>
    </w:p>
    <w:p>
      <w:pPr>
        <w:ind w:firstLine="560"/>
        <w:rPr>
          <w:rFonts w:cs="Times New Roman" w:hAnsiTheme="minorEastAsia" w:eastAsiaTheme="minorEastAsia"/>
          <w:szCs w:val="24"/>
        </w:rPr>
      </w:pPr>
    </w:p>
    <w:p>
      <w:pPr>
        <w:pStyle w:val="5"/>
        <w:ind w:firstLine="562"/>
        <w:rPr>
          <w:rFonts w:cs="Times New Roman" w:eastAsiaTheme="minorEastAsia"/>
        </w:rPr>
      </w:pPr>
      <w:r>
        <w:rPr>
          <w:rFonts w:cs="Times New Roman" w:eastAsiaTheme="minorEastAsia"/>
        </w:rPr>
        <w:t>2.3.</w:t>
      </w:r>
      <w:r>
        <w:rPr>
          <w:rFonts w:hint="eastAsia" w:cs="Times New Roman" w:eastAsiaTheme="minorEastAsia"/>
        </w:rPr>
        <w:t>5</w:t>
      </w:r>
      <w:r>
        <w:rPr>
          <w:rFonts w:hint="eastAsia" w:cs="Times New Roman" w:hAnsiTheme="minorEastAsia" w:eastAsiaTheme="minorEastAsia"/>
        </w:rPr>
        <w:t>环境容量</w:t>
      </w:r>
    </w:p>
    <w:p>
      <w:pPr>
        <w:ind w:firstLine="560"/>
        <w:rPr>
          <w:rFonts w:cs="Times New Roman" w:eastAsiaTheme="minorEastAsia"/>
        </w:rPr>
      </w:pPr>
      <w:r>
        <w:rPr>
          <w:rFonts w:cs="Times New Roman" w:hAnsiTheme="minorEastAsia" w:eastAsiaTheme="minorEastAsia"/>
        </w:rPr>
        <w:t>（</w:t>
      </w:r>
      <w:r>
        <w:rPr>
          <w:rFonts w:cs="Times New Roman" w:eastAsiaTheme="minorEastAsia"/>
        </w:rPr>
        <w:t>1</w:t>
      </w:r>
      <w:r>
        <w:rPr>
          <w:rFonts w:cs="Times New Roman" w:hAnsiTheme="minorEastAsia" w:eastAsiaTheme="minorEastAsia"/>
        </w:rPr>
        <w:t>）大气环境质量现状</w:t>
      </w:r>
    </w:p>
    <w:p>
      <w:pPr>
        <w:ind w:firstLine="560"/>
        <w:rPr>
          <w:rFonts w:cs="Times New Roman" w:eastAsiaTheme="minorEastAsia"/>
        </w:rPr>
      </w:pPr>
      <w:r>
        <w:rPr>
          <w:rFonts w:cs="Times New Roman" w:hAnsiTheme="minorEastAsia" w:eastAsiaTheme="minorEastAsia"/>
        </w:rPr>
        <w:t>根据《</w:t>
      </w:r>
      <w:r>
        <w:rPr>
          <w:rFonts w:cs="Times New Roman" w:eastAsiaTheme="minorEastAsia"/>
        </w:rPr>
        <w:t>2021</w:t>
      </w:r>
      <w:r>
        <w:rPr>
          <w:rFonts w:cs="Times New Roman" w:hAnsiTheme="minorEastAsia" w:eastAsiaTheme="minorEastAsia"/>
        </w:rPr>
        <w:t>年六盘水市生态环境状况公报》，</w:t>
      </w:r>
      <w:r>
        <w:rPr>
          <w:rFonts w:cs="Times New Roman" w:eastAsiaTheme="minorEastAsia"/>
          <w:bCs/>
        </w:rPr>
        <w:t>2021</w:t>
      </w:r>
      <w:r>
        <w:rPr>
          <w:rFonts w:cs="Times New Roman" w:hAnsiTheme="minorEastAsia" w:eastAsiaTheme="minorEastAsia"/>
          <w:bCs/>
        </w:rPr>
        <w:t>年，六枝特区环境空气质量共监测</w:t>
      </w:r>
      <w:r>
        <w:rPr>
          <w:rFonts w:cs="Times New Roman" w:eastAsiaTheme="minorEastAsia"/>
          <w:bCs/>
        </w:rPr>
        <w:t>363</w:t>
      </w:r>
      <w:r>
        <w:rPr>
          <w:rFonts w:cs="Times New Roman" w:hAnsiTheme="minorEastAsia" w:eastAsiaTheme="minorEastAsia"/>
          <w:bCs/>
        </w:rPr>
        <w:t>天，环境空气质量综合指数（</w:t>
      </w:r>
      <w:r>
        <w:rPr>
          <w:rFonts w:cs="Times New Roman" w:eastAsiaTheme="minorEastAsia"/>
          <w:bCs/>
        </w:rPr>
        <w:t>AQI</w:t>
      </w:r>
      <w:r>
        <w:rPr>
          <w:rFonts w:cs="Times New Roman" w:hAnsiTheme="minorEastAsia" w:eastAsiaTheme="minorEastAsia"/>
          <w:bCs/>
        </w:rPr>
        <w:t>）优良天数</w:t>
      </w:r>
      <w:r>
        <w:rPr>
          <w:rFonts w:cs="Times New Roman" w:eastAsiaTheme="minorEastAsia"/>
          <w:bCs/>
        </w:rPr>
        <w:t>351</w:t>
      </w:r>
      <w:r>
        <w:rPr>
          <w:rFonts w:cs="Times New Roman" w:hAnsiTheme="minorEastAsia" w:eastAsiaTheme="minorEastAsia"/>
          <w:bCs/>
        </w:rPr>
        <w:t>天，优良率</w:t>
      </w:r>
      <w:r>
        <w:rPr>
          <w:rFonts w:cs="Times New Roman" w:eastAsiaTheme="minorEastAsia"/>
          <w:bCs/>
        </w:rPr>
        <w:t>96.7%</w:t>
      </w:r>
      <w:r>
        <w:rPr>
          <w:rFonts w:cs="Times New Roman" w:hAnsiTheme="minorEastAsia" w:eastAsiaTheme="minorEastAsia"/>
          <w:bCs/>
        </w:rPr>
        <w:t>，二氧化硫、二氧化氮、可吸入颗粒物、细颗粒物、臭氧和一氧化碳六项基本污染物的年平均浓度和特定百分位数浓度均达到《环境空气质量标准》（</w:t>
      </w:r>
      <w:r>
        <w:rPr>
          <w:rFonts w:cs="Times New Roman" w:eastAsiaTheme="minorEastAsia"/>
          <w:bCs/>
        </w:rPr>
        <w:t>GB3095-2012</w:t>
      </w:r>
      <w:r>
        <w:rPr>
          <w:rFonts w:cs="Times New Roman" w:hAnsiTheme="minorEastAsia" w:eastAsiaTheme="minorEastAsia"/>
          <w:bCs/>
        </w:rPr>
        <w:t>）二级标准。环境空气质量综合指数（</w:t>
      </w:r>
      <w:r>
        <w:rPr>
          <w:rFonts w:cs="Times New Roman" w:eastAsiaTheme="minorEastAsia"/>
          <w:bCs/>
        </w:rPr>
        <w:t>AQI</w:t>
      </w:r>
      <w:r>
        <w:rPr>
          <w:rFonts w:cs="Times New Roman" w:hAnsiTheme="minorEastAsia" w:eastAsiaTheme="minorEastAsia"/>
          <w:bCs/>
        </w:rPr>
        <w:t>）为</w:t>
      </w:r>
      <w:r>
        <w:rPr>
          <w:rFonts w:cs="Times New Roman" w:eastAsiaTheme="minorEastAsia"/>
          <w:bCs/>
        </w:rPr>
        <w:t>2.94</w:t>
      </w:r>
      <w:r>
        <w:rPr>
          <w:rFonts w:cs="Times New Roman" w:hAnsiTheme="minorEastAsia" w:eastAsiaTheme="minorEastAsia"/>
          <w:bCs/>
        </w:rPr>
        <w:t>。</w:t>
      </w:r>
      <w:r>
        <w:rPr>
          <w:rFonts w:hint="eastAsia" w:cs="Times New Roman" w:hAnsiTheme="minorEastAsia" w:eastAsiaTheme="minorEastAsia"/>
          <w:bCs/>
        </w:rPr>
        <w:t>区域大气环境质量良好，大</w:t>
      </w:r>
      <w:r>
        <w:rPr>
          <w:rFonts w:cs="Times New Roman" w:hAnsiTheme="minorEastAsia" w:eastAsiaTheme="minorEastAsia"/>
          <w:bCs/>
        </w:rPr>
        <w:t>气环境容量较充足</w:t>
      </w:r>
      <w:r>
        <w:rPr>
          <w:rFonts w:hint="eastAsia" w:cs="Times New Roman" w:hAnsiTheme="minorEastAsia" w:eastAsiaTheme="minorEastAsia"/>
          <w:bCs/>
        </w:rPr>
        <w:t>。</w:t>
      </w:r>
    </w:p>
    <w:p>
      <w:pPr>
        <w:ind w:firstLine="560"/>
        <w:rPr>
          <w:rFonts w:cs="Times New Roman" w:eastAsiaTheme="minorEastAsia"/>
        </w:rPr>
      </w:pPr>
      <w:r>
        <w:rPr>
          <w:rFonts w:cs="Times New Roman" w:hAnsiTheme="minorEastAsia" w:eastAsiaTheme="minorEastAsia"/>
        </w:rPr>
        <w:t>（</w:t>
      </w:r>
      <w:r>
        <w:rPr>
          <w:rFonts w:cs="Times New Roman" w:eastAsiaTheme="minorEastAsia"/>
        </w:rPr>
        <w:t>2</w:t>
      </w:r>
      <w:r>
        <w:rPr>
          <w:rFonts w:cs="Times New Roman" w:hAnsiTheme="minorEastAsia" w:eastAsiaTheme="minorEastAsia"/>
        </w:rPr>
        <w:t>）水环境质量现状</w:t>
      </w:r>
    </w:p>
    <w:p>
      <w:pPr>
        <w:ind w:firstLine="560"/>
        <w:rPr>
          <w:rFonts w:cs="Times New Roman" w:hAnsiTheme="minorEastAsia" w:eastAsiaTheme="minorEastAsia"/>
        </w:rPr>
      </w:pPr>
      <w:r>
        <w:rPr>
          <w:rFonts w:hint="eastAsia"/>
        </w:rPr>
        <w:t>六枝特区化工园区涉及的主要河流为岱翁河，属于Ⅲ类水体。根据园区内贵州美锦六枝煤焦氢综合利用示范项目环境现状监测资料，岱翁河水质可达到《</w:t>
      </w:r>
      <w:r>
        <w:fldChar w:fldCharType="begin"/>
      </w:r>
      <w:r>
        <w:instrText xml:space="preserve"> HYPERLINK "http://wenku.cyjzzd.com/a/1300002487" \t "https://www.so.com/_blank" </w:instrText>
      </w:r>
      <w:r>
        <w:fldChar w:fldCharType="separate"/>
      </w:r>
      <w:r>
        <w:t>地表水环境质量标准</w:t>
      </w:r>
      <w:r>
        <w:fldChar w:fldCharType="end"/>
      </w:r>
      <w:r>
        <w:rPr>
          <w:rFonts w:hint="eastAsia"/>
        </w:rPr>
        <w:t>》（</w:t>
      </w:r>
      <w:r>
        <w:t>GB3838-2002）</w:t>
      </w:r>
      <w:r>
        <w:rPr>
          <w:rFonts w:hint="eastAsia" w:ascii="宋体" w:hAnsi="宋体" w:cs="宋体"/>
        </w:rPr>
        <w:t>Ⅲ</w:t>
      </w:r>
      <w:r>
        <w:t>类</w:t>
      </w:r>
      <w:r>
        <w:rPr>
          <w:rFonts w:hint="eastAsia"/>
        </w:rPr>
        <w:t>要求，区域地表水环境质量良好。</w:t>
      </w:r>
    </w:p>
    <w:p>
      <w:pPr>
        <w:ind w:firstLine="560"/>
        <w:rPr>
          <w:rFonts w:cs="Times New Roman" w:eastAsiaTheme="minorEastAsia"/>
        </w:rPr>
      </w:pPr>
      <w:r>
        <w:rPr>
          <w:rFonts w:cs="Times New Roman" w:hAnsiTheme="minorEastAsia" w:eastAsiaTheme="minorEastAsia"/>
        </w:rPr>
        <w:t>（</w:t>
      </w:r>
      <w:r>
        <w:rPr>
          <w:rFonts w:cs="Times New Roman" w:eastAsiaTheme="minorEastAsia"/>
        </w:rPr>
        <w:t>3</w:t>
      </w:r>
      <w:r>
        <w:rPr>
          <w:rFonts w:cs="Times New Roman" w:hAnsiTheme="minorEastAsia" w:eastAsiaTheme="minorEastAsia"/>
        </w:rPr>
        <w:t>）声环境质量现状</w:t>
      </w:r>
    </w:p>
    <w:p>
      <w:pPr>
        <w:ind w:firstLine="560"/>
        <w:rPr>
          <w:rFonts w:cs="Times New Roman" w:eastAsiaTheme="minorEastAsia"/>
        </w:rPr>
      </w:pPr>
      <w:r>
        <w:rPr>
          <w:rFonts w:hint="eastAsia" w:cs="Times New Roman" w:hAnsiTheme="minorEastAsia" w:eastAsiaTheme="minorEastAsia"/>
        </w:rPr>
        <w:t>园区</w:t>
      </w:r>
      <w:r>
        <w:rPr>
          <w:rFonts w:cs="Times New Roman" w:hAnsiTheme="minorEastAsia" w:eastAsiaTheme="minorEastAsia"/>
        </w:rPr>
        <w:t>现状噪声主要为工业生产噪声，可达到《工业企业厂界环境噪声排放标准（</w:t>
      </w:r>
      <w:r>
        <w:rPr>
          <w:rFonts w:cs="Times New Roman" w:eastAsiaTheme="minorEastAsia"/>
        </w:rPr>
        <w:t>GB12348-2008</w:t>
      </w:r>
      <w:r>
        <w:rPr>
          <w:rFonts w:cs="Times New Roman" w:hAnsiTheme="minorEastAsia" w:eastAsiaTheme="minorEastAsia"/>
        </w:rPr>
        <w:t>）》中</w:t>
      </w:r>
      <w:r>
        <w:rPr>
          <w:rFonts w:cs="Times New Roman" w:eastAsiaTheme="minorEastAsia"/>
        </w:rPr>
        <w:t>3</w:t>
      </w:r>
      <w:r>
        <w:rPr>
          <w:rFonts w:cs="Times New Roman" w:hAnsiTheme="minorEastAsia" w:eastAsiaTheme="minorEastAsia"/>
        </w:rPr>
        <w:t>类标准要求。</w:t>
      </w:r>
    </w:p>
    <w:p>
      <w:pPr>
        <w:ind w:firstLine="560"/>
        <w:rPr>
          <w:rFonts w:cs="Times New Roman" w:eastAsiaTheme="minorEastAsia"/>
        </w:rPr>
      </w:pPr>
      <w:r>
        <w:rPr>
          <w:rFonts w:cs="Times New Roman" w:hAnsiTheme="minorEastAsia" w:eastAsiaTheme="minorEastAsia"/>
        </w:rPr>
        <w:t>（</w:t>
      </w:r>
      <w:r>
        <w:rPr>
          <w:rFonts w:cs="Times New Roman" w:eastAsiaTheme="minorEastAsia"/>
        </w:rPr>
        <w:t>4</w:t>
      </w:r>
      <w:r>
        <w:rPr>
          <w:rFonts w:cs="Times New Roman" w:hAnsiTheme="minorEastAsia" w:eastAsiaTheme="minorEastAsia"/>
        </w:rPr>
        <w:t>）生态环境质量现状</w:t>
      </w:r>
    </w:p>
    <w:p>
      <w:pPr>
        <w:pStyle w:val="55"/>
        <w:ind w:firstLine="560"/>
        <w:rPr>
          <w:rFonts w:cs="Times New Roman" w:eastAsiaTheme="minorEastAsia"/>
        </w:rPr>
      </w:pPr>
      <w:r>
        <w:rPr>
          <w:rFonts w:cs="Times New Roman" w:hAnsiTheme="minorEastAsia" w:eastAsiaTheme="minorEastAsia"/>
        </w:rPr>
        <w:t>六枝经济开发区属于山地地貌类型，低丘缓坡绵延整个经开区，植被覆盖率较高，形成空间上非常连贯的生态屏障和绿色走廊。现状建设用地大部分为一般农田以及农户宅基地，属半人工化的农业生态系统，处于人类开发活动范围内，并无原始植被生长和珍贵野生动物活动。</w:t>
      </w:r>
      <w:r>
        <w:rPr>
          <w:rFonts w:cs="Times New Roman" w:eastAsiaTheme="minorEastAsia"/>
        </w:rPr>
        <w:br w:type="page"/>
      </w:r>
    </w:p>
    <w:p>
      <w:pPr>
        <w:pStyle w:val="3"/>
        <w:spacing w:before="120" w:after="120"/>
        <w:ind w:firstLine="643"/>
        <w:rPr>
          <w:rFonts w:cs="Times New Roman" w:eastAsiaTheme="minorEastAsia"/>
        </w:rPr>
      </w:pPr>
      <w:bookmarkStart w:id="9" w:name="_Toc126591853"/>
      <w:r>
        <w:rPr>
          <w:rFonts w:cs="Times New Roman" w:hAnsiTheme="minorEastAsia" w:eastAsiaTheme="minorEastAsia"/>
        </w:rPr>
        <w:t>第三章发展环境分析</w:t>
      </w:r>
      <w:bookmarkEnd w:id="9"/>
    </w:p>
    <w:p>
      <w:pPr>
        <w:pStyle w:val="4"/>
        <w:ind w:firstLine="602"/>
        <w:rPr>
          <w:rFonts w:cs="Times New Roman" w:eastAsiaTheme="minorEastAsia"/>
        </w:rPr>
      </w:pPr>
      <w:bookmarkStart w:id="10" w:name="_Toc126591854"/>
      <w:r>
        <w:rPr>
          <w:rFonts w:cs="Times New Roman" w:eastAsiaTheme="minorEastAsia"/>
        </w:rPr>
        <w:t>3.1</w:t>
      </w:r>
      <w:r>
        <w:rPr>
          <w:rFonts w:cs="Times New Roman" w:hAnsiTheme="minorEastAsia" w:eastAsiaTheme="minorEastAsia"/>
        </w:rPr>
        <w:t>产业环境</w:t>
      </w:r>
      <w:bookmarkEnd w:id="10"/>
    </w:p>
    <w:p>
      <w:pPr>
        <w:pStyle w:val="5"/>
        <w:ind w:firstLine="562"/>
        <w:rPr>
          <w:rFonts w:cs="Times New Roman" w:eastAsiaTheme="minorEastAsia"/>
        </w:rPr>
      </w:pPr>
      <w:r>
        <w:rPr>
          <w:rFonts w:cs="Times New Roman" w:eastAsiaTheme="minorEastAsia"/>
        </w:rPr>
        <w:t xml:space="preserve">3.1.1 </w:t>
      </w:r>
      <w:r>
        <w:rPr>
          <w:rFonts w:cs="Times New Roman" w:hAnsiTheme="minorEastAsia" w:eastAsiaTheme="minorEastAsia"/>
        </w:rPr>
        <w:t>国内化工行业发展现状及趋势</w:t>
      </w:r>
    </w:p>
    <w:p>
      <w:pPr>
        <w:pStyle w:val="2"/>
        <w:ind w:firstLine="560"/>
        <w:rPr>
          <w:rFonts w:cs="Times New Roman" w:eastAsiaTheme="minorEastAsia"/>
        </w:rPr>
      </w:pPr>
      <w:r>
        <w:rPr>
          <w:rFonts w:cs="Times New Roman" w:eastAsiaTheme="minorEastAsia"/>
        </w:rPr>
        <w:t xml:space="preserve">3.1.1.1 </w:t>
      </w:r>
      <w:r>
        <w:rPr>
          <w:rFonts w:cs="Times New Roman" w:hAnsiTheme="minorEastAsia" w:eastAsiaTheme="minorEastAsia"/>
        </w:rPr>
        <w:t>总体发展形势</w:t>
      </w:r>
    </w:p>
    <w:p>
      <w:pPr>
        <w:ind w:firstLine="560"/>
        <w:rPr>
          <w:rFonts w:cs="Times New Roman" w:eastAsiaTheme="minorEastAsia"/>
        </w:rPr>
      </w:pPr>
      <w:r>
        <w:rPr>
          <w:rFonts w:cs="Times New Roman" w:hAnsiTheme="minorEastAsia" w:eastAsiaTheme="minorEastAsia"/>
        </w:rPr>
        <w:t>我国化学工业经过三十多年发展取得了巨大成就，全行业生产总值已占据世界第二位，其中化学工业总产值已居世界首位，为我国经济和社会发展做出了重要贡献。但与发达国家相比，在技术创新、产业结构、绿色发展等方面仍有一定差距。</w:t>
      </w:r>
    </w:p>
    <w:p>
      <w:pPr>
        <w:ind w:firstLine="560"/>
        <w:rPr>
          <w:rFonts w:cs="Times New Roman" w:eastAsiaTheme="minorEastAsia"/>
        </w:rPr>
      </w:pPr>
      <w:r>
        <w:rPr>
          <w:rFonts w:cs="Times New Roman" w:eastAsiaTheme="minorEastAsia"/>
        </w:rPr>
        <w:t>2021</w:t>
      </w:r>
      <w:r>
        <w:rPr>
          <w:rFonts w:cs="Times New Roman" w:hAnsiTheme="minorEastAsia" w:eastAsiaTheme="minorEastAsia"/>
        </w:rPr>
        <w:t>年，我国化工行业运行总体平稳有序，主要经济指标较快增长。从走势看，呈现出</w:t>
      </w:r>
      <w:r>
        <w:rPr>
          <w:rFonts w:cs="Times New Roman" w:eastAsiaTheme="minorEastAsia"/>
        </w:rPr>
        <w:t>“</w:t>
      </w:r>
      <w:r>
        <w:rPr>
          <w:rFonts w:cs="Times New Roman" w:hAnsiTheme="minorEastAsia" w:eastAsiaTheme="minorEastAsia"/>
        </w:rPr>
        <w:t>前高后低</w:t>
      </w:r>
      <w:r>
        <w:rPr>
          <w:rFonts w:cs="Times New Roman" w:eastAsiaTheme="minorEastAsia"/>
        </w:rPr>
        <w:t>”</w:t>
      </w:r>
      <w:r>
        <w:rPr>
          <w:rFonts w:cs="Times New Roman" w:hAnsiTheme="minorEastAsia" w:eastAsiaTheme="minorEastAsia"/>
        </w:rPr>
        <w:t>特征，上半年高位增长，为全年实现良好业绩和全面复苏打下坚实基础，下半年增速回落，市场波动性和下行压力加大，需求增速放缓、原料成本上升、能效约束加强、阶段性供需失衡等矛盾和问题逐步显现。</w:t>
      </w:r>
    </w:p>
    <w:p>
      <w:pPr>
        <w:pStyle w:val="2"/>
        <w:ind w:firstLine="560"/>
        <w:rPr>
          <w:rFonts w:cs="Times New Roman" w:eastAsiaTheme="minorEastAsia"/>
        </w:rPr>
      </w:pPr>
      <w:r>
        <w:rPr>
          <w:rFonts w:cs="Times New Roman" w:eastAsiaTheme="minorEastAsia"/>
        </w:rPr>
        <w:t xml:space="preserve">3.1.1.2 </w:t>
      </w:r>
      <w:r>
        <w:rPr>
          <w:rFonts w:cs="Times New Roman" w:hAnsiTheme="minorEastAsia" w:eastAsiaTheme="minorEastAsia"/>
        </w:rPr>
        <w:t>行业运行情况</w:t>
      </w:r>
    </w:p>
    <w:p>
      <w:pPr>
        <w:ind w:firstLine="560"/>
        <w:rPr>
          <w:rFonts w:cs="Times New Roman" w:eastAsiaTheme="minorEastAsia"/>
        </w:rPr>
      </w:pPr>
      <w:r>
        <w:rPr>
          <w:rFonts w:cs="Times New Roman" w:eastAsiaTheme="minorEastAsia"/>
        </w:rPr>
        <w:t>2021</w:t>
      </w:r>
      <w:r>
        <w:rPr>
          <w:rFonts w:cs="Times New Roman" w:hAnsiTheme="minorEastAsia" w:eastAsiaTheme="minorEastAsia"/>
        </w:rPr>
        <w:t>年，化工行业增加值同比增长</w:t>
      </w:r>
      <w:r>
        <w:rPr>
          <w:rFonts w:cs="Times New Roman" w:eastAsiaTheme="minorEastAsia"/>
        </w:rPr>
        <w:t>7.5%</w:t>
      </w:r>
      <w:r>
        <w:rPr>
          <w:rFonts w:cs="Times New Roman" w:hAnsiTheme="minorEastAsia" w:eastAsiaTheme="minorEastAsia"/>
        </w:rPr>
        <w:t>，回升</w:t>
      </w:r>
      <w:r>
        <w:rPr>
          <w:rFonts w:cs="Times New Roman" w:eastAsiaTheme="minorEastAsia"/>
        </w:rPr>
        <w:t>3.9</w:t>
      </w:r>
      <w:r>
        <w:rPr>
          <w:rFonts w:cs="Times New Roman" w:hAnsiTheme="minorEastAsia" w:eastAsiaTheme="minorEastAsia"/>
        </w:rPr>
        <w:t>个百分点；化工行业</w:t>
      </w:r>
      <w:r>
        <w:rPr>
          <w:rFonts w:cs="Times New Roman" w:eastAsiaTheme="minorEastAsia"/>
        </w:rPr>
        <w:t>9</w:t>
      </w:r>
      <w:r>
        <w:rPr>
          <w:rFonts w:cs="Times New Roman" w:hAnsiTheme="minorEastAsia" w:eastAsiaTheme="minorEastAsia"/>
        </w:rPr>
        <w:t>大子行业中，除煤化工外其他</w:t>
      </w:r>
      <w:r>
        <w:rPr>
          <w:rFonts w:cs="Times New Roman" w:eastAsiaTheme="minorEastAsia"/>
        </w:rPr>
        <w:t>8</w:t>
      </w:r>
      <w:r>
        <w:rPr>
          <w:rFonts w:cs="Times New Roman" w:hAnsiTheme="minorEastAsia" w:eastAsiaTheme="minorEastAsia"/>
        </w:rPr>
        <w:t>大子行业增加值都实现同比增长，且增速都比上年不同程度回升；化工行业累计实现营收和利润分别为</w:t>
      </w:r>
      <w:r>
        <w:rPr>
          <w:rFonts w:cs="Times New Roman" w:eastAsiaTheme="minorEastAsia"/>
        </w:rPr>
        <w:t>8.7</w:t>
      </w:r>
      <w:r>
        <w:rPr>
          <w:rFonts w:cs="Times New Roman" w:hAnsiTheme="minorEastAsia" w:eastAsiaTheme="minorEastAsia"/>
        </w:rPr>
        <w:t>万亿和</w:t>
      </w:r>
      <w:r>
        <w:rPr>
          <w:rFonts w:cs="Times New Roman" w:eastAsiaTheme="minorEastAsia"/>
        </w:rPr>
        <w:t>7932.2</w:t>
      </w:r>
      <w:r>
        <w:rPr>
          <w:rFonts w:cs="Times New Roman" w:hAnsiTheme="minorEastAsia" w:eastAsiaTheme="minorEastAsia"/>
        </w:rPr>
        <w:t>亿元，创历史新高，同比分别增长</w:t>
      </w:r>
      <w:r>
        <w:rPr>
          <w:rFonts w:cs="Times New Roman" w:eastAsiaTheme="minorEastAsia"/>
        </w:rPr>
        <w:t>31.1%</w:t>
      </w:r>
      <w:r>
        <w:rPr>
          <w:rFonts w:cs="Times New Roman" w:hAnsiTheme="minorEastAsia" w:eastAsiaTheme="minorEastAsia"/>
        </w:rPr>
        <w:t>和</w:t>
      </w:r>
      <w:r>
        <w:rPr>
          <w:rFonts w:cs="Times New Roman" w:eastAsiaTheme="minorEastAsia"/>
        </w:rPr>
        <w:t>85.4%</w:t>
      </w:r>
      <w:r>
        <w:rPr>
          <w:rFonts w:cs="Times New Roman" w:hAnsiTheme="minorEastAsia" w:eastAsiaTheme="minorEastAsia"/>
        </w:rPr>
        <w:t>。化工行业中，煤化工亏损扩大，其他子行业均实现盈利，除橡胶制品外，利润同比都实现增长，其中基础化学原料利润增速超过</w:t>
      </w:r>
      <w:r>
        <w:rPr>
          <w:rFonts w:cs="Times New Roman" w:eastAsiaTheme="minorEastAsia"/>
        </w:rPr>
        <w:t>2</w:t>
      </w:r>
      <w:r>
        <w:rPr>
          <w:rFonts w:cs="Times New Roman" w:hAnsiTheme="minorEastAsia" w:eastAsiaTheme="minorEastAsia"/>
        </w:rPr>
        <w:t>倍。化肥和化学矿制造利润增速超过</w:t>
      </w:r>
      <w:r>
        <w:rPr>
          <w:rFonts w:cs="Times New Roman" w:eastAsiaTheme="minorEastAsia"/>
        </w:rPr>
        <w:t>1</w:t>
      </w:r>
      <w:r>
        <w:rPr>
          <w:rFonts w:cs="Times New Roman" w:hAnsiTheme="minorEastAsia" w:eastAsiaTheme="minorEastAsia"/>
        </w:rPr>
        <w:t>倍。</w:t>
      </w:r>
    </w:p>
    <w:p>
      <w:pPr>
        <w:ind w:firstLine="560"/>
        <w:rPr>
          <w:rFonts w:cs="Times New Roman" w:eastAsiaTheme="minorEastAsia"/>
        </w:rPr>
      </w:pPr>
      <w:r>
        <w:rPr>
          <w:rFonts w:cs="Times New Roman" w:hAnsiTheme="minorEastAsia" w:eastAsiaTheme="minorEastAsia"/>
        </w:rPr>
        <w:t>主要产品产量平稳增长。</w:t>
      </w:r>
      <w:r>
        <w:rPr>
          <w:rFonts w:cs="Times New Roman" w:eastAsiaTheme="minorEastAsia"/>
        </w:rPr>
        <w:t>2021</w:t>
      </w:r>
      <w:r>
        <w:rPr>
          <w:rFonts w:cs="Times New Roman" w:hAnsiTheme="minorEastAsia" w:eastAsiaTheme="minorEastAsia"/>
        </w:rPr>
        <w:t>年，我国主要化学品生产总量同比增长约</w:t>
      </w:r>
      <w:r>
        <w:rPr>
          <w:rFonts w:cs="Times New Roman" w:eastAsiaTheme="minorEastAsia"/>
        </w:rPr>
        <w:t>5.7%</w:t>
      </w:r>
      <w:r>
        <w:rPr>
          <w:rFonts w:cs="Times New Roman" w:hAnsiTheme="minorEastAsia" w:eastAsiaTheme="minorEastAsia"/>
        </w:rPr>
        <w:t>，增速较上年加快</w:t>
      </w:r>
      <w:r>
        <w:rPr>
          <w:rFonts w:cs="Times New Roman" w:eastAsiaTheme="minorEastAsia"/>
        </w:rPr>
        <w:t>2.1</w:t>
      </w:r>
      <w:r>
        <w:rPr>
          <w:rFonts w:cs="Times New Roman" w:hAnsiTheme="minorEastAsia" w:eastAsiaTheme="minorEastAsia"/>
        </w:rPr>
        <w:t>个百分点；化工行业产能利用率为</w:t>
      </w:r>
      <w:r>
        <w:rPr>
          <w:rFonts w:cs="Times New Roman" w:eastAsiaTheme="minorEastAsia"/>
        </w:rPr>
        <w:t>78.1%</w:t>
      </w:r>
      <w:r>
        <w:rPr>
          <w:rFonts w:cs="Times New Roman" w:hAnsiTheme="minorEastAsia" w:eastAsiaTheme="minorEastAsia"/>
        </w:rPr>
        <w:t>，同比上升</w:t>
      </w:r>
      <w:r>
        <w:rPr>
          <w:rFonts w:cs="Times New Roman" w:eastAsiaTheme="minorEastAsia"/>
        </w:rPr>
        <w:t>3.6</w:t>
      </w:r>
      <w:r>
        <w:rPr>
          <w:rFonts w:cs="Times New Roman" w:hAnsiTheme="minorEastAsia" w:eastAsiaTheme="minorEastAsia"/>
        </w:rPr>
        <w:t>个百分点。其中基础化学品总量增长约</w:t>
      </w:r>
      <w:r>
        <w:rPr>
          <w:rFonts w:cs="Times New Roman" w:eastAsiaTheme="minorEastAsia"/>
        </w:rPr>
        <w:t>6.7%</w:t>
      </w:r>
      <w:r>
        <w:rPr>
          <w:rFonts w:cs="Times New Roman" w:hAnsiTheme="minorEastAsia" w:eastAsiaTheme="minorEastAsia"/>
        </w:rPr>
        <w:t>，乙烯产量</w:t>
      </w:r>
      <w:r>
        <w:rPr>
          <w:rFonts w:cs="Times New Roman" w:eastAsiaTheme="minorEastAsia"/>
        </w:rPr>
        <w:t>2825.7</w:t>
      </w:r>
      <w:r>
        <w:rPr>
          <w:rFonts w:cs="Times New Roman" w:hAnsiTheme="minorEastAsia" w:eastAsiaTheme="minorEastAsia"/>
        </w:rPr>
        <w:t>万吨，同比增长</w:t>
      </w:r>
      <w:r>
        <w:rPr>
          <w:rFonts w:cs="Times New Roman" w:eastAsiaTheme="minorEastAsia"/>
        </w:rPr>
        <w:t>18.3%</w:t>
      </w:r>
      <w:r>
        <w:rPr>
          <w:rFonts w:cs="Times New Roman" w:hAnsiTheme="minorEastAsia" w:eastAsiaTheme="minorEastAsia"/>
        </w:rPr>
        <w:t>；合成材料总产量增长</w:t>
      </w:r>
      <w:r>
        <w:rPr>
          <w:rFonts w:cs="Times New Roman" w:eastAsiaTheme="minorEastAsia"/>
        </w:rPr>
        <w:t>6.9%</w:t>
      </w:r>
      <w:r>
        <w:rPr>
          <w:rFonts w:cs="Times New Roman" w:hAnsiTheme="minorEastAsia" w:eastAsiaTheme="minorEastAsia"/>
        </w:rPr>
        <w:t>；化肥产量基本持平，总产量（折纯，下同）</w:t>
      </w:r>
      <w:r>
        <w:rPr>
          <w:rFonts w:cs="Times New Roman" w:eastAsiaTheme="minorEastAsia"/>
        </w:rPr>
        <w:t>5446</w:t>
      </w:r>
      <w:r>
        <w:rPr>
          <w:rFonts w:cs="Times New Roman" w:hAnsiTheme="minorEastAsia" w:eastAsiaTheme="minorEastAsia"/>
        </w:rPr>
        <w:t>万吨，同比增长</w:t>
      </w:r>
      <w:r>
        <w:rPr>
          <w:rFonts w:cs="Times New Roman" w:eastAsiaTheme="minorEastAsia"/>
        </w:rPr>
        <w:t>0.8%</w:t>
      </w:r>
      <w:r>
        <w:rPr>
          <w:rFonts w:cs="Times New Roman" w:hAnsiTheme="minorEastAsia" w:eastAsiaTheme="minorEastAsia"/>
        </w:rPr>
        <w:t>，上年为下降</w:t>
      </w:r>
      <w:r>
        <w:rPr>
          <w:rFonts w:cs="Times New Roman" w:eastAsiaTheme="minorEastAsia"/>
        </w:rPr>
        <w:t>0.9%</w:t>
      </w:r>
      <w:r>
        <w:rPr>
          <w:rFonts w:cs="Times New Roman" w:hAnsiTheme="minorEastAsia" w:eastAsiaTheme="minorEastAsia"/>
        </w:rPr>
        <w:t>；农药原药同比增长</w:t>
      </w:r>
      <w:r>
        <w:rPr>
          <w:rFonts w:cs="Times New Roman" w:eastAsiaTheme="minorEastAsia"/>
        </w:rPr>
        <w:t>7.8%</w:t>
      </w:r>
      <w:r>
        <w:rPr>
          <w:rFonts w:cs="Times New Roman" w:hAnsiTheme="minorEastAsia" w:eastAsiaTheme="minorEastAsia"/>
        </w:rPr>
        <w:t>。</w:t>
      </w:r>
    </w:p>
    <w:p>
      <w:pPr>
        <w:ind w:firstLine="560"/>
        <w:rPr>
          <w:rFonts w:cs="Times New Roman" w:eastAsiaTheme="minorEastAsia"/>
        </w:rPr>
      </w:pPr>
      <w:r>
        <w:rPr>
          <w:rFonts w:cs="Times New Roman" w:hAnsiTheme="minorEastAsia" w:eastAsiaTheme="minorEastAsia"/>
        </w:rPr>
        <w:t>价格上涨明显。</w:t>
      </w:r>
      <w:r>
        <w:rPr>
          <w:rFonts w:cs="Times New Roman" w:eastAsiaTheme="minorEastAsia"/>
        </w:rPr>
        <w:t>2021</w:t>
      </w:r>
      <w:r>
        <w:rPr>
          <w:rFonts w:cs="Times New Roman" w:hAnsiTheme="minorEastAsia" w:eastAsiaTheme="minorEastAsia"/>
        </w:rPr>
        <w:t>年，在供需复苏错位、货币总量超发等因素推动下，全球能源和大宗商品价格大幅攀升，国内化工产品价格上涨明显，一些主要大宗化学品价格创历史新高。</w:t>
      </w:r>
      <w:r>
        <w:rPr>
          <w:rFonts w:cs="Times New Roman" w:eastAsiaTheme="minorEastAsia"/>
        </w:rPr>
        <w:t>2021</w:t>
      </w:r>
      <w:r>
        <w:rPr>
          <w:rFonts w:cs="Times New Roman" w:hAnsiTheme="minorEastAsia" w:eastAsiaTheme="minorEastAsia"/>
        </w:rPr>
        <w:t>年，化工产品涨幅大，范围广。在</w:t>
      </w:r>
      <w:r>
        <w:rPr>
          <w:rFonts w:cs="Times New Roman" w:eastAsiaTheme="minorEastAsia"/>
        </w:rPr>
        <w:t>46</w:t>
      </w:r>
      <w:r>
        <w:rPr>
          <w:rFonts w:cs="Times New Roman" w:hAnsiTheme="minorEastAsia" w:eastAsiaTheme="minorEastAsia"/>
        </w:rPr>
        <w:t>种主要无机化学原料中，全年市场均价同比上涨的有</w:t>
      </w:r>
      <w:r>
        <w:rPr>
          <w:rFonts w:cs="Times New Roman" w:eastAsiaTheme="minorEastAsia"/>
        </w:rPr>
        <w:t>39</w:t>
      </w:r>
      <w:r>
        <w:rPr>
          <w:rFonts w:cs="Times New Roman" w:hAnsiTheme="minorEastAsia" w:eastAsiaTheme="minorEastAsia"/>
        </w:rPr>
        <w:t>种，占比</w:t>
      </w:r>
      <w:r>
        <w:rPr>
          <w:rFonts w:cs="Times New Roman" w:eastAsiaTheme="minorEastAsia"/>
        </w:rPr>
        <w:t>84.8%</w:t>
      </w:r>
      <w:r>
        <w:rPr>
          <w:rFonts w:cs="Times New Roman" w:hAnsiTheme="minorEastAsia" w:eastAsiaTheme="minorEastAsia"/>
        </w:rPr>
        <w:t>；在</w:t>
      </w:r>
      <w:r>
        <w:rPr>
          <w:rFonts w:cs="Times New Roman" w:eastAsiaTheme="minorEastAsia"/>
        </w:rPr>
        <w:t>87</w:t>
      </w:r>
      <w:r>
        <w:rPr>
          <w:rFonts w:cs="Times New Roman" w:hAnsiTheme="minorEastAsia" w:eastAsiaTheme="minorEastAsia"/>
        </w:rPr>
        <w:t>种主要有机化学原料中，全年市场均价同比上涨的有</w:t>
      </w:r>
      <w:r>
        <w:rPr>
          <w:rFonts w:cs="Times New Roman" w:eastAsiaTheme="minorEastAsia"/>
        </w:rPr>
        <w:t>80</w:t>
      </w:r>
      <w:r>
        <w:rPr>
          <w:rFonts w:cs="Times New Roman" w:hAnsiTheme="minorEastAsia" w:eastAsiaTheme="minorEastAsia"/>
        </w:rPr>
        <w:t>种，占比</w:t>
      </w:r>
      <w:r>
        <w:rPr>
          <w:rFonts w:cs="Times New Roman" w:eastAsiaTheme="minorEastAsia"/>
        </w:rPr>
        <w:t>92.0%</w:t>
      </w:r>
      <w:r>
        <w:rPr>
          <w:rFonts w:cs="Times New Roman" w:hAnsiTheme="minorEastAsia" w:eastAsiaTheme="minorEastAsia"/>
        </w:rPr>
        <w:t>；在</w:t>
      </w:r>
      <w:r>
        <w:rPr>
          <w:rFonts w:cs="Times New Roman" w:eastAsiaTheme="minorEastAsia"/>
        </w:rPr>
        <w:t>43</w:t>
      </w:r>
      <w:r>
        <w:rPr>
          <w:rFonts w:cs="Times New Roman" w:hAnsiTheme="minorEastAsia" w:eastAsiaTheme="minorEastAsia"/>
        </w:rPr>
        <w:t>种主要合成材料中，全年市场均价同比上涨的有</w:t>
      </w:r>
      <w:r>
        <w:rPr>
          <w:rFonts w:cs="Times New Roman" w:eastAsiaTheme="minorEastAsia"/>
        </w:rPr>
        <w:t>41</w:t>
      </w:r>
      <w:r>
        <w:rPr>
          <w:rFonts w:cs="Times New Roman" w:hAnsiTheme="minorEastAsia" w:eastAsiaTheme="minorEastAsia"/>
        </w:rPr>
        <w:t>种，占比</w:t>
      </w:r>
      <w:r>
        <w:rPr>
          <w:rFonts w:cs="Times New Roman" w:eastAsiaTheme="minorEastAsia"/>
        </w:rPr>
        <w:t>95.3%</w:t>
      </w:r>
      <w:r>
        <w:rPr>
          <w:rFonts w:cs="Times New Roman" w:hAnsiTheme="minorEastAsia" w:eastAsiaTheme="minorEastAsia"/>
        </w:rPr>
        <w:t>；尿素、液氨等氮肥价格创历史新高，磷肥、钾肥、复合肥等价格达到近十年来最高水平；轮胎价格同样受成本推动上涨，但全年来看涨势相对温和。</w:t>
      </w:r>
    </w:p>
    <w:p>
      <w:pPr>
        <w:ind w:firstLine="560"/>
        <w:rPr>
          <w:rFonts w:cs="Times New Roman" w:eastAsiaTheme="minorEastAsia"/>
        </w:rPr>
      </w:pPr>
      <w:r>
        <w:rPr>
          <w:rFonts w:cs="Times New Roman" w:hAnsiTheme="minorEastAsia" w:eastAsiaTheme="minorEastAsia"/>
        </w:rPr>
        <w:t>外贸进出口全年保持强劲增长。</w:t>
      </w:r>
      <w:r>
        <w:rPr>
          <w:rFonts w:cs="Times New Roman" w:eastAsiaTheme="minorEastAsia"/>
        </w:rPr>
        <w:t>2021</w:t>
      </w:r>
      <w:r>
        <w:rPr>
          <w:rFonts w:cs="Times New Roman" w:hAnsiTheme="minorEastAsia" w:eastAsiaTheme="minorEastAsia"/>
        </w:rPr>
        <w:t>年，我国石油和化工行业对外贸易持续高速增长，进出口总额创历史新高。海关数据显示，全行业进出口总额</w:t>
      </w:r>
      <w:r>
        <w:rPr>
          <w:rFonts w:cs="Times New Roman" w:eastAsiaTheme="minorEastAsia"/>
        </w:rPr>
        <w:t>8600.8</w:t>
      </w:r>
      <w:r>
        <w:rPr>
          <w:rFonts w:cs="Times New Roman" w:hAnsiTheme="minorEastAsia" w:eastAsiaTheme="minorEastAsia"/>
        </w:rPr>
        <w:t>亿美元，占全国进出口总额的</w:t>
      </w:r>
      <w:r>
        <w:rPr>
          <w:rFonts w:cs="Times New Roman" w:eastAsiaTheme="minorEastAsia"/>
        </w:rPr>
        <w:t>14.2%</w:t>
      </w:r>
      <w:r>
        <w:rPr>
          <w:rFonts w:cs="Times New Roman" w:hAnsiTheme="minorEastAsia" w:eastAsiaTheme="minorEastAsia"/>
        </w:rPr>
        <w:t>，同比增长</w:t>
      </w:r>
      <w:r>
        <w:rPr>
          <w:rFonts w:cs="Times New Roman" w:eastAsiaTheme="minorEastAsia"/>
        </w:rPr>
        <w:t>38.7%</w:t>
      </w:r>
      <w:r>
        <w:rPr>
          <w:rFonts w:cs="Times New Roman" w:hAnsiTheme="minorEastAsia" w:eastAsiaTheme="minorEastAsia"/>
        </w:rPr>
        <w:t>。其中，出口总额</w:t>
      </w:r>
      <w:r>
        <w:rPr>
          <w:rFonts w:cs="Times New Roman" w:eastAsiaTheme="minorEastAsia"/>
        </w:rPr>
        <w:t>2955.5</w:t>
      </w:r>
      <w:r>
        <w:rPr>
          <w:rFonts w:cs="Times New Roman" w:hAnsiTheme="minorEastAsia" w:eastAsiaTheme="minorEastAsia"/>
        </w:rPr>
        <w:t>亿美元，增长</w:t>
      </w:r>
      <w:r>
        <w:rPr>
          <w:rFonts w:cs="Times New Roman" w:eastAsiaTheme="minorEastAsia"/>
        </w:rPr>
        <w:t>41.8%</w:t>
      </w:r>
      <w:r>
        <w:rPr>
          <w:rFonts w:cs="Times New Roman" w:hAnsiTheme="minorEastAsia" w:eastAsiaTheme="minorEastAsia"/>
        </w:rPr>
        <w:t>；进口总额</w:t>
      </w:r>
      <w:r>
        <w:rPr>
          <w:rFonts w:cs="Times New Roman" w:eastAsiaTheme="minorEastAsia"/>
        </w:rPr>
        <w:t>5645.4</w:t>
      </w:r>
      <w:r>
        <w:rPr>
          <w:rFonts w:cs="Times New Roman" w:hAnsiTheme="minorEastAsia" w:eastAsiaTheme="minorEastAsia"/>
        </w:rPr>
        <w:t>亿美元，增长</w:t>
      </w:r>
      <w:r>
        <w:rPr>
          <w:rFonts w:cs="Times New Roman" w:eastAsiaTheme="minorEastAsia"/>
        </w:rPr>
        <w:t>37.1%</w:t>
      </w:r>
      <w:r>
        <w:rPr>
          <w:rFonts w:cs="Times New Roman" w:hAnsiTheme="minorEastAsia" w:eastAsiaTheme="minorEastAsia"/>
        </w:rPr>
        <w:t>；贸易逆差</w:t>
      </w:r>
      <w:r>
        <w:rPr>
          <w:rFonts w:cs="Times New Roman" w:eastAsiaTheme="minorEastAsia"/>
        </w:rPr>
        <w:t>2689.9</w:t>
      </w:r>
      <w:r>
        <w:rPr>
          <w:rFonts w:cs="Times New Roman" w:hAnsiTheme="minorEastAsia" w:eastAsiaTheme="minorEastAsia"/>
        </w:rPr>
        <w:t>亿美元，增长</w:t>
      </w:r>
      <w:r>
        <w:rPr>
          <w:rFonts w:cs="Times New Roman" w:eastAsiaTheme="minorEastAsia"/>
        </w:rPr>
        <w:t>32.3%</w:t>
      </w:r>
      <w:r>
        <w:rPr>
          <w:rFonts w:cs="Times New Roman" w:hAnsiTheme="minorEastAsia" w:eastAsiaTheme="minorEastAsia"/>
        </w:rPr>
        <w:t>。外贸结构优化，有机化学品和合成材料进口下降，出口大增，净进口量下降明显。</w:t>
      </w:r>
      <w:r>
        <w:rPr>
          <w:rFonts w:cs="Times New Roman" w:eastAsiaTheme="minorEastAsia"/>
        </w:rPr>
        <w:t>2021</w:t>
      </w:r>
      <w:r>
        <w:rPr>
          <w:rFonts w:cs="Times New Roman" w:hAnsiTheme="minorEastAsia" w:eastAsiaTheme="minorEastAsia"/>
        </w:rPr>
        <w:t>年，有机化学品进口量同比下降</w:t>
      </w:r>
      <w:r>
        <w:rPr>
          <w:rFonts w:cs="Times New Roman" w:eastAsiaTheme="minorEastAsia"/>
        </w:rPr>
        <w:t>13.7%</w:t>
      </w:r>
      <w:r>
        <w:rPr>
          <w:rFonts w:cs="Times New Roman" w:hAnsiTheme="minorEastAsia" w:eastAsiaTheme="minorEastAsia"/>
        </w:rPr>
        <w:t>，出口量同比增长</w:t>
      </w:r>
      <w:r>
        <w:rPr>
          <w:rFonts w:cs="Times New Roman" w:eastAsiaTheme="minorEastAsia"/>
        </w:rPr>
        <w:t>30.1%</w:t>
      </w:r>
      <w:r>
        <w:rPr>
          <w:rFonts w:cs="Times New Roman" w:hAnsiTheme="minorEastAsia" w:eastAsiaTheme="minorEastAsia"/>
        </w:rPr>
        <w:t>，净进口量</w:t>
      </w:r>
      <w:r>
        <w:rPr>
          <w:rFonts w:cs="Times New Roman" w:eastAsiaTheme="minorEastAsia"/>
        </w:rPr>
        <w:t>4200.8</w:t>
      </w:r>
      <w:r>
        <w:rPr>
          <w:rFonts w:cs="Times New Roman" w:hAnsiTheme="minorEastAsia" w:eastAsiaTheme="minorEastAsia"/>
        </w:rPr>
        <w:t>万吨，同比下降</w:t>
      </w:r>
      <w:r>
        <w:rPr>
          <w:rFonts w:cs="Times New Roman" w:eastAsiaTheme="minorEastAsia"/>
        </w:rPr>
        <w:t>26.4%</w:t>
      </w:r>
      <w:r>
        <w:rPr>
          <w:rFonts w:cs="Times New Roman" w:hAnsiTheme="minorEastAsia" w:eastAsiaTheme="minorEastAsia"/>
        </w:rPr>
        <w:t>；合成材料进口量同比下降</w:t>
      </w:r>
      <w:r>
        <w:rPr>
          <w:rFonts w:cs="Times New Roman" w:eastAsiaTheme="minorEastAsia"/>
        </w:rPr>
        <w:t>18%</w:t>
      </w:r>
      <w:r>
        <w:rPr>
          <w:rFonts w:cs="Times New Roman" w:hAnsiTheme="minorEastAsia" w:eastAsiaTheme="minorEastAsia"/>
        </w:rPr>
        <w:t>，出口量同比增长</w:t>
      </w:r>
      <w:r>
        <w:rPr>
          <w:rFonts w:cs="Times New Roman" w:eastAsiaTheme="minorEastAsia"/>
        </w:rPr>
        <w:t>68.1%</w:t>
      </w:r>
      <w:r>
        <w:rPr>
          <w:rFonts w:cs="Times New Roman" w:hAnsiTheme="minorEastAsia" w:eastAsiaTheme="minorEastAsia"/>
        </w:rPr>
        <w:t>，净进口量</w:t>
      </w:r>
      <w:r>
        <w:rPr>
          <w:rFonts w:cs="Times New Roman" w:eastAsiaTheme="minorEastAsia"/>
        </w:rPr>
        <w:t>2820.9</w:t>
      </w:r>
      <w:r>
        <w:rPr>
          <w:rFonts w:cs="Times New Roman" w:hAnsiTheme="minorEastAsia" w:eastAsiaTheme="minorEastAsia"/>
        </w:rPr>
        <w:t>万吨，同比下降</w:t>
      </w:r>
      <w:r>
        <w:rPr>
          <w:rFonts w:cs="Times New Roman" w:eastAsiaTheme="minorEastAsia"/>
        </w:rPr>
        <w:t>39.1%</w:t>
      </w:r>
      <w:r>
        <w:rPr>
          <w:rFonts w:cs="Times New Roman" w:hAnsiTheme="minorEastAsia" w:eastAsiaTheme="minorEastAsia"/>
        </w:rPr>
        <w:t>。</w:t>
      </w:r>
    </w:p>
    <w:p>
      <w:pPr>
        <w:ind w:firstLine="560"/>
        <w:rPr>
          <w:rFonts w:cs="Times New Roman" w:hAnsiTheme="minorEastAsia" w:eastAsiaTheme="minorEastAsia"/>
        </w:rPr>
      </w:pPr>
      <w:r>
        <w:rPr>
          <w:rFonts w:cs="Times New Roman" w:hAnsiTheme="minorEastAsia" w:eastAsiaTheme="minorEastAsia"/>
        </w:rPr>
        <w:t>投资恢复全面增长态势。</w:t>
      </w:r>
      <w:r>
        <w:rPr>
          <w:rFonts w:cs="Times New Roman" w:eastAsiaTheme="minorEastAsia"/>
        </w:rPr>
        <w:t>2021</w:t>
      </w:r>
      <w:r>
        <w:rPr>
          <w:rFonts w:cs="Times New Roman" w:hAnsiTheme="minorEastAsia" w:eastAsiaTheme="minorEastAsia"/>
        </w:rPr>
        <w:t>年，化学原料和化学制品制造业完成投资同比增长</w:t>
      </w:r>
      <w:r>
        <w:rPr>
          <w:rFonts w:cs="Times New Roman" w:eastAsiaTheme="minorEastAsia"/>
        </w:rPr>
        <w:t>15.7%</w:t>
      </w:r>
      <w:r>
        <w:rPr>
          <w:rFonts w:cs="Times New Roman" w:hAnsiTheme="minorEastAsia" w:eastAsiaTheme="minorEastAsia"/>
        </w:rPr>
        <w:t>，上年为下降</w:t>
      </w:r>
      <w:r>
        <w:rPr>
          <w:rFonts w:cs="Times New Roman" w:eastAsiaTheme="minorEastAsia"/>
        </w:rPr>
        <w:t>1.2%</w:t>
      </w:r>
      <w:r>
        <w:rPr>
          <w:rFonts w:cs="Times New Roman" w:hAnsiTheme="minorEastAsia" w:eastAsiaTheme="minorEastAsia"/>
        </w:rPr>
        <w:t>；石油、煤炭及其他燃料加工业完成投资同比增长</w:t>
      </w:r>
      <w:r>
        <w:rPr>
          <w:rFonts w:cs="Times New Roman" w:eastAsiaTheme="minorEastAsia"/>
        </w:rPr>
        <w:t>8.0%</w:t>
      </w:r>
      <w:r>
        <w:rPr>
          <w:rFonts w:cs="Times New Roman" w:hAnsiTheme="minorEastAsia" w:eastAsiaTheme="minorEastAsia"/>
        </w:rPr>
        <w:t>，较上年回落</w:t>
      </w:r>
      <w:r>
        <w:rPr>
          <w:rFonts w:cs="Times New Roman" w:eastAsiaTheme="minorEastAsia"/>
        </w:rPr>
        <w:t>1.4</w:t>
      </w:r>
      <w:r>
        <w:rPr>
          <w:rFonts w:cs="Times New Roman" w:hAnsiTheme="minorEastAsia" w:eastAsiaTheme="minorEastAsia"/>
        </w:rPr>
        <w:t>个百分点。</w:t>
      </w:r>
      <w:r>
        <w:rPr>
          <w:rFonts w:cs="Times New Roman" w:eastAsiaTheme="minorEastAsia"/>
        </w:rPr>
        <w:t>2021</w:t>
      </w:r>
      <w:r>
        <w:rPr>
          <w:rFonts w:cs="Times New Roman" w:hAnsiTheme="minorEastAsia" w:eastAsiaTheme="minorEastAsia"/>
        </w:rPr>
        <w:t>年，全国工业投资同比增长</w:t>
      </w:r>
      <w:r>
        <w:rPr>
          <w:rFonts w:cs="Times New Roman" w:eastAsiaTheme="minorEastAsia"/>
        </w:rPr>
        <w:t>11.4%</w:t>
      </w:r>
      <w:r>
        <w:rPr>
          <w:rFonts w:cs="Times New Roman" w:hAnsiTheme="minorEastAsia" w:eastAsiaTheme="minorEastAsia"/>
        </w:rPr>
        <w:t>，比上年加快</w:t>
      </w:r>
      <w:r>
        <w:rPr>
          <w:rFonts w:cs="Times New Roman" w:eastAsiaTheme="minorEastAsia"/>
        </w:rPr>
        <w:t>11.3</w:t>
      </w:r>
      <w:r>
        <w:rPr>
          <w:rFonts w:cs="Times New Roman" w:hAnsiTheme="minorEastAsia" w:eastAsiaTheme="minorEastAsia"/>
        </w:rPr>
        <w:t>个百分点，化工投资增速超出全国工业平均水平。</w:t>
      </w:r>
    </w:p>
    <w:p>
      <w:pPr>
        <w:pStyle w:val="2"/>
        <w:ind w:firstLine="560"/>
        <w:rPr>
          <w:rFonts w:cs="Times New Roman" w:eastAsiaTheme="minorEastAsia"/>
        </w:rPr>
      </w:pPr>
      <w:r>
        <w:rPr>
          <w:rFonts w:cs="Times New Roman" w:eastAsiaTheme="minorEastAsia"/>
        </w:rPr>
        <w:t xml:space="preserve">3.1.1.3 </w:t>
      </w:r>
      <w:r>
        <w:rPr>
          <w:rFonts w:hint="eastAsia" w:cs="Times New Roman" w:eastAsiaTheme="minorEastAsia"/>
        </w:rPr>
        <w:t>省</w:t>
      </w:r>
      <w:r>
        <w:rPr>
          <w:rFonts w:cs="Times New Roman" w:eastAsiaTheme="minorEastAsia"/>
        </w:rPr>
        <w:t>内化工</w:t>
      </w:r>
      <w:r>
        <w:rPr>
          <w:rFonts w:cs="Times New Roman" w:hAnsiTheme="minorEastAsia" w:eastAsiaTheme="minorEastAsia"/>
        </w:rPr>
        <w:t>行业运行情况</w:t>
      </w:r>
    </w:p>
    <w:p>
      <w:pPr>
        <w:ind w:firstLine="560"/>
      </w:pPr>
      <w:r>
        <w:rPr>
          <w:rFonts w:hint="eastAsia"/>
        </w:rPr>
        <w:t>贵州省依托丰富的磷、煤、重晶石、锰矿、汞等矿产资源，经过多年的发展，已经初步形成了以磷化工、煤化工、钡盐、汞回收、橡胶加工等为主体的产业基础，其中磷化工产业在国际国内具有重要影响，为国内磷化工行业发展做出重要贡献；煤化工产业在我国南方地区具有重要地位，煤气化装置在国内处于领先水平；钡盐、汞回收和橡胶加工是贵州省特色化工产业，产业规模均位居全国前列。贵州省化工产业已经形成了以磷矿采选、磷酸、磷肥、合成氨、乙二醇、醇醚、钡盐及其下游加工系列产品为主的产品结构体系。近年来，贵州省化工产业保持平稳增长态势，产业规模和效益不断提升，综合实力显著增强。其中，湿法净化磷酸生产规模及市场占有率居全国第一；从磷矿加工过程中回收碘、氟资源加工无水氟化氢技术为世界首创，生产规模全国第一；磷肥产量位居全国第二。</w:t>
      </w:r>
    </w:p>
    <w:p>
      <w:pPr>
        <w:ind w:firstLine="560"/>
      </w:pPr>
      <w:r>
        <w:rPr>
          <w:rFonts w:hint="eastAsia"/>
        </w:rPr>
        <w:t>贵州省煤化工产业经</w:t>
      </w:r>
      <w:r>
        <w:t>多年发展，</w:t>
      </w:r>
      <w:r>
        <w:rPr>
          <w:rFonts w:hint="eastAsia"/>
        </w:rPr>
        <w:t>具备了较好的产业基础，形成了以煤焦化、煤制合成氨、尿素等为主的传统煤化工产业体系，初步形成了以煤制乙二醇、煤制甲醇等为重点的现代煤化工产业体系。现有煤化工企业主要分布在六盘水、毕节和黔西南等地。同时，为配套化肥产业发展，开阳县、息烽县、桐梓县、福泉市等地布局有较大规模合成氨生产企业。据统计，2021年，全省规模以上煤化工企业完成总产值253.88亿元，同比增长31.21%，占全省规模以上现代化工企业总产值的21.36%，实现利润8.84亿元，完成税收5.43亿元，规模以上煤化工企业61个，用工人数1.21万人。煤化工已成为贵州省化工行业的重要支柱。</w:t>
      </w:r>
    </w:p>
    <w:p>
      <w:pPr>
        <w:pStyle w:val="2"/>
        <w:ind w:firstLine="560"/>
        <w:rPr>
          <w:rFonts w:cs="Times New Roman" w:eastAsiaTheme="minorEastAsia"/>
        </w:rPr>
      </w:pPr>
      <w:r>
        <w:rPr>
          <w:rFonts w:cs="Times New Roman" w:eastAsiaTheme="minorEastAsia"/>
        </w:rPr>
        <w:t xml:space="preserve">3.1.1.4 </w:t>
      </w:r>
      <w:r>
        <w:rPr>
          <w:rFonts w:cs="Times New Roman" w:hAnsiTheme="minorEastAsia" w:eastAsiaTheme="minorEastAsia"/>
        </w:rPr>
        <w:t>产业布局及结构调整</w:t>
      </w:r>
    </w:p>
    <w:p>
      <w:pPr>
        <w:ind w:firstLine="560"/>
        <w:rPr>
          <w:rFonts w:cs="Times New Roman" w:eastAsiaTheme="minorEastAsia"/>
        </w:rPr>
      </w:pPr>
      <w:r>
        <w:rPr>
          <w:rFonts w:cs="Times New Roman" w:eastAsiaTheme="minorEastAsia"/>
        </w:rPr>
        <w:t>“</w:t>
      </w:r>
      <w:r>
        <w:rPr>
          <w:rFonts w:cs="Times New Roman" w:hAnsiTheme="minorEastAsia" w:eastAsiaTheme="minorEastAsia"/>
        </w:rPr>
        <w:t>十三五</w:t>
      </w:r>
      <w:r>
        <w:rPr>
          <w:rFonts w:cs="Times New Roman" w:eastAsiaTheme="minorEastAsia"/>
        </w:rPr>
        <w:t>”</w:t>
      </w:r>
      <w:r>
        <w:rPr>
          <w:rFonts w:cs="Times New Roman" w:hAnsiTheme="minorEastAsia" w:eastAsiaTheme="minorEastAsia"/>
        </w:rPr>
        <w:t>以来，我国化工行业产业布局结构调整成果显著。传统煤化工布局分散状况得到改善，现代煤化工产业向资源地集中；原料产地化肥比重提高到</w:t>
      </w:r>
      <w:r>
        <w:rPr>
          <w:rFonts w:cs="Times New Roman" w:eastAsiaTheme="minorEastAsia"/>
        </w:rPr>
        <w:t>70%</w:t>
      </w:r>
      <w:r>
        <w:rPr>
          <w:rFonts w:cs="Times New Roman" w:hAnsiTheme="minorEastAsia" w:eastAsiaTheme="minorEastAsia"/>
        </w:rPr>
        <w:t>，专用化肥等深加工产品和精细化学品向消费地集中；从地域分布看，山东、江苏、广东、浙江、上海、福建等沿海六省市的化工行业产值占全国化工行业总产值的一半以上。中部、西北和西南地区依靠资源优势，在本地企业持续壮大的同时，积极吸引东部地区企业产业转移，化工产业迅速发展，整体增速超过全国平均水平，在全国的地位显著上升。</w:t>
      </w:r>
    </w:p>
    <w:p>
      <w:pPr>
        <w:ind w:firstLine="560"/>
        <w:rPr>
          <w:rFonts w:cs="Times New Roman" w:eastAsiaTheme="minorEastAsia"/>
        </w:rPr>
      </w:pPr>
      <w:r>
        <w:rPr>
          <w:rFonts w:cs="Times New Roman" w:hAnsiTheme="minorEastAsia" w:eastAsiaTheme="minorEastAsia"/>
        </w:rPr>
        <w:t>近年来，我国化工行业结构调整逐步加快。新型材料、专用化学品、精细化学品等附加值较高的行业引领增长。其中，新型材料、专用化学品制造、涂（颜）料制造业增速明显高于其它行业。基础化学原料增速明显放缓。部分行业产品结构进一步优化。安全环保方面监管趋严，城镇人口密集区高风险危险化学品生产企业搬迁改造加速，化工生产企业进入化工园区的比例进一步提升。</w:t>
      </w:r>
    </w:p>
    <w:p>
      <w:pPr>
        <w:pStyle w:val="2"/>
        <w:ind w:firstLine="560"/>
        <w:rPr>
          <w:rFonts w:cs="Times New Roman" w:eastAsiaTheme="minorEastAsia"/>
        </w:rPr>
      </w:pPr>
      <w:r>
        <w:rPr>
          <w:rFonts w:cs="Times New Roman" w:eastAsiaTheme="minorEastAsia"/>
        </w:rPr>
        <w:t xml:space="preserve">3.1.3.5 </w:t>
      </w:r>
      <w:r>
        <w:rPr>
          <w:rFonts w:cs="Times New Roman" w:hAnsiTheme="minorEastAsia" w:eastAsiaTheme="minorEastAsia"/>
        </w:rPr>
        <w:t>面临的形势</w:t>
      </w:r>
    </w:p>
    <w:p>
      <w:pPr>
        <w:ind w:firstLine="560"/>
        <w:rPr>
          <w:rFonts w:cs="Times New Roman" w:eastAsiaTheme="minorEastAsia"/>
        </w:rPr>
      </w:pPr>
      <w:r>
        <w:rPr>
          <w:rFonts w:cs="Times New Roman" w:hAnsiTheme="minorEastAsia" w:eastAsiaTheme="minorEastAsia"/>
        </w:rPr>
        <w:t>化学工业投资大、产品链长，受新冠疫情和原材料大幅度波动的影响更为突出。突出表现在以下方面：</w:t>
      </w:r>
    </w:p>
    <w:p>
      <w:pPr>
        <w:ind w:firstLine="560"/>
        <w:rPr>
          <w:rFonts w:cs="Times New Roman" w:eastAsiaTheme="minorEastAsia"/>
        </w:rPr>
      </w:pPr>
      <w:r>
        <w:rPr>
          <w:rFonts w:cs="Times New Roman" w:hAnsiTheme="minorEastAsia" w:eastAsiaTheme="minorEastAsia"/>
        </w:rPr>
        <w:t>一是金融系统性风险加大。世界银行、联合国、国际货币基金组织等国际权威机构发布的报告显示，</w:t>
      </w:r>
      <w:r>
        <w:rPr>
          <w:rFonts w:cs="Times New Roman" w:eastAsiaTheme="minorEastAsia"/>
        </w:rPr>
        <w:t>2020</w:t>
      </w:r>
      <w:r>
        <w:rPr>
          <w:rFonts w:cs="Times New Roman" w:hAnsiTheme="minorEastAsia" w:eastAsiaTheme="minorEastAsia"/>
        </w:rPr>
        <w:t>年全球经济增速为</w:t>
      </w:r>
      <w:r>
        <w:rPr>
          <w:rFonts w:cs="Times New Roman" w:eastAsiaTheme="minorEastAsia"/>
        </w:rPr>
        <w:t>10</w:t>
      </w:r>
      <w:r>
        <w:rPr>
          <w:rFonts w:cs="Times New Roman" w:hAnsiTheme="minorEastAsia" w:eastAsiaTheme="minorEastAsia"/>
        </w:rPr>
        <w:t>年来最低，目前处于十年制造业的低位，同时受疫情影响的叠加效应，可用的金融工具调节空间不大，导致金融系统性风险加大。</w:t>
      </w:r>
    </w:p>
    <w:p>
      <w:pPr>
        <w:ind w:firstLine="560"/>
        <w:rPr>
          <w:rFonts w:cs="Times New Roman" w:eastAsiaTheme="minorEastAsia"/>
        </w:rPr>
      </w:pPr>
      <w:r>
        <w:rPr>
          <w:rFonts w:cs="Times New Roman" w:hAnsiTheme="minorEastAsia" w:eastAsiaTheme="minorEastAsia"/>
        </w:rPr>
        <w:t>二是地缘政治面临严峻挑战。贸易摩擦仍将持续。美国利用种种手段扼制中国发展的势头愈燃愈烈，短期内问题很难解决；美欧仍在僵持之中；一些深层次问题难以化解。俄罗斯和乌克兰战争使各方矛盾进一步激化。化工行业作为全球配置资源和市场的行业，地缘政治将极大影响行业的发展。</w:t>
      </w:r>
    </w:p>
    <w:p>
      <w:pPr>
        <w:ind w:firstLine="560"/>
        <w:rPr>
          <w:rFonts w:cs="Times New Roman" w:eastAsiaTheme="minorEastAsia"/>
        </w:rPr>
      </w:pPr>
      <w:r>
        <w:rPr>
          <w:rFonts w:cs="Times New Roman" w:hAnsiTheme="minorEastAsia" w:eastAsiaTheme="minorEastAsia"/>
        </w:rPr>
        <w:t>三是我国化工行业处于行业调整恢复阶段。从行业周期来看，</w:t>
      </w:r>
      <w:r>
        <w:rPr>
          <w:rFonts w:cs="Times New Roman" w:eastAsiaTheme="minorEastAsia"/>
        </w:rPr>
        <w:t>“</w:t>
      </w:r>
      <w:r>
        <w:rPr>
          <w:rFonts w:cs="Times New Roman" w:hAnsiTheme="minorEastAsia" w:eastAsiaTheme="minorEastAsia"/>
        </w:rPr>
        <w:t>十四五</w:t>
      </w:r>
      <w:r>
        <w:rPr>
          <w:rFonts w:cs="Times New Roman" w:eastAsiaTheme="minorEastAsia"/>
        </w:rPr>
        <w:t>”</w:t>
      </w:r>
      <w:r>
        <w:rPr>
          <w:rFonts w:cs="Times New Roman" w:hAnsiTheme="minorEastAsia" w:eastAsiaTheme="minorEastAsia"/>
        </w:rPr>
        <w:t>将是我国化工行业的恢复增长阶段，</w:t>
      </w:r>
      <w:r>
        <w:rPr>
          <w:rFonts w:cs="Times New Roman" w:eastAsiaTheme="minorEastAsia"/>
        </w:rPr>
        <w:t>2021</w:t>
      </w:r>
      <w:r>
        <w:rPr>
          <w:rFonts w:cs="Times New Roman" w:hAnsiTheme="minorEastAsia" w:eastAsiaTheme="minorEastAsia"/>
        </w:rPr>
        <w:t>年主要化学品市场价格大幅波动，导致化工行业效益波动。疫情对消费的影响逐步向化工行业蔓延，同时全球经济系统性风险的叠加效应，化工行业受到较大影响。</w:t>
      </w:r>
    </w:p>
    <w:p>
      <w:pPr>
        <w:pStyle w:val="2"/>
        <w:ind w:firstLine="560"/>
        <w:rPr>
          <w:rFonts w:cs="Times New Roman" w:eastAsiaTheme="minorEastAsia"/>
        </w:rPr>
      </w:pPr>
      <w:r>
        <w:rPr>
          <w:rFonts w:cs="Times New Roman" w:eastAsiaTheme="minorEastAsia"/>
        </w:rPr>
        <w:t xml:space="preserve">3.1.1.6 </w:t>
      </w:r>
      <w:r>
        <w:rPr>
          <w:rFonts w:cs="Times New Roman" w:hAnsiTheme="minorEastAsia" w:eastAsiaTheme="minorEastAsia"/>
        </w:rPr>
        <w:t>存在主要问题</w:t>
      </w:r>
    </w:p>
    <w:p>
      <w:pPr>
        <w:ind w:firstLine="560"/>
        <w:rPr>
          <w:rFonts w:cs="Times New Roman" w:eastAsiaTheme="minorEastAsia"/>
        </w:rPr>
      </w:pPr>
      <w:r>
        <w:rPr>
          <w:rFonts w:cs="Times New Roman" w:hAnsiTheme="minorEastAsia" w:eastAsiaTheme="minorEastAsia"/>
        </w:rPr>
        <w:t>化工行业除了面临宏观经济的共性矛盾外，还要面对行业自身的特殊困难，集中体现以下方面。</w:t>
      </w:r>
    </w:p>
    <w:p>
      <w:pPr>
        <w:ind w:firstLine="560"/>
        <w:rPr>
          <w:rFonts w:cs="Times New Roman" w:eastAsiaTheme="minorEastAsia"/>
        </w:rPr>
      </w:pPr>
      <w:r>
        <w:rPr>
          <w:rFonts w:hAnsi="MS Mincho" w:eastAsia="MS Mincho" w:cs="Times New Roman"/>
        </w:rPr>
        <w:t>➢</w:t>
      </w:r>
      <w:r>
        <w:rPr>
          <w:rFonts w:cs="Times New Roman"/>
        </w:rPr>
        <w:t></w:t>
      </w:r>
      <w:r>
        <w:rPr>
          <w:rFonts w:cs="Times New Roman" w:hAnsiTheme="minorEastAsia" w:eastAsiaTheme="minorEastAsia"/>
        </w:rPr>
        <w:t>结构性矛盾十分突出</w:t>
      </w:r>
    </w:p>
    <w:p>
      <w:pPr>
        <w:ind w:firstLine="560"/>
        <w:rPr>
          <w:rFonts w:cs="Times New Roman" w:eastAsiaTheme="minorEastAsia"/>
        </w:rPr>
      </w:pPr>
      <w:r>
        <w:rPr>
          <w:rFonts w:cs="Times New Roman" w:hAnsiTheme="minorEastAsia" w:eastAsiaTheme="minorEastAsia"/>
        </w:rPr>
        <w:t>化工行业的供大于求是结构性过剩。结构性矛盾突出表现在三个方面：</w:t>
      </w:r>
    </w:p>
    <w:p>
      <w:pPr>
        <w:ind w:firstLine="560"/>
        <w:rPr>
          <w:rFonts w:cs="Times New Roman" w:eastAsiaTheme="minorEastAsia"/>
        </w:rPr>
      </w:pPr>
      <w:r>
        <w:rPr>
          <w:rFonts w:cs="Times New Roman" w:hAnsiTheme="minorEastAsia" w:eastAsiaTheme="minorEastAsia"/>
        </w:rPr>
        <w:t>（</w:t>
      </w:r>
      <w:r>
        <w:rPr>
          <w:rFonts w:cs="Times New Roman" w:eastAsiaTheme="minorEastAsia"/>
        </w:rPr>
        <w:t>1</w:t>
      </w:r>
      <w:r>
        <w:rPr>
          <w:rFonts w:cs="Times New Roman" w:hAnsiTheme="minorEastAsia" w:eastAsiaTheme="minorEastAsia"/>
        </w:rPr>
        <w:t>）行业贸易逆差十分严重。</w:t>
      </w:r>
      <w:r>
        <w:rPr>
          <w:rFonts w:cs="Times New Roman" w:eastAsiaTheme="minorEastAsia"/>
        </w:rPr>
        <w:t>2020</w:t>
      </w:r>
      <w:r>
        <w:rPr>
          <w:rFonts w:cs="Times New Roman" w:hAnsiTheme="minorEastAsia" w:eastAsiaTheme="minorEastAsia"/>
        </w:rPr>
        <w:t>年以来，贸易逆差加大，国内市场仍有着巨大的产品需求，只是行业供给能力出现了问题。（</w:t>
      </w:r>
      <w:r>
        <w:rPr>
          <w:rFonts w:cs="Times New Roman" w:eastAsiaTheme="minorEastAsia"/>
        </w:rPr>
        <w:t>2</w:t>
      </w:r>
      <w:r>
        <w:rPr>
          <w:rFonts w:cs="Times New Roman" w:hAnsiTheme="minorEastAsia" w:eastAsiaTheme="minorEastAsia"/>
        </w:rPr>
        <w:t>）基础产业产能过剩的矛盾十分突出。化肥、烧碱、纯碱、轮胎、电石等行业企业多，推进绿色发展的工作十分艰巨。（</w:t>
      </w:r>
      <w:r>
        <w:rPr>
          <w:rFonts w:cs="Times New Roman" w:eastAsiaTheme="minorEastAsia"/>
        </w:rPr>
        <w:t>3</w:t>
      </w:r>
      <w:r>
        <w:rPr>
          <w:rFonts w:cs="Times New Roman" w:hAnsiTheme="minorEastAsia" w:eastAsiaTheme="minorEastAsia"/>
        </w:rPr>
        <w:t>）企业和行业创新能力还十分薄弱。目前制约行业转型升级的主要是创新能力薄弱，而创新能力提升又不可能一蹴而就，必须循序渐进。</w:t>
      </w:r>
    </w:p>
    <w:p>
      <w:pPr>
        <w:ind w:firstLine="560"/>
        <w:rPr>
          <w:rFonts w:cs="Times New Roman" w:eastAsiaTheme="minorEastAsia"/>
        </w:rPr>
      </w:pPr>
      <w:r>
        <w:rPr>
          <w:rFonts w:cs="Times New Roman" w:hAnsiTheme="minorEastAsia" w:eastAsiaTheme="minorEastAsia"/>
        </w:rPr>
        <w:t>（</w:t>
      </w:r>
      <w:r>
        <w:rPr>
          <w:rFonts w:cs="Times New Roman" w:eastAsiaTheme="minorEastAsia"/>
        </w:rPr>
        <w:t>2</w:t>
      </w:r>
      <w:r>
        <w:rPr>
          <w:rFonts w:cs="Times New Roman" w:hAnsiTheme="minorEastAsia" w:eastAsiaTheme="minorEastAsia"/>
        </w:rPr>
        <w:t>）大部分基础产业供大于求的矛盾十分突出，部分产品国内供应能力不足。化肥、烧碱、纯碱、轮胎、电石等行业企业量大人多，</w:t>
      </w:r>
      <w:r>
        <w:rPr>
          <w:rFonts w:cs="Times New Roman" w:eastAsiaTheme="minorEastAsia"/>
        </w:rPr>
        <w:t>“</w:t>
      </w:r>
      <w:r>
        <w:rPr>
          <w:rFonts w:cs="Times New Roman" w:hAnsiTheme="minorEastAsia" w:eastAsiaTheme="minorEastAsia"/>
        </w:rPr>
        <w:t>僵尸</w:t>
      </w:r>
      <w:r>
        <w:rPr>
          <w:rFonts w:cs="Times New Roman" w:eastAsiaTheme="minorEastAsia"/>
        </w:rPr>
        <w:t>”</w:t>
      </w:r>
      <w:r>
        <w:rPr>
          <w:rFonts w:cs="Times New Roman" w:hAnsiTheme="minorEastAsia" w:eastAsiaTheme="minorEastAsia"/>
        </w:rPr>
        <w:t>企业多、控制发展总量的难度大，化解供大于求矛盾的工作十分艰巨。</w:t>
      </w:r>
    </w:p>
    <w:p>
      <w:pPr>
        <w:ind w:firstLine="560"/>
        <w:rPr>
          <w:rFonts w:cs="Times New Roman" w:eastAsiaTheme="minorEastAsia"/>
        </w:rPr>
      </w:pPr>
      <w:r>
        <w:rPr>
          <w:rFonts w:cs="Times New Roman" w:hAnsiTheme="minorEastAsia" w:eastAsiaTheme="minorEastAsia"/>
        </w:rPr>
        <w:t>（</w:t>
      </w:r>
      <w:r>
        <w:rPr>
          <w:rFonts w:cs="Times New Roman" w:eastAsiaTheme="minorEastAsia"/>
        </w:rPr>
        <w:t>3</w:t>
      </w:r>
      <w:r>
        <w:rPr>
          <w:rFonts w:cs="Times New Roman" w:hAnsiTheme="minorEastAsia" w:eastAsiaTheme="minorEastAsia"/>
        </w:rPr>
        <w:t>）企业和行业创新能力还十分薄弱。目前制约行业转型升级的主要是创新能力薄弱，而创新能力的提升又不可能一蹴而就，必须循序渐进，需要一个过程。</w:t>
      </w:r>
    </w:p>
    <w:p>
      <w:pPr>
        <w:ind w:firstLine="560"/>
        <w:rPr>
          <w:rFonts w:cs="Times New Roman" w:eastAsiaTheme="minorEastAsia"/>
        </w:rPr>
      </w:pPr>
      <w:r>
        <w:rPr>
          <w:rFonts w:hAnsi="MS Mincho" w:eastAsia="MS Mincho" w:cs="Times New Roman"/>
        </w:rPr>
        <w:t>➢</w:t>
      </w:r>
      <w:r>
        <w:rPr>
          <w:rFonts w:cs="Times New Roman"/>
        </w:rPr>
        <w:t></w:t>
      </w:r>
      <w:r>
        <w:rPr>
          <w:rFonts w:cs="Times New Roman" w:hAnsiTheme="minorEastAsia" w:eastAsiaTheme="minorEastAsia"/>
        </w:rPr>
        <w:t>资源、环境和安全的严峻考验</w:t>
      </w:r>
    </w:p>
    <w:p>
      <w:pPr>
        <w:ind w:firstLine="560"/>
        <w:rPr>
          <w:rFonts w:cs="Times New Roman" w:eastAsiaTheme="minorEastAsia"/>
        </w:rPr>
      </w:pPr>
      <w:r>
        <w:rPr>
          <w:rFonts w:cs="Times New Roman" w:hAnsiTheme="minorEastAsia" w:eastAsiaTheme="minorEastAsia"/>
        </w:rPr>
        <w:t>化工企业通过加大环保措施力度，污染物减排已经取得了良好效果。化工行业万元产值污染物排放强度逐年下降，但由于资源约束和产业总体规模不断扩大，污染物总量减排难度加大。另外，我国化工行业结构调整持续开展，能耗相对较高的现代煤化工加速发展，因此节能和二氧化碳减排的压力依然很大。此外，化工园区安全、环保问题持续受到关注。整体而言行业面对的社会舆论压力大，行业形象亟待重塑。</w:t>
      </w:r>
    </w:p>
    <w:p>
      <w:pPr>
        <w:pStyle w:val="2"/>
        <w:ind w:firstLine="560"/>
        <w:rPr>
          <w:rFonts w:cs="Times New Roman" w:eastAsiaTheme="minorEastAsia"/>
        </w:rPr>
      </w:pPr>
      <w:r>
        <w:rPr>
          <w:rFonts w:cs="Times New Roman" w:eastAsiaTheme="minorEastAsia"/>
        </w:rPr>
        <w:t xml:space="preserve">3.1.1.7 </w:t>
      </w:r>
      <w:r>
        <w:rPr>
          <w:rFonts w:cs="Times New Roman" w:hAnsiTheme="minorEastAsia" w:eastAsiaTheme="minorEastAsia"/>
        </w:rPr>
        <w:t>发展趋势</w:t>
      </w:r>
    </w:p>
    <w:p>
      <w:pPr>
        <w:ind w:firstLine="560"/>
        <w:rPr>
          <w:rFonts w:cs="Times New Roman" w:eastAsiaTheme="minorEastAsia"/>
        </w:rPr>
      </w:pPr>
      <w:r>
        <w:rPr>
          <w:rFonts w:cs="Times New Roman" w:hAnsiTheme="minorEastAsia" w:eastAsiaTheme="minorEastAsia"/>
        </w:rPr>
        <w:t>党的十九届五中全会提出，</w:t>
      </w:r>
      <w:r>
        <w:rPr>
          <w:rFonts w:cs="Times New Roman" w:eastAsiaTheme="minorEastAsia"/>
        </w:rPr>
        <w:t>“</w:t>
      </w:r>
      <w:r>
        <w:rPr>
          <w:rFonts w:cs="Times New Roman" w:hAnsiTheme="minorEastAsia" w:eastAsiaTheme="minorEastAsia"/>
        </w:rPr>
        <w:t>十四五</w:t>
      </w:r>
      <w:r>
        <w:rPr>
          <w:rFonts w:cs="Times New Roman" w:eastAsiaTheme="minorEastAsia"/>
        </w:rPr>
        <w:t>”</w:t>
      </w:r>
      <w:r>
        <w:rPr>
          <w:rFonts w:cs="Times New Roman" w:hAnsiTheme="minorEastAsia" w:eastAsiaTheme="minorEastAsia"/>
        </w:rPr>
        <w:t>我国经济发展高质量发展，要全实现创新能力显著提升，产业基础高级化、产业链现代化水平明显提高的目标。化工行业的发展将紧紧围绕这一目标发展。</w:t>
      </w:r>
    </w:p>
    <w:p>
      <w:pPr>
        <w:ind w:firstLine="560"/>
        <w:rPr>
          <w:rFonts w:cs="Times New Roman" w:eastAsiaTheme="minorEastAsia"/>
        </w:rPr>
      </w:pPr>
      <w:r>
        <w:rPr>
          <w:rFonts w:cs="Times New Roman" w:eastAsiaTheme="minorEastAsia"/>
        </w:rPr>
        <w:t>A</w:t>
      </w:r>
      <w:r>
        <w:rPr>
          <w:rFonts w:cs="Times New Roman" w:hAnsiTheme="minorEastAsia" w:eastAsiaTheme="minorEastAsia"/>
        </w:rPr>
        <w:t>、行业规模进一步发展扩大</w:t>
      </w:r>
    </w:p>
    <w:p>
      <w:pPr>
        <w:ind w:firstLine="560"/>
        <w:rPr>
          <w:rFonts w:cs="Times New Roman" w:eastAsiaTheme="minorEastAsia"/>
        </w:rPr>
      </w:pPr>
      <w:r>
        <w:rPr>
          <w:rFonts w:cs="Times New Roman" w:hAnsiTheme="minorEastAsia" w:eastAsiaTheme="minorEastAsia"/>
        </w:rPr>
        <w:t>我国化工行业规模将进一步扩大生产，以满足不断增加的市场需求。与同时期发达国家和地区相比，我国大部分的化工产品消费能力还有一定的增长空间，特别是化工新材料和高端专用化学品。预计今后几年，国内大多数化工产品的消费量可保持年均</w:t>
      </w:r>
      <w:r>
        <w:rPr>
          <w:rFonts w:cs="Times New Roman" w:eastAsiaTheme="minorEastAsia"/>
        </w:rPr>
        <w:t>3</w:t>
      </w:r>
      <w:r>
        <w:rPr>
          <w:rFonts w:cs="Times New Roman" w:hAnsiTheme="minorEastAsia" w:eastAsiaTheme="minorEastAsia"/>
        </w:rPr>
        <w:t>～</w:t>
      </w:r>
      <w:r>
        <w:rPr>
          <w:rFonts w:cs="Times New Roman" w:eastAsiaTheme="minorEastAsia"/>
        </w:rPr>
        <w:t>5%</w:t>
      </w:r>
      <w:r>
        <w:rPr>
          <w:rFonts w:cs="Times New Roman" w:hAnsiTheme="minorEastAsia" w:eastAsiaTheme="minorEastAsia"/>
        </w:rPr>
        <w:t>以上增长速度，其中化工新材料、高端专用化学品等的年均增长率在</w:t>
      </w:r>
      <w:r>
        <w:rPr>
          <w:rFonts w:cs="Times New Roman" w:eastAsiaTheme="minorEastAsia"/>
        </w:rPr>
        <w:t>5</w:t>
      </w:r>
      <w:r>
        <w:rPr>
          <w:rFonts w:cs="Times New Roman" w:hAnsiTheme="minorEastAsia" w:eastAsiaTheme="minorEastAsia"/>
        </w:rPr>
        <w:t>～</w:t>
      </w:r>
      <w:r>
        <w:rPr>
          <w:rFonts w:cs="Times New Roman" w:eastAsiaTheme="minorEastAsia"/>
        </w:rPr>
        <w:t>8%</w:t>
      </w:r>
      <w:r>
        <w:rPr>
          <w:rFonts w:cs="Times New Roman" w:hAnsiTheme="minorEastAsia" w:eastAsiaTheme="minorEastAsia"/>
        </w:rPr>
        <w:t>，将是今后一段时间内的投资热点。因此，尽管一些产品已供大于求，但化工行业仍需进一步扩大生产，加快发展自我满足率偏低的化工新材料、精细化工等高端化学品等，以此来满足不断增长的市场需求。</w:t>
      </w:r>
    </w:p>
    <w:p>
      <w:pPr>
        <w:ind w:firstLine="560"/>
        <w:rPr>
          <w:rFonts w:cs="Times New Roman" w:eastAsiaTheme="minorEastAsia"/>
        </w:rPr>
      </w:pPr>
      <w:r>
        <w:rPr>
          <w:rFonts w:cs="Times New Roman" w:eastAsiaTheme="minorEastAsia"/>
        </w:rPr>
        <w:t>B</w:t>
      </w:r>
      <w:r>
        <w:rPr>
          <w:rFonts w:cs="Times New Roman" w:hAnsiTheme="minorEastAsia" w:eastAsiaTheme="minorEastAsia"/>
        </w:rPr>
        <w:t>、供给能力进一步优化提升</w:t>
      </w:r>
    </w:p>
    <w:p>
      <w:pPr>
        <w:ind w:firstLine="560"/>
        <w:rPr>
          <w:rFonts w:cs="Times New Roman" w:eastAsiaTheme="minorEastAsia"/>
        </w:rPr>
      </w:pPr>
      <w:r>
        <w:rPr>
          <w:rFonts w:cs="Times New Roman" w:hAnsiTheme="minorEastAsia" w:eastAsiaTheme="minorEastAsia"/>
        </w:rPr>
        <w:t>当前，国内化工行业发展的主要影响因素在于供给侧。全行业将进一步通过淘汰</w:t>
      </w:r>
      <w:r>
        <w:rPr>
          <w:rFonts w:cs="Times New Roman" w:eastAsiaTheme="minorEastAsia"/>
        </w:rPr>
        <w:t>“</w:t>
      </w:r>
      <w:r>
        <w:rPr>
          <w:rFonts w:cs="Times New Roman" w:hAnsiTheme="minorEastAsia" w:eastAsiaTheme="minorEastAsia"/>
        </w:rPr>
        <w:t>僵尸企业</w:t>
      </w:r>
      <w:r>
        <w:rPr>
          <w:rFonts w:cs="Times New Roman" w:eastAsiaTheme="minorEastAsia"/>
        </w:rPr>
        <w:t>”</w:t>
      </w:r>
      <w:r>
        <w:rPr>
          <w:rFonts w:cs="Times New Roman" w:hAnsiTheme="minorEastAsia" w:eastAsiaTheme="minorEastAsia"/>
        </w:rPr>
        <w:t>等措施，化解过剩产能，同时进一步促进产业优化重组，加快发展新能源、新材料等战略性新兴产业和生产性服务业，着力培育新的行业经济增长点，从而提高优质产品和服务的供给能力，更好地满足正在快速升级的市场需求。</w:t>
      </w:r>
    </w:p>
    <w:p>
      <w:pPr>
        <w:ind w:firstLine="560"/>
        <w:rPr>
          <w:rFonts w:cs="Times New Roman" w:eastAsiaTheme="minorEastAsia"/>
        </w:rPr>
      </w:pPr>
      <w:r>
        <w:rPr>
          <w:rFonts w:cs="Times New Roman" w:eastAsiaTheme="minorEastAsia"/>
        </w:rPr>
        <w:t>C</w:t>
      </w:r>
      <w:r>
        <w:rPr>
          <w:rFonts w:cs="Times New Roman" w:hAnsiTheme="minorEastAsia" w:eastAsiaTheme="minorEastAsia"/>
        </w:rPr>
        <w:t>、产业结构进一步优化调整</w:t>
      </w:r>
    </w:p>
    <w:p>
      <w:pPr>
        <w:ind w:firstLine="560"/>
        <w:rPr>
          <w:rFonts w:cs="Times New Roman" w:eastAsiaTheme="minorEastAsia"/>
        </w:rPr>
      </w:pPr>
      <w:r>
        <w:rPr>
          <w:rFonts w:cs="Times New Roman" w:hAnsiTheme="minorEastAsia" w:eastAsiaTheme="minorEastAsia"/>
        </w:rPr>
        <w:t>优化调整产品结构，提升高端产品供应能力。大力开拓化工新材料、专用化学品、高端装备制造、新能源、节能环保、信息生物等高端市场。需要努力突破高端产品制约的瓶颈，在化工新材料、信息用电子化学品、食品添加剂和保鲜包装材料、纺织后处理剂、印染助剂、新型涂料、医药原材料、日用化学品等专用化学品的供给能力方面取得大的突破，进一步提高自给率和占有率，加大产品升级调整的力度，努力缩小同发达国家的差距，实现</w:t>
      </w:r>
      <w:r>
        <w:rPr>
          <w:rFonts w:cs="Times New Roman" w:eastAsiaTheme="minorEastAsia"/>
        </w:rPr>
        <w:t>“</w:t>
      </w:r>
      <w:r>
        <w:rPr>
          <w:rFonts w:cs="Times New Roman" w:hAnsiTheme="minorEastAsia" w:eastAsiaTheme="minorEastAsia"/>
        </w:rPr>
        <w:t>中国制造</w:t>
      </w:r>
      <w:r>
        <w:rPr>
          <w:rFonts w:cs="Times New Roman" w:eastAsiaTheme="minorEastAsia"/>
        </w:rPr>
        <w:t>2025”</w:t>
      </w:r>
      <w:r>
        <w:rPr>
          <w:rFonts w:cs="Times New Roman" w:hAnsiTheme="minorEastAsia" w:eastAsiaTheme="minorEastAsia"/>
        </w:rPr>
        <w:t>的规划目标。国家战略性新兴产业需要品种繁多的精细化工和专用化工产品与之配套，配套的新型化工产品（化工新型材料、化工新能源、</w:t>
      </w:r>
      <w:r>
        <w:rPr>
          <w:rFonts w:hint="eastAsia" w:cs="Times New Roman" w:hAnsiTheme="minorEastAsia" w:eastAsiaTheme="minorEastAsia"/>
        </w:rPr>
        <w:t>储能材料</w:t>
      </w:r>
      <w:r>
        <w:rPr>
          <w:rFonts w:cs="Times New Roman" w:hAnsiTheme="minorEastAsia" w:eastAsiaTheme="minorEastAsia"/>
        </w:rPr>
        <w:t>、纳米材料、</w:t>
      </w:r>
      <w:r>
        <w:rPr>
          <w:rFonts w:hint="eastAsia" w:cs="Times New Roman" w:hAnsiTheme="minorEastAsia" w:eastAsiaTheme="minorEastAsia"/>
        </w:rPr>
        <w:t>高端专用化学品</w:t>
      </w:r>
      <w:r>
        <w:rPr>
          <w:rFonts w:cs="Times New Roman" w:hAnsiTheme="minorEastAsia" w:eastAsiaTheme="minorEastAsia"/>
        </w:rPr>
        <w:t>等）需求呈明显上升趋势，这些将成为化工行业新的经济增长点。</w:t>
      </w:r>
    </w:p>
    <w:p>
      <w:pPr>
        <w:ind w:firstLine="560"/>
        <w:rPr>
          <w:rFonts w:cs="Times New Roman" w:eastAsiaTheme="minorEastAsia"/>
        </w:rPr>
      </w:pPr>
      <w:r>
        <w:rPr>
          <w:rFonts w:cs="Times New Roman" w:eastAsiaTheme="minorEastAsia"/>
        </w:rPr>
        <w:t>D</w:t>
      </w:r>
      <w:r>
        <w:rPr>
          <w:rFonts w:cs="Times New Roman" w:hAnsiTheme="minorEastAsia" w:eastAsiaTheme="minorEastAsia"/>
        </w:rPr>
        <w:t>、产业布局进一步合理配置，化工园区发展逐步走向科学化</w:t>
      </w:r>
    </w:p>
    <w:p>
      <w:pPr>
        <w:ind w:firstLine="560"/>
        <w:rPr>
          <w:rFonts w:cs="Times New Roman" w:eastAsiaTheme="minorEastAsia"/>
        </w:rPr>
      </w:pPr>
      <w:r>
        <w:rPr>
          <w:rFonts w:cs="Times New Roman" w:hAnsiTheme="minorEastAsia" w:eastAsiaTheme="minorEastAsia"/>
        </w:rPr>
        <w:t>化工行业结合《全国主体功能区规划》，通过重大项目建设，统筹优化全国产业布局。综合资源、市场、生态环境和交通运输等生产力要素条件，使我国化工行业逐步向优势地区集中。</w:t>
      </w:r>
    </w:p>
    <w:p>
      <w:pPr>
        <w:ind w:firstLine="560"/>
        <w:rPr>
          <w:rFonts w:cs="Times New Roman" w:eastAsiaTheme="minorEastAsia"/>
        </w:rPr>
      </w:pPr>
      <w:r>
        <w:rPr>
          <w:rFonts w:cs="Times New Roman" w:hAnsiTheme="minorEastAsia" w:eastAsiaTheme="minorEastAsia"/>
        </w:rPr>
        <w:t>化工行业将进一步推进产业布局园区化、聚集化，规范园区建设标准，强化园区一体化发展水平，提高园区的安全与环保水平，实现园区与周边环境的协调发展，使园区成为化工行业健康发展的载体。</w:t>
      </w:r>
    </w:p>
    <w:p>
      <w:pPr>
        <w:ind w:firstLine="560"/>
        <w:rPr>
          <w:rFonts w:cs="Times New Roman" w:eastAsiaTheme="minorEastAsia"/>
        </w:rPr>
      </w:pPr>
      <w:r>
        <w:rPr>
          <w:rFonts w:cs="Times New Roman" w:eastAsiaTheme="minorEastAsia"/>
        </w:rPr>
        <w:t>E</w:t>
      </w:r>
      <w:r>
        <w:rPr>
          <w:rFonts w:cs="Times New Roman" w:hAnsiTheme="minorEastAsia" w:eastAsiaTheme="minorEastAsia"/>
        </w:rPr>
        <w:t>、节能减排、绿色发展、环保要求更加严格</w:t>
      </w:r>
    </w:p>
    <w:p>
      <w:pPr>
        <w:ind w:firstLine="560"/>
        <w:rPr>
          <w:rFonts w:cs="Times New Roman" w:eastAsiaTheme="minorEastAsia"/>
        </w:rPr>
      </w:pPr>
      <w:r>
        <w:rPr>
          <w:rFonts w:cs="Times New Roman" w:hAnsiTheme="minorEastAsia" w:eastAsiaTheme="minorEastAsia"/>
        </w:rPr>
        <w:t>我国化工行业过去一直是工业污染大户，废水排放量占全国工业废水排放量之首，废渣、废气排放量近几年仍以较高的增长速度在增长，对环境的污染日益严重，有相当一部分企业走的是先污染后治理、甚至不治理之路，因此化工行业环保问题较为突出。</w:t>
      </w:r>
    </w:p>
    <w:p>
      <w:pPr>
        <w:ind w:firstLine="560"/>
        <w:rPr>
          <w:rFonts w:cs="Times New Roman" w:eastAsiaTheme="minorEastAsia"/>
        </w:rPr>
      </w:pPr>
      <w:r>
        <w:rPr>
          <w:rFonts w:cs="Times New Roman" w:eastAsiaTheme="minorEastAsia"/>
        </w:rPr>
        <w:t>“</w:t>
      </w:r>
      <w:r>
        <w:rPr>
          <w:rFonts w:cs="Times New Roman" w:hAnsiTheme="minorEastAsia" w:eastAsiaTheme="minorEastAsia"/>
        </w:rPr>
        <w:t>绿色化工</w:t>
      </w:r>
      <w:r>
        <w:rPr>
          <w:rFonts w:cs="Times New Roman" w:eastAsiaTheme="minorEastAsia"/>
        </w:rPr>
        <w:t>”</w:t>
      </w:r>
      <w:r>
        <w:rPr>
          <w:rFonts w:cs="Times New Roman" w:hAnsiTheme="minorEastAsia" w:eastAsiaTheme="minorEastAsia"/>
        </w:rPr>
        <w:t>从源头上消除污染，合理利用资源和能源、降低生产成本，实现可持续发展，符合循环经济发展要求。</w:t>
      </w:r>
    </w:p>
    <w:p>
      <w:pPr>
        <w:ind w:firstLine="560"/>
        <w:rPr>
          <w:rFonts w:cs="Times New Roman" w:eastAsiaTheme="minorEastAsia"/>
        </w:rPr>
      </w:pPr>
      <w:r>
        <w:rPr>
          <w:rFonts w:cs="Times New Roman" w:hAnsiTheme="minorEastAsia" w:eastAsiaTheme="minorEastAsia"/>
        </w:rPr>
        <w:t>化工行业为高耗能行业，对全国节能减排具有重要的影响。同时石化化工行业三废排放量大，也是环境保护重点关注行业。根据当前行业的发展水平和存在的问题，今后一段时期，行业的节能减排和环境保护将面临更高的要求。</w:t>
      </w:r>
    </w:p>
    <w:p>
      <w:pPr>
        <w:ind w:firstLine="560"/>
        <w:rPr>
          <w:rFonts w:cs="Times New Roman" w:eastAsiaTheme="minorEastAsia"/>
        </w:rPr>
      </w:pPr>
      <w:r>
        <w:rPr>
          <w:rFonts w:cs="Times New Roman" w:eastAsiaTheme="minorEastAsia"/>
        </w:rPr>
        <w:t>F</w:t>
      </w:r>
      <w:r>
        <w:rPr>
          <w:rFonts w:cs="Times New Roman" w:hAnsiTheme="minorEastAsia" w:eastAsiaTheme="minorEastAsia"/>
        </w:rPr>
        <w:t>、创新发展持续深入</w:t>
      </w:r>
    </w:p>
    <w:p>
      <w:pPr>
        <w:ind w:firstLine="560"/>
        <w:rPr>
          <w:rFonts w:cs="Times New Roman" w:eastAsiaTheme="minorEastAsia"/>
        </w:rPr>
      </w:pPr>
      <w:r>
        <w:rPr>
          <w:rFonts w:cs="Times New Roman" w:hAnsiTheme="minorEastAsia" w:eastAsiaTheme="minorEastAsia"/>
        </w:rPr>
        <w:t>化工行业的创新发展的将更加深入开展，行业内将涌现出一大批优秀科技成果，自主创新能力继续提高，行业关键技术、共性技术和核心技术与重大装备的创新能力和水平不断提高。同时，绿色发展日趋向好，一批新的标准体系出台，绿色工厂、绿色园区建设持续前行。生产技术水平进一步提升，物耗能耗继续降低，装置规模和集中度都明显改善。创新继续成为化工行业发展的第一动力。</w:t>
      </w:r>
    </w:p>
    <w:p>
      <w:pPr>
        <w:pStyle w:val="5"/>
        <w:ind w:firstLine="562"/>
        <w:rPr>
          <w:rFonts w:cs="Times New Roman" w:eastAsiaTheme="minorEastAsia"/>
        </w:rPr>
      </w:pPr>
      <w:r>
        <w:rPr>
          <w:rFonts w:cs="Times New Roman" w:eastAsiaTheme="minorEastAsia"/>
        </w:rPr>
        <w:t xml:space="preserve">3.1.2  </w:t>
      </w:r>
      <w:r>
        <w:rPr>
          <w:rFonts w:cs="Times New Roman" w:hAnsiTheme="minorEastAsia" w:eastAsiaTheme="minorEastAsia"/>
        </w:rPr>
        <w:t>国内焦化行业发展现状及趋势</w:t>
      </w:r>
    </w:p>
    <w:p>
      <w:pPr>
        <w:pStyle w:val="2"/>
        <w:ind w:firstLine="560"/>
        <w:rPr>
          <w:rFonts w:cs="Times New Roman" w:eastAsiaTheme="minorEastAsia"/>
        </w:rPr>
      </w:pPr>
      <w:r>
        <w:rPr>
          <w:rFonts w:cs="Times New Roman" w:eastAsiaTheme="minorEastAsia"/>
        </w:rPr>
        <w:t xml:space="preserve">3.1.2.1 </w:t>
      </w:r>
      <w:r>
        <w:rPr>
          <w:rFonts w:cs="Times New Roman" w:hAnsiTheme="minorEastAsia" w:eastAsiaTheme="minorEastAsia"/>
        </w:rPr>
        <w:t>发展现状</w:t>
      </w:r>
    </w:p>
    <w:p>
      <w:pPr>
        <w:pStyle w:val="6"/>
        <w:ind w:firstLine="560"/>
        <w:rPr>
          <w:rFonts w:cs="Times New Roman" w:eastAsiaTheme="minorEastAsia"/>
        </w:rPr>
      </w:pPr>
      <w:r>
        <w:rPr>
          <w:rFonts w:cs="Times New Roman" w:eastAsiaTheme="minorEastAsia"/>
        </w:rPr>
        <w:t xml:space="preserve">3.1.2.1.1 </w:t>
      </w:r>
      <w:r>
        <w:rPr>
          <w:rFonts w:cs="Times New Roman" w:hAnsiTheme="minorEastAsia" w:eastAsiaTheme="minorEastAsia"/>
        </w:rPr>
        <w:t>产能现状</w:t>
      </w:r>
    </w:p>
    <w:p>
      <w:pPr>
        <w:ind w:firstLine="560"/>
        <w:rPr>
          <w:rFonts w:cs="Times New Roman" w:eastAsiaTheme="minorEastAsia"/>
        </w:rPr>
      </w:pPr>
      <w:r>
        <w:rPr>
          <w:rFonts w:cs="Times New Roman" w:eastAsiaTheme="minorEastAsia"/>
        </w:rPr>
        <w:t>2020</w:t>
      </w:r>
      <w:r>
        <w:rPr>
          <w:rFonts w:cs="Times New Roman" w:hAnsiTheme="minorEastAsia" w:eastAsiaTheme="minorEastAsia"/>
        </w:rPr>
        <w:t>年我国焦炭总产能</w:t>
      </w:r>
      <w:r>
        <w:rPr>
          <w:rFonts w:cs="Times New Roman" w:eastAsiaTheme="minorEastAsia"/>
        </w:rPr>
        <w:t>6.52</w:t>
      </w:r>
      <w:r>
        <w:rPr>
          <w:rFonts w:cs="Times New Roman" w:hAnsiTheme="minorEastAsia" w:eastAsiaTheme="minorEastAsia"/>
        </w:rPr>
        <w:t>亿吨</w:t>
      </w:r>
      <w:r>
        <w:rPr>
          <w:rFonts w:cs="Times New Roman" w:eastAsiaTheme="minorEastAsia"/>
        </w:rPr>
        <w:t>/</w:t>
      </w:r>
      <w:r>
        <w:rPr>
          <w:rFonts w:cs="Times New Roman" w:hAnsiTheme="minorEastAsia" w:eastAsiaTheme="minorEastAsia"/>
        </w:rPr>
        <w:t>年（包含半焦和热回收焦炉），其中机械化焦炉</w:t>
      </w:r>
      <w:r>
        <w:rPr>
          <w:rFonts w:cs="Times New Roman" w:eastAsiaTheme="minorEastAsia"/>
        </w:rPr>
        <w:t>1284</w:t>
      </w:r>
      <w:r>
        <w:rPr>
          <w:rFonts w:cs="Times New Roman" w:hAnsiTheme="minorEastAsia" w:eastAsiaTheme="minorEastAsia"/>
        </w:rPr>
        <w:t>座，产能</w:t>
      </w:r>
      <w:r>
        <w:rPr>
          <w:rFonts w:cs="Times New Roman" w:eastAsiaTheme="minorEastAsia"/>
        </w:rPr>
        <w:t>57190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年，占焦炭总产能的</w:t>
      </w:r>
      <w:r>
        <w:rPr>
          <w:rFonts w:cs="Times New Roman" w:eastAsiaTheme="minorEastAsia"/>
        </w:rPr>
        <w:t>87.7%</w:t>
      </w:r>
      <w:r>
        <w:rPr>
          <w:rFonts w:cs="Times New Roman" w:hAnsiTheme="minorEastAsia" w:eastAsiaTheme="minorEastAsia"/>
        </w:rPr>
        <w:t>；半焦炉</w:t>
      </w:r>
      <w:r>
        <w:rPr>
          <w:rFonts w:cs="Times New Roman" w:eastAsiaTheme="minorEastAsia"/>
        </w:rPr>
        <w:t>160</w:t>
      </w:r>
      <w:r>
        <w:rPr>
          <w:rFonts w:cs="Times New Roman" w:hAnsiTheme="minorEastAsia" w:eastAsiaTheme="minorEastAsia"/>
        </w:rPr>
        <w:t>余组，形成生产能力约</w:t>
      </w:r>
      <w:r>
        <w:rPr>
          <w:rFonts w:cs="Times New Roman" w:eastAsiaTheme="minorEastAsia"/>
        </w:rPr>
        <w:t>6500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年，占</w:t>
      </w:r>
      <w:r>
        <w:rPr>
          <w:rFonts w:cs="Times New Roman" w:eastAsiaTheme="minorEastAsia"/>
        </w:rPr>
        <w:t>10%；</w:t>
      </w:r>
      <w:r>
        <w:rPr>
          <w:rFonts w:cs="Times New Roman" w:hAnsiTheme="minorEastAsia" w:eastAsiaTheme="minorEastAsia"/>
        </w:rPr>
        <w:t>热回收焦炉</w:t>
      </w:r>
      <w:r>
        <w:rPr>
          <w:rFonts w:cs="Times New Roman" w:eastAsiaTheme="minorEastAsia"/>
        </w:rPr>
        <w:t>18</w:t>
      </w:r>
      <w:r>
        <w:rPr>
          <w:rFonts w:cs="Times New Roman" w:hAnsiTheme="minorEastAsia" w:eastAsiaTheme="minorEastAsia"/>
        </w:rPr>
        <w:t>座，形成生产能力</w:t>
      </w:r>
      <w:r>
        <w:rPr>
          <w:rFonts w:cs="Times New Roman" w:eastAsiaTheme="minorEastAsia"/>
        </w:rPr>
        <w:t>1500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年，占</w:t>
      </w:r>
      <w:r>
        <w:rPr>
          <w:rFonts w:cs="Times New Roman" w:eastAsiaTheme="minorEastAsia"/>
        </w:rPr>
        <w:t>2.3%</w:t>
      </w:r>
      <w:r>
        <w:rPr>
          <w:rFonts w:cs="Times New Roman" w:hAnsiTheme="minorEastAsia" w:eastAsiaTheme="minorEastAsia"/>
        </w:rPr>
        <w:t>。全国</w:t>
      </w:r>
      <w:r>
        <w:rPr>
          <w:rFonts w:cs="Times New Roman" w:eastAsiaTheme="minorEastAsia"/>
        </w:rPr>
        <w:t>333</w:t>
      </w:r>
      <w:r>
        <w:rPr>
          <w:rFonts w:cs="Times New Roman" w:hAnsiTheme="minorEastAsia" w:eastAsiaTheme="minorEastAsia"/>
        </w:rPr>
        <w:t>家重点焦化企业合计产能</w:t>
      </w:r>
      <w:r>
        <w:rPr>
          <w:rFonts w:cs="Times New Roman" w:eastAsiaTheme="minorEastAsia"/>
        </w:rPr>
        <w:t>5.16</w:t>
      </w:r>
      <w:r>
        <w:rPr>
          <w:rFonts w:cs="Times New Roman" w:hAnsiTheme="minorEastAsia" w:eastAsiaTheme="minorEastAsia"/>
        </w:rPr>
        <w:t>亿吨</w:t>
      </w:r>
      <w:r>
        <w:rPr>
          <w:rFonts w:cs="Times New Roman" w:eastAsiaTheme="minorEastAsia"/>
        </w:rPr>
        <w:t>/</w:t>
      </w:r>
      <w:r>
        <w:rPr>
          <w:rFonts w:cs="Times New Roman" w:hAnsiTheme="minorEastAsia" w:eastAsiaTheme="minorEastAsia"/>
        </w:rPr>
        <w:t>年，占全国总产能的</w:t>
      </w:r>
      <w:r>
        <w:rPr>
          <w:rFonts w:cs="Times New Roman" w:eastAsiaTheme="minorEastAsia"/>
        </w:rPr>
        <w:t>79.4%</w:t>
      </w:r>
      <w:r>
        <w:rPr>
          <w:rFonts w:cs="Times New Roman" w:hAnsiTheme="minorEastAsia" w:eastAsiaTheme="minorEastAsia"/>
        </w:rPr>
        <w:t>，区域分布详见下表。</w:t>
      </w:r>
    </w:p>
    <w:p>
      <w:pPr>
        <w:pStyle w:val="37"/>
        <w:rPr>
          <w:rFonts w:cs="Times New Roman" w:eastAsiaTheme="minorEastAsia"/>
          <w:sz w:val="24"/>
          <w:szCs w:val="24"/>
        </w:rPr>
      </w:pPr>
      <w:r>
        <w:rPr>
          <w:rFonts w:cs="Times New Roman" w:hAnsiTheme="minorEastAsia" w:eastAsiaTheme="minorEastAsia"/>
        </w:rPr>
        <w:t>表</w:t>
      </w:r>
      <w:r>
        <w:rPr>
          <w:rFonts w:cs="Times New Roman" w:eastAsiaTheme="minorEastAsia"/>
        </w:rPr>
        <w:t>3-1</w:t>
      </w:r>
      <w:r>
        <w:rPr>
          <w:rFonts w:cs="Times New Roman" w:hAnsiTheme="minorEastAsia" w:eastAsiaTheme="minorEastAsia"/>
        </w:rPr>
        <w:t>重点焦化企业区域分布</w:t>
      </w:r>
    </w:p>
    <w:tbl>
      <w:tblPr>
        <w:tblStyle w:val="3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035"/>
        <w:gridCol w:w="2035"/>
        <w:gridCol w:w="2035"/>
        <w:gridCol w:w="203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2" w:hRule="atLeast"/>
          <w:jc w:val="center"/>
        </w:trPr>
        <w:tc>
          <w:tcPr>
            <w:tcW w:w="2035" w:type="dxa"/>
            <w:vAlign w:val="center"/>
          </w:tcPr>
          <w:p>
            <w:pPr>
              <w:autoSpaceDE w:val="0"/>
              <w:autoSpaceDN w:val="0"/>
              <w:adjustRightInd w:val="0"/>
              <w:snapToGrid w:val="0"/>
              <w:spacing w:line="240" w:lineRule="auto"/>
              <w:ind w:firstLine="0" w:firstLineChars="0"/>
              <w:jc w:val="left"/>
              <w:rPr>
                <w:rFonts w:cs="Times New Roman" w:eastAsiaTheme="minorEastAsia"/>
                <w:kern w:val="0"/>
                <w:sz w:val="21"/>
              </w:rPr>
            </w:pPr>
            <w:r>
              <w:rPr>
                <w:rFonts w:cs="Times New Roman" w:hAnsiTheme="minorEastAsia" w:eastAsiaTheme="minorEastAsia"/>
                <w:kern w:val="0"/>
                <w:sz w:val="21"/>
              </w:rPr>
              <w:t>全国</w:t>
            </w:r>
            <w:r>
              <w:rPr>
                <w:rFonts w:cs="Times New Roman" w:eastAsiaTheme="minorEastAsia"/>
                <w:b/>
                <w:bCs/>
                <w:kern w:val="0"/>
                <w:sz w:val="21"/>
              </w:rPr>
              <w:t>333</w:t>
            </w:r>
            <w:r>
              <w:rPr>
                <w:rFonts w:cs="Times New Roman" w:hAnsiTheme="minorEastAsia" w:eastAsiaTheme="minorEastAsia"/>
                <w:kern w:val="0"/>
                <w:sz w:val="21"/>
              </w:rPr>
              <w:t>家重点焦化企业产能分区域统计（万吨</w:t>
            </w:r>
            <w:r>
              <w:rPr>
                <w:rFonts w:cs="Times New Roman" w:eastAsiaTheme="minorEastAsia"/>
                <w:b/>
                <w:bCs/>
                <w:kern w:val="0"/>
                <w:sz w:val="21"/>
              </w:rPr>
              <w:t>/</w:t>
            </w:r>
            <w:r>
              <w:rPr>
                <w:rFonts w:cs="Times New Roman" w:hAnsiTheme="minorEastAsia" w:eastAsiaTheme="minorEastAsia"/>
                <w:kern w:val="0"/>
                <w:sz w:val="21"/>
              </w:rPr>
              <w:t>年）地区</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合计</w:t>
            </w:r>
          </w:p>
        </w:tc>
        <w:tc>
          <w:tcPr>
            <w:tcW w:w="2035" w:type="dxa"/>
            <w:vAlign w:val="center"/>
          </w:tcPr>
          <w:p>
            <w:pPr>
              <w:autoSpaceDE w:val="0"/>
              <w:autoSpaceDN w:val="0"/>
              <w:adjustRightInd w:val="0"/>
              <w:snapToGrid w:val="0"/>
              <w:spacing w:line="240" w:lineRule="auto"/>
              <w:ind w:firstLine="0" w:firstLineChars="0"/>
              <w:jc w:val="left"/>
              <w:rPr>
                <w:rFonts w:cs="Times New Roman" w:eastAsiaTheme="minorEastAsia"/>
                <w:kern w:val="0"/>
                <w:sz w:val="21"/>
              </w:rPr>
            </w:pPr>
            <w:r>
              <w:rPr>
                <w:rFonts w:cs="Times New Roman" w:hAnsiTheme="minorEastAsia" w:eastAsiaTheme="minorEastAsia"/>
                <w:kern w:val="0"/>
                <w:sz w:val="21"/>
              </w:rPr>
              <w:t>联合企业（</w:t>
            </w:r>
            <w:r>
              <w:rPr>
                <w:rFonts w:cs="Times New Roman" w:eastAsiaTheme="minorEastAsia"/>
                <w:kern w:val="0"/>
                <w:sz w:val="21"/>
              </w:rPr>
              <w:t>75</w:t>
            </w:r>
            <w:r>
              <w:rPr>
                <w:rFonts w:cs="Times New Roman" w:hAnsiTheme="minorEastAsia" w:eastAsiaTheme="minorEastAsia"/>
                <w:kern w:val="0"/>
                <w:sz w:val="21"/>
              </w:rPr>
              <w:t>家，按分公司计）</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独立焦化</w:t>
            </w:r>
            <w:r>
              <w:rPr>
                <w:rFonts w:cs="Times New Roman" w:eastAsiaTheme="minorEastAsia"/>
                <w:kern w:val="0"/>
                <w:sz w:val="21"/>
              </w:rPr>
              <w:t>(258</w:t>
            </w:r>
            <w:r>
              <w:rPr>
                <w:rFonts w:cs="Times New Roman" w:hAnsiTheme="minorEastAsia" w:eastAsiaTheme="minorEastAsia"/>
                <w:kern w:val="0"/>
                <w:sz w:val="21"/>
              </w:rPr>
              <w:t>家</w:t>
            </w:r>
            <w:r>
              <w:rPr>
                <w:rFonts w:cs="Times New Roman" w:eastAsiaTheme="minorEastAsia"/>
                <w:kern w:val="0"/>
                <w:sz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全国</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51598</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18105</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33493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华北地区</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20580</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4861</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15719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东北地区</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4183</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2525</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1658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华东地区</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11825</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4714</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7111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中南地区</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5608</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2932</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2676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西南地区</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4588</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2063</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2525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西北地区</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1010</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3804</w:t>
            </w:r>
          </w:p>
        </w:tc>
        <w:tc>
          <w:tcPr>
            <w:tcW w:w="2035"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4814</w:t>
            </w:r>
          </w:p>
        </w:tc>
      </w:tr>
    </w:tbl>
    <w:p>
      <w:pPr>
        <w:ind w:firstLine="560"/>
        <w:rPr>
          <w:rFonts w:cs="Times New Roman" w:eastAsiaTheme="minorEastAsia"/>
        </w:rPr>
      </w:pPr>
      <w:r>
        <w:rPr>
          <w:rFonts w:cs="Times New Roman" w:eastAsiaTheme="minorEastAsia"/>
        </w:rPr>
        <w:t>2020</w:t>
      </w:r>
      <w:r>
        <w:rPr>
          <w:rFonts w:cs="Times New Roman" w:hAnsiTheme="minorEastAsia" w:eastAsiaTheme="minorEastAsia"/>
        </w:rPr>
        <w:t>年我国领先水平焦炉</w:t>
      </w:r>
      <w:r>
        <w:rPr>
          <w:rFonts w:cs="Times New Roman" w:eastAsiaTheme="minorEastAsia"/>
        </w:rPr>
        <w:t>64</w:t>
      </w:r>
      <w:r>
        <w:rPr>
          <w:rFonts w:cs="Times New Roman" w:hAnsiTheme="minorEastAsia" w:eastAsiaTheme="minorEastAsia"/>
        </w:rPr>
        <w:t>座，合计产能</w:t>
      </w:r>
      <w:r>
        <w:rPr>
          <w:rFonts w:cs="Times New Roman" w:eastAsiaTheme="minorEastAsia"/>
        </w:rPr>
        <w:t>5760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年，产能占比达到</w:t>
      </w:r>
      <w:r>
        <w:rPr>
          <w:rFonts w:cs="Times New Roman" w:eastAsiaTheme="minorEastAsia"/>
        </w:rPr>
        <w:t>10%</w:t>
      </w:r>
      <w:r>
        <w:rPr>
          <w:rFonts w:cs="Times New Roman" w:hAnsiTheme="minorEastAsia" w:eastAsiaTheme="minorEastAsia"/>
        </w:rPr>
        <w:t>，先进水平焦炉</w:t>
      </w:r>
      <w:r>
        <w:rPr>
          <w:rFonts w:cs="Times New Roman" w:eastAsiaTheme="minorEastAsia"/>
        </w:rPr>
        <w:t>500</w:t>
      </w:r>
      <w:r>
        <w:rPr>
          <w:rFonts w:cs="Times New Roman" w:hAnsiTheme="minorEastAsia" w:eastAsiaTheme="minorEastAsia"/>
        </w:rPr>
        <w:t>座，产能为</w:t>
      </w:r>
      <w:r>
        <w:rPr>
          <w:rFonts w:cs="Times New Roman" w:eastAsiaTheme="minorEastAsia"/>
        </w:rPr>
        <w:t>28630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年，占比</w:t>
      </w:r>
      <w:r>
        <w:rPr>
          <w:rFonts w:cs="Times New Roman" w:eastAsiaTheme="minorEastAsia"/>
        </w:rPr>
        <w:t>50%</w:t>
      </w:r>
      <w:r>
        <w:rPr>
          <w:rFonts w:cs="Times New Roman" w:hAnsiTheme="minorEastAsia" w:eastAsiaTheme="minorEastAsia"/>
        </w:rPr>
        <w:t>，国内一般水平焦炉座数</w:t>
      </w:r>
      <w:r>
        <w:rPr>
          <w:rFonts w:cs="Times New Roman" w:eastAsiaTheme="minorEastAsia"/>
        </w:rPr>
        <w:t>720</w:t>
      </w:r>
      <w:r>
        <w:rPr>
          <w:rFonts w:cs="Times New Roman" w:hAnsiTheme="minorEastAsia" w:eastAsiaTheme="minorEastAsia"/>
        </w:rPr>
        <w:t>座，产能为</w:t>
      </w:r>
      <w:r>
        <w:rPr>
          <w:rFonts w:cs="Times New Roman" w:eastAsiaTheme="minorEastAsia"/>
        </w:rPr>
        <w:t>22800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年、占比</w:t>
      </w:r>
      <w:r>
        <w:rPr>
          <w:rFonts w:cs="Times New Roman" w:eastAsiaTheme="minorEastAsia"/>
        </w:rPr>
        <w:t>40%</w:t>
      </w:r>
      <w:r>
        <w:rPr>
          <w:rFonts w:cs="Times New Roman" w:hAnsiTheme="minorEastAsia" w:eastAsiaTheme="minorEastAsia"/>
        </w:rPr>
        <w:t>；落后水平产能为零。</w:t>
      </w:r>
    </w:p>
    <w:p>
      <w:pPr>
        <w:pStyle w:val="6"/>
        <w:ind w:firstLine="560"/>
        <w:rPr>
          <w:rFonts w:cs="Times New Roman" w:eastAsiaTheme="minorEastAsia"/>
        </w:rPr>
      </w:pPr>
      <w:r>
        <w:rPr>
          <w:rFonts w:cs="Times New Roman" w:eastAsiaTheme="minorEastAsia"/>
        </w:rPr>
        <w:t xml:space="preserve">3.1.2.1.2 </w:t>
      </w:r>
      <w:r>
        <w:rPr>
          <w:rFonts w:cs="Times New Roman" w:hAnsiTheme="minorEastAsia" w:eastAsiaTheme="minorEastAsia"/>
        </w:rPr>
        <w:t>去产能情况</w:t>
      </w:r>
    </w:p>
    <w:p>
      <w:pPr>
        <w:ind w:firstLine="560"/>
        <w:rPr>
          <w:rFonts w:cs="Times New Roman" w:eastAsiaTheme="minorEastAsia"/>
        </w:rPr>
      </w:pPr>
      <w:r>
        <w:rPr>
          <w:rFonts w:cs="Times New Roman" w:hAnsiTheme="minorEastAsia" w:eastAsiaTheme="minorEastAsia"/>
        </w:rPr>
        <w:t>近十年来，我国加快推进焦化淘汰落后产能工作。</w:t>
      </w:r>
      <w:r>
        <w:rPr>
          <w:rFonts w:cs="Times New Roman" w:eastAsiaTheme="minorEastAsia"/>
        </w:rPr>
        <w:t>“</w:t>
      </w:r>
      <w:r>
        <w:rPr>
          <w:rFonts w:cs="Times New Roman" w:hAnsiTheme="minorEastAsia" w:eastAsiaTheme="minorEastAsia"/>
        </w:rPr>
        <w:t>十二五</w:t>
      </w:r>
      <w:r>
        <w:rPr>
          <w:rFonts w:cs="Times New Roman" w:eastAsiaTheme="minorEastAsia"/>
        </w:rPr>
        <w:t>”</w:t>
      </w:r>
      <w:r>
        <w:rPr>
          <w:rFonts w:cs="Times New Roman" w:hAnsiTheme="minorEastAsia" w:eastAsiaTheme="minorEastAsia"/>
        </w:rPr>
        <w:t>期间，我国共淘汰落后焦炭产能</w:t>
      </w:r>
      <w:r>
        <w:rPr>
          <w:rFonts w:cs="Times New Roman" w:eastAsiaTheme="minorEastAsia"/>
        </w:rPr>
        <w:t>8016</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w:t>
      </w:r>
      <w:r>
        <w:rPr>
          <w:rFonts w:cs="Times New Roman" w:eastAsiaTheme="minorEastAsia"/>
        </w:rPr>
        <w:t>“</w:t>
      </w:r>
      <w:r>
        <w:rPr>
          <w:rFonts w:cs="Times New Roman" w:hAnsiTheme="minorEastAsia" w:eastAsiaTheme="minorEastAsia"/>
        </w:rPr>
        <w:t>十三五</w:t>
      </w:r>
      <w:r>
        <w:rPr>
          <w:rFonts w:cs="Times New Roman" w:eastAsiaTheme="minorEastAsia"/>
        </w:rPr>
        <w:t>”</w:t>
      </w:r>
      <w:r>
        <w:rPr>
          <w:rFonts w:cs="Times New Roman" w:hAnsiTheme="minorEastAsia" w:eastAsiaTheme="minorEastAsia"/>
        </w:rPr>
        <w:t>化解过剩产能超过</w:t>
      </w:r>
      <w:r>
        <w:rPr>
          <w:rFonts w:cs="Times New Roman" w:eastAsiaTheme="minorEastAsia"/>
        </w:rPr>
        <w:t>5000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年。从</w:t>
      </w:r>
      <w:r>
        <w:rPr>
          <w:rFonts w:cs="Times New Roman" w:eastAsiaTheme="minorEastAsia"/>
        </w:rPr>
        <w:t>2010</w:t>
      </w:r>
      <w:r>
        <w:rPr>
          <w:rFonts w:cs="Times New Roman" w:hAnsiTheme="minorEastAsia" w:eastAsiaTheme="minorEastAsia"/>
        </w:rPr>
        <w:t>年开始我国焦炉大型化建设步伐加快，一部分落后装备被先进装备替代。</w:t>
      </w:r>
      <w:r>
        <w:rPr>
          <w:rFonts w:cs="Times New Roman" w:eastAsiaTheme="minorEastAsia"/>
        </w:rPr>
        <w:t>2014</w:t>
      </w:r>
      <w:r>
        <w:rPr>
          <w:rFonts w:cs="Times New Roman" w:hAnsiTheme="minorEastAsia" w:eastAsiaTheme="minorEastAsia"/>
        </w:rPr>
        <w:t>年开始焦炭产能呈现下降趋势，机械化焦炉、热回收焦炉、半焦炉等产能均出现不同程度的减少。在去产能、环保、市场等多重因素倒逼下竞争力弱的焦炭产能逐渐退出。</w:t>
      </w:r>
    </w:p>
    <w:p>
      <w:pPr>
        <w:ind w:firstLine="560"/>
        <w:rPr>
          <w:rFonts w:cs="Times New Roman" w:eastAsiaTheme="minorEastAsia"/>
          <w:kern w:val="0"/>
        </w:rPr>
      </w:pPr>
      <w:r>
        <w:rPr>
          <w:rFonts w:cs="Times New Roman" w:eastAsiaTheme="minorEastAsia"/>
        </w:rPr>
        <w:t>2014</w:t>
      </w:r>
      <w:r>
        <w:rPr>
          <w:rFonts w:cs="Times New Roman" w:hAnsiTheme="minorEastAsia" w:eastAsiaTheme="minorEastAsia"/>
        </w:rPr>
        <w:t>年</w:t>
      </w:r>
      <w:r>
        <w:rPr>
          <w:rFonts w:cs="Times New Roman" w:eastAsiaTheme="minorEastAsia"/>
        </w:rPr>
        <w:t>4</w:t>
      </w:r>
      <w:r>
        <w:rPr>
          <w:rFonts w:cs="Times New Roman" w:hAnsiTheme="minorEastAsia" w:eastAsiaTheme="minorEastAsia"/>
        </w:rPr>
        <w:t>月</w:t>
      </w:r>
      <w:r>
        <w:rPr>
          <w:rFonts w:cs="Times New Roman" w:eastAsiaTheme="minorEastAsia"/>
        </w:rPr>
        <w:t>1</w:t>
      </w:r>
      <w:r>
        <w:rPr>
          <w:rFonts w:cs="Times New Roman" w:hAnsiTheme="minorEastAsia" w:eastAsiaTheme="minorEastAsia"/>
        </w:rPr>
        <w:t>日起实施的《焦化行业准入条件（</w:t>
      </w:r>
      <w:r>
        <w:rPr>
          <w:rFonts w:cs="Times New Roman" w:eastAsiaTheme="minorEastAsia"/>
        </w:rPr>
        <w:t>2014</w:t>
      </w:r>
      <w:r>
        <w:rPr>
          <w:rFonts w:cs="Times New Roman" w:hAnsiTheme="minorEastAsia" w:eastAsiaTheme="minorEastAsia"/>
        </w:rPr>
        <w:t>年修订）》规定了炼焦项目建设要落实新增产能与淘汰产能等量或减量置换方案，至此焦化行业全面进入减量化发展时期。</w:t>
      </w:r>
      <w:r>
        <w:rPr>
          <w:rFonts w:hint="eastAsia" w:cs="Times New Roman" w:eastAsiaTheme="minorEastAsia"/>
        </w:rPr>
        <w:t>2020</w:t>
      </w:r>
      <w:r>
        <w:rPr>
          <w:rFonts w:cs="Times New Roman" w:hAnsiTheme="minorEastAsia" w:eastAsiaTheme="minorEastAsia"/>
        </w:rPr>
        <w:t>年</w:t>
      </w:r>
      <w:r>
        <w:rPr>
          <w:rFonts w:hint="eastAsia" w:cs="Times New Roman" w:hAnsiTheme="minorEastAsia" w:eastAsiaTheme="minorEastAsia"/>
        </w:rPr>
        <w:t>6月11日</w:t>
      </w:r>
      <w:r>
        <w:rPr>
          <w:rFonts w:cs="Times New Roman" w:hAnsiTheme="minorEastAsia" w:eastAsiaTheme="minorEastAsia"/>
        </w:rPr>
        <w:t>《焦化行业规范条件》</w:t>
      </w:r>
      <w:r>
        <w:rPr>
          <w:rFonts w:hint="eastAsia" w:cs="Times New Roman" w:hAnsiTheme="minorEastAsia" w:eastAsiaTheme="minorEastAsia"/>
        </w:rPr>
        <w:t>实施</w:t>
      </w:r>
      <w:r>
        <w:rPr>
          <w:rFonts w:cs="Times New Roman" w:hAnsiTheme="minorEastAsia" w:eastAsiaTheme="minorEastAsia"/>
        </w:rPr>
        <w:t>，替代《焦化行业准入条件</w:t>
      </w:r>
      <w:r>
        <w:rPr>
          <w:rFonts w:cs="Times New Roman" w:eastAsiaTheme="minorEastAsia"/>
        </w:rPr>
        <w:t>2014</w:t>
      </w:r>
      <w:r>
        <w:rPr>
          <w:rFonts w:cs="Times New Roman" w:hAnsiTheme="minorEastAsia" w:eastAsiaTheme="minorEastAsia"/>
        </w:rPr>
        <w:t>年修订》，没有产能指标要求，但是煤炭指标、能耗指标、环保容量等对新增项目限制。目前河北明确焦化产能置换比例为</w:t>
      </w:r>
      <w:r>
        <w:rPr>
          <w:rFonts w:cs="Times New Roman" w:eastAsiaTheme="minorEastAsia"/>
        </w:rPr>
        <w:t>1:1.25</w:t>
      </w:r>
      <w:r>
        <w:rPr>
          <w:rFonts w:cs="Times New Roman" w:hAnsiTheme="minorEastAsia" w:eastAsiaTheme="minorEastAsia"/>
        </w:rPr>
        <w:t>，山西、江苏、河南严格控制新增产能，内蒙古于</w:t>
      </w:r>
      <w:r>
        <w:rPr>
          <w:rFonts w:cs="Times New Roman" w:eastAsiaTheme="minorEastAsia"/>
        </w:rPr>
        <w:t>2021</w:t>
      </w:r>
      <w:r>
        <w:rPr>
          <w:rFonts w:cs="Times New Roman" w:hAnsiTheme="minorEastAsia" w:eastAsiaTheme="minorEastAsia"/>
        </w:rPr>
        <w:t>年初叫停了焦化项目审批。</w:t>
      </w:r>
    </w:p>
    <w:p>
      <w:pPr>
        <w:ind w:firstLine="560"/>
        <w:rPr>
          <w:rFonts w:cs="Times New Roman" w:eastAsiaTheme="minorEastAsia"/>
        </w:rPr>
      </w:pPr>
      <w:r>
        <w:rPr>
          <w:rFonts w:cs="Times New Roman" w:hAnsiTheme="minorEastAsia" w:eastAsiaTheme="minorEastAsia"/>
        </w:rPr>
        <w:t>自</w:t>
      </w:r>
      <w:r>
        <w:rPr>
          <w:rFonts w:cs="Times New Roman" w:eastAsiaTheme="minorEastAsia"/>
        </w:rPr>
        <w:t>2018</w:t>
      </w:r>
      <w:r>
        <w:rPr>
          <w:rFonts w:cs="Times New Roman" w:hAnsiTheme="minorEastAsia" w:eastAsiaTheme="minorEastAsia"/>
        </w:rPr>
        <w:t>年</w:t>
      </w:r>
      <w:r>
        <w:rPr>
          <w:rFonts w:cs="Times New Roman" w:eastAsiaTheme="minorEastAsia"/>
        </w:rPr>
        <w:t>6</w:t>
      </w:r>
      <w:r>
        <w:rPr>
          <w:rFonts w:cs="Times New Roman" w:hAnsiTheme="minorEastAsia" w:eastAsiaTheme="minorEastAsia"/>
        </w:rPr>
        <w:t>月</w:t>
      </w:r>
      <w:r>
        <w:rPr>
          <w:rFonts w:cs="Times New Roman" w:eastAsiaTheme="minorEastAsia"/>
        </w:rPr>
        <w:t>27</w:t>
      </w:r>
      <w:r>
        <w:rPr>
          <w:rFonts w:cs="Times New Roman" w:hAnsiTheme="minorEastAsia" w:eastAsiaTheme="minorEastAsia"/>
        </w:rPr>
        <w:t>日国务院发布《国务院关于印发打赢蓝天保卫战三年行动计划的通知》（国发〔</w:t>
      </w:r>
      <w:r>
        <w:rPr>
          <w:rFonts w:cs="Times New Roman" w:eastAsiaTheme="minorEastAsia"/>
        </w:rPr>
        <w:t>2018</w:t>
      </w:r>
      <w:r>
        <w:rPr>
          <w:rFonts w:cs="Times New Roman" w:hAnsiTheme="minorEastAsia" w:eastAsiaTheme="minorEastAsia"/>
        </w:rPr>
        <w:t>〕</w:t>
      </w:r>
      <w:r>
        <w:rPr>
          <w:rFonts w:cs="Times New Roman" w:eastAsiaTheme="minorEastAsia"/>
        </w:rPr>
        <w:t>22</w:t>
      </w:r>
      <w:r>
        <w:rPr>
          <w:rFonts w:cs="Times New Roman" w:hAnsiTheme="minorEastAsia" w:eastAsiaTheme="minorEastAsia"/>
        </w:rPr>
        <w:t>号）以来，重点区域加大独立焦化企业淘汰力度，京津冀及周边地区实施</w:t>
      </w:r>
      <w:r>
        <w:rPr>
          <w:rFonts w:cs="Times New Roman" w:eastAsiaTheme="minorEastAsia"/>
        </w:rPr>
        <w:t>“</w:t>
      </w:r>
      <w:r>
        <w:rPr>
          <w:rFonts w:cs="Times New Roman" w:hAnsiTheme="minorEastAsia" w:eastAsiaTheme="minorEastAsia"/>
        </w:rPr>
        <w:t>以钢定焦</w:t>
      </w:r>
      <w:r>
        <w:rPr>
          <w:rFonts w:cs="Times New Roman" w:eastAsiaTheme="minorEastAsia"/>
        </w:rPr>
        <w:t>”</w:t>
      </w:r>
      <w:r>
        <w:rPr>
          <w:rFonts w:cs="Times New Roman" w:hAnsiTheme="minorEastAsia" w:eastAsiaTheme="minorEastAsia"/>
        </w:rPr>
        <w:t>，严防</w:t>
      </w:r>
      <w:r>
        <w:rPr>
          <w:rFonts w:cs="Times New Roman" w:eastAsiaTheme="minorEastAsia"/>
        </w:rPr>
        <w:t>“</w:t>
      </w:r>
      <w:r>
        <w:rPr>
          <w:rFonts w:cs="Times New Roman" w:hAnsiTheme="minorEastAsia" w:eastAsiaTheme="minorEastAsia"/>
        </w:rPr>
        <w:t>地条钢</w:t>
      </w:r>
      <w:r>
        <w:rPr>
          <w:rFonts w:cs="Times New Roman" w:eastAsiaTheme="minorEastAsia"/>
        </w:rPr>
        <w:t>”</w:t>
      </w:r>
      <w:r>
        <w:rPr>
          <w:rFonts w:cs="Times New Roman" w:hAnsiTheme="minorEastAsia" w:eastAsiaTheme="minorEastAsia"/>
        </w:rPr>
        <w:t>死灰复燃。在《河北省打赢蓝天保卫战三年行动方案》政策指导下，河北省于</w:t>
      </w:r>
      <w:r>
        <w:rPr>
          <w:rFonts w:cs="Times New Roman" w:eastAsiaTheme="minorEastAsia"/>
        </w:rPr>
        <w:t>2018</w:t>
      </w:r>
      <w:r>
        <w:rPr>
          <w:rFonts w:cs="Times New Roman" w:hAnsiTheme="minorEastAsia" w:eastAsiaTheme="minorEastAsia"/>
        </w:rPr>
        <w:t>年</w:t>
      </w:r>
      <w:r>
        <w:rPr>
          <w:rFonts w:cs="Times New Roman" w:eastAsiaTheme="minorEastAsia"/>
        </w:rPr>
        <w:t>-2020</w:t>
      </w:r>
      <w:r>
        <w:rPr>
          <w:rFonts w:cs="Times New Roman" w:hAnsiTheme="minorEastAsia" w:eastAsiaTheme="minorEastAsia"/>
        </w:rPr>
        <w:t>年共淘汰</w:t>
      </w:r>
      <w:r>
        <w:rPr>
          <w:rFonts w:cs="Times New Roman" w:eastAsiaTheme="minorEastAsia"/>
        </w:rPr>
        <w:t>1000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年焦化产能，总产能控制在</w:t>
      </w:r>
      <w:r>
        <w:rPr>
          <w:rFonts w:cs="Times New Roman" w:eastAsiaTheme="minorEastAsia"/>
        </w:rPr>
        <w:t>8000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年左右。在《京津冀及周边地区秋冬季大气污染综合治理攻坚行动方案》指导下，京津冀及周边地区</w:t>
      </w:r>
      <w:r>
        <w:rPr>
          <w:rFonts w:cs="Times New Roman" w:eastAsiaTheme="minorEastAsia"/>
        </w:rPr>
        <w:t>2018-2019</w:t>
      </w:r>
      <w:r>
        <w:rPr>
          <w:rFonts w:cs="Times New Roman" w:hAnsiTheme="minorEastAsia" w:eastAsiaTheme="minorEastAsia"/>
        </w:rPr>
        <w:t>年列入去产能的钢铁企业，一并退出配套的烧结、焦炉、高炉等设备。</w:t>
      </w:r>
      <w:r>
        <w:rPr>
          <w:rFonts w:cs="Times New Roman" w:eastAsiaTheme="minorEastAsia"/>
        </w:rPr>
        <w:t>2018</w:t>
      </w:r>
      <w:r>
        <w:rPr>
          <w:rFonts w:cs="Times New Roman" w:hAnsiTheme="minorEastAsia" w:eastAsiaTheme="minorEastAsia"/>
        </w:rPr>
        <w:t>年，河北省钢铁产能压减</w:t>
      </w:r>
      <w:r>
        <w:rPr>
          <w:rFonts w:cs="Times New Roman" w:eastAsiaTheme="minorEastAsia"/>
        </w:rPr>
        <w:t>1000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年以上，山西省压减</w:t>
      </w:r>
      <w:r>
        <w:rPr>
          <w:rFonts w:cs="Times New Roman" w:eastAsiaTheme="minorEastAsia"/>
        </w:rPr>
        <w:t>225</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年，山东省压减</w:t>
      </w:r>
      <w:r>
        <w:rPr>
          <w:rFonts w:cs="Times New Roman" w:eastAsiaTheme="minorEastAsia"/>
        </w:rPr>
        <w:t>355</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年，河南省压减</w:t>
      </w:r>
      <w:r>
        <w:rPr>
          <w:rFonts w:cs="Times New Roman" w:eastAsiaTheme="minorEastAsia"/>
        </w:rPr>
        <w:t>150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年以上。河北、山西省全面启动炭化室高度在</w:t>
      </w:r>
      <w:r>
        <w:rPr>
          <w:rFonts w:cs="Times New Roman" w:eastAsiaTheme="minorEastAsia"/>
        </w:rPr>
        <w:t>4.3</w:t>
      </w:r>
      <w:r>
        <w:rPr>
          <w:rFonts w:cs="Times New Roman" w:hAnsiTheme="minorEastAsia" w:eastAsiaTheme="minorEastAsia"/>
        </w:rPr>
        <w:t>米及以下、运行寿命超过</w:t>
      </w:r>
      <w:r>
        <w:rPr>
          <w:rFonts w:cs="Times New Roman" w:eastAsiaTheme="minorEastAsia"/>
        </w:rPr>
        <w:t>10</w:t>
      </w:r>
      <w:r>
        <w:rPr>
          <w:rFonts w:cs="Times New Roman" w:hAnsiTheme="minorEastAsia" w:eastAsiaTheme="minorEastAsia"/>
        </w:rPr>
        <w:t>年的焦炉淘汰工作；河北、山东、河南省要按照</w:t>
      </w:r>
      <w:r>
        <w:rPr>
          <w:rFonts w:cs="Times New Roman" w:eastAsiaTheme="minorEastAsia"/>
        </w:rPr>
        <w:t>2020</w:t>
      </w:r>
      <w:r>
        <w:rPr>
          <w:rFonts w:cs="Times New Roman" w:hAnsiTheme="minorEastAsia" w:eastAsiaTheme="minorEastAsia"/>
        </w:rPr>
        <w:t>年底前炼焦产能与钢铁产能比达到</w:t>
      </w:r>
      <w:r>
        <w:rPr>
          <w:rFonts w:cs="Times New Roman" w:eastAsiaTheme="minorEastAsia"/>
        </w:rPr>
        <w:t>0.4</w:t>
      </w:r>
      <w:r>
        <w:rPr>
          <w:rFonts w:cs="Times New Roman" w:hAnsiTheme="minorEastAsia" w:eastAsiaTheme="minorEastAsia"/>
        </w:rPr>
        <w:t>左右的目标，制定</w:t>
      </w:r>
      <w:r>
        <w:rPr>
          <w:rFonts w:cs="Times New Roman" w:eastAsiaTheme="minorEastAsia"/>
        </w:rPr>
        <w:t>“</w:t>
      </w:r>
      <w:r>
        <w:rPr>
          <w:rFonts w:cs="Times New Roman" w:hAnsiTheme="minorEastAsia" w:eastAsiaTheme="minorEastAsia"/>
        </w:rPr>
        <w:t>以钢定焦</w:t>
      </w:r>
      <w:r>
        <w:rPr>
          <w:rFonts w:cs="Times New Roman" w:eastAsiaTheme="minorEastAsia"/>
        </w:rPr>
        <w:t>”</w:t>
      </w:r>
      <w:r>
        <w:rPr>
          <w:rFonts w:cs="Times New Roman" w:hAnsiTheme="minorEastAsia" w:eastAsiaTheme="minorEastAsia"/>
        </w:rPr>
        <w:t>方案，加大独立焦化企业淘汰力度。</w:t>
      </w:r>
    </w:p>
    <w:p>
      <w:pPr>
        <w:ind w:firstLine="560"/>
        <w:rPr>
          <w:rFonts w:cs="Times New Roman" w:eastAsiaTheme="minorEastAsia"/>
        </w:rPr>
      </w:pPr>
      <w:r>
        <w:rPr>
          <w:rFonts w:cs="Times New Roman" w:hAnsiTheme="minorEastAsia" w:eastAsiaTheme="minorEastAsia"/>
        </w:rPr>
        <w:t>与此同时，越来越严格环保政策也促使淘汰了一批一般水平（</w:t>
      </w:r>
      <w:r>
        <w:rPr>
          <w:rFonts w:cs="Times New Roman" w:eastAsiaTheme="minorEastAsia"/>
        </w:rPr>
        <w:t>4.3m</w:t>
      </w:r>
      <w:r>
        <w:rPr>
          <w:rFonts w:cs="Times New Roman" w:hAnsiTheme="minorEastAsia" w:eastAsiaTheme="minorEastAsia"/>
        </w:rPr>
        <w:t>）焦炉，减量置换了一批先进水平焦炉。据初步统计，</w:t>
      </w:r>
      <w:r>
        <w:rPr>
          <w:rFonts w:cs="Times New Roman" w:eastAsiaTheme="minorEastAsia"/>
        </w:rPr>
        <w:t>2020</w:t>
      </w:r>
      <w:r>
        <w:rPr>
          <w:rFonts w:cs="Times New Roman" w:hAnsiTheme="minorEastAsia" w:eastAsiaTheme="minorEastAsia"/>
        </w:rPr>
        <w:t>年先进水平（包含领先水平）焦炉产能相比</w:t>
      </w:r>
      <w:r>
        <w:rPr>
          <w:rFonts w:cs="Times New Roman" w:eastAsiaTheme="minorEastAsia"/>
        </w:rPr>
        <w:t>2019</w:t>
      </w:r>
      <w:r>
        <w:rPr>
          <w:rFonts w:cs="Times New Roman" w:hAnsiTheme="minorEastAsia" w:eastAsiaTheme="minorEastAsia"/>
        </w:rPr>
        <w:t>年所占比例上升了</w:t>
      </w:r>
      <w:r>
        <w:rPr>
          <w:rFonts w:cs="Times New Roman" w:eastAsiaTheme="minorEastAsia"/>
        </w:rPr>
        <w:t>4.5</w:t>
      </w:r>
      <w:r>
        <w:rPr>
          <w:rFonts w:cs="Times New Roman" w:hAnsiTheme="minorEastAsia" w:eastAsiaTheme="minorEastAsia"/>
        </w:rPr>
        <w:t>个百分点。</w:t>
      </w:r>
    </w:p>
    <w:p>
      <w:pPr>
        <w:pStyle w:val="6"/>
        <w:ind w:firstLine="560"/>
        <w:rPr>
          <w:rFonts w:cs="Times New Roman" w:eastAsiaTheme="minorEastAsia"/>
        </w:rPr>
      </w:pPr>
      <w:r>
        <w:rPr>
          <w:rFonts w:cs="Times New Roman" w:eastAsiaTheme="minorEastAsia"/>
        </w:rPr>
        <w:t xml:space="preserve">3.1.2.1.3 </w:t>
      </w:r>
      <w:r>
        <w:rPr>
          <w:rFonts w:cs="Times New Roman" w:hAnsiTheme="minorEastAsia" w:eastAsiaTheme="minorEastAsia"/>
        </w:rPr>
        <w:t>产量情况</w:t>
      </w:r>
    </w:p>
    <w:p>
      <w:pPr>
        <w:ind w:firstLine="560"/>
        <w:rPr>
          <w:rFonts w:cs="Times New Roman" w:eastAsiaTheme="minorEastAsia"/>
        </w:rPr>
      </w:pPr>
      <w:r>
        <w:rPr>
          <w:rFonts w:cs="Times New Roman" w:eastAsiaTheme="minorEastAsia"/>
        </w:rPr>
        <w:t>2020</w:t>
      </w:r>
      <w:r>
        <w:rPr>
          <w:rFonts w:cs="Times New Roman" w:hAnsiTheme="minorEastAsia" w:eastAsiaTheme="minorEastAsia"/>
        </w:rPr>
        <w:t>年我国焦炭产量</w:t>
      </w:r>
      <w:r>
        <w:rPr>
          <w:rFonts w:cs="Times New Roman" w:eastAsiaTheme="minorEastAsia"/>
        </w:rPr>
        <w:t>47116</w:t>
      </w:r>
      <w:r>
        <w:rPr>
          <w:rFonts w:cs="Times New Roman" w:hAnsiTheme="minorEastAsia" w:eastAsiaTheme="minorEastAsia"/>
        </w:rPr>
        <w:t>万吨，同比基本持平，主要受新冠肺炎疫情、环保等因素制约影响。受钢铁产量以及入炉焦比下降影响，我国焦炭产量从</w:t>
      </w:r>
      <w:r>
        <w:rPr>
          <w:rFonts w:cs="Times New Roman" w:eastAsiaTheme="minorEastAsia"/>
        </w:rPr>
        <w:t>2014</w:t>
      </w:r>
      <w:r>
        <w:rPr>
          <w:rFonts w:cs="Times New Roman" w:hAnsiTheme="minorEastAsia" w:eastAsiaTheme="minorEastAsia"/>
        </w:rPr>
        <w:t>年开始增产乏力，</w:t>
      </w:r>
      <w:r>
        <w:rPr>
          <w:rFonts w:cs="Times New Roman" w:eastAsiaTheme="minorEastAsia"/>
        </w:rPr>
        <w:t>2015</w:t>
      </w:r>
      <w:r>
        <w:rPr>
          <w:rFonts w:cs="Times New Roman" w:hAnsiTheme="minorEastAsia" w:eastAsiaTheme="minorEastAsia"/>
        </w:rPr>
        <w:t>年产量急剧下降，</w:t>
      </w:r>
      <w:r>
        <w:rPr>
          <w:rFonts w:cs="Times New Roman" w:eastAsiaTheme="minorEastAsia"/>
        </w:rPr>
        <w:t>2016</w:t>
      </w:r>
      <w:r>
        <w:rPr>
          <w:rFonts w:cs="Times New Roman" w:hAnsiTheme="minorEastAsia" w:eastAsiaTheme="minorEastAsia"/>
        </w:rPr>
        <w:t>年有所企稳，</w:t>
      </w:r>
      <w:r>
        <w:rPr>
          <w:rFonts w:cs="Times New Roman" w:eastAsiaTheme="minorEastAsia"/>
        </w:rPr>
        <w:t>2017</w:t>
      </w:r>
      <w:r>
        <w:rPr>
          <w:rFonts w:cs="Times New Roman" w:hAnsiTheme="minorEastAsia" w:eastAsiaTheme="minorEastAsia"/>
        </w:rPr>
        <w:t>年下行，</w:t>
      </w:r>
      <w:r>
        <w:rPr>
          <w:rFonts w:cs="Times New Roman" w:eastAsiaTheme="minorEastAsia"/>
        </w:rPr>
        <w:t>2018</w:t>
      </w:r>
      <w:r>
        <w:rPr>
          <w:rFonts w:cs="Times New Roman" w:hAnsiTheme="minorEastAsia" w:eastAsiaTheme="minorEastAsia"/>
        </w:rPr>
        <w:t>年企稳，</w:t>
      </w:r>
      <w:r>
        <w:rPr>
          <w:rFonts w:cs="Times New Roman" w:eastAsiaTheme="minorEastAsia"/>
        </w:rPr>
        <w:t>2019</w:t>
      </w:r>
      <w:r>
        <w:rPr>
          <w:rFonts w:cs="Times New Roman" w:hAnsiTheme="minorEastAsia" w:eastAsiaTheme="minorEastAsia"/>
        </w:rPr>
        <w:t>年增长，</w:t>
      </w:r>
      <w:r>
        <w:rPr>
          <w:rFonts w:cs="Times New Roman" w:eastAsiaTheme="minorEastAsia"/>
        </w:rPr>
        <w:t>2020</w:t>
      </w:r>
      <w:r>
        <w:rPr>
          <w:rFonts w:cs="Times New Roman" w:hAnsiTheme="minorEastAsia" w:eastAsiaTheme="minorEastAsia"/>
        </w:rPr>
        <w:t>年持平。</w:t>
      </w:r>
    </w:p>
    <w:p>
      <w:pPr>
        <w:pStyle w:val="6"/>
        <w:ind w:firstLine="560"/>
        <w:rPr>
          <w:rFonts w:cs="Times New Roman" w:eastAsiaTheme="minorEastAsia"/>
        </w:rPr>
      </w:pPr>
      <w:r>
        <w:rPr>
          <w:rFonts w:cs="Times New Roman" w:eastAsiaTheme="minorEastAsia"/>
        </w:rPr>
        <w:t xml:space="preserve">3.1.2.1.4 </w:t>
      </w:r>
      <w:r>
        <w:rPr>
          <w:rFonts w:cs="Times New Roman" w:hAnsiTheme="minorEastAsia" w:eastAsiaTheme="minorEastAsia"/>
        </w:rPr>
        <w:t>进出口情况</w:t>
      </w:r>
    </w:p>
    <w:p>
      <w:pPr>
        <w:ind w:firstLine="560"/>
        <w:rPr>
          <w:rFonts w:cs="Times New Roman" w:eastAsiaTheme="minorEastAsia"/>
        </w:rPr>
      </w:pPr>
      <w:r>
        <w:rPr>
          <w:rFonts w:cs="Times New Roman" w:eastAsiaTheme="minorEastAsia"/>
        </w:rPr>
        <w:t>2020</w:t>
      </w:r>
      <w:r>
        <w:rPr>
          <w:rFonts w:cs="Times New Roman" w:hAnsiTheme="minorEastAsia" w:eastAsiaTheme="minorEastAsia"/>
        </w:rPr>
        <w:t>年，我国进口焦炭</w:t>
      </w:r>
      <w:r>
        <w:rPr>
          <w:rFonts w:cs="Times New Roman" w:eastAsiaTheme="minorEastAsia"/>
        </w:rPr>
        <w:t>250</w:t>
      </w:r>
      <w:r>
        <w:rPr>
          <w:rFonts w:cs="Times New Roman" w:hAnsiTheme="minorEastAsia" w:eastAsiaTheme="minorEastAsia"/>
        </w:rPr>
        <w:t>万吨，同比增长</w:t>
      </w:r>
      <w:r>
        <w:rPr>
          <w:rFonts w:cs="Times New Roman" w:eastAsiaTheme="minorEastAsia"/>
        </w:rPr>
        <w:t>6</w:t>
      </w:r>
      <w:r>
        <w:rPr>
          <w:rFonts w:cs="Times New Roman" w:hAnsiTheme="minorEastAsia" w:eastAsiaTheme="minorEastAsia"/>
        </w:rPr>
        <w:t>倍以上；出口焦炭</w:t>
      </w:r>
      <w:r>
        <w:rPr>
          <w:rFonts w:cs="Times New Roman" w:eastAsiaTheme="minorEastAsia"/>
        </w:rPr>
        <w:t>349</w:t>
      </w:r>
      <w:r>
        <w:rPr>
          <w:rFonts w:cs="Times New Roman" w:hAnsiTheme="minorEastAsia" w:eastAsiaTheme="minorEastAsia"/>
        </w:rPr>
        <w:t>万吨，同比下降</w:t>
      </w:r>
      <w:r>
        <w:rPr>
          <w:rFonts w:cs="Times New Roman" w:eastAsiaTheme="minorEastAsia"/>
        </w:rPr>
        <w:t>46.5%</w:t>
      </w:r>
      <w:r>
        <w:rPr>
          <w:rFonts w:cs="Times New Roman" w:hAnsiTheme="minorEastAsia" w:eastAsiaTheme="minorEastAsia"/>
        </w:rPr>
        <w:t>，主要受国外需求疲弱、国内供应偏紧的影响。冶金焦炭进口是国内外两种资源供需变化的一个新情况，应给予必要的关注，但总体上看，进口焦炭数量与国内产量相比数量较小，对国内焦炭市场供需状况影响较小。</w:t>
      </w:r>
    </w:p>
    <w:p>
      <w:pPr>
        <w:pStyle w:val="6"/>
        <w:ind w:firstLine="560"/>
        <w:rPr>
          <w:rFonts w:cs="Times New Roman" w:eastAsiaTheme="minorEastAsia"/>
        </w:rPr>
      </w:pPr>
      <w:r>
        <w:rPr>
          <w:rFonts w:cs="Times New Roman" w:eastAsiaTheme="minorEastAsia"/>
        </w:rPr>
        <w:t xml:space="preserve">3.1.2.1.5 </w:t>
      </w:r>
      <w:r>
        <w:rPr>
          <w:rFonts w:cs="Times New Roman" w:hAnsiTheme="minorEastAsia" w:eastAsiaTheme="minorEastAsia"/>
        </w:rPr>
        <w:t>消费情况</w:t>
      </w:r>
    </w:p>
    <w:p>
      <w:pPr>
        <w:ind w:firstLine="560"/>
        <w:rPr>
          <w:rFonts w:cs="Times New Roman" w:eastAsiaTheme="minorEastAsia"/>
        </w:rPr>
      </w:pPr>
      <w:r>
        <w:rPr>
          <w:rFonts w:cs="Times New Roman" w:hAnsiTheme="minorEastAsia" w:eastAsiaTheme="minorEastAsia"/>
        </w:rPr>
        <w:t>我国焦炭产品主要应用于钢铁、化工、机械、有色等行业。</w:t>
      </w:r>
      <w:r>
        <w:rPr>
          <w:rFonts w:cs="Times New Roman" w:eastAsiaTheme="minorEastAsia"/>
        </w:rPr>
        <w:t>2020</w:t>
      </w:r>
      <w:r>
        <w:rPr>
          <w:rFonts w:cs="Times New Roman" w:hAnsiTheme="minorEastAsia" w:eastAsiaTheme="minorEastAsia"/>
        </w:rPr>
        <w:t>年，焦炭表观消费量</w:t>
      </w:r>
      <w:r>
        <w:rPr>
          <w:rFonts w:cs="Times New Roman" w:eastAsiaTheme="minorEastAsia"/>
        </w:rPr>
        <w:t>47017</w:t>
      </w:r>
      <w:r>
        <w:rPr>
          <w:rFonts w:cs="Times New Roman" w:hAnsiTheme="minorEastAsia" w:eastAsiaTheme="minorEastAsia"/>
        </w:rPr>
        <w:t>万吨，同比增加</w:t>
      </w:r>
      <w:r>
        <w:rPr>
          <w:rFonts w:cs="Times New Roman" w:eastAsiaTheme="minorEastAsia"/>
        </w:rPr>
        <w:t>1.2%</w:t>
      </w:r>
      <w:r>
        <w:rPr>
          <w:rFonts w:cs="Times New Roman" w:hAnsiTheme="minorEastAsia" w:eastAsiaTheme="minorEastAsia"/>
        </w:rPr>
        <w:t>钢铁行业消费</w:t>
      </w:r>
      <w:r>
        <w:rPr>
          <w:rFonts w:cs="Times New Roman" w:eastAsiaTheme="minorEastAsia"/>
        </w:rPr>
        <w:t>40700</w:t>
      </w:r>
      <w:r>
        <w:rPr>
          <w:rFonts w:cs="Times New Roman" w:hAnsiTheme="minorEastAsia" w:eastAsiaTheme="minorEastAsia"/>
        </w:rPr>
        <w:t>万吨，占</w:t>
      </w:r>
      <w:r>
        <w:rPr>
          <w:rFonts w:cs="Times New Roman" w:eastAsiaTheme="minorEastAsia"/>
        </w:rPr>
        <w:t>86.6%</w:t>
      </w:r>
      <w:r>
        <w:rPr>
          <w:rFonts w:cs="Times New Roman" w:hAnsiTheme="minorEastAsia" w:eastAsiaTheme="minorEastAsia"/>
        </w:rPr>
        <w:t>；化工行业消费</w:t>
      </w:r>
      <w:r>
        <w:rPr>
          <w:rFonts w:cs="Times New Roman" w:eastAsiaTheme="minorEastAsia"/>
        </w:rPr>
        <w:t>3900</w:t>
      </w:r>
      <w:r>
        <w:rPr>
          <w:rFonts w:cs="Times New Roman" w:hAnsiTheme="minorEastAsia" w:eastAsiaTheme="minorEastAsia"/>
        </w:rPr>
        <w:t>万吨，占</w:t>
      </w:r>
      <w:r>
        <w:rPr>
          <w:rFonts w:cs="Times New Roman" w:eastAsiaTheme="minorEastAsia"/>
        </w:rPr>
        <w:t>8.3%</w:t>
      </w:r>
      <w:r>
        <w:rPr>
          <w:rFonts w:cs="Times New Roman" w:hAnsiTheme="minorEastAsia" w:eastAsiaTheme="minorEastAsia"/>
        </w:rPr>
        <w:t>；机械行业消费</w:t>
      </w:r>
      <w:r>
        <w:rPr>
          <w:rFonts w:cs="Times New Roman" w:eastAsiaTheme="minorEastAsia"/>
        </w:rPr>
        <w:t>950</w:t>
      </w:r>
      <w:r>
        <w:rPr>
          <w:rFonts w:cs="Times New Roman" w:hAnsiTheme="minorEastAsia" w:eastAsiaTheme="minorEastAsia"/>
        </w:rPr>
        <w:t>万吨，占</w:t>
      </w:r>
      <w:r>
        <w:rPr>
          <w:rFonts w:cs="Times New Roman" w:eastAsiaTheme="minorEastAsia"/>
        </w:rPr>
        <w:t>2%</w:t>
      </w:r>
      <w:r>
        <w:rPr>
          <w:rFonts w:cs="Times New Roman" w:hAnsiTheme="minorEastAsia" w:eastAsiaTheme="minorEastAsia"/>
        </w:rPr>
        <w:t>；有色行业消费</w:t>
      </w:r>
      <w:r>
        <w:rPr>
          <w:rFonts w:cs="Times New Roman" w:eastAsiaTheme="minorEastAsia"/>
        </w:rPr>
        <w:t>860</w:t>
      </w:r>
      <w:r>
        <w:rPr>
          <w:rFonts w:cs="Times New Roman" w:hAnsiTheme="minorEastAsia" w:eastAsiaTheme="minorEastAsia"/>
        </w:rPr>
        <w:t>万吨，占</w:t>
      </w:r>
      <w:r>
        <w:rPr>
          <w:rFonts w:cs="Times New Roman" w:eastAsiaTheme="minorEastAsia"/>
        </w:rPr>
        <w:t>1.83%</w:t>
      </w:r>
      <w:r>
        <w:rPr>
          <w:rFonts w:cs="Times New Roman" w:hAnsiTheme="minorEastAsia" w:eastAsiaTheme="minorEastAsia"/>
        </w:rPr>
        <w:t>；其他行业消费及损耗</w:t>
      </w:r>
      <w:r>
        <w:rPr>
          <w:rFonts w:cs="Times New Roman" w:eastAsiaTheme="minorEastAsia"/>
        </w:rPr>
        <w:t>607</w:t>
      </w:r>
      <w:r>
        <w:rPr>
          <w:rFonts w:cs="Times New Roman" w:hAnsiTheme="minorEastAsia" w:eastAsiaTheme="minorEastAsia"/>
        </w:rPr>
        <w:t>万吨，占</w:t>
      </w:r>
      <w:r>
        <w:rPr>
          <w:rFonts w:cs="Times New Roman" w:eastAsiaTheme="minorEastAsia"/>
        </w:rPr>
        <w:t>1.3%</w:t>
      </w:r>
      <w:r>
        <w:rPr>
          <w:rFonts w:cs="Times New Roman" w:hAnsiTheme="minorEastAsia" w:eastAsiaTheme="minorEastAsia"/>
        </w:rPr>
        <w:t>。</w:t>
      </w:r>
    </w:p>
    <w:p>
      <w:pPr>
        <w:ind w:firstLine="560"/>
        <w:rPr>
          <w:rFonts w:cs="Times New Roman" w:eastAsiaTheme="minorEastAsia"/>
        </w:rPr>
      </w:pPr>
      <w:r>
        <w:rPr>
          <w:rFonts w:cs="Times New Roman" w:hAnsiTheme="minorEastAsia" w:eastAsiaTheme="minorEastAsia"/>
        </w:rPr>
        <w:t>钢铁行业消费中，炼铁（含铸造铁）消费焦炭</w:t>
      </w:r>
      <w:r>
        <w:rPr>
          <w:rFonts w:cs="Times New Roman" w:eastAsiaTheme="minorEastAsia"/>
        </w:rPr>
        <w:t>32540</w:t>
      </w:r>
      <w:r>
        <w:rPr>
          <w:rFonts w:cs="Times New Roman" w:hAnsiTheme="minorEastAsia" w:eastAsiaTheme="minorEastAsia"/>
        </w:rPr>
        <w:t>万吨（占钢铁行业焦炭消费总量比例</w:t>
      </w:r>
      <w:r>
        <w:rPr>
          <w:rFonts w:cs="Times New Roman" w:eastAsiaTheme="minorEastAsia"/>
        </w:rPr>
        <w:t>80%</w:t>
      </w:r>
      <w:r>
        <w:rPr>
          <w:rFonts w:cs="Times New Roman" w:hAnsiTheme="minorEastAsia" w:eastAsiaTheme="minorEastAsia"/>
        </w:rPr>
        <w:t>），铁合金生产消费焦炭</w:t>
      </w:r>
      <w:r>
        <w:rPr>
          <w:rFonts w:cs="Times New Roman" w:eastAsiaTheme="minorEastAsia"/>
        </w:rPr>
        <w:t>2010</w:t>
      </w:r>
      <w:r>
        <w:rPr>
          <w:rFonts w:cs="Times New Roman" w:hAnsiTheme="minorEastAsia" w:eastAsiaTheme="minorEastAsia"/>
        </w:rPr>
        <w:t>万吨，烧结生产消费焦炭</w:t>
      </w:r>
      <w:r>
        <w:rPr>
          <w:rFonts w:cs="Times New Roman" w:eastAsiaTheme="minorEastAsia"/>
        </w:rPr>
        <w:t>6150</w:t>
      </w:r>
      <w:r>
        <w:rPr>
          <w:rFonts w:cs="Times New Roman" w:hAnsiTheme="minorEastAsia" w:eastAsiaTheme="minorEastAsia"/>
        </w:rPr>
        <w:t>万吨。</w:t>
      </w:r>
    </w:p>
    <w:p>
      <w:pPr>
        <w:pStyle w:val="2"/>
        <w:ind w:firstLine="560"/>
        <w:rPr>
          <w:rFonts w:cs="Times New Roman" w:eastAsiaTheme="minorEastAsia"/>
        </w:rPr>
      </w:pPr>
      <w:r>
        <w:rPr>
          <w:rFonts w:cs="Times New Roman" w:eastAsiaTheme="minorEastAsia"/>
        </w:rPr>
        <w:t xml:space="preserve">3.1.2.2 </w:t>
      </w:r>
      <w:r>
        <w:rPr>
          <w:rFonts w:cs="Times New Roman" w:hAnsiTheme="minorEastAsia" w:eastAsiaTheme="minorEastAsia"/>
        </w:rPr>
        <w:t>发展趋势</w:t>
      </w:r>
    </w:p>
    <w:p>
      <w:pPr>
        <w:ind w:firstLine="560"/>
        <w:rPr>
          <w:rFonts w:cs="Times New Roman" w:eastAsiaTheme="minorEastAsia"/>
        </w:rPr>
      </w:pPr>
      <w:r>
        <w:rPr>
          <w:rFonts w:cs="Times New Roman" w:hAnsiTheme="minorEastAsia" w:eastAsiaTheme="minorEastAsia"/>
        </w:rPr>
        <w:t>面向</w:t>
      </w:r>
      <w:r>
        <w:rPr>
          <w:rFonts w:cs="Times New Roman" w:eastAsiaTheme="minorEastAsia"/>
        </w:rPr>
        <w:t>“</w:t>
      </w:r>
      <w:r>
        <w:rPr>
          <w:rFonts w:cs="Times New Roman" w:hAnsiTheme="minorEastAsia" w:eastAsiaTheme="minorEastAsia"/>
        </w:rPr>
        <w:t>十四五</w:t>
      </w:r>
      <w:r>
        <w:rPr>
          <w:rFonts w:cs="Times New Roman" w:eastAsiaTheme="minorEastAsia"/>
        </w:rPr>
        <w:t>”</w:t>
      </w:r>
      <w:r>
        <w:rPr>
          <w:rFonts w:cs="Times New Roman" w:hAnsiTheme="minorEastAsia" w:eastAsiaTheme="minorEastAsia"/>
        </w:rPr>
        <w:t>及今后更长期的高质量发展要求，我国焦化行业将不断深入贯彻</w:t>
      </w:r>
      <w:r>
        <w:rPr>
          <w:rFonts w:cs="Times New Roman" w:eastAsiaTheme="minorEastAsia"/>
        </w:rPr>
        <w:t>“</w:t>
      </w:r>
      <w:r>
        <w:rPr>
          <w:rFonts w:cs="Times New Roman" w:hAnsiTheme="minorEastAsia" w:eastAsiaTheme="minorEastAsia"/>
        </w:rPr>
        <w:t>创新、协调、绿色、开放、共享</w:t>
      </w:r>
      <w:r>
        <w:rPr>
          <w:rFonts w:cs="Times New Roman" w:eastAsiaTheme="minorEastAsia"/>
        </w:rPr>
        <w:t>”</w:t>
      </w:r>
      <w:r>
        <w:rPr>
          <w:rFonts w:cs="Times New Roman" w:hAnsiTheme="minorEastAsia" w:eastAsiaTheme="minorEastAsia"/>
        </w:rPr>
        <w:t>发展理念，加快落实去产能、提水平、调布局、促集群，促进全行业技术水平提升和整体转型升级。</w:t>
      </w:r>
    </w:p>
    <w:p>
      <w:pPr>
        <w:ind w:firstLine="560"/>
        <w:rPr>
          <w:rFonts w:cs="Times New Roman" w:eastAsiaTheme="minorEastAsia"/>
        </w:rPr>
      </w:pPr>
      <w:r>
        <w:rPr>
          <w:rFonts w:cs="Times New Roman" w:hAnsiTheme="minorEastAsia" w:eastAsiaTheme="minorEastAsia"/>
        </w:rPr>
        <w:t>（</w:t>
      </w:r>
      <w:r>
        <w:rPr>
          <w:rFonts w:cs="Times New Roman" w:eastAsiaTheme="minorEastAsia"/>
        </w:rPr>
        <w:t>1</w:t>
      </w:r>
      <w:r>
        <w:rPr>
          <w:rFonts w:cs="Times New Roman" w:hAnsiTheme="minorEastAsia" w:eastAsiaTheme="minorEastAsia"/>
        </w:rPr>
        <w:t>）去产能。</w:t>
      </w:r>
      <w:r>
        <w:rPr>
          <w:rFonts w:cs="Times New Roman" w:eastAsiaTheme="minorEastAsia"/>
        </w:rPr>
        <w:t>“</w:t>
      </w:r>
      <w:r>
        <w:rPr>
          <w:rFonts w:cs="Times New Roman" w:hAnsiTheme="minorEastAsia" w:eastAsiaTheme="minorEastAsia"/>
        </w:rPr>
        <w:t>十三五</w:t>
      </w:r>
      <w:r>
        <w:rPr>
          <w:rFonts w:cs="Times New Roman" w:eastAsiaTheme="minorEastAsia"/>
        </w:rPr>
        <w:t>”</w:t>
      </w:r>
      <w:r>
        <w:rPr>
          <w:rFonts w:cs="Times New Roman" w:hAnsiTheme="minorEastAsia" w:eastAsiaTheme="minorEastAsia"/>
        </w:rPr>
        <w:t>期间我国已化解焦化过剩产能</w:t>
      </w:r>
      <w:r>
        <w:rPr>
          <w:rFonts w:cs="Times New Roman" w:eastAsiaTheme="minorEastAsia"/>
        </w:rPr>
        <w:t>5000-7000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年，预计到</w:t>
      </w:r>
      <w:r>
        <w:rPr>
          <w:rFonts w:cs="Times New Roman" w:eastAsiaTheme="minorEastAsia"/>
        </w:rPr>
        <w:t>2025</w:t>
      </w:r>
      <w:r>
        <w:rPr>
          <w:rFonts w:cs="Times New Roman" w:hAnsiTheme="minorEastAsia" w:eastAsiaTheme="minorEastAsia"/>
        </w:rPr>
        <w:t>年将再退出</w:t>
      </w:r>
      <w:r>
        <w:rPr>
          <w:rFonts w:cs="Times New Roman" w:eastAsiaTheme="minorEastAsia"/>
        </w:rPr>
        <w:t>7000-8000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年过剩产能，主要促进因素是环保退出、以钢定焦、减量置换等。</w:t>
      </w:r>
    </w:p>
    <w:p>
      <w:pPr>
        <w:ind w:firstLine="560"/>
        <w:rPr>
          <w:rFonts w:cs="Times New Roman" w:eastAsiaTheme="minorEastAsia"/>
        </w:rPr>
      </w:pPr>
      <w:r>
        <w:rPr>
          <w:rFonts w:cs="Times New Roman" w:hAnsiTheme="minorEastAsia" w:eastAsiaTheme="minorEastAsia"/>
        </w:rPr>
        <w:t>（</w:t>
      </w:r>
      <w:r>
        <w:rPr>
          <w:rFonts w:cs="Times New Roman" w:eastAsiaTheme="minorEastAsia"/>
        </w:rPr>
        <w:t>2</w:t>
      </w:r>
      <w:r>
        <w:rPr>
          <w:rFonts w:cs="Times New Roman" w:hAnsiTheme="minorEastAsia" w:eastAsiaTheme="minorEastAsia"/>
        </w:rPr>
        <w:t>）提水平。主要体现在焦炉炉型的大型化、装备先进化、生产高效化、污染防治全流程协同化。主要措施包括</w:t>
      </w:r>
      <w:r>
        <w:rPr>
          <w:rFonts w:cs="Times New Roman" w:eastAsiaTheme="minorEastAsia"/>
        </w:rPr>
        <w:t>:</w:t>
      </w:r>
      <w:r>
        <w:rPr>
          <w:rFonts w:cs="Times New Roman" w:hAnsiTheme="minorEastAsia" w:eastAsiaTheme="minorEastAsia"/>
        </w:rPr>
        <w:t>增加炭化室高度</w:t>
      </w:r>
      <w:r>
        <w:rPr>
          <w:rFonts w:cs="Times New Roman" w:eastAsiaTheme="minorEastAsia"/>
        </w:rPr>
        <w:t>(</w:t>
      </w:r>
      <w:r>
        <w:rPr>
          <w:rFonts w:cs="Times New Roman" w:hAnsiTheme="minorEastAsia" w:eastAsiaTheme="minorEastAsia"/>
        </w:rPr>
        <w:t>顶装</w:t>
      </w:r>
      <w:r>
        <w:rPr>
          <w:rFonts w:cs="Times New Roman" w:eastAsiaTheme="minorEastAsia"/>
        </w:rPr>
        <w:t>7m-8m</w:t>
      </w:r>
      <w:r>
        <w:rPr>
          <w:rFonts w:cs="Times New Roman" w:hAnsiTheme="minorEastAsia" w:eastAsiaTheme="minorEastAsia"/>
        </w:rPr>
        <w:t>，捣固</w:t>
      </w:r>
      <w:r>
        <w:rPr>
          <w:rFonts w:cs="Times New Roman" w:eastAsiaTheme="minorEastAsia"/>
        </w:rPr>
        <w:t>6.25m-6.78m</w:t>
      </w:r>
      <w:r>
        <w:rPr>
          <w:rFonts w:cs="Times New Roman" w:hAnsiTheme="minorEastAsia" w:eastAsiaTheme="minorEastAsia"/>
        </w:rPr>
        <w:t>），改善焦炉整体密封及隔热，提高弱粘结性炼焦煤配入比例以降低生产成本，减少焦炉生产时氮氧化物产生量，减少烟尘和粉尘排放，对无组织排放有效治理、实现清洁生产。</w:t>
      </w:r>
    </w:p>
    <w:p>
      <w:pPr>
        <w:ind w:firstLine="560"/>
        <w:rPr>
          <w:rFonts w:cs="Times New Roman" w:eastAsiaTheme="minorEastAsia"/>
        </w:rPr>
      </w:pPr>
      <w:r>
        <w:rPr>
          <w:rFonts w:cs="Times New Roman" w:hAnsiTheme="minorEastAsia" w:eastAsiaTheme="minorEastAsia"/>
        </w:rPr>
        <w:t>（</w:t>
      </w:r>
      <w:r>
        <w:rPr>
          <w:rFonts w:cs="Times New Roman" w:eastAsiaTheme="minorEastAsia"/>
        </w:rPr>
        <w:t>3</w:t>
      </w:r>
      <w:r>
        <w:rPr>
          <w:rFonts w:cs="Times New Roman" w:hAnsiTheme="minorEastAsia" w:eastAsiaTheme="minorEastAsia"/>
        </w:rPr>
        <w:t>）调布局。根据市场需求，结合各省区节能政策调整，制定行业布局调整规划，促进产能布局优化和合理转移。</w:t>
      </w:r>
    </w:p>
    <w:p>
      <w:pPr>
        <w:ind w:firstLine="560"/>
        <w:rPr>
          <w:rFonts w:cs="Times New Roman" w:eastAsiaTheme="minorEastAsia"/>
        </w:rPr>
      </w:pPr>
      <w:r>
        <w:rPr>
          <w:rFonts w:cs="Times New Roman" w:hAnsiTheme="minorEastAsia" w:eastAsiaTheme="minorEastAsia"/>
        </w:rPr>
        <w:t>（</w:t>
      </w:r>
      <w:r>
        <w:rPr>
          <w:rFonts w:cs="Times New Roman" w:eastAsiaTheme="minorEastAsia"/>
        </w:rPr>
        <w:t>4</w:t>
      </w:r>
      <w:r>
        <w:rPr>
          <w:rFonts w:cs="Times New Roman" w:hAnsiTheme="minorEastAsia" w:eastAsiaTheme="minorEastAsia"/>
        </w:rPr>
        <w:t>）促集群。焦化企业与上下游企业间整合重组，建成大型煤焦化工集团，焦化循环经济园区发展模式成为主流方向。</w:t>
      </w:r>
    </w:p>
    <w:p>
      <w:pPr>
        <w:ind w:firstLine="560"/>
        <w:rPr>
          <w:rFonts w:cs="Times New Roman" w:eastAsiaTheme="minorEastAsia"/>
        </w:rPr>
      </w:pPr>
      <w:r>
        <w:rPr>
          <w:rFonts w:cs="Times New Roman" w:hAnsiTheme="minorEastAsia" w:eastAsiaTheme="minorEastAsia"/>
        </w:rPr>
        <w:t>（</w:t>
      </w:r>
      <w:r>
        <w:rPr>
          <w:rFonts w:cs="Times New Roman" w:eastAsiaTheme="minorEastAsia"/>
        </w:rPr>
        <w:t>5</w:t>
      </w:r>
      <w:r>
        <w:rPr>
          <w:rFonts w:cs="Times New Roman" w:hAnsiTheme="minorEastAsia" w:eastAsiaTheme="minorEastAsia"/>
        </w:rPr>
        <w:t>）产业升级及延伸加工。强化化产的回收及精深加工，延伸焦化深加工产业链，优化产品结构，生产市场前景较好的化工新材料及专用、精细化学品，促进焦化产业的延伸发展和产业的转型升级。</w:t>
      </w:r>
    </w:p>
    <w:p>
      <w:pPr>
        <w:ind w:firstLine="560"/>
        <w:rPr>
          <w:rFonts w:cs="Times New Roman" w:eastAsiaTheme="minorEastAsia"/>
        </w:rPr>
      </w:pPr>
      <w:r>
        <w:rPr>
          <w:rFonts w:cs="Times New Roman" w:hAnsiTheme="minorEastAsia" w:eastAsiaTheme="minorEastAsia"/>
        </w:rPr>
        <w:t>（</w:t>
      </w:r>
      <w:r>
        <w:rPr>
          <w:rFonts w:cs="Times New Roman" w:eastAsiaTheme="minorEastAsia"/>
        </w:rPr>
        <w:t>6</w:t>
      </w:r>
      <w:r>
        <w:rPr>
          <w:rFonts w:cs="Times New Roman" w:hAnsiTheme="minorEastAsia" w:eastAsiaTheme="minorEastAsia"/>
        </w:rPr>
        <w:t>）绿色发展。全面实施环保提升工程，环保、节能、高标准、高效率。主要措施包括：进一步强化煤气净化脱硫，选用合适的催化剂和吸收液，增加脱硫塔能力或增加二、三级脱硫，增加碱洗，增加有机硫去除装置等；提高干熄焦热效率，促进装置大型化等；加强上升管余热利用；加强烟道气脱硫脱硝及余热回收利用；加强酚氰污水（废水）深度处理和循环利用等。</w:t>
      </w:r>
    </w:p>
    <w:p>
      <w:pPr>
        <w:ind w:firstLine="560"/>
        <w:rPr>
          <w:rFonts w:cs="Times New Roman" w:eastAsiaTheme="minorEastAsia"/>
        </w:rPr>
      </w:pPr>
      <w:r>
        <w:rPr>
          <w:rFonts w:cs="Times New Roman" w:hAnsiTheme="minorEastAsia" w:eastAsiaTheme="minorEastAsia"/>
        </w:rPr>
        <w:t>（</w:t>
      </w:r>
      <w:r>
        <w:rPr>
          <w:rFonts w:cs="Times New Roman" w:eastAsiaTheme="minorEastAsia"/>
        </w:rPr>
        <w:t>7</w:t>
      </w:r>
      <w:r>
        <w:rPr>
          <w:rFonts w:cs="Times New Roman" w:hAnsiTheme="minorEastAsia" w:eastAsiaTheme="minorEastAsia"/>
        </w:rPr>
        <w:t>）协同发展。鼓励</w:t>
      </w:r>
      <w:r>
        <w:rPr>
          <w:rFonts w:cs="Times New Roman" w:eastAsiaTheme="minorEastAsia"/>
        </w:rPr>
        <w:t>“</w:t>
      </w:r>
      <w:r>
        <w:rPr>
          <w:rFonts w:cs="Times New Roman" w:hAnsiTheme="minorEastAsia" w:eastAsiaTheme="minorEastAsia"/>
        </w:rPr>
        <w:t>煤</w:t>
      </w:r>
      <w:r>
        <w:rPr>
          <w:rFonts w:cs="Times New Roman" w:eastAsiaTheme="minorEastAsia"/>
        </w:rPr>
        <w:t>-</w:t>
      </w:r>
      <w:r>
        <w:rPr>
          <w:rFonts w:cs="Times New Roman" w:hAnsiTheme="minorEastAsia" w:eastAsiaTheme="minorEastAsia"/>
        </w:rPr>
        <w:t>焦</w:t>
      </w:r>
      <w:r>
        <w:rPr>
          <w:rFonts w:cs="Times New Roman" w:eastAsiaTheme="minorEastAsia"/>
        </w:rPr>
        <w:t>-</w:t>
      </w:r>
      <w:r>
        <w:rPr>
          <w:rFonts w:cs="Times New Roman" w:hAnsiTheme="minorEastAsia" w:eastAsiaTheme="minorEastAsia"/>
        </w:rPr>
        <w:t>钢</w:t>
      </w:r>
      <w:r>
        <w:rPr>
          <w:rFonts w:cs="Times New Roman" w:eastAsiaTheme="minorEastAsia"/>
        </w:rPr>
        <w:t>”</w:t>
      </w:r>
      <w:r>
        <w:rPr>
          <w:rFonts w:cs="Times New Roman" w:hAnsiTheme="minorEastAsia" w:eastAsiaTheme="minorEastAsia"/>
        </w:rPr>
        <w:t>和</w:t>
      </w:r>
      <w:r>
        <w:rPr>
          <w:rFonts w:cs="Times New Roman" w:eastAsiaTheme="minorEastAsia"/>
        </w:rPr>
        <w:t>“</w:t>
      </w:r>
      <w:r>
        <w:rPr>
          <w:rFonts w:cs="Times New Roman" w:hAnsiTheme="minorEastAsia" w:eastAsiaTheme="minorEastAsia"/>
        </w:rPr>
        <w:t>煤</w:t>
      </w:r>
      <w:r>
        <w:rPr>
          <w:rFonts w:cs="Times New Roman" w:eastAsiaTheme="minorEastAsia"/>
        </w:rPr>
        <w:t>-</w:t>
      </w:r>
      <w:r>
        <w:rPr>
          <w:rFonts w:cs="Times New Roman" w:hAnsiTheme="minorEastAsia" w:eastAsiaTheme="minorEastAsia"/>
        </w:rPr>
        <w:t>焦</w:t>
      </w:r>
      <w:r>
        <w:rPr>
          <w:rFonts w:cs="Times New Roman" w:eastAsiaTheme="minorEastAsia"/>
        </w:rPr>
        <w:t>-</w:t>
      </w:r>
      <w:r>
        <w:rPr>
          <w:rFonts w:cs="Times New Roman" w:hAnsiTheme="minorEastAsia" w:eastAsiaTheme="minorEastAsia"/>
        </w:rPr>
        <w:t>化</w:t>
      </w:r>
      <w:r>
        <w:rPr>
          <w:rFonts w:cs="Times New Roman" w:eastAsiaTheme="minorEastAsia"/>
        </w:rPr>
        <w:t>”</w:t>
      </w:r>
      <w:r>
        <w:rPr>
          <w:rFonts w:cs="Times New Roman" w:hAnsiTheme="minorEastAsia" w:eastAsiaTheme="minorEastAsia"/>
        </w:rPr>
        <w:t>联合发展模式，与钢铁、化工、轻工建筑、交通运输、装备制造等相关产业间耦合发展，实现借力转型升级。</w:t>
      </w:r>
    </w:p>
    <w:p>
      <w:pPr>
        <w:ind w:firstLine="560"/>
        <w:rPr>
          <w:rFonts w:cs="Times New Roman" w:eastAsiaTheme="minorEastAsia"/>
        </w:rPr>
      </w:pPr>
      <w:r>
        <w:rPr>
          <w:rFonts w:cs="Times New Roman" w:hAnsiTheme="minorEastAsia" w:eastAsiaTheme="minorEastAsia"/>
        </w:rPr>
        <w:t>（</w:t>
      </w:r>
      <w:r>
        <w:rPr>
          <w:rFonts w:cs="Times New Roman" w:eastAsiaTheme="minorEastAsia"/>
        </w:rPr>
        <w:t>8</w:t>
      </w:r>
      <w:r>
        <w:rPr>
          <w:rFonts w:cs="Times New Roman" w:hAnsiTheme="minorEastAsia" w:eastAsiaTheme="minorEastAsia"/>
        </w:rPr>
        <w:t>）创新发展。利用</w:t>
      </w:r>
      <w:r>
        <w:rPr>
          <w:rFonts w:cs="Times New Roman" w:eastAsiaTheme="minorEastAsia"/>
        </w:rPr>
        <w:t>“</w:t>
      </w:r>
      <w:r>
        <w:rPr>
          <w:rFonts w:cs="Times New Roman" w:hAnsiTheme="minorEastAsia" w:eastAsiaTheme="minorEastAsia"/>
        </w:rPr>
        <w:t>互联网</w:t>
      </w:r>
      <w:r>
        <w:rPr>
          <w:rFonts w:cs="Times New Roman" w:eastAsiaTheme="minorEastAsia"/>
        </w:rPr>
        <w:t>+</w:t>
      </w:r>
      <w:r>
        <w:rPr>
          <w:rFonts w:cs="Times New Roman" w:hAnsiTheme="minorEastAsia" w:eastAsiaTheme="minorEastAsia"/>
        </w:rPr>
        <w:t>焦化业</w:t>
      </w:r>
      <w:r>
        <w:rPr>
          <w:rFonts w:cs="Times New Roman" w:eastAsiaTheme="minorEastAsia"/>
        </w:rPr>
        <w:t>”</w:t>
      </w:r>
      <w:r>
        <w:rPr>
          <w:rFonts w:cs="Times New Roman" w:hAnsiTheme="minorEastAsia" w:eastAsiaTheme="minorEastAsia"/>
        </w:rPr>
        <w:t>创新生产模式和商业模式，降低生产、经营等各环节成本，发展供应链金融、云仓储物流等新业态。</w:t>
      </w:r>
    </w:p>
    <w:p>
      <w:pPr>
        <w:ind w:firstLine="560"/>
        <w:rPr>
          <w:rFonts w:cs="Times New Roman" w:eastAsiaTheme="minorEastAsia"/>
        </w:rPr>
      </w:pPr>
      <w:r>
        <w:rPr>
          <w:rFonts w:cs="Times New Roman" w:hAnsiTheme="minorEastAsia" w:eastAsiaTheme="minorEastAsia"/>
        </w:rPr>
        <w:t>（</w:t>
      </w:r>
      <w:r>
        <w:rPr>
          <w:rFonts w:cs="Times New Roman" w:eastAsiaTheme="minorEastAsia"/>
        </w:rPr>
        <w:t>9</w:t>
      </w:r>
      <w:r>
        <w:rPr>
          <w:rFonts w:cs="Times New Roman" w:hAnsiTheme="minorEastAsia" w:eastAsiaTheme="minorEastAsia"/>
        </w:rPr>
        <w:t>）低碳发展。加快摸清焦化行业碳排放家底，及时开展节能低碳诊断，制定碳达峰行动计划，完善能源管控体系，建设能源管控中心。</w:t>
      </w:r>
    </w:p>
    <w:p>
      <w:pPr>
        <w:pStyle w:val="5"/>
        <w:ind w:firstLine="562"/>
        <w:rPr>
          <w:rFonts w:cs="Times New Roman" w:eastAsiaTheme="minorEastAsia"/>
        </w:rPr>
      </w:pPr>
      <w:r>
        <w:rPr>
          <w:rFonts w:cs="Times New Roman" w:eastAsiaTheme="minorEastAsia"/>
        </w:rPr>
        <w:t xml:space="preserve">3.1.3 </w:t>
      </w:r>
      <w:r>
        <w:rPr>
          <w:rFonts w:hint="eastAsia" w:cs="Times New Roman" w:eastAsiaTheme="minorEastAsia"/>
        </w:rPr>
        <w:t>锂电</w:t>
      </w:r>
      <w:r>
        <w:rPr>
          <w:rFonts w:cs="Times New Roman" w:hAnsiTheme="minorEastAsia" w:eastAsiaTheme="minorEastAsia"/>
        </w:rPr>
        <w:t>储能</w:t>
      </w:r>
      <w:r>
        <w:rPr>
          <w:rFonts w:hint="eastAsia" w:cs="Times New Roman" w:hAnsiTheme="minorEastAsia" w:eastAsiaTheme="minorEastAsia"/>
        </w:rPr>
        <w:t>化学品</w:t>
      </w:r>
      <w:r>
        <w:rPr>
          <w:rFonts w:cs="Times New Roman" w:hAnsiTheme="minorEastAsia" w:eastAsiaTheme="minorEastAsia"/>
        </w:rPr>
        <w:t>行业发展现状及趋势</w:t>
      </w:r>
    </w:p>
    <w:p>
      <w:pPr>
        <w:pStyle w:val="2"/>
        <w:ind w:firstLine="560"/>
        <w:rPr>
          <w:rFonts w:cs="Times New Roman" w:eastAsiaTheme="minorEastAsia"/>
          <w:kern w:val="0"/>
        </w:rPr>
      </w:pPr>
      <w:r>
        <w:rPr>
          <w:rFonts w:cs="Times New Roman" w:eastAsiaTheme="minorEastAsia"/>
          <w:kern w:val="0"/>
        </w:rPr>
        <w:t xml:space="preserve">3.1.3.1 </w:t>
      </w:r>
      <w:r>
        <w:rPr>
          <w:rFonts w:cs="Times New Roman" w:hAnsiTheme="minorEastAsia" w:eastAsiaTheme="minorEastAsia"/>
          <w:kern w:val="0"/>
        </w:rPr>
        <w:t>概述</w:t>
      </w:r>
    </w:p>
    <w:p>
      <w:pPr>
        <w:ind w:firstLine="560"/>
        <w:rPr>
          <w:rFonts w:cs="Times New Roman" w:eastAsiaTheme="minorEastAsia"/>
        </w:rPr>
      </w:pPr>
      <w:r>
        <w:rPr>
          <w:rFonts w:cs="Times New Roman" w:hAnsiTheme="minorEastAsia" w:eastAsiaTheme="minorEastAsia"/>
        </w:rPr>
        <w:t>电能是清洁、高效、便利的终端能源载体，储电是解决能源供应和能源利用重要的储能方式之一。从主要储能技术发展阶段来看，在发电领域，抽水储能仍是现在及将来最大的储能领域；燃料电池、超级电容器的产业化程度不高，钠硫电池、液流电池、压缩空气储能由于其特点具有局限性，而传统干电池、铅酸蓄电池、镍铬镍氢电池又存在较重的环境污染和使用寿命不高等问题。未来相当长时间内，各方面表现相对平衡的锂离子电池仍将是电池领域的最佳选择。</w:t>
      </w:r>
    </w:p>
    <w:p>
      <w:pPr>
        <w:ind w:firstLine="560"/>
        <w:rPr>
          <w:rFonts w:cs="Times New Roman" w:eastAsiaTheme="minorEastAsia"/>
        </w:rPr>
      </w:pPr>
      <w:r>
        <w:rPr>
          <w:rFonts w:cs="Times New Roman" w:hAnsiTheme="minorEastAsia" w:eastAsiaTheme="minorEastAsia"/>
        </w:rPr>
        <w:t>锂离子电池的主要构成材料包括电解液、隔离材料、正负极材料等。正极材料占有较大比例（正负极材料的质量比为</w:t>
      </w:r>
      <w:r>
        <w:rPr>
          <w:rFonts w:cs="Times New Roman" w:eastAsiaTheme="minorEastAsia"/>
        </w:rPr>
        <w:t>3:1~4:1</w:t>
      </w:r>
      <w:r>
        <w:rPr>
          <w:rFonts w:cs="Times New Roman" w:hAnsiTheme="minorEastAsia" w:eastAsiaTheme="minorEastAsia"/>
        </w:rPr>
        <w:t>），因为正极材料的性能直接影响着锂离子电池的性能，其成本也直接决定电池成本高低。</w:t>
      </w:r>
    </w:p>
    <w:p>
      <w:pPr>
        <w:pStyle w:val="2"/>
        <w:ind w:firstLine="560"/>
        <w:rPr>
          <w:rFonts w:cs="Times New Roman" w:eastAsiaTheme="minorEastAsia"/>
          <w:kern w:val="0"/>
        </w:rPr>
      </w:pPr>
      <w:r>
        <w:rPr>
          <w:rFonts w:cs="Times New Roman" w:eastAsiaTheme="minorEastAsia"/>
          <w:kern w:val="0"/>
        </w:rPr>
        <w:t xml:space="preserve">3.1.3.2 </w:t>
      </w:r>
      <w:r>
        <w:rPr>
          <w:rFonts w:cs="Times New Roman" w:hAnsiTheme="minorEastAsia" w:eastAsiaTheme="minorEastAsia"/>
          <w:kern w:val="0"/>
        </w:rPr>
        <w:t>发展现状</w:t>
      </w:r>
    </w:p>
    <w:p>
      <w:pPr>
        <w:ind w:firstLine="560"/>
        <w:rPr>
          <w:rFonts w:cs="Times New Roman" w:eastAsiaTheme="minorEastAsia"/>
          <w:kern w:val="0"/>
        </w:rPr>
      </w:pPr>
      <w:r>
        <w:rPr>
          <w:rFonts w:cs="Times New Roman" w:hAnsiTheme="minorEastAsia" w:eastAsiaTheme="minorEastAsia"/>
          <w:kern w:val="0"/>
        </w:rPr>
        <w:t>（</w:t>
      </w:r>
      <w:r>
        <w:rPr>
          <w:rFonts w:cs="Times New Roman" w:eastAsiaTheme="minorEastAsia"/>
          <w:kern w:val="0"/>
        </w:rPr>
        <w:t>1</w:t>
      </w:r>
      <w:r>
        <w:rPr>
          <w:rFonts w:cs="Times New Roman" w:hAnsiTheme="minorEastAsia" w:eastAsiaTheme="minorEastAsia"/>
          <w:kern w:val="0"/>
        </w:rPr>
        <w:t>）发电侧</w:t>
      </w:r>
    </w:p>
    <w:p>
      <w:pPr>
        <w:ind w:firstLine="560"/>
        <w:rPr>
          <w:rFonts w:cs="Times New Roman" w:eastAsiaTheme="minorEastAsia"/>
          <w:kern w:val="0"/>
        </w:rPr>
      </w:pPr>
      <w:r>
        <w:rPr>
          <w:rFonts w:cs="Times New Roman" w:eastAsiaTheme="minorEastAsia"/>
          <w:kern w:val="0"/>
        </w:rPr>
        <w:t>1</w:t>
      </w:r>
      <w:r>
        <w:rPr>
          <w:rFonts w:cs="Times New Roman" w:hAnsiTheme="minorEastAsia" w:eastAsiaTheme="minorEastAsia"/>
          <w:kern w:val="0"/>
        </w:rPr>
        <w:t>）发电容量</w:t>
      </w:r>
    </w:p>
    <w:p>
      <w:pPr>
        <w:ind w:firstLine="560"/>
        <w:rPr>
          <w:rFonts w:cs="Times New Roman" w:eastAsiaTheme="minorEastAsia"/>
          <w:kern w:val="0"/>
        </w:rPr>
      </w:pPr>
      <w:r>
        <w:rPr>
          <w:rFonts w:cs="Times New Roman" w:hAnsiTheme="minorEastAsia" w:eastAsiaTheme="minorEastAsia"/>
          <w:kern w:val="0"/>
        </w:rPr>
        <w:t>降低发电容量可以节约火电等常规发电项目的建设投资。储能电站的投运可以增加电力系统应对尖峰负荷的发电容量。火力发电单位造价约</w:t>
      </w:r>
      <w:r>
        <w:rPr>
          <w:rFonts w:cs="Times New Roman" w:eastAsiaTheme="minorEastAsia"/>
          <w:kern w:val="0"/>
        </w:rPr>
        <w:t>4500</w:t>
      </w:r>
      <w:r>
        <w:rPr>
          <w:rFonts w:cs="Times New Roman" w:hAnsiTheme="minorEastAsia" w:eastAsiaTheme="minorEastAsia"/>
          <w:kern w:val="0"/>
        </w:rPr>
        <w:t>元</w:t>
      </w:r>
      <w:r>
        <w:rPr>
          <w:rFonts w:cs="Times New Roman" w:eastAsiaTheme="minorEastAsia"/>
          <w:kern w:val="0"/>
        </w:rPr>
        <w:t>/kW</w:t>
      </w:r>
      <w:r>
        <w:rPr>
          <w:rFonts w:cs="Times New Roman" w:hAnsiTheme="minorEastAsia" w:eastAsiaTheme="minorEastAsia"/>
          <w:kern w:val="0"/>
        </w:rPr>
        <w:t>，陆上风电单位造价区间</w:t>
      </w:r>
      <w:r>
        <w:rPr>
          <w:rFonts w:cs="Times New Roman" w:eastAsiaTheme="minorEastAsia"/>
          <w:kern w:val="0"/>
        </w:rPr>
        <w:t>6600-8780</w:t>
      </w:r>
      <w:r>
        <w:rPr>
          <w:rFonts w:cs="Times New Roman" w:hAnsiTheme="minorEastAsia" w:eastAsiaTheme="minorEastAsia"/>
          <w:kern w:val="0"/>
        </w:rPr>
        <w:t>元</w:t>
      </w:r>
      <w:r>
        <w:rPr>
          <w:rFonts w:cs="Times New Roman" w:eastAsiaTheme="minorEastAsia"/>
          <w:kern w:val="0"/>
        </w:rPr>
        <w:t>/kW</w:t>
      </w:r>
      <w:r>
        <w:rPr>
          <w:rFonts w:cs="Times New Roman" w:hAnsiTheme="minorEastAsia" w:eastAsiaTheme="minorEastAsia"/>
          <w:kern w:val="0"/>
        </w:rPr>
        <w:t>，光伏单位造价约</w:t>
      </w:r>
      <w:r>
        <w:rPr>
          <w:rFonts w:cs="Times New Roman" w:eastAsiaTheme="minorEastAsia"/>
          <w:kern w:val="0"/>
        </w:rPr>
        <w:t>6000</w:t>
      </w:r>
      <w:r>
        <w:rPr>
          <w:rFonts w:cs="Times New Roman" w:hAnsiTheme="minorEastAsia" w:eastAsiaTheme="minorEastAsia"/>
          <w:kern w:val="0"/>
        </w:rPr>
        <w:t>元</w:t>
      </w:r>
      <w:r>
        <w:rPr>
          <w:rFonts w:cs="Times New Roman" w:eastAsiaTheme="minorEastAsia"/>
          <w:kern w:val="0"/>
        </w:rPr>
        <w:t>/kW</w:t>
      </w:r>
      <w:r>
        <w:rPr>
          <w:rFonts w:cs="Times New Roman" w:hAnsiTheme="minorEastAsia" w:eastAsiaTheme="minorEastAsia"/>
          <w:kern w:val="0"/>
        </w:rPr>
        <w:t>。</w:t>
      </w:r>
    </w:p>
    <w:p>
      <w:pPr>
        <w:ind w:firstLine="560"/>
        <w:rPr>
          <w:rFonts w:cs="Times New Roman" w:eastAsiaTheme="minorEastAsia"/>
          <w:szCs w:val="28"/>
        </w:rPr>
      </w:pPr>
      <w:r>
        <w:rPr>
          <w:rFonts w:cs="Times New Roman" w:hAnsiTheme="minorEastAsia" w:eastAsiaTheme="minorEastAsia"/>
          <w:kern w:val="0"/>
        </w:rPr>
        <w:t>从单位容量造价来看，铅蓄电池、钠硫电池、液流电池、锂电池单位容量造价都在</w:t>
      </w:r>
      <w:r>
        <w:rPr>
          <w:rFonts w:cs="Times New Roman" w:eastAsiaTheme="minorEastAsia"/>
          <w:kern w:val="0"/>
        </w:rPr>
        <w:t>5000</w:t>
      </w:r>
      <w:r>
        <w:rPr>
          <w:rFonts w:cs="Times New Roman" w:hAnsiTheme="minorEastAsia" w:eastAsiaTheme="minorEastAsia"/>
          <w:kern w:val="0"/>
        </w:rPr>
        <w:t>元</w:t>
      </w:r>
      <w:r>
        <w:rPr>
          <w:rFonts w:cs="Times New Roman" w:eastAsiaTheme="minorEastAsia"/>
          <w:kern w:val="0"/>
        </w:rPr>
        <w:t>/kW</w:t>
      </w:r>
      <w:r>
        <w:rPr>
          <w:rFonts w:cs="Times New Roman" w:hAnsiTheme="minorEastAsia" w:eastAsiaTheme="minorEastAsia"/>
          <w:kern w:val="0"/>
        </w:rPr>
        <w:t>以下，能够满足储能经济性要求。全国发电装</w:t>
      </w:r>
      <w:r>
        <w:rPr>
          <w:rFonts w:cs="Times New Roman" w:hAnsiTheme="minorEastAsia" w:eastAsiaTheme="minorEastAsia"/>
          <w:szCs w:val="28"/>
        </w:rPr>
        <w:t>机容量</w:t>
      </w:r>
      <w:r>
        <w:rPr>
          <w:rFonts w:cs="Times New Roman" w:eastAsiaTheme="minorEastAsia"/>
          <w:szCs w:val="28"/>
        </w:rPr>
        <w:t>180000</w:t>
      </w:r>
      <w:r>
        <w:rPr>
          <w:rFonts w:cs="Times New Roman" w:hAnsiTheme="minorEastAsia" w:eastAsiaTheme="minorEastAsia"/>
          <w:szCs w:val="28"/>
        </w:rPr>
        <w:t>万千瓦，尖峰负荷以</w:t>
      </w:r>
      <w:r>
        <w:rPr>
          <w:rFonts w:cs="Times New Roman" w:eastAsiaTheme="minorEastAsia"/>
          <w:szCs w:val="28"/>
        </w:rPr>
        <w:t>2%</w:t>
      </w:r>
      <w:r>
        <w:rPr>
          <w:rFonts w:cs="Times New Roman" w:hAnsiTheme="minorEastAsia" w:eastAsiaTheme="minorEastAsia"/>
          <w:szCs w:val="28"/>
        </w:rPr>
        <w:t>计算，则储能可以替代的发电容量空间在</w:t>
      </w:r>
      <w:r>
        <w:rPr>
          <w:rFonts w:cs="Times New Roman" w:eastAsiaTheme="minorEastAsia"/>
          <w:szCs w:val="28"/>
        </w:rPr>
        <w:t>3600</w:t>
      </w:r>
      <w:r>
        <w:rPr>
          <w:rFonts w:cs="Times New Roman" w:hAnsiTheme="minorEastAsia" w:eastAsiaTheme="minorEastAsia"/>
          <w:szCs w:val="28"/>
        </w:rPr>
        <w:t>万</w:t>
      </w:r>
      <w:r>
        <w:rPr>
          <w:rFonts w:cs="Times New Roman" w:eastAsiaTheme="minorEastAsia"/>
          <w:szCs w:val="28"/>
        </w:rPr>
        <w:t>kW</w:t>
      </w:r>
      <w:r>
        <w:rPr>
          <w:rFonts w:cs="Times New Roman" w:hAnsiTheme="minorEastAsia" w:eastAsiaTheme="minorEastAsia"/>
          <w:szCs w:val="28"/>
        </w:rPr>
        <w:t>，考虑到化学能电池成本逐渐下降，以化学能电池单位造价</w:t>
      </w:r>
      <w:r>
        <w:rPr>
          <w:rFonts w:cs="Times New Roman" w:eastAsiaTheme="minorEastAsia"/>
          <w:szCs w:val="28"/>
        </w:rPr>
        <w:t>3000</w:t>
      </w:r>
      <w:r>
        <w:rPr>
          <w:rFonts w:cs="Times New Roman" w:hAnsiTheme="minorEastAsia" w:eastAsiaTheme="minorEastAsia"/>
          <w:szCs w:val="28"/>
        </w:rPr>
        <w:t>元</w:t>
      </w:r>
      <w:r>
        <w:rPr>
          <w:rFonts w:cs="Times New Roman" w:eastAsiaTheme="minorEastAsia"/>
          <w:szCs w:val="28"/>
        </w:rPr>
        <w:t>/kW</w:t>
      </w:r>
      <w:r>
        <w:rPr>
          <w:rFonts w:cs="Times New Roman" w:hAnsiTheme="minorEastAsia" w:eastAsiaTheme="minorEastAsia"/>
          <w:szCs w:val="28"/>
        </w:rPr>
        <w:t>计算，市场容量在</w:t>
      </w:r>
      <w:r>
        <w:rPr>
          <w:rFonts w:cs="Times New Roman" w:eastAsiaTheme="minorEastAsia"/>
          <w:szCs w:val="28"/>
        </w:rPr>
        <w:t>1000</w:t>
      </w:r>
      <w:r>
        <w:rPr>
          <w:rFonts w:cs="Times New Roman" w:hAnsiTheme="minorEastAsia" w:eastAsiaTheme="minorEastAsia"/>
          <w:szCs w:val="28"/>
        </w:rPr>
        <w:t>亿元</w:t>
      </w:r>
      <w:r>
        <w:rPr>
          <w:rFonts w:cs="Times New Roman" w:eastAsiaTheme="minorEastAsia"/>
          <w:szCs w:val="28"/>
        </w:rPr>
        <w:t>-1500</w:t>
      </w:r>
      <w:r>
        <w:rPr>
          <w:rFonts w:cs="Times New Roman" w:hAnsiTheme="minorEastAsia" w:eastAsiaTheme="minorEastAsia"/>
          <w:szCs w:val="28"/>
        </w:rPr>
        <w:t>亿元，可节省建设费用约</w:t>
      </w:r>
      <w:r>
        <w:rPr>
          <w:rFonts w:cs="Times New Roman" w:eastAsiaTheme="minorEastAsia"/>
          <w:szCs w:val="28"/>
        </w:rPr>
        <w:t>300</w:t>
      </w:r>
      <w:r>
        <w:rPr>
          <w:rFonts w:cs="Times New Roman" w:hAnsiTheme="minorEastAsia" w:eastAsiaTheme="minorEastAsia"/>
          <w:szCs w:val="28"/>
        </w:rPr>
        <w:t>亿元</w:t>
      </w:r>
      <w:r>
        <w:rPr>
          <w:rFonts w:cs="Times New Roman" w:eastAsiaTheme="minorEastAsia"/>
          <w:szCs w:val="28"/>
        </w:rPr>
        <w:t>-500</w:t>
      </w:r>
      <w:r>
        <w:rPr>
          <w:rFonts w:cs="Times New Roman" w:hAnsiTheme="minorEastAsia" w:eastAsiaTheme="minorEastAsia"/>
          <w:szCs w:val="28"/>
        </w:rPr>
        <w:t>亿元。</w:t>
      </w:r>
    </w:p>
    <w:p>
      <w:pPr>
        <w:pStyle w:val="37"/>
        <w:rPr>
          <w:rFonts w:cs="Times New Roman" w:eastAsiaTheme="minorEastAsia"/>
        </w:rPr>
      </w:pPr>
      <w:r>
        <w:rPr>
          <w:rFonts w:cs="Times New Roman" w:hAnsiTheme="minorEastAsia" w:eastAsiaTheme="minorEastAsia"/>
        </w:rPr>
        <w:t>表</w:t>
      </w:r>
      <w:r>
        <w:rPr>
          <w:rFonts w:cs="Times New Roman" w:eastAsiaTheme="minorEastAsia"/>
        </w:rPr>
        <w:t>3-2</w:t>
      </w:r>
      <w:r>
        <w:rPr>
          <w:rFonts w:cs="Times New Roman" w:hAnsiTheme="minorEastAsia" w:eastAsiaTheme="minorEastAsia"/>
        </w:rPr>
        <w:t>不同储能技术主要特点及造价预估单位：元</w:t>
      </w:r>
      <w:r>
        <w:rPr>
          <w:rFonts w:cs="Times New Roman" w:eastAsiaTheme="minorEastAsia"/>
          <w:bCs/>
        </w:rPr>
        <w:t>/kWh</w:t>
      </w:r>
      <w:r>
        <w:rPr>
          <w:rFonts w:cs="Times New Roman" w:hAnsiTheme="minorEastAsia" w:eastAsiaTheme="minorEastAsia"/>
        </w:rPr>
        <w:t>，年</w:t>
      </w:r>
    </w:p>
    <w:tbl>
      <w:tblPr>
        <w:tblStyle w:val="30"/>
        <w:tblW w:w="884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3"/>
        <w:gridCol w:w="1263"/>
        <w:gridCol w:w="1263"/>
        <w:gridCol w:w="1281"/>
        <w:gridCol w:w="1275"/>
        <w:gridCol w:w="1233"/>
        <w:gridCol w:w="126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b/>
                <w:bCs/>
                <w:kern w:val="0"/>
                <w:sz w:val="21"/>
              </w:rPr>
              <w:t>储能技术</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b/>
                <w:bCs/>
                <w:kern w:val="0"/>
                <w:sz w:val="21"/>
              </w:rPr>
              <w:t>功率</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b/>
                <w:bCs/>
                <w:kern w:val="0"/>
                <w:sz w:val="21"/>
              </w:rPr>
              <w:t>综合效率</w:t>
            </w:r>
          </w:p>
        </w:tc>
        <w:tc>
          <w:tcPr>
            <w:tcW w:w="128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b/>
                <w:bCs/>
                <w:kern w:val="0"/>
                <w:sz w:val="21"/>
              </w:rPr>
              <w:t>循环寿命（次）</w:t>
            </w:r>
          </w:p>
        </w:tc>
        <w:tc>
          <w:tcPr>
            <w:tcW w:w="127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b/>
                <w:bCs/>
                <w:kern w:val="0"/>
                <w:sz w:val="21"/>
              </w:rPr>
              <w:t>单位容量造价</w:t>
            </w:r>
          </w:p>
        </w:tc>
        <w:tc>
          <w:tcPr>
            <w:tcW w:w="123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b/>
                <w:bCs/>
                <w:kern w:val="0"/>
                <w:sz w:val="21"/>
              </w:rPr>
              <w:t>典型储存期</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b/>
                <w:bCs/>
                <w:kern w:val="0"/>
                <w:sz w:val="21"/>
              </w:rPr>
              <w:t>使用寿命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抽水储能</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100-5000MW</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71-80%</w:t>
            </w:r>
          </w:p>
        </w:tc>
        <w:tc>
          <w:tcPr>
            <w:tcW w:w="128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寿命期间无限制</w:t>
            </w:r>
          </w:p>
        </w:tc>
        <w:tc>
          <w:tcPr>
            <w:tcW w:w="127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500-1500</w:t>
            </w:r>
          </w:p>
        </w:tc>
        <w:tc>
          <w:tcPr>
            <w:tcW w:w="123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4-10h</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46-60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空气储能</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1-300MW</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60-70%</w:t>
            </w:r>
          </w:p>
        </w:tc>
        <w:tc>
          <w:tcPr>
            <w:tcW w:w="128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寿命期间无限制</w:t>
            </w:r>
          </w:p>
        </w:tc>
        <w:tc>
          <w:tcPr>
            <w:tcW w:w="127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300-1200</w:t>
            </w:r>
          </w:p>
        </w:tc>
        <w:tc>
          <w:tcPr>
            <w:tcW w:w="123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1-4h</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30-40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飞轮储能</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1kW-1MW</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80-90%</w:t>
            </w:r>
          </w:p>
        </w:tc>
        <w:tc>
          <w:tcPr>
            <w:tcW w:w="128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十万次以上</w:t>
            </w:r>
          </w:p>
        </w:tc>
        <w:tc>
          <w:tcPr>
            <w:tcW w:w="127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7000-30000</w:t>
            </w:r>
          </w:p>
        </w:tc>
        <w:tc>
          <w:tcPr>
            <w:tcW w:w="123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1s-1min</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超导储能</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100kW-10MW</w:t>
            </w:r>
            <w:r>
              <w:rPr>
                <w:rFonts w:cs="Times New Roman" w:hAnsiTheme="minorEastAsia" w:eastAsiaTheme="minorEastAsia"/>
                <w:kern w:val="0"/>
                <w:sz w:val="21"/>
              </w:rPr>
              <w:t>级</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95-97%</w:t>
            </w:r>
          </w:p>
        </w:tc>
        <w:tc>
          <w:tcPr>
            <w:tcW w:w="128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1000-5000</w:t>
            </w:r>
          </w:p>
        </w:tc>
        <w:tc>
          <w:tcPr>
            <w:tcW w:w="127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7000-70000</w:t>
            </w:r>
          </w:p>
        </w:tc>
        <w:tc>
          <w:tcPr>
            <w:tcW w:w="123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1s-8s</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超级电容</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1-500kW</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90-97%</w:t>
            </w:r>
          </w:p>
        </w:tc>
        <w:tc>
          <w:tcPr>
            <w:tcW w:w="128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十万次以上</w:t>
            </w:r>
          </w:p>
        </w:tc>
        <w:tc>
          <w:tcPr>
            <w:tcW w:w="127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2000-14000</w:t>
            </w:r>
          </w:p>
        </w:tc>
        <w:tc>
          <w:tcPr>
            <w:tcW w:w="123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1s-30min</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铅蓄电池</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0.1kW-1MW</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75-90%</w:t>
            </w:r>
          </w:p>
        </w:tc>
        <w:tc>
          <w:tcPr>
            <w:tcW w:w="128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500-1200</w:t>
            </w:r>
          </w:p>
        </w:tc>
        <w:tc>
          <w:tcPr>
            <w:tcW w:w="127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2000-2500</w:t>
            </w:r>
          </w:p>
        </w:tc>
        <w:tc>
          <w:tcPr>
            <w:tcW w:w="123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1min-3h</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钠硫电池</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10kW-10MW</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75-90%</w:t>
            </w:r>
          </w:p>
        </w:tc>
        <w:tc>
          <w:tcPr>
            <w:tcW w:w="128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4000-5000</w:t>
            </w:r>
          </w:p>
        </w:tc>
        <w:tc>
          <w:tcPr>
            <w:tcW w:w="127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3300-5000</w:t>
            </w:r>
          </w:p>
        </w:tc>
        <w:tc>
          <w:tcPr>
            <w:tcW w:w="123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0.1-10h</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5-15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液流电池</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30kW-10MW</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75-85%</w:t>
            </w:r>
          </w:p>
        </w:tc>
        <w:tc>
          <w:tcPr>
            <w:tcW w:w="128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8000-12000</w:t>
            </w:r>
          </w:p>
        </w:tc>
        <w:tc>
          <w:tcPr>
            <w:tcW w:w="127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3500-5000</w:t>
            </w:r>
          </w:p>
        </w:tc>
        <w:tc>
          <w:tcPr>
            <w:tcW w:w="123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1-20h</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5-10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kern w:val="0"/>
                <w:sz w:val="21"/>
              </w:rPr>
              <w:t>锂电池</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1kW-10MW</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90-95%</w:t>
            </w:r>
          </w:p>
        </w:tc>
        <w:tc>
          <w:tcPr>
            <w:tcW w:w="128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1000-4000</w:t>
            </w:r>
          </w:p>
        </w:tc>
        <w:tc>
          <w:tcPr>
            <w:tcW w:w="127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3000-5000</w:t>
            </w:r>
          </w:p>
        </w:tc>
        <w:tc>
          <w:tcPr>
            <w:tcW w:w="123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1min-5h</w:t>
            </w:r>
          </w:p>
        </w:tc>
        <w:tc>
          <w:tcPr>
            <w:tcW w:w="1263"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5-15</w:t>
            </w:r>
          </w:p>
        </w:tc>
      </w:tr>
    </w:tbl>
    <w:p>
      <w:pPr>
        <w:ind w:firstLine="560"/>
        <w:rPr>
          <w:rFonts w:cs="Times New Roman" w:eastAsiaTheme="minorEastAsia"/>
          <w:kern w:val="0"/>
        </w:rPr>
      </w:pPr>
      <w:r>
        <w:rPr>
          <w:rFonts w:cs="Times New Roman" w:eastAsiaTheme="minorEastAsia"/>
          <w:kern w:val="0"/>
        </w:rPr>
        <w:t>2</w:t>
      </w:r>
      <w:r>
        <w:rPr>
          <w:rFonts w:cs="Times New Roman" w:hAnsiTheme="minorEastAsia" w:eastAsiaTheme="minorEastAsia"/>
          <w:kern w:val="0"/>
        </w:rPr>
        <w:t>）削峰填谷</w:t>
      </w:r>
    </w:p>
    <w:p>
      <w:pPr>
        <w:ind w:firstLine="560"/>
        <w:rPr>
          <w:rFonts w:cs="Times New Roman" w:eastAsiaTheme="minorEastAsia"/>
          <w:szCs w:val="28"/>
        </w:rPr>
      </w:pPr>
      <w:r>
        <w:rPr>
          <w:rFonts w:cs="Times New Roman" w:hAnsiTheme="minorEastAsia" w:eastAsiaTheme="minorEastAsia"/>
          <w:kern w:val="0"/>
        </w:rPr>
        <w:t>储能系统在谷段或平段充电，峰段将电全部放光，高峰放电时获得售电收益，谷段和平段的充电可参与辅助服务市场调峰，获得调峰收益。假设一套储能系统的成本为</w:t>
      </w:r>
      <w:r>
        <w:rPr>
          <w:rFonts w:cs="Times New Roman" w:eastAsiaTheme="minorEastAsia"/>
          <w:kern w:val="0"/>
        </w:rPr>
        <w:t>3000</w:t>
      </w:r>
      <w:r>
        <w:rPr>
          <w:rFonts w:cs="Times New Roman" w:hAnsiTheme="minorEastAsia" w:eastAsiaTheme="minorEastAsia"/>
          <w:kern w:val="0"/>
        </w:rPr>
        <w:t>元</w:t>
      </w:r>
      <w:r>
        <w:rPr>
          <w:rFonts w:cs="Times New Roman" w:eastAsiaTheme="minorEastAsia"/>
          <w:kern w:val="0"/>
        </w:rPr>
        <w:t>/kWh</w:t>
      </w:r>
      <w:r>
        <w:rPr>
          <w:rFonts w:cs="Times New Roman" w:hAnsiTheme="minorEastAsia" w:eastAsiaTheme="minorEastAsia"/>
          <w:kern w:val="0"/>
        </w:rPr>
        <w:t>，</w:t>
      </w:r>
      <w:r>
        <w:rPr>
          <w:rFonts w:cs="Times New Roman" w:eastAsiaTheme="minorEastAsia"/>
          <w:kern w:val="0"/>
        </w:rPr>
        <w:t>10MW/4h</w:t>
      </w:r>
      <w:r>
        <w:rPr>
          <w:rFonts w:cs="Times New Roman" w:hAnsiTheme="minorEastAsia" w:eastAsiaTheme="minorEastAsia"/>
          <w:kern w:val="0"/>
        </w:rPr>
        <w:t>的储能系统总成本为</w:t>
      </w:r>
      <w:r>
        <w:rPr>
          <w:rFonts w:cs="Times New Roman" w:eastAsiaTheme="minorEastAsia"/>
          <w:kern w:val="0"/>
        </w:rPr>
        <w:t>1.2</w:t>
      </w:r>
      <w:r>
        <w:rPr>
          <w:rFonts w:cs="Times New Roman" w:hAnsiTheme="minorEastAsia" w:eastAsiaTheme="minorEastAsia"/>
          <w:kern w:val="0"/>
        </w:rPr>
        <w:t>亿元。则整个系统的投资回收期为</w:t>
      </w:r>
      <w:r>
        <w:rPr>
          <w:rFonts w:cs="Times New Roman" w:eastAsiaTheme="minorEastAsia"/>
          <w:kern w:val="0"/>
        </w:rPr>
        <w:t>5.2</w:t>
      </w:r>
      <w:r>
        <w:rPr>
          <w:rFonts w:cs="Times New Roman" w:hAnsiTheme="minorEastAsia" w:eastAsiaTheme="minorEastAsia"/>
          <w:kern w:val="0"/>
        </w:rPr>
        <w:t>年。每天</w:t>
      </w:r>
      <w:r>
        <w:rPr>
          <w:rFonts w:cs="Times New Roman" w:eastAsiaTheme="minorEastAsia"/>
          <w:kern w:val="0"/>
        </w:rPr>
        <w:t>2</w:t>
      </w:r>
      <w:r>
        <w:rPr>
          <w:rFonts w:cs="Times New Roman" w:hAnsiTheme="minorEastAsia" w:eastAsiaTheme="minorEastAsia"/>
          <w:kern w:val="0"/>
        </w:rPr>
        <w:t>次循环，</w:t>
      </w:r>
      <w:r>
        <w:rPr>
          <w:rFonts w:cs="Times New Roman" w:eastAsiaTheme="minorEastAsia"/>
          <w:kern w:val="0"/>
        </w:rPr>
        <w:t>5.2</w:t>
      </w:r>
      <w:r>
        <w:rPr>
          <w:rFonts w:cs="Times New Roman" w:hAnsiTheme="minorEastAsia" w:eastAsiaTheme="minorEastAsia"/>
          <w:kern w:val="0"/>
        </w:rPr>
        <w:t>年共计循环</w:t>
      </w:r>
      <w:r>
        <w:rPr>
          <w:rFonts w:cs="Times New Roman" w:eastAsiaTheme="minorEastAsia"/>
          <w:kern w:val="0"/>
        </w:rPr>
        <w:t>3744</w:t>
      </w:r>
      <w:r>
        <w:rPr>
          <w:rFonts w:cs="Times New Roman" w:hAnsiTheme="minorEastAsia" w:eastAsiaTheme="minorEastAsia"/>
          <w:kern w:val="0"/>
        </w:rPr>
        <w:t>次（</w:t>
      </w:r>
      <w:r>
        <w:rPr>
          <w:rFonts w:cs="Times New Roman" w:eastAsiaTheme="minorEastAsia"/>
          <w:kern w:val="0"/>
        </w:rPr>
        <w:t>2</w:t>
      </w:r>
      <w:r>
        <w:rPr>
          <w:rFonts w:cs="Times New Roman" w:hAnsiTheme="minorEastAsia" w:eastAsiaTheme="minorEastAsia"/>
          <w:kern w:val="0"/>
        </w:rPr>
        <w:t>次</w:t>
      </w:r>
      <w:r>
        <w:rPr>
          <w:rFonts w:cs="Times New Roman" w:eastAsiaTheme="minorEastAsia"/>
          <w:kern w:val="0"/>
        </w:rPr>
        <w:t>×360</w:t>
      </w:r>
      <w:r>
        <w:rPr>
          <w:rFonts w:cs="Times New Roman" w:hAnsiTheme="minorEastAsia" w:eastAsiaTheme="minorEastAsia"/>
          <w:kern w:val="0"/>
        </w:rPr>
        <w:t>天</w:t>
      </w:r>
      <w:r>
        <w:rPr>
          <w:rFonts w:cs="Times New Roman" w:eastAsiaTheme="minorEastAsia"/>
          <w:kern w:val="0"/>
        </w:rPr>
        <w:t>×5.2</w:t>
      </w:r>
      <w:r>
        <w:rPr>
          <w:rFonts w:cs="Times New Roman" w:hAnsiTheme="minorEastAsia" w:eastAsiaTheme="minorEastAsia"/>
          <w:kern w:val="0"/>
        </w:rPr>
        <w:t>年），锂离子电池、钠硫电池、液流电池的循环寿命基本都能满足此要求。如果储能不参与调峰辅助服务，仅仅削峰填谷，使用风电场电力充电，仅能获得高峰售电收益。全年收益为</w:t>
      </w:r>
      <w:r>
        <w:rPr>
          <w:rFonts w:cs="Times New Roman" w:eastAsiaTheme="minorEastAsia"/>
          <w:kern w:val="0"/>
        </w:rPr>
        <w:t>1440</w:t>
      </w:r>
      <w:r>
        <w:rPr>
          <w:rFonts w:cs="Times New Roman" w:hAnsiTheme="minorEastAsia" w:eastAsiaTheme="minorEastAsia"/>
          <w:szCs w:val="28"/>
        </w:rPr>
        <w:t>万（</w:t>
      </w:r>
      <w:r>
        <w:rPr>
          <w:rFonts w:cs="Times New Roman" w:eastAsiaTheme="minorEastAsia"/>
          <w:szCs w:val="28"/>
        </w:rPr>
        <w:t>40000</w:t>
      </w:r>
      <w:r>
        <w:rPr>
          <w:rFonts w:cs="Times New Roman" w:hAnsiTheme="minorEastAsia" w:eastAsiaTheme="minorEastAsia"/>
          <w:szCs w:val="28"/>
        </w:rPr>
        <w:t>元</w:t>
      </w:r>
      <w:r>
        <w:rPr>
          <w:rFonts w:cs="Times New Roman" w:eastAsiaTheme="minorEastAsia"/>
          <w:szCs w:val="28"/>
        </w:rPr>
        <w:t>×360</w:t>
      </w:r>
      <w:r>
        <w:rPr>
          <w:rFonts w:cs="Times New Roman" w:hAnsiTheme="minorEastAsia" w:eastAsiaTheme="minorEastAsia"/>
          <w:szCs w:val="28"/>
        </w:rPr>
        <w:t>天），投资回收期</w:t>
      </w:r>
      <w:r>
        <w:rPr>
          <w:rFonts w:cs="Times New Roman" w:eastAsiaTheme="minorEastAsia"/>
          <w:szCs w:val="28"/>
        </w:rPr>
        <w:t>8.3</w:t>
      </w:r>
      <w:r>
        <w:rPr>
          <w:rFonts w:cs="Times New Roman" w:hAnsiTheme="minorEastAsia" w:eastAsiaTheme="minorEastAsia"/>
          <w:szCs w:val="28"/>
        </w:rPr>
        <w:t>年，调峰服务的放开，回收期变为</w:t>
      </w:r>
      <w:r>
        <w:rPr>
          <w:rFonts w:cs="Times New Roman" w:eastAsiaTheme="minorEastAsia"/>
          <w:szCs w:val="28"/>
        </w:rPr>
        <w:t>5.2</w:t>
      </w:r>
      <w:r>
        <w:rPr>
          <w:rFonts w:cs="Times New Roman" w:hAnsiTheme="minorEastAsia" w:eastAsiaTheme="minorEastAsia"/>
          <w:szCs w:val="28"/>
        </w:rPr>
        <w:t>年，储能参与调峰辅助服务，可以大大缩短投资回收期。</w:t>
      </w:r>
    </w:p>
    <w:p>
      <w:pPr>
        <w:ind w:firstLine="560"/>
        <w:rPr>
          <w:rFonts w:cs="Times New Roman" w:eastAsiaTheme="minorEastAsia"/>
        </w:rPr>
      </w:pPr>
      <w:r>
        <w:rPr>
          <w:rFonts w:cs="Times New Roman" w:hAnsiTheme="minorEastAsia" w:eastAsiaTheme="minorEastAsia"/>
        </w:rPr>
        <w:t>调峰辅助服务对储能开放，可以为储能提供一笔较大的收益。尤其在津京唐电网，其修订的两个细则中，以调节幅度来衡量、计算补偿收益，调峰补偿因此大幅增加，考虑到储能可获得正负</w:t>
      </w:r>
      <w:r>
        <w:rPr>
          <w:rFonts w:cs="Times New Roman" w:eastAsiaTheme="minorEastAsia"/>
        </w:rPr>
        <w:t>100%</w:t>
      </w:r>
      <w:r>
        <w:rPr>
          <w:rFonts w:cs="Times New Roman" w:hAnsiTheme="minorEastAsia" w:eastAsiaTheme="minorEastAsia"/>
        </w:rPr>
        <w:t>的调节幅度，在津京唐市场中，储能是非常占优的调峰资源，可以获得更高的收益。</w:t>
      </w:r>
    </w:p>
    <w:p>
      <w:pPr>
        <w:ind w:firstLine="560"/>
        <w:rPr>
          <w:rFonts w:cs="Times New Roman" w:eastAsiaTheme="minorEastAsia"/>
          <w:kern w:val="0"/>
        </w:rPr>
      </w:pPr>
      <w:r>
        <w:rPr>
          <w:rFonts w:cs="Times New Roman" w:eastAsiaTheme="minorEastAsia"/>
          <w:kern w:val="0"/>
        </w:rPr>
        <w:t>3</w:t>
      </w:r>
      <w:r>
        <w:rPr>
          <w:rFonts w:cs="Times New Roman" w:hAnsiTheme="minorEastAsia" w:eastAsiaTheme="minorEastAsia"/>
          <w:kern w:val="0"/>
        </w:rPr>
        <w:t>）提高发电效率</w:t>
      </w:r>
    </w:p>
    <w:p>
      <w:pPr>
        <w:ind w:firstLine="560"/>
        <w:rPr>
          <w:rFonts w:cs="Times New Roman" w:eastAsiaTheme="minorEastAsia"/>
          <w:kern w:val="0"/>
        </w:rPr>
      </w:pPr>
      <w:r>
        <w:rPr>
          <w:rFonts w:cs="Times New Roman" w:hAnsiTheme="minorEastAsia" w:eastAsiaTheme="minorEastAsia"/>
          <w:kern w:val="0"/>
        </w:rPr>
        <w:t>若储能系统得到广泛应用，火电可以在最优的工况下运行，进而降低火电标煤耗。煤耗在火力发电成本中约占</w:t>
      </w:r>
      <w:r>
        <w:rPr>
          <w:rFonts w:cs="Times New Roman" w:eastAsiaTheme="minorEastAsia"/>
          <w:kern w:val="0"/>
        </w:rPr>
        <w:t>70%</w:t>
      </w:r>
      <w:r>
        <w:rPr>
          <w:rFonts w:cs="Times New Roman" w:hAnsiTheme="minorEastAsia" w:eastAsiaTheme="minorEastAsia"/>
          <w:kern w:val="0"/>
        </w:rPr>
        <w:t>，以浙江省</w:t>
      </w:r>
      <w:r>
        <w:rPr>
          <w:rFonts w:cs="Times New Roman" w:eastAsiaTheme="minorEastAsia"/>
          <w:kern w:val="0"/>
        </w:rPr>
        <w:t>1GW</w:t>
      </w:r>
      <w:r>
        <w:rPr>
          <w:rFonts w:cs="Times New Roman" w:hAnsiTheme="minorEastAsia" w:eastAsiaTheme="minorEastAsia"/>
          <w:kern w:val="0"/>
        </w:rPr>
        <w:t>的某火电厂为例，若应用储能，从</w:t>
      </w:r>
      <w:r>
        <w:rPr>
          <w:rFonts w:cs="Times New Roman" w:eastAsiaTheme="minorEastAsia"/>
          <w:kern w:val="0"/>
        </w:rPr>
        <w:t>50%</w:t>
      </w:r>
      <w:r>
        <w:rPr>
          <w:rFonts w:cs="Times New Roman" w:hAnsiTheme="minorEastAsia" w:eastAsiaTheme="minorEastAsia"/>
          <w:kern w:val="0"/>
        </w:rPr>
        <w:t>的输出功率到满发，供电煤耗可降低</w:t>
      </w:r>
      <w:r>
        <w:rPr>
          <w:rFonts w:cs="Times New Roman" w:eastAsiaTheme="minorEastAsia"/>
          <w:kern w:val="0"/>
        </w:rPr>
        <w:t>10%</w:t>
      </w:r>
      <w:r>
        <w:rPr>
          <w:rFonts w:cs="Times New Roman" w:hAnsiTheme="minorEastAsia" w:eastAsiaTheme="minorEastAsia"/>
          <w:kern w:val="0"/>
        </w:rPr>
        <w:t>，因而总的成本降低约</w:t>
      </w:r>
      <w:r>
        <w:rPr>
          <w:rFonts w:cs="Times New Roman" w:eastAsiaTheme="minorEastAsia"/>
          <w:kern w:val="0"/>
        </w:rPr>
        <w:t>7%</w:t>
      </w:r>
      <w:r>
        <w:rPr>
          <w:rFonts w:cs="Times New Roman" w:hAnsiTheme="minorEastAsia" w:eastAsiaTheme="minorEastAsia"/>
          <w:kern w:val="0"/>
        </w:rPr>
        <w:t>。抽蓄电站可为火电降低</w:t>
      </w:r>
      <w:r>
        <w:rPr>
          <w:rFonts w:cs="Times New Roman" w:eastAsiaTheme="minorEastAsia"/>
          <w:kern w:val="0"/>
        </w:rPr>
        <w:t>5%</w:t>
      </w:r>
      <w:r>
        <w:rPr>
          <w:rFonts w:cs="Times New Roman" w:hAnsiTheme="minorEastAsia" w:eastAsiaTheme="minorEastAsia"/>
          <w:kern w:val="0"/>
        </w:rPr>
        <w:t>的供电煤耗。标煤耗在火力发电成本中约占</w:t>
      </w:r>
      <w:r>
        <w:rPr>
          <w:rFonts w:cs="Times New Roman" w:eastAsiaTheme="minorEastAsia"/>
          <w:kern w:val="0"/>
        </w:rPr>
        <w:t>70%</w:t>
      </w:r>
      <w:r>
        <w:rPr>
          <w:rFonts w:cs="Times New Roman" w:hAnsiTheme="minorEastAsia" w:eastAsiaTheme="minorEastAsia"/>
          <w:kern w:val="0"/>
        </w:rPr>
        <w:t>，年可节省成本约</w:t>
      </w:r>
      <w:r>
        <w:rPr>
          <w:rFonts w:cs="Times New Roman" w:eastAsiaTheme="minorEastAsia"/>
          <w:kern w:val="0"/>
        </w:rPr>
        <w:t>5%~7%</w:t>
      </w:r>
      <w:r>
        <w:rPr>
          <w:rFonts w:cs="Times New Roman" w:hAnsiTheme="minorEastAsia" w:eastAsiaTheme="minorEastAsia"/>
          <w:kern w:val="0"/>
        </w:rPr>
        <w:t>，折算到电量电价约为</w:t>
      </w:r>
      <w:r>
        <w:rPr>
          <w:rFonts w:cs="Times New Roman" w:eastAsiaTheme="minorEastAsia"/>
          <w:kern w:val="0"/>
        </w:rPr>
        <w:t>0.10</w:t>
      </w:r>
      <w:r>
        <w:rPr>
          <w:rFonts w:cs="Times New Roman" w:hAnsiTheme="minorEastAsia" w:eastAsiaTheme="minorEastAsia"/>
          <w:kern w:val="0"/>
        </w:rPr>
        <w:t>元</w:t>
      </w:r>
      <w:r>
        <w:rPr>
          <w:rFonts w:cs="Times New Roman" w:eastAsiaTheme="minorEastAsia"/>
          <w:kern w:val="0"/>
        </w:rPr>
        <w:t>/kWh</w:t>
      </w:r>
      <w:r>
        <w:rPr>
          <w:rFonts w:cs="Times New Roman" w:hAnsiTheme="minorEastAsia" w:eastAsiaTheme="minorEastAsia"/>
          <w:kern w:val="0"/>
        </w:rPr>
        <w:t>。</w:t>
      </w:r>
    </w:p>
    <w:p>
      <w:pPr>
        <w:ind w:firstLine="560"/>
        <w:rPr>
          <w:rFonts w:cs="Times New Roman" w:eastAsiaTheme="minorEastAsia"/>
          <w:kern w:val="0"/>
        </w:rPr>
      </w:pPr>
      <w:r>
        <w:rPr>
          <w:rFonts w:cs="Times New Roman" w:eastAsiaTheme="minorEastAsia"/>
          <w:kern w:val="0"/>
        </w:rPr>
        <w:t>4</w:t>
      </w:r>
      <w:r>
        <w:rPr>
          <w:rFonts w:cs="Times New Roman" w:hAnsiTheme="minorEastAsia" w:eastAsiaTheme="minorEastAsia"/>
          <w:kern w:val="0"/>
        </w:rPr>
        <w:t>）缓解</w:t>
      </w:r>
      <w:r>
        <w:rPr>
          <w:rFonts w:cs="Times New Roman" w:eastAsiaTheme="minorEastAsia"/>
          <w:kern w:val="0"/>
        </w:rPr>
        <w:t>“</w:t>
      </w:r>
      <w:r>
        <w:rPr>
          <w:rFonts w:cs="Times New Roman" w:hAnsiTheme="minorEastAsia" w:eastAsiaTheme="minorEastAsia"/>
          <w:kern w:val="0"/>
        </w:rPr>
        <w:t>弃风弃电</w:t>
      </w:r>
      <w:r>
        <w:rPr>
          <w:rFonts w:cs="Times New Roman" w:eastAsiaTheme="minorEastAsia"/>
          <w:kern w:val="0"/>
        </w:rPr>
        <w:t>”</w:t>
      </w:r>
    </w:p>
    <w:p>
      <w:pPr>
        <w:ind w:firstLine="560"/>
        <w:rPr>
          <w:rFonts w:cs="Times New Roman" w:eastAsiaTheme="minorEastAsia"/>
        </w:rPr>
      </w:pPr>
      <w:r>
        <w:rPr>
          <w:rFonts w:cs="Times New Roman" w:hAnsiTheme="minorEastAsia" w:eastAsiaTheme="minorEastAsia"/>
        </w:rPr>
        <w:t>现阶段全球油气资源储采比已处于较高水平。预计</w:t>
      </w:r>
      <w:r>
        <w:rPr>
          <w:rFonts w:cs="Times New Roman" w:eastAsiaTheme="minorEastAsia"/>
        </w:rPr>
        <w:t>2030</w:t>
      </w:r>
      <w:r>
        <w:rPr>
          <w:rFonts w:cs="Times New Roman" w:hAnsiTheme="minorEastAsia" w:eastAsiaTheme="minorEastAsia"/>
        </w:rPr>
        <w:t>年以前，新能源可以作为传统能源的有效补充。我国的法律、法规及产业政策均大力支持太阳能产业加快发展。《中华人民共和国可再生能源法》第十七条明确提出，国家鼓励单位和个人安装和使用太阳能热水系统、太阳能供热采暖和制冷系统、太阳能光伏发电系统等太阳能利用系统。</w:t>
      </w:r>
    </w:p>
    <w:p>
      <w:pPr>
        <w:pStyle w:val="37"/>
        <w:rPr>
          <w:rFonts w:cs="Times New Roman" w:eastAsiaTheme="minorEastAsia"/>
        </w:rPr>
      </w:pPr>
      <w:r>
        <w:rPr>
          <w:rFonts w:cs="Times New Roman" w:hAnsiTheme="minorEastAsia" w:eastAsiaTheme="minorEastAsia"/>
        </w:rPr>
        <w:t>表</w:t>
      </w:r>
      <w:r>
        <w:rPr>
          <w:rFonts w:cs="Times New Roman" w:eastAsiaTheme="minorEastAsia"/>
        </w:rPr>
        <w:t>3-3</w:t>
      </w:r>
      <w:r>
        <w:rPr>
          <w:rFonts w:cs="Times New Roman" w:hAnsiTheme="minorEastAsia" w:eastAsiaTheme="minorEastAsia"/>
        </w:rPr>
        <w:t>我国光伏发电、风电市场空间</w:t>
      </w:r>
    </w:p>
    <w:tbl>
      <w:tblPr>
        <w:tblStyle w:val="30"/>
        <w:tblW w:w="891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97"/>
        <w:gridCol w:w="4536"/>
        <w:gridCol w:w="30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1297"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b/>
                <w:bCs/>
                <w:kern w:val="0"/>
                <w:sz w:val="23"/>
                <w:szCs w:val="23"/>
              </w:rPr>
              <w:t>年份</w:t>
            </w:r>
          </w:p>
        </w:tc>
        <w:tc>
          <w:tcPr>
            <w:tcW w:w="4536"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b/>
                <w:bCs/>
                <w:kern w:val="0"/>
                <w:sz w:val="23"/>
                <w:szCs w:val="23"/>
              </w:rPr>
              <w:t>光伏发电</w:t>
            </w:r>
          </w:p>
        </w:tc>
        <w:tc>
          <w:tcPr>
            <w:tcW w:w="3080"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b/>
                <w:bCs/>
                <w:kern w:val="0"/>
                <w:sz w:val="23"/>
                <w:szCs w:val="23"/>
              </w:rPr>
              <w:t>风电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1297"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eastAsiaTheme="minorEastAsia"/>
                <w:kern w:val="0"/>
                <w:sz w:val="23"/>
                <w:szCs w:val="23"/>
              </w:rPr>
              <w:t>2020</w:t>
            </w:r>
            <w:r>
              <w:rPr>
                <w:rFonts w:cs="Times New Roman" w:hAnsiTheme="minorEastAsia" w:eastAsiaTheme="minorEastAsia"/>
                <w:kern w:val="0"/>
                <w:sz w:val="23"/>
                <w:szCs w:val="23"/>
              </w:rPr>
              <w:t>年</w:t>
            </w:r>
          </w:p>
        </w:tc>
        <w:tc>
          <w:tcPr>
            <w:tcW w:w="4536"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kern w:val="0"/>
                <w:sz w:val="23"/>
                <w:szCs w:val="23"/>
              </w:rPr>
              <w:t>光伏发电</w:t>
            </w:r>
            <w:r>
              <w:rPr>
                <w:rFonts w:cs="Times New Roman" w:eastAsiaTheme="minorEastAsia"/>
                <w:kern w:val="0"/>
                <w:sz w:val="23"/>
                <w:szCs w:val="23"/>
              </w:rPr>
              <w:t>1</w:t>
            </w:r>
            <w:r>
              <w:rPr>
                <w:rFonts w:cs="Times New Roman" w:hAnsiTheme="minorEastAsia" w:eastAsiaTheme="minorEastAsia"/>
                <w:kern w:val="0"/>
                <w:sz w:val="23"/>
                <w:szCs w:val="23"/>
              </w:rPr>
              <w:t>亿千瓦，光热发电</w:t>
            </w:r>
            <w:r>
              <w:rPr>
                <w:rFonts w:cs="Times New Roman" w:eastAsiaTheme="minorEastAsia"/>
                <w:kern w:val="0"/>
                <w:sz w:val="23"/>
                <w:szCs w:val="23"/>
              </w:rPr>
              <w:t>500</w:t>
            </w:r>
            <w:r>
              <w:rPr>
                <w:rFonts w:cs="Times New Roman" w:hAnsiTheme="minorEastAsia" w:eastAsiaTheme="minorEastAsia"/>
                <w:kern w:val="0"/>
                <w:sz w:val="23"/>
                <w:szCs w:val="23"/>
              </w:rPr>
              <w:t>万千瓦</w:t>
            </w:r>
          </w:p>
        </w:tc>
        <w:tc>
          <w:tcPr>
            <w:tcW w:w="3080"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kern w:val="0"/>
                <w:sz w:val="23"/>
                <w:szCs w:val="23"/>
              </w:rPr>
              <w:t>累计装机容量达到</w:t>
            </w:r>
            <w:r>
              <w:rPr>
                <w:rFonts w:cs="Times New Roman" w:eastAsiaTheme="minorEastAsia"/>
                <w:kern w:val="0"/>
                <w:sz w:val="23"/>
                <w:szCs w:val="23"/>
              </w:rPr>
              <w:t>2</w:t>
            </w:r>
            <w:r>
              <w:rPr>
                <w:rFonts w:cs="Times New Roman" w:hAnsiTheme="minorEastAsia" w:eastAsiaTheme="minorEastAsia"/>
                <w:kern w:val="0"/>
                <w:sz w:val="23"/>
                <w:szCs w:val="23"/>
              </w:rPr>
              <w:t>亿千瓦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1297"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eastAsiaTheme="minorEastAsia"/>
                <w:kern w:val="0"/>
                <w:sz w:val="23"/>
                <w:szCs w:val="23"/>
              </w:rPr>
              <w:t>2030</w:t>
            </w:r>
            <w:r>
              <w:rPr>
                <w:rFonts w:cs="Times New Roman" w:hAnsiTheme="minorEastAsia" w:eastAsiaTheme="minorEastAsia"/>
                <w:kern w:val="0"/>
                <w:sz w:val="23"/>
                <w:szCs w:val="23"/>
              </w:rPr>
              <w:t>年</w:t>
            </w:r>
          </w:p>
        </w:tc>
        <w:tc>
          <w:tcPr>
            <w:tcW w:w="4536"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kern w:val="0"/>
                <w:sz w:val="23"/>
                <w:szCs w:val="23"/>
              </w:rPr>
              <w:t>光伏发电</w:t>
            </w:r>
            <w:r>
              <w:rPr>
                <w:rFonts w:cs="Times New Roman" w:eastAsiaTheme="minorEastAsia"/>
                <w:kern w:val="0"/>
                <w:sz w:val="23"/>
                <w:szCs w:val="23"/>
              </w:rPr>
              <w:t>4</w:t>
            </w:r>
            <w:r>
              <w:rPr>
                <w:rFonts w:cs="Times New Roman" w:hAnsiTheme="minorEastAsia" w:eastAsiaTheme="minorEastAsia"/>
                <w:kern w:val="0"/>
                <w:sz w:val="23"/>
                <w:szCs w:val="23"/>
              </w:rPr>
              <w:t>亿千瓦，光热发电</w:t>
            </w:r>
            <w:r>
              <w:rPr>
                <w:rFonts w:cs="Times New Roman" w:eastAsiaTheme="minorEastAsia"/>
                <w:kern w:val="0"/>
                <w:sz w:val="23"/>
                <w:szCs w:val="23"/>
              </w:rPr>
              <w:t>3000</w:t>
            </w:r>
            <w:r>
              <w:rPr>
                <w:rFonts w:cs="Times New Roman" w:hAnsiTheme="minorEastAsia" w:eastAsiaTheme="minorEastAsia"/>
                <w:kern w:val="0"/>
                <w:sz w:val="23"/>
                <w:szCs w:val="23"/>
              </w:rPr>
              <w:t>万千瓦</w:t>
            </w:r>
          </w:p>
        </w:tc>
        <w:tc>
          <w:tcPr>
            <w:tcW w:w="3080"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kern w:val="0"/>
                <w:sz w:val="23"/>
                <w:szCs w:val="23"/>
              </w:rPr>
              <w:t>累计装机容量达到</w:t>
            </w:r>
            <w:r>
              <w:rPr>
                <w:rFonts w:cs="Times New Roman" w:eastAsiaTheme="minorEastAsia"/>
                <w:kern w:val="0"/>
                <w:sz w:val="23"/>
                <w:szCs w:val="23"/>
              </w:rPr>
              <w:t>4</w:t>
            </w:r>
            <w:r>
              <w:rPr>
                <w:rFonts w:cs="Times New Roman" w:hAnsiTheme="minorEastAsia" w:eastAsiaTheme="minorEastAsia"/>
                <w:kern w:val="0"/>
                <w:sz w:val="23"/>
                <w:szCs w:val="23"/>
              </w:rPr>
              <w:t>亿千瓦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1297"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eastAsiaTheme="minorEastAsia"/>
                <w:kern w:val="0"/>
                <w:sz w:val="23"/>
                <w:szCs w:val="23"/>
              </w:rPr>
              <w:t>2050</w:t>
            </w:r>
            <w:r>
              <w:rPr>
                <w:rFonts w:cs="Times New Roman" w:hAnsiTheme="minorEastAsia" w:eastAsiaTheme="minorEastAsia"/>
                <w:kern w:val="0"/>
                <w:sz w:val="23"/>
                <w:szCs w:val="23"/>
              </w:rPr>
              <w:t>年</w:t>
            </w:r>
          </w:p>
        </w:tc>
        <w:tc>
          <w:tcPr>
            <w:tcW w:w="4536"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kern w:val="0"/>
                <w:sz w:val="23"/>
                <w:szCs w:val="23"/>
              </w:rPr>
              <w:t>光伏发电</w:t>
            </w:r>
            <w:r>
              <w:rPr>
                <w:rFonts w:cs="Times New Roman" w:eastAsiaTheme="minorEastAsia"/>
                <w:kern w:val="0"/>
                <w:sz w:val="23"/>
                <w:szCs w:val="23"/>
              </w:rPr>
              <w:t>10</w:t>
            </w:r>
            <w:r>
              <w:rPr>
                <w:rFonts w:cs="Times New Roman" w:hAnsiTheme="minorEastAsia" w:eastAsiaTheme="minorEastAsia"/>
                <w:kern w:val="0"/>
                <w:sz w:val="23"/>
                <w:szCs w:val="23"/>
              </w:rPr>
              <w:t>亿千瓦，光热发电</w:t>
            </w:r>
            <w:r>
              <w:rPr>
                <w:rFonts w:cs="Times New Roman" w:eastAsiaTheme="minorEastAsia"/>
                <w:kern w:val="0"/>
                <w:sz w:val="23"/>
                <w:szCs w:val="23"/>
              </w:rPr>
              <w:t>1.8</w:t>
            </w:r>
            <w:r>
              <w:rPr>
                <w:rFonts w:cs="Times New Roman" w:hAnsiTheme="minorEastAsia" w:eastAsiaTheme="minorEastAsia"/>
                <w:kern w:val="0"/>
                <w:sz w:val="23"/>
                <w:szCs w:val="23"/>
              </w:rPr>
              <w:t>亿千瓦</w:t>
            </w:r>
          </w:p>
        </w:tc>
        <w:tc>
          <w:tcPr>
            <w:tcW w:w="3080" w:type="dxa"/>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kern w:val="0"/>
                <w:sz w:val="23"/>
                <w:szCs w:val="23"/>
              </w:rPr>
              <w:t>累计装机容量达到</w:t>
            </w:r>
            <w:r>
              <w:rPr>
                <w:rFonts w:cs="Times New Roman" w:eastAsiaTheme="minorEastAsia"/>
                <w:kern w:val="0"/>
                <w:sz w:val="23"/>
                <w:szCs w:val="23"/>
              </w:rPr>
              <w:t>10</w:t>
            </w:r>
            <w:r>
              <w:rPr>
                <w:rFonts w:cs="Times New Roman" w:hAnsiTheme="minorEastAsia" w:eastAsiaTheme="minorEastAsia"/>
                <w:kern w:val="0"/>
                <w:sz w:val="23"/>
                <w:szCs w:val="23"/>
              </w:rPr>
              <w:t>亿千瓦</w:t>
            </w:r>
          </w:p>
        </w:tc>
      </w:tr>
    </w:tbl>
    <w:p>
      <w:pPr>
        <w:pStyle w:val="37"/>
        <w:rPr>
          <w:rFonts w:cs="Times New Roman" w:eastAsiaTheme="minorEastAsia"/>
        </w:rPr>
      </w:pPr>
    </w:p>
    <w:p>
      <w:pPr>
        <w:ind w:firstLine="560"/>
        <w:rPr>
          <w:rFonts w:cs="Times New Roman" w:eastAsiaTheme="minorEastAsia"/>
        </w:rPr>
      </w:pPr>
      <w:r>
        <w:rPr>
          <w:rFonts w:cs="Times New Roman" w:eastAsiaTheme="minorEastAsia"/>
        </w:rPr>
        <w:t>20%</w:t>
      </w:r>
      <w:r>
        <w:rPr>
          <w:rFonts w:cs="Times New Roman" w:hAnsiTheme="minorEastAsia" w:eastAsiaTheme="minorEastAsia"/>
        </w:rPr>
        <w:t>储能可以解决风电并网问题，光伏发电储电在</w:t>
      </w:r>
      <w:r>
        <w:rPr>
          <w:rFonts w:cs="Times New Roman" w:eastAsiaTheme="minorEastAsia"/>
        </w:rPr>
        <w:t>4</w:t>
      </w:r>
      <w:r>
        <w:rPr>
          <w:rFonts w:cs="Times New Roman" w:hAnsiTheme="minorEastAsia" w:eastAsiaTheme="minorEastAsia"/>
        </w:rPr>
        <w:t>小时能够满足电网要求，预计</w:t>
      </w:r>
      <w:r>
        <w:rPr>
          <w:rFonts w:cs="Times New Roman" w:eastAsiaTheme="minorEastAsia"/>
        </w:rPr>
        <w:t>2030</w:t>
      </w:r>
      <w:r>
        <w:rPr>
          <w:rFonts w:cs="Times New Roman" w:hAnsiTheme="minorEastAsia" w:eastAsiaTheme="minorEastAsia"/>
        </w:rPr>
        <w:t>年左右，按照相对理想的状态计算新能源产业可带动储能产业约</w:t>
      </w:r>
      <w:r>
        <w:rPr>
          <w:rFonts w:cs="Times New Roman" w:eastAsiaTheme="minorEastAsia"/>
        </w:rPr>
        <w:t>1500-2000</w:t>
      </w:r>
      <w:r>
        <w:rPr>
          <w:rFonts w:cs="Times New Roman" w:hAnsiTheme="minorEastAsia" w:eastAsiaTheme="minorEastAsia"/>
        </w:rPr>
        <w:t>亿元。</w:t>
      </w:r>
    </w:p>
    <w:p>
      <w:pPr>
        <w:ind w:firstLine="560"/>
        <w:rPr>
          <w:rFonts w:cs="Times New Roman" w:eastAsiaTheme="minorEastAsia"/>
        </w:rPr>
      </w:pPr>
      <w:r>
        <w:rPr>
          <w:rFonts w:cs="Times New Roman" w:hAnsiTheme="minorEastAsia" w:eastAsiaTheme="minorEastAsia"/>
        </w:rPr>
        <w:t>（</w:t>
      </w:r>
      <w:r>
        <w:rPr>
          <w:rFonts w:cs="Times New Roman" w:eastAsiaTheme="minorEastAsia"/>
        </w:rPr>
        <w:t>2</w:t>
      </w:r>
      <w:r>
        <w:rPr>
          <w:rFonts w:cs="Times New Roman" w:hAnsiTheme="minorEastAsia" w:eastAsiaTheme="minorEastAsia"/>
        </w:rPr>
        <w:t>）移动类型消费的影响</w:t>
      </w:r>
    </w:p>
    <w:p>
      <w:pPr>
        <w:ind w:firstLine="560"/>
        <w:rPr>
          <w:rFonts w:cs="Times New Roman" w:eastAsiaTheme="minorEastAsia"/>
        </w:rPr>
      </w:pPr>
      <w:r>
        <w:rPr>
          <w:rFonts w:cs="Times New Roman" w:hAnsiTheme="minorEastAsia" w:eastAsiaTheme="minorEastAsia"/>
        </w:rPr>
        <w:t>《汽车产业中长期发展规划》指出，未来十年我国汽车市场仍将保持适度稳定增长；到</w:t>
      </w:r>
      <w:r>
        <w:rPr>
          <w:rFonts w:cs="Times New Roman" w:eastAsiaTheme="minorEastAsia"/>
        </w:rPr>
        <w:t>2020</w:t>
      </w:r>
      <w:r>
        <w:rPr>
          <w:rFonts w:cs="Times New Roman" w:hAnsiTheme="minorEastAsia" w:eastAsiaTheme="minorEastAsia"/>
        </w:rPr>
        <w:t>年我国汽车生产达到</w:t>
      </w:r>
      <w:r>
        <w:rPr>
          <w:rFonts w:cs="Times New Roman" w:eastAsiaTheme="minorEastAsia"/>
        </w:rPr>
        <w:t>3000</w:t>
      </w:r>
      <w:r>
        <w:rPr>
          <w:rFonts w:cs="Times New Roman" w:hAnsiTheme="minorEastAsia" w:eastAsiaTheme="minorEastAsia"/>
        </w:rPr>
        <w:t>万辆左右，其中新能源汽车生产</w:t>
      </w:r>
      <w:r>
        <w:rPr>
          <w:rFonts w:cs="Times New Roman" w:eastAsiaTheme="minorEastAsia"/>
        </w:rPr>
        <w:t>200</w:t>
      </w:r>
      <w:r>
        <w:rPr>
          <w:rFonts w:cs="Times New Roman" w:hAnsiTheme="minorEastAsia" w:eastAsiaTheme="minorEastAsia"/>
        </w:rPr>
        <w:t>万辆；到</w:t>
      </w:r>
      <w:r>
        <w:rPr>
          <w:rFonts w:cs="Times New Roman" w:eastAsiaTheme="minorEastAsia"/>
        </w:rPr>
        <w:t>2025</w:t>
      </w:r>
      <w:r>
        <w:rPr>
          <w:rFonts w:cs="Times New Roman" w:hAnsiTheme="minorEastAsia" w:eastAsiaTheme="minorEastAsia"/>
        </w:rPr>
        <w:t>年我国汽车生产将达到</w:t>
      </w:r>
      <w:r>
        <w:rPr>
          <w:rFonts w:cs="Times New Roman" w:eastAsiaTheme="minorEastAsia"/>
        </w:rPr>
        <w:t>3500</w:t>
      </w:r>
      <w:r>
        <w:rPr>
          <w:rFonts w:cs="Times New Roman" w:hAnsiTheme="minorEastAsia" w:eastAsiaTheme="minorEastAsia"/>
        </w:rPr>
        <w:t>万辆左右，其中新能源汽车生产</w:t>
      </w:r>
      <w:r>
        <w:rPr>
          <w:rFonts w:cs="Times New Roman" w:eastAsiaTheme="minorEastAsia"/>
        </w:rPr>
        <w:t>700</w:t>
      </w:r>
      <w:r>
        <w:rPr>
          <w:rFonts w:cs="Times New Roman" w:hAnsiTheme="minorEastAsia" w:eastAsiaTheme="minorEastAsia"/>
        </w:rPr>
        <w:t>万辆。</w:t>
      </w:r>
    </w:p>
    <w:p>
      <w:pPr>
        <w:ind w:firstLine="560"/>
        <w:rPr>
          <w:rFonts w:cs="Times New Roman" w:eastAsiaTheme="minorEastAsia"/>
        </w:rPr>
      </w:pPr>
      <w:r>
        <w:rPr>
          <w:rFonts w:cs="Times New Roman" w:hAnsiTheme="minorEastAsia" w:eastAsiaTheme="minorEastAsia"/>
        </w:rPr>
        <w:t>考虑到能源结构，以煤炭为原料生产电力，电厂能源利用效率取</w:t>
      </w:r>
      <w:r>
        <w:rPr>
          <w:rFonts w:cs="Times New Roman" w:eastAsiaTheme="minorEastAsia"/>
        </w:rPr>
        <w:t>40%</w:t>
      </w:r>
      <w:r>
        <w:rPr>
          <w:rFonts w:cs="Times New Roman" w:hAnsiTheme="minorEastAsia" w:eastAsiaTheme="minorEastAsia"/>
        </w:rPr>
        <w:t>，进一步应用到新能源汽车，全生命周期能源效率约</w:t>
      </w:r>
      <w:r>
        <w:rPr>
          <w:rFonts w:cs="Times New Roman" w:eastAsiaTheme="minorEastAsia"/>
        </w:rPr>
        <w:t>27.4%</w:t>
      </w:r>
      <w:r>
        <w:rPr>
          <w:rFonts w:cs="Times New Roman" w:hAnsiTheme="minorEastAsia" w:eastAsiaTheme="minorEastAsia"/>
        </w:rPr>
        <w:t>；以原油为原料，燃油汽车能源效率取</w:t>
      </w:r>
      <w:r>
        <w:rPr>
          <w:rFonts w:cs="Times New Roman" w:eastAsiaTheme="minorEastAsia"/>
        </w:rPr>
        <w:t>20%</w:t>
      </w:r>
      <w:r>
        <w:rPr>
          <w:rFonts w:cs="Times New Roman" w:hAnsiTheme="minorEastAsia" w:eastAsiaTheme="minorEastAsia"/>
        </w:rPr>
        <w:t>，全生命周期能源效率约为</w:t>
      </w:r>
      <w:r>
        <w:rPr>
          <w:rFonts w:cs="Times New Roman" w:eastAsiaTheme="minorEastAsia"/>
        </w:rPr>
        <w:t>16.7%</w:t>
      </w:r>
      <w:r>
        <w:rPr>
          <w:rFonts w:cs="Times New Roman" w:hAnsiTheme="minorEastAsia" w:eastAsiaTheme="minorEastAsia"/>
        </w:rPr>
        <w:t>，从能源利用效率来说，电动汽车具有较强的竞争优势。</w:t>
      </w:r>
    </w:p>
    <w:p>
      <w:pPr>
        <w:ind w:firstLine="560"/>
        <w:rPr>
          <w:rFonts w:cs="Times New Roman" w:eastAsiaTheme="minorEastAsia"/>
        </w:rPr>
      </w:pPr>
      <w:r>
        <w:rPr>
          <w:rFonts w:cs="Times New Roman" w:hAnsiTheme="minorEastAsia" w:eastAsiaTheme="minorEastAsia"/>
        </w:rPr>
        <w:t>从制造成本来看，汽车发动机价格差别较大，由于电池原料成本较高，制造成本不占优势。从装备成本来看，燃油发动机装配成本相对于发动机制造成本在</w:t>
      </w:r>
      <w:r>
        <w:rPr>
          <w:rFonts w:cs="Times New Roman" w:eastAsiaTheme="minorEastAsia"/>
        </w:rPr>
        <w:t>3</w:t>
      </w:r>
      <w:r>
        <w:rPr>
          <w:rFonts w:cs="Times New Roman" w:hAnsiTheme="minorEastAsia" w:eastAsiaTheme="minorEastAsia"/>
        </w:rPr>
        <w:t>倍左右，电动车电池装备费用约</w:t>
      </w:r>
      <w:r>
        <w:rPr>
          <w:rFonts w:cs="Times New Roman" w:eastAsiaTheme="minorEastAsia"/>
        </w:rPr>
        <w:t>1.6</w:t>
      </w:r>
      <w:r>
        <w:rPr>
          <w:rFonts w:cs="Times New Roman" w:hAnsiTheme="minorEastAsia" w:eastAsiaTheme="minorEastAsia"/>
        </w:rPr>
        <w:t>倍，电动汽车具有优势；由于发动机属于制造短板，新能源汽车属于我国汽车行业弯道超车的重要内容之一。综合分析两者的制造成本和装备成本，电动汽车和燃油汽车在同一水平线上。</w:t>
      </w:r>
    </w:p>
    <w:p>
      <w:pPr>
        <w:ind w:firstLine="560"/>
        <w:rPr>
          <w:rFonts w:cs="Times New Roman" w:eastAsiaTheme="minorEastAsia"/>
          <w:kern w:val="0"/>
        </w:rPr>
      </w:pPr>
      <w:r>
        <w:rPr>
          <w:rFonts w:cs="Times New Roman" w:hAnsiTheme="minorEastAsia" w:eastAsiaTheme="minorEastAsia"/>
          <w:kern w:val="0"/>
        </w:rPr>
        <w:t>从运营成本来看，燃油汽车百公里油耗</w:t>
      </w:r>
      <w:r>
        <w:rPr>
          <w:rFonts w:cs="Times New Roman" w:eastAsiaTheme="minorEastAsia"/>
          <w:kern w:val="0"/>
        </w:rPr>
        <w:t>6-10L</w:t>
      </w:r>
      <w:r>
        <w:rPr>
          <w:rFonts w:cs="Times New Roman" w:hAnsiTheme="minorEastAsia" w:eastAsiaTheme="minorEastAsia"/>
          <w:kern w:val="0"/>
        </w:rPr>
        <w:t>，油价</w:t>
      </w:r>
      <w:r>
        <w:rPr>
          <w:rFonts w:cs="Times New Roman" w:eastAsiaTheme="minorEastAsia"/>
          <w:kern w:val="0"/>
        </w:rPr>
        <w:t>7.5</w:t>
      </w:r>
      <w:r>
        <w:rPr>
          <w:rFonts w:cs="Times New Roman" w:hAnsiTheme="minorEastAsia" w:eastAsiaTheme="minorEastAsia"/>
          <w:kern w:val="0"/>
        </w:rPr>
        <w:t>元</w:t>
      </w:r>
      <w:r>
        <w:rPr>
          <w:rFonts w:cs="Times New Roman" w:eastAsiaTheme="minorEastAsia"/>
          <w:kern w:val="0"/>
        </w:rPr>
        <w:t>/L</w:t>
      </w:r>
      <w:r>
        <w:rPr>
          <w:rFonts w:cs="Times New Roman" w:hAnsiTheme="minorEastAsia" w:eastAsiaTheme="minorEastAsia"/>
          <w:kern w:val="0"/>
        </w:rPr>
        <w:t>左右，则每公里油价格在</w:t>
      </w:r>
      <w:r>
        <w:rPr>
          <w:rFonts w:cs="Times New Roman" w:eastAsiaTheme="minorEastAsia"/>
          <w:kern w:val="0"/>
        </w:rPr>
        <w:t>0.6</w:t>
      </w:r>
      <w:r>
        <w:rPr>
          <w:rFonts w:cs="Times New Roman" w:hAnsiTheme="minorEastAsia" w:eastAsiaTheme="minorEastAsia"/>
          <w:kern w:val="0"/>
        </w:rPr>
        <w:t>元左右；电动车消耗</w:t>
      </w:r>
      <w:r>
        <w:rPr>
          <w:rFonts w:cs="Times New Roman" w:eastAsiaTheme="minorEastAsia"/>
          <w:kern w:val="0"/>
        </w:rPr>
        <w:t>10-20kwh/</w:t>
      </w:r>
      <w:r>
        <w:rPr>
          <w:rFonts w:cs="Times New Roman" w:hAnsiTheme="minorEastAsia" w:eastAsiaTheme="minorEastAsia"/>
          <w:kern w:val="0"/>
        </w:rPr>
        <w:t>百公里，电价按照</w:t>
      </w:r>
      <w:r>
        <w:rPr>
          <w:rFonts w:cs="Times New Roman" w:eastAsiaTheme="minorEastAsia"/>
          <w:kern w:val="0"/>
        </w:rPr>
        <w:t>0.6</w:t>
      </w:r>
      <w:r>
        <w:rPr>
          <w:rFonts w:cs="Times New Roman" w:hAnsiTheme="minorEastAsia" w:eastAsiaTheme="minorEastAsia"/>
          <w:kern w:val="0"/>
        </w:rPr>
        <w:t>元左右，每公里单价在</w:t>
      </w:r>
      <w:r>
        <w:rPr>
          <w:rFonts w:cs="Times New Roman" w:eastAsiaTheme="minorEastAsia"/>
          <w:kern w:val="0"/>
        </w:rPr>
        <w:t>0.1</w:t>
      </w:r>
      <w:r>
        <w:rPr>
          <w:rFonts w:cs="Times New Roman" w:hAnsiTheme="minorEastAsia" w:eastAsiaTheme="minorEastAsia"/>
          <w:kern w:val="0"/>
        </w:rPr>
        <w:t>元左右。电动汽车运行成本具有明显优势。</w:t>
      </w:r>
    </w:p>
    <w:p>
      <w:pPr>
        <w:ind w:firstLine="560"/>
        <w:rPr>
          <w:rFonts w:cs="Times New Roman" w:eastAsiaTheme="minorEastAsia"/>
        </w:rPr>
      </w:pPr>
      <w:r>
        <w:rPr>
          <w:rFonts w:cs="Times New Roman" w:hAnsiTheme="minorEastAsia" w:eastAsiaTheme="minorEastAsia"/>
        </w:rPr>
        <w:t>由于我国受限于锂电池原料资源，因此预测新能源汽车产量低于《汽车产业中长期发展规划》，</w:t>
      </w:r>
      <w:r>
        <w:rPr>
          <w:rFonts w:cs="Times New Roman" w:eastAsiaTheme="minorEastAsia"/>
        </w:rPr>
        <w:t>2025</w:t>
      </w:r>
      <w:r>
        <w:rPr>
          <w:rFonts w:cs="Times New Roman" w:hAnsiTheme="minorEastAsia" w:eastAsiaTheme="minorEastAsia"/>
        </w:rPr>
        <w:t>年生产电动汽车约</w:t>
      </w:r>
      <w:r>
        <w:rPr>
          <w:rFonts w:cs="Times New Roman" w:eastAsiaTheme="minorEastAsia"/>
        </w:rPr>
        <w:t>500</w:t>
      </w:r>
      <w:r>
        <w:rPr>
          <w:rFonts w:cs="Times New Roman" w:hAnsiTheme="minorEastAsia" w:eastAsiaTheme="minorEastAsia"/>
        </w:rPr>
        <w:t>万辆，根据电动汽车预测化学能电池材料需求量如下表所示。</w:t>
      </w:r>
    </w:p>
    <w:p>
      <w:pPr>
        <w:pStyle w:val="37"/>
        <w:rPr>
          <w:rFonts w:cs="Times New Roman" w:eastAsiaTheme="minorEastAsia"/>
        </w:rPr>
      </w:pPr>
      <w:r>
        <w:rPr>
          <w:rFonts w:cs="Times New Roman" w:hAnsiTheme="minorEastAsia" w:eastAsiaTheme="minorEastAsia"/>
        </w:rPr>
        <w:t>表</w:t>
      </w:r>
      <w:r>
        <w:rPr>
          <w:rFonts w:cs="Times New Roman" w:eastAsiaTheme="minorEastAsia"/>
        </w:rPr>
        <w:t>3-4</w:t>
      </w:r>
      <w:r>
        <w:rPr>
          <w:rFonts w:cs="Times New Roman" w:hAnsiTheme="minorEastAsia" w:eastAsiaTheme="minorEastAsia"/>
        </w:rPr>
        <w:t>我国化学能电池材料需求一览表</w:t>
      </w:r>
    </w:p>
    <w:tbl>
      <w:tblPr>
        <w:tblStyle w:val="30"/>
        <w:tblW w:w="850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37"/>
        <w:gridCol w:w="1701"/>
        <w:gridCol w:w="1639"/>
        <w:gridCol w:w="1595"/>
        <w:gridCol w:w="1418"/>
        <w:gridCol w:w="141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737"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b/>
                <w:bCs/>
                <w:kern w:val="0"/>
                <w:sz w:val="21"/>
              </w:rPr>
              <w:t>年份</w:t>
            </w:r>
          </w:p>
        </w:tc>
        <w:tc>
          <w:tcPr>
            <w:tcW w:w="170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b/>
                <w:bCs/>
                <w:kern w:val="0"/>
                <w:sz w:val="21"/>
              </w:rPr>
              <w:t>正极材料（万吨）</w:t>
            </w:r>
          </w:p>
        </w:tc>
        <w:tc>
          <w:tcPr>
            <w:tcW w:w="1639"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b/>
                <w:bCs/>
                <w:kern w:val="0"/>
                <w:sz w:val="21"/>
              </w:rPr>
              <w:t>负极材料（万吨）</w:t>
            </w:r>
          </w:p>
        </w:tc>
        <w:tc>
          <w:tcPr>
            <w:tcW w:w="159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b/>
                <w:bCs/>
                <w:kern w:val="0"/>
                <w:sz w:val="21"/>
              </w:rPr>
              <w:t>隔膜（万平方米）</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b/>
                <w:bCs/>
                <w:kern w:val="0"/>
                <w:sz w:val="21"/>
              </w:rPr>
              <w:t>铜箔（万吨）</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hAnsiTheme="minorEastAsia" w:eastAsiaTheme="minorEastAsia"/>
                <w:b/>
                <w:bCs/>
                <w:kern w:val="0"/>
                <w:sz w:val="21"/>
              </w:rPr>
              <w:t>电解液（万吨）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2" w:hRule="atLeast"/>
          <w:jc w:val="center"/>
        </w:trPr>
        <w:tc>
          <w:tcPr>
            <w:tcW w:w="737"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2012</w:t>
            </w:r>
          </w:p>
        </w:tc>
        <w:tc>
          <w:tcPr>
            <w:tcW w:w="170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0.18</w:t>
            </w:r>
          </w:p>
        </w:tc>
        <w:tc>
          <w:tcPr>
            <w:tcW w:w="1639"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0.108</w:t>
            </w:r>
          </w:p>
        </w:tc>
        <w:tc>
          <w:tcPr>
            <w:tcW w:w="159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1440</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0.0648</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0.1224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2" w:hRule="atLeast"/>
          <w:jc w:val="center"/>
        </w:trPr>
        <w:tc>
          <w:tcPr>
            <w:tcW w:w="737"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2017</w:t>
            </w:r>
          </w:p>
        </w:tc>
        <w:tc>
          <w:tcPr>
            <w:tcW w:w="170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11.088</w:t>
            </w:r>
          </w:p>
        </w:tc>
        <w:tc>
          <w:tcPr>
            <w:tcW w:w="1639"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6.468</w:t>
            </w:r>
          </w:p>
        </w:tc>
        <w:tc>
          <w:tcPr>
            <w:tcW w:w="159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92400</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4.158</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7.392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2" w:hRule="atLeast"/>
          <w:jc w:val="center"/>
        </w:trPr>
        <w:tc>
          <w:tcPr>
            <w:tcW w:w="737"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2020</w:t>
            </w:r>
          </w:p>
        </w:tc>
        <w:tc>
          <w:tcPr>
            <w:tcW w:w="170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33.6</w:t>
            </w:r>
          </w:p>
        </w:tc>
        <w:tc>
          <w:tcPr>
            <w:tcW w:w="1639"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19.6</w:t>
            </w:r>
          </w:p>
        </w:tc>
        <w:tc>
          <w:tcPr>
            <w:tcW w:w="159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280000</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12.6</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2" w:hRule="atLeast"/>
          <w:jc w:val="center"/>
        </w:trPr>
        <w:tc>
          <w:tcPr>
            <w:tcW w:w="737"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2025</w:t>
            </w:r>
          </w:p>
        </w:tc>
        <w:tc>
          <w:tcPr>
            <w:tcW w:w="170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150</w:t>
            </w:r>
          </w:p>
        </w:tc>
        <w:tc>
          <w:tcPr>
            <w:tcW w:w="1639"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75</w:t>
            </w:r>
          </w:p>
        </w:tc>
        <w:tc>
          <w:tcPr>
            <w:tcW w:w="159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120000</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54</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78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2" w:hRule="atLeast"/>
          <w:jc w:val="center"/>
        </w:trPr>
        <w:tc>
          <w:tcPr>
            <w:tcW w:w="737"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2030</w:t>
            </w:r>
          </w:p>
        </w:tc>
        <w:tc>
          <w:tcPr>
            <w:tcW w:w="1701"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400</w:t>
            </w:r>
          </w:p>
        </w:tc>
        <w:tc>
          <w:tcPr>
            <w:tcW w:w="1639"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230</w:t>
            </w:r>
          </w:p>
        </w:tc>
        <w:tc>
          <w:tcPr>
            <w:tcW w:w="1595"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400000</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190</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270</w:t>
            </w:r>
          </w:p>
        </w:tc>
      </w:tr>
    </w:tbl>
    <w:p>
      <w:pPr>
        <w:ind w:firstLine="560"/>
        <w:rPr>
          <w:rFonts w:cs="Times New Roman" w:eastAsiaTheme="minorEastAsia"/>
        </w:rPr>
      </w:pPr>
      <w:r>
        <w:rPr>
          <w:rFonts w:cs="Times New Roman" w:hAnsiTheme="minorEastAsia" w:eastAsiaTheme="minorEastAsia"/>
          <w:kern w:val="0"/>
          <w:szCs w:val="28"/>
        </w:rPr>
        <w:t>据此测算，不考虑</w:t>
      </w:r>
      <w:r>
        <w:rPr>
          <w:rFonts w:cs="Times New Roman" w:eastAsiaTheme="minorEastAsia"/>
          <w:kern w:val="0"/>
          <w:szCs w:val="28"/>
        </w:rPr>
        <w:t>3C</w:t>
      </w:r>
      <w:r>
        <w:rPr>
          <w:rFonts w:cs="Times New Roman" w:hAnsiTheme="minorEastAsia" w:eastAsiaTheme="minorEastAsia"/>
          <w:kern w:val="0"/>
          <w:szCs w:val="28"/>
        </w:rPr>
        <w:t>等传统领域对化学能电池</w:t>
      </w:r>
      <w:r>
        <w:rPr>
          <w:rFonts w:cs="Times New Roman" w:hAnsiTheme="minorEastAsia" w:eastAsiaTheme="minorEastAsia"/>
        </w:rPr>
        <w:t>的需求，</w:t>
      </w:r>
      <w:r>
        <w:rPr>
          <w:rFonts w:cs="Times New Roman" w:eastAsiaTheme="minorEastAsia"/>
        </w:rPr>
        <w:t>2025</w:t>
      </w:r>
      <w:r>
        <w:rPr>
          <w:rFonts w:cs="Times New Roman" w:hAnsiTheme="minorEastAsia" w:eastAsiaTheme="minorEastAsia"/>
        </w:rPr>
        <w:t>年我国新能源汽车领域储能市场约在</w:t>
      </w:r>
      <w:r>
        <w:rPr>
          <w:rFonts w:cs="Times New Roman" w:eastAsiaTheme="minorEastAsia"/>
        </w:rPr>
        <w:t>1500</w:t>
      </w:r>
      <w:r>
        <w:rPr>
          <w:rFonts w:cs="Times New Roman" w:hAnsiTheme="minorEastAsia" w:eastAsiaTheme="minorEastAsia"/>
        </w:rPr>
        <w:t>亿元左右。</w:t>
      </w:r>
    </w:p>
    <w:p>
      <w:pPr>
        <w:pStyle w:val="37"/>
        <w:rPr>
          <w:rFonts w:cs="Times New Roman" w:eastAsiaTheme="minorEastAsia"/>
        </w:rPr>
      </w:pPr>
      <w:r>
        <w:rPr>
          <w:rFonts w:cs="Times New Roman" w:hAnsiTheme="minorEastAsia" w:eastAsiaTheme="minorEastAsia"/>
        </w:rPr>
        <w:t>表</w:t>
      </w:r>
      <w:r>
        <w:rPr>
          <w:rFonts w:cs="Times New Roman" w:eastAsiaTheme="minorEastAsia"/>
        </w:rPr>
        <w:t>3-5</w:t>
      </w:r>
      <w:r>
        <w:rPr>
          <w:rFonts w:cs="Times New Roman" w:hAnsiTheme="minorEastAsia" w:eastAsiaTheme="minorEastAsia"/>
        </w:rPr>
        <w:t>我国储能市场经济规模预测单位：亿元</w:t>
      </w:r>
    </w:p>
    <w:tbl>
      <w:tblPr>
        <w:tblStyle w:val="30"/>
        <w:tblW w:w="881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37"/>
        <w:gridCol w:w="1559"/>
        <w:gridCol w:w="1418"/>
        <w:gridCol w:w="509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737"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b/>
                <w:bCs/>
                <w:kern w:val="0"/>
                <w:sz w:val="23"/>
                <w:szCs w:val="23"/>
              </w:rPr>
              <w:t>序号</w:t>
            </w:r>
          </w:p>
        </w:tc>
        <w:tc>
          <w:tcPr>
            <w:tcW w:w="1559"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b/>
                <w:bCs/>
                <w:kern w:val="0"/>
                <w:sz w:val="23"/>
                <w:szCs w:val="23"/>
              </w:rPr>
              <w:t>应用类型</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b/>
                <w:bCs/>
                <w:kern w:val="0"/>
                <w:sz w:val="23"/>
                <w:szCs w:val="23"/>
              </w:rPr>
              <w:t>市场规模</w:t>
            </w:r>
          </w:p>
        </w:tc>
        <w:tc>
          <w:tcPr>
            <w:tcW w:w="509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b/>
                <w:bCs/>
                <w:kern w:val="0"/>
                <w:sz w:val="23"/>
                <w:szCs w:val="23"/>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37"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eastAsiaTheme="minorEastAsia"/>
                <w:kern w:val="0"/>
                <w:sz w:val="23"/>
                <w:szCs w:val="23"/>
              </w:rPr>
              <w:t>1</w:t>
            </w:r>
          </w:p>
        </w:tc>
        <w:tc>
          <w:tcPr>
            <w:tcW w:w="1559"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kern w:val="0"/>
                <w:sz w:val="23"/>
                <w:szCs w:val="23"/>
              </w:rPr>
              <w:t>传统发电领域</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kern w:val="0"/>
                <w:sz w:val="23"/>
                <w:szCs w:val="23"/>
              </w:rPr>
              <w:t>～</w:t>
            </w:r>
            <w:r>
              <w:rPr>
                <w:rFonts w:cs="Times New Roman" w:eastAsiaTheme="minorEastAsia"/>
                <w:kern w:val="0"/>
                <w:sz w:val="23"/>
                <w:szCs w:val="23"/>
              </w:rPr>
              <w:t>3000</w:t>
            </w:r>
            <w:r>
              <w:rPr>
                <w:rFonts w:cs="Times New Roman" w:hAnsiTheme="minorEastAsia" w:eastAsiaTheme="minorEastAsia"/>
                <w:kern w:val="0"/>
                <w:sz w:val="23"/>
                <w:szCs w:val="23"/>
              </w:rPr>
              <w:t>亿元</w:t>
            </w:r>
          </w:p>
        </w:tc>
        <w:tc>
          <w:tcPr>
            <w:tcW w:w="509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kern w:val="0"/>
                <w:sz w:val="23"/>
                <w:szCs w:val="23"/>
              </w:rPr>
              <w:t>发电容量可有效降低建设成本，削峰填谷政策在储能领域尚未落实不利于推广；提高发电效率具有一定经济性；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737"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eastAsiaTheme="minorEastAsia"/>
                <w:kern w:val="0"/>
                <w:sz w:val="23"/>
                <w:szCs w:val="23"/>
              </w:rPr>
              <w:t>2</w:t>
            </w:r>
          </w:p>
        </w:tc>
        <w:tc>
          <w:tcPr>
            <w:tcW w:w="1559"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kern w:val="0"/>
                <w:sz w:val="23"/>
                <w:szCs w:val="23"/>
              </w:rPr>
              <w:t>新能源发电配套</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kern w:val="0"/>
                <w:sz w:val="23"/>
                <w:szCs w:val="23"/>
              </w:rPr>
              <w:t>～</w:t>
            </w:r>
            <w:r>
              <w:rPr>
                <w:rFonts w:cs="Times New Roman" w:eastAsiaTheme="minorEastAsia"/>
                <w:kern w:val="0"/>
                <w:sz w:val="23"/>
                <w:szCs w:val="23"/>
              </w:rPr>
              <w:t>2000</w:t>
            </w:r>
            <w:r>
              <w:rPr>
                <w:rFonts w:cs="Times New Roman" w:hAnsiTheme="minorEastAsia" w:eastAsiaTheme="minorEastAsia"/>
                <w:kern w:val="0"/>
                <w:sz w:val="23"/>
                <w:szCs w:val="23"/>
              </w:rPr>
              <w:t>亿元</w:t>
            </w:r>
          </w:p>
        </w:tc>
        <w:tc>
          <w:tcPr>
            <w:tcW w:w="509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kern w:val="0"/>
                <w:sz w:val="23"/>
                <w:szCs w:val="23"/>
              </w:rPr>
              <w:t>解决并网问题，有效降低发电成本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5" w:hRule="atLeast"/>
        </w:trPr>
        <w:tc>
          <w:tcPr>
            <w:tcW w:w="737"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eastAsiaTheme="minorEastAsia"/>
                <w:kern w:val="0"/>
                <w:sz w:val="23"/>
                <w:szCs w:val="23"/>
              </w:rPr>
              <w:t>3</w:t>
            </w:r>
          </w:p>
        </w:tc>
        <w:tc>
          <w:tcPr>
            <w:tcW w:w="1559"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hAnsiTheme="minorEastAsia" w:eastAsiaTheme="minorEastAsia"/>
                <w:kern w:val="0"/>
                <w:sz w:val="23"/>
                <w:szCs w:val="23"/>
              </w:rPr>
              <w:t>应用领域</w:t>
            </w:r>
          </w:p>
        </w:tc>
        <w:tc>
          <w:tcPr>
            <w:tcW w:w="141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eastAsiaTheme="minorEastAsia"/>
                <w:kern w:val="0"/>
                <w:sz w:val="23"/>
                <w:szCs w:val="23"/>
              </w:rPr>
              <w:t>1500</w:t>
            </w:r>
            <w:r>
              <w:rPr>
                <w:rFonts w:cs="Times New Roman" w:hAnsiTheme="minorEastAsia" w:eastAsiaTheme="minorEastAsia"/>
                <w:kern w:val="0"/>
                <w:sz w:val="23"/>
                <w:szCs w:val="23"/>
              </w:rPr>
              <w:t>亿元</w:t>
            </w:r>
          </w:p>
        </w:tc>
        <w:tc>
          <w:tcPr>
            <w:tcW w:w="5098" w:type="dxa"/>
            <w:tcMar>
              <w:left w:w="28" w:type="dxa"/>
              <w:right w:w="28" w:type="dxa"/>
            </w:tcMar>
            <w:vAlign w:val="center"/>
          </w:tcPr>
          <w:p>
            <w:pPr>
              <w:autoSpaceDE w:val="0"/>
              <w:autoSpaceDN w:val="0"/>
              <w:adjustRightInd w:val="0"/>
              <w:snapToGrid w:val="0"/>
              <w:spacing w:line="240" w:lineRule="auto"/>
              <w:ind w:firstLine="0" w:firstLineChars="0"/>
              <w:jc w:val="center"/>
              <w:rPr>
                <w:rFonts w:cs="Times New Roman" w:eastAsiaTheme="minorEastAsia"/>
                <w:kern w:val="0"/>
                <w:sz w:val="23"/>
                <w:szCs w:val="23"/>
              </w:rPr>
            </w:pPr>
            <w:r>
              <w:rPr>
                <w:rFonts w:cs="Times New Roman" w:eastAsiaTheme="minorEastAsia"/>
                <w:kern w:val="0"/>
                <w:sz w:val="23"/>
                <w:szCs w:val="23"/>
              </w:rPr>
              <w:t>500</w:t>
            </w:r>
            <w:r>
              <w:rPr>
                <w:rFonts w:cs="Times New Roman" w:hAnsiTheme="minorEastAsia" w:eastAsiaTheme="minorEastAsia"/>
                <w:kern w:val="0"/>
                <w:sz w:val="23"/>
                <w:szCs w:val="23"/>
              </w:rPr>
              <w:t>万辆新能源汽车即可带动约</w:t>
            </w:r>
            <w:r>
              <w:rPr>
                <w:rFonts w:cs="Times New Roman" w:eastAsiaTheme="minorEastAsia"/>
                <w:kern w:val="0"/>
                <w:sz w:val="23"/>
                <w:szCs w:val="23"/>
              </w:rPr>
              <w:t>1500</w:t>
            </w:r>
            <w:r>
              <w:rPr>
                <w:rFonts w:cs="Times New Roman" w:hAnsiTheme="minorEastAsia" w:eastAsiaTheme="minorEastAsia"/>
                <w:kern w:val="0"/>
                <w:sz w:val="23"/>
                <w:szCs w:val="23"/>
              </w:rPr>
              <w:t>亿元市场空间</w:t>
            </w:r>
          </w:p>
        </w:tc>
      </w:tr>
    </w:tbl>
    <w:p>
      <w:pPr>
        <w:pStyle w:val="2"/>
        <w:ind w:firstLine="560"/>
        <w:rPr>
          <w:rFonts w:cs="Times New Roman" w:eastAsiaTheme="minorEastAsia"/>
          <w:kern w:val="0"/>
        </w:rPr>
      </w:pPr>
      <w:r>
        <w:rPr>
          <w:rFonts w:cs="Times New Roman" w:eastAsiaTheme="minorEastAsia"/>
          <w:kern w:val="0"/>
        </w:rPr>
        <w:t xml:space="preserve">3.1.3.3 </w:t>
      </w:r>
      <w:r>
        <w:rPr>
          <w:rFonts w:cs="Times New Roman" w:hAnsiTheme="minorEastAsia" w:eastAsiaTheme="minorEastAsia"/>
          <w:kern w:val="0"/>
        </w:rPr>
        <w:t>发展趋势</w:t>
      </w:r>
    </w:p>
    <w:p>
      <w:pPr>
        <w:ind w:firstLine="560"/>
        <w:rPr>
          <w:rFonts w:cs="Times New Roman" w:eastAsiaTheme="minorEastAsia"/>
          <w:kern w:val="0"/>
        </w:rPr>
      </w:pPr>
      <w:r>
        <w:rPr>
          <w:rFonts w:cs="Times New Roman" w:eastAsiaTheme="minorEastAsia"/>
          <w:kern w:val="0"/>
        </w:rPr>
        <w:t>1</w:t>
      </w:r>
      <w:r>
        <w:rPr>
          <w:rFonts w:cs="Times New Roman" w:hAnsiTheme="minorEastAsia" w:eastAsiaTheme="minorEastAsia"/>
          <w:kern w:val="0"/>
        </w:rPr>
        <w:t>、新能源汽车和</w:t>
      </w:r>
      <w:r>
        <w:rPr>
          <w:rFonts w:cs="Times New Roman" w:eastAsiaTheme="minorEastAsia"/>
          <w:kern w:val="0"/>
        </w:rPr>
        <w:t>3C</w:t>
      </w:r>
      <w:r>
        <w:rPr>
          <w:rFonts w:cs="Times New Roman" w:hAnsiTheme="minorEastAsia" w:eastAsiaTheme="minorEastAsia"/>
          <w:kern w:val="0"/>
        </w:rPr>
        <w:t>产品的发展带动新型电池材料的快速发展，而储能材料的性能提升可能引起能源结构发生重大变化。</w:t>
      </w:r>
    </w:p>
    <w:p>
      <w:pPr>
        <w:ind w:firstLine="560"/>
        <w:rPr>
          <w:rFonts w:cs="Times New Roman" w:eastAsiaTheme="minorEastAsia"/>
          <w:szCs w:val="28"/>
        </w:rPr>
      </w:pPr>
      <w:r>
        <w:rPr>
          <w:rFonts w:cs="Times New Roman" w:eastAsiaTheme="minorEastAsia"/>
          <w:kern w:val="0"/>
        </w:rPr>
        <w:t>2</w:t>
      </w:r>
      <w:r>
        <w:rPr>
          <w:rFonts w:cs="Times New Roman" w:hAnsiTheme="minorEastAsia" w:eastAsiaTheme="minorEastAsia"/>
          <w:kern w:val="0"/>
        </w:rPr>
        <w:t>、锂电池正极材料种类较多，但已知的能够投入实际生产的主要是钴酸锂（</w:t>
      </w:r>
      <w:r>
        <w:rPr>
          <w:rFonts w:cs="Times New Roman" w:eastAsiaTheme="minorEastAsia"/>
          <w:kern w:val="0"/>
        </w:rPr>
        <w:t>LCO</w:t>
      </w:r>
      <w:r>
        <w:rPr>
          <w:rFonts w:cs="Times New Roman" w:hAnsiTheme="minorEastAsia" w:eastAsiaTheme="minorEastAsia"/>
          <w:kern w:val="0"/>
        </w:rPr>
        <w:t>）、锰酸锂（</w:t>
      </w:r>
      <w:r>
        <w:rPr>
          <w:rFonts w:cs="Times New Roman" w:eastAsiaTheme="minorEastAsia"/>
          <w:kern w:val="0"/>
        </w:rPr>
        <w:t>LMO</w:t>
      </w:r>
      <w:r>
        <w:rPr>
          <w:rFonts w:cs="Times New Roman" w:hAnsiTheme="minorEastAsia" w:eastAsiaTheme="minorEastAsia"/>
          <w:kern w:val="0"/>
        </w:rPr>
        <w:t>）、磷酸铁锂（</w:t>
      </w:r>
      <w:r>
        <w:rPr>
          <w:rFonts w:cs="Times New Roman" w:eastAsiaTheme="minorEastAsia"/>
          <w:kern w:val="0"/>
        </w:rPr>
        <w:t>LFP</w:t>
      </w:r>
      <w:r>
        <w:rPr>
          <w:rFonts w:cs="Times New Roman" w:hAnsiTheme="minorEastAsia" w:eastAsiaTheme="minorEastAsia"/>
          <w:kern w:val="0"/>
        </w:rPr>
        <w:t>）和三元材料</w:t>
      </w:r>
      <w:r>
        <w:rPr>
          <w:rFonts w:hint="eastAsia" w:cs="Times New Roman" w:hAnsiTheme="minorEastAsia" w:eastAsiaTheme="minorEastAsia"/>
          <w:kern w:val="0"/>
        </w:rPr>
        <w:t>[</w:t>
      </w:r>
      <w:r>
        <w:rPr>
          <w:rFonts w:cs="Times New Roman" w:hAnsiTheme="minorEastAsia" w:eastAsiaTheme="minorEastAsia"/>
          <w:kern w:val="0"/>
        </w:rPr>
        <w:t>镍钴锰酸锂（</w:t>
      </w:r>
      <w:r>
        <w:rPr>
          <w:rFonts w:cs="Times New Roman" w:eastAsiaTheme="minorEastAsia"/>
          <w:kern w:val="0"/>
        </w:rPr>
        <w:t>NCM</w:t>
      </w:r>
      <w:r>
        <w:rPr>
          <w:rFonts w:cs="Times New Roman" w:hAnsiTheme="minorEastAsia" w:eastAsiaTheme="minorEastAsia"/>
          <w:kern w:val="0"/>
        </w:rPr>
        <w:t>）和镍钴铝酸锂（</w:t>
      </w:r>
      <w:r>
        <w:rPr>
          <w:rFonts w:cs="Times New Roman" w:eastAsiaTheme="minorEastAsia"/>
          <w:kern w:val="0"/>
        </w:rPr>
        <w:t>NCA</w:t>
      </w:r>
      <w:r>
        <w:rPr>
          <w:rFonts w:cs="Times New Roman" w:hAnsiTheme="minorEastAsia" w:eastAsiaTheme="minorEastAsia"/>
          <w:kern w:val="0"/>
        </w:rPr>
        <w:t>）</w:t>
      </w:r>
      <w:r>
        <w:rPr>
          <w:rFonts w:hint="eastAsia" w:cs="Times New Roman" w:hAnsiTheme="minorEastAsia" w:eastAsiaTheme="minorEastAsia"/>
          <w:kern w:val="0"/>
        </w:rPr>
        <w:t>]</w:t>
      </w:r>
      <w:r>
        <w:rPr>
          <w:rFonts w:cs="Times New Roman" w:hAnsiTheme="minorEastAsia" w:eastAsiaTheme="minorEastAsia"/>
          <w:kern w:val="0"/>
        </w:rPr>
        <w:t>四种类型。现阶段正在各领域进行大规模商业应用，而且各自具有适合自己的细分市场，钴酸锂由于在密度、抗可充电压上限的提高使其在智能手机为代表的小型锂离子电池应用中的地位不可动摇，二元及三元材料在小型电池领域也占据部分市场。以动力及</w:t>
      </w:r>
      <w:r>
        <w:rPr>
          <w:rFonts w:cs="Times New Roman" w:hAnsiTheme="minorEastAsia" w:eastAsiaTheme="minorEastAsia"/>
          <w:szCs w:val="28"/>
        </w:rPr>
        <w:t>储能锂离子电池为代表的大型锂离子电池材料应用领域中，</w:t>
      </w:r>
      <w:r>
        <w:rPr>
          <w:rFonts w:cs="Times New Roman" w:eastAsiaTheme="minorEastAsia"/>
          <w:szCs w:val="28"/>
        </w:rPr>
        <w:t>4V</w:t>
      </w:r>
      <w:r>
        <w:rPr>
          <w:rFonts w:cs="Times New Roman" w:hAnsiTheme="minorEastAsia" w:eastAsiaTheme="minorEastAsia"/>
          <w:szCs w:val="28"/>
        </w:rPr>
        <w:t>尖晶石锰酸锂、磷酸亚铁锂、三元材料形成三足鼎立之势，因各自的优劣势在大型电池细分市场中都占据一席之地。从技术进步的角度看，三元材料由于具有高能量密度、较长循环寿命、较高可靠性等优点，逐渐成为动力锂电正极材料的主流。</w:t>
      </w:r>
    </w:p>
    <w:p>
      <w:pPr>
        <w:ind w:firstLine="560"/>
        <w:rPr>
          <w:rFonts w:cs="Times New Roman" w:eastAsiaTheme="minorEastAsia"/>
          <w:kern w:val="0"/>
          <w:szCs w:val="28"/>
        </w:rPr>
      </w:pPr>
      <w:r>
        <w:rPr>
          <w:rFonts w:cs="Times New Roman" w:eastAsiaTheme="minorEastAsia"/>
          <w:kern w:val="0"/>
          <w:szCs w:val="28"/>
        </w:rPr>
        <w:t>3</w:t>
      </w:r>
      <w:r>
        <w:rPr>
          <w:rFonts w:cs="Times New Roman" w:hAnsiTheme="minorEastAsia" w:eastAsiaTheme="minorEastAsia"/>
          <w:kern w:val="0"/>
          <w:szCs w:val="28"/>
        </w:rPr>
        <w:t>、负极材料种类繁多，人造石墨及天然石墨为商业化应用主流。负极材料在锂电池充电过程中主要起储锂作用，其脱嵌锂电压和比容量对电池能量密度影响较大。优异的负极材料需同时具备低的脱嵌锂电压、高的比容量以及良好的倍率特征和循环性能。负极材料种类较多，可分类碳材料和非碳材料两大类。前者包括人造石墨、天然石墨等石墨类碳材料以及软碳、硬碳等无定型碳材料。后者包括锡基、硅基、钛基等合金型材料。能源汽车所用锂电池负极材料多数使用石墨材料，主要分为人造石墨和天然石墨，但是其能量上限受到限制，通常为</w:t>
      </w:r>
      <w:r>
        <w:rPr>
          <w:rFonts w:cs="Times New Roman" w:eastAsiaTheme="minorEastAsia"/>
          <w:kern w:val="0"/>
          <w:szCs w:val="28"/>
        </w:rPr>
        <w:t>372mAh/g</w:t>
      </w:r>
      <w:r>
        <w:rPr>
          <w:rFonts w:cs="Times New Roman" w:hAnsiTheme="minorEastAsia" w:eastAsiaTheme="minorEastAsia"/>
          <w:kern w:val="0"/>
          <w:szCs w:val="28"/>
        </w:rPr>
        <w:t>。所以而近年来电池厂商和车企不断通过正极材料的改进，以实现电池能量密度、安全性、循环寿命等多方面的提高。而在负极材料方面，石墨烯、硅碳材料通常被认为是提升电池性能的首选。这两种材料在对电池性能具有不同作用。</w:t>
      </w:r>
    </w:p>
    <w:p>
      <w:pPr>
        <w:ind w:firstLine="560"/>
        <w:rPr>
          <w:rFonts w:cs="Times New Roman" w:eastAsiaTheme="minorEastAsia"/>
          <w:kern w:val="0"/>
          <w:szCs w:val="28"/>
        </w:rPr>
      </w:pPr>
      <w:r>
        <w:rPr>
          <w:rFonts w:cs="Times New Roman" w:eastAsiaTheme="minorEastAsia"/>
          <w:kern w:val="0"/>
          <w:szCs w:val="28"/>
        </w:rPr>
        <w:t>4</w:t>
      </w:r>
      <w:r>
        <w:rPr>
          <w:rFonts w:cs="Times New Roman" w:hAnsiTheme="minorEastAsia" w:eastAsiaTheme="minorEastAsia"/>
          <w:kern w:val="0"/>
          <w:szCs w:val="28"/>
        </w:rPr>
        <w:t>、电解液包括三大块</w:t>
      </w:r>
      <w:r>
        <w:rPr>
          <w:rFonts w:cs="Times New Roman" w:eastAsiaTheme="minorEastAsia"/>
          <w:kern w:val="0"/>
          <w:szCs w:val="28"/>
        </w:rPr>
        <w:t>——</w:t>
      </w:r>
      <w:r>
        <w:rPr>
          <w:rFonts w:cs="Times New Roman" w:hAnsiTheme="minorEastAsia" w:eastAsiaTheme="minorEastAsia"/>
          <w:kern w:val="0"/>
          <w:szCs w:val="28"/>
        </w:rPr>
        <w:t>有机溶剂、锂盐、添加剂，目前我国溶剂的生产已经远远满足现有电池的需求，但是随着电池能量密度、安全密度、一致性的提高，容量还有待进一步开发。目前研究最多的都是一些含氟的溶剂。锂盐方面，在未来</w:t>
      </w:r>
      <w:r>
        <w:rPr>
          <w:rFonts w:cs="Times New Roman" w:eastAsiaTheme="minorEastAsia"/>
          <w:kern w:val="0"/>
          <w:szCs w:val="28"/>
        </w:rPr>
        <w:t>10</w:t>
      </w:r>
      <w:r>
        <w:rPr>
          <w:rFonts w:cs="Times New Roman" w:hAnsiTheme="minorEastAsia" w:eastAsiaTheme="minorEastAsia"/>
          <w:kern w:val="0"/>
          <w:szCs w:val="28"/>
        </w:rPr>
        <w:t>年之内六氟磷酸锂还是主要的锂盐，尽管现在研究了非常多的锂盐，希望代替六氟磷酸锂，但目前任何一种锂盐都有它致命的缺陷，综合起来还是六氟磷酸锂性能最好。</w:t>
      </w:r>
    </w:p>
    <w:p>
      <w:pPr>
        <w:ind w:firstLine="560"/>
        <w:rPr>
          <w:rFonts w:cs="Times New Roman" w:eastAsiaTheme="minorEastAsia"/>
          <w:kern w:val="0"/>
          <w:szCs w:val="28"/>
        </w:rPr>
      </w:pPr>
      <w:r>
        <w:rPr>
          <w:rFonts w:cs="Times New Roman" w:eastAsiaTheme="minorEastAsia"/>
          <w:kern w:val="0"/>
          <w:szCs w:val="28"/>
        </w:rPr>
        <w:t>5</w:t>
      </w:r>
      <w:r>
        <w:rPr>
          <w:rFonts w:cs="Times New Roman" w:hAnsiTheme="minorEastAsia" w:eastAsiaTheme="minorEastAsia"/>
          <w:kern w:val="0"/>
          <w:szCs w:val="28"/>
        </w:rPr>
        <w:t>、新型锂电池隔膜材料和隔膜发展趋势。根据不同的物理、化学特性，锂电池隔膜材料可以分为：织造膜、非织造膜、微孔膜、复合膜、隔膜纸、碾压膜等几类。高孔隙率、高热阻、高熔点、高强度、对电解液具有良好浸润性是今后锂电池隔膜材料的发展方向。</w:t>
      </w:r>
    </w:p>
    <w:p>
      <w:pPr>
        <w:ind w:firstLine="560"/>
        <w:rPr>
          <w:rFonts w:cs="Times New Roman" w:eastAsiaTheme="minorEastAsia"/>
          <w:shd w:val="clear" w:color="auto" w:fill="FFFFFF"/>
        </w:rPr>
      </w:pPr>
      <w:r>
        <w:rPr>
          <w:rFonts w:cs="Times New Roman" w:hAnsiTheme="minorEastAsia" w:eastAsiaTheme="minorEastAsia"/>
          <w:kern w:val="0"/>
          <w:szCs w:val="28"/>
        </w:rPr>
        <w:t>综上所述，国家储能技术的发展和新能源汽车的推广，新能源领域所需的正</w:t>
      </w:r>
      <w:r>
        <w:rPr>
          <w:rFonts w:cs="Times New Roman" w:hAnsiTheme="minorEastAsia" w:eastAsiaTheme="minorEastAsia"/>
          <w:kern w:val="0"/>
        </w:rPr>
        <w:t>极材料、</w:t>
      </w:r>
      <w:r>
        <w:rPr>
          <w:rFonts w:cs="Times New Roman" w:hAnsiTheme="minorEastAsia" w:eastAsiaTheme="minorEastAsia"/>
          <w:kern w:val="0"/>
          <w:szCs w:val="28"/>
        </w:rPr>
        <w:t>负极材料、电解液等储能材料需求量会进一步增加，制造这些储能材料所需的上游储能化学品的需求量也会随之进一步提升。利用矿产资源或废锂电池等固废资源开发</w:t>
      </w:r>
      <w:r>
        <w:rPr>
          <w:rFonts w:cs="Times New Roman" w:hAnsiTheme="minorEastAsia" w:eastAsiaTheme="minorEastAsia"/>
          <w:shd w:val="clear" w:color="auto" w:fill="FFFFFF"/>
        </w:rPr>
        <w:t>生产新能源材料制造所需的锰系、镍系、钴系、锂系等上游储能化学品，具有较为广阔的市场前景。</w:t>
      </w:r>
    </w:p>
    <w:p>
      <w:pPr>
        <w:pStyle w:val="4"/>
        <w:ind w:firstLine="602"/>
        <w:rPr>
          <w:rFonts w:cs="Times New Roman" w:eastAsiaTheme="minorEastAsia"/>
        </w:rPr>
      </w:pPr>
      <w:bookmarkStart w:id="11" w:name="_Toc126591855"/>
      <w:r>
        <w:rPr>
          <w:rFonts w:cs="Times New Roman" w:eastAsiaTheme="minorEastAsia"/>
        </w:rPr>
        <w:t>3.2</w:t>
      </w:r>
      <w:r>
        <w:rPr>
          <w:rFonts w:cs="Times New Roman" w:hAnsiTheme="minorEastAsia" w:eastAsiaTheme="minorEastAsia"/>
        </w:rPr>
        <w:t>政策符合性</w:t>
      </w:r>
      <w:bookmarkEnd w:id="11"/>
    </w:p>
    <w:p>
      <w:pPr>
        <w:ind w:firstLine="560"/>
        <w:rPr>
          <w:rFonts w:cs="Times New Roman" w:eastAsiaTheme="minorEastAsia"/>
          <w:kern w:val="0"/>
          <w:sz w:val="30"/>
          <w:szCs w:val="30"/>
        </w:rPr>
      </w:pPr>
      <w:r>
        <w:rPr>
          <w:rFonts w:cs="Times New Roman" w:hAnsiTheme="minorEastAsia" w:eastAsiaTheme="minorEastAsia"/>
        </w:rPr>
        <w:t>化工行业产业政策主要依照国家发改委发布的《产业结构调整指导目录》（</w:t>
      </w:r>
      <w:r>
        <w:rPr>
          <w:rFonts w:cs="Times New Roman" w:eastAsiaTheme="minorEastAsia"/>
        </w:rPr>
        <w:t>2019</w:t>
      </w:r>
      <w:r>
        <w:rPr>
          <w:rFonts w:cs="Times New Roman" w:hAnsiTheme="minorEastAsia" w:eastAsiaTheme="minorEastAsia"/>
        </w:rPr>
        <w:t>年本），其中对鼓励类、限制类和淘汰类产品、规模和技术都有详细规定。同时，针对石化化工各子行业如炼化、煤化工、天然气化工、化肥、农药、新材料等也出台了一系列产业政策。本规划主要涉及煤化工、储能化学品、精细化学品，下面分别描述。</w:t>
      </w:r>
    </w:p>
    <w:p>
      <w:pPr>
        <w:pStyle w:val="5"/>
        <w:ind w:firstLine="562"/>
        <w:rPr>
          <w:rFonts w:cs="Times New Roman" w:eastAsiaTheme="minorEastAsia"/>
        </w:rPr>
      </w:pPr>
      <w:r>
        <w:rPr>
          <w:rFonts w:cs="Times New Roman" w:eastAsiaTheme="minorEastAsia"/>
        </w:rPr>
        <w:t xml:space="preserve">3.2.1 </w:t>
      </w:r>
      <w:r>
        <w:rPr>
          <w:rFonts w:hint="eastAsia" w:cs="Times New Roman" w:eastAsiaTheme="minorEastAsia"/>
        </w:rPr>
        <w:t>现代煤化工</w:t>
      </w:r>
      <w:r>
        <w:rPr>
          <w:rFonts w:cs="Times New Roman" w:hAnsiTheme="minorEastAsia" w:eastAsiaTheme="minorEastAsia"/>
        </w:rPr>
        <w:t>产业</w:t>
      </w:r>
    </w:p>
    <w:p>
      <w:pPr>
        <w:ind w:firstLine="560"/>
        <w:rPr>
          <w:rFonts w:cs="Times New Roman" w:eastAsiaTheme="minorEastAsia"/>
        </w:rPr>
      </w:pPr>
      <w:r>
        <w:rPr>
          <w:rFonts w:cs="Times New Roman" w:hAnsiTheme="minorEastAsia" w:eastAsiaTheme="minorEastAsia"/>
        </w:rPr>
        <w:t>本规划</w:t>
      </w:r>
      <w:r>
        <w:rPr>
          <w:rFonts w:hint="eastAsia" w:cs="Times New Roman" w:hAnsiTheme="minorEastAsia" w:eastAsiaTheme="minorEastAsia"/>
        </w:rPr>
        <w:t>通过企业重组</w:t>
      </w:r>
      <w:r>
        <w:rPr>
          <w:rFonts w:cs="Times New Roman" w:hAnsiTheme="minorEastAsia" w:eastAsiaTheme="minorEastAsia"/>
        </w:rPr>
        <w:t>以</w:t>
      </w:r>
      <w:r>
        <w:rPr>
          <w:rFonts w:hint="eastAsia" w:cs="Times New Roman" w:hAnsiTheme="minorEastAsia" w:eastAsiaTheme="minorEastAsia"/>
        </w:rPr>
        <w:t>400万吨/年</w:t>
      </w:r>
      <w:r>
        <w:rPr>
          <w:rFonts w:cs="Times New Roman" w:hAnsiTheme="minorEastAsia" w:eastAsiaTheme="minorEastAsia"/>
          <w:szCs w:val="24"/>
        </w:rPr>
        <w:t>煤焦化</w:t>
      </w:r>
      <w:r>
        <w:rPr>
          <w:rFonts w:hint="eastAsia" w:cs="Times New Roman" w:hAnsiTheme="minorEastAsia" w:eastAsiaTheme="minorEastAsia"/>
          <w:szCs w:val="24"/>
        </w:rPr>
        <w:t>装置</w:t>
      </w:r>
      <w:r>
        <w:rPr>
          <w:rFonts w:cs="Times New Roman" w:hAnsiTheme="minorEastAsia" w:eastAsiaTheme="minorEastAsia"/>
          <w:szCs w:val="24"/>
        </w:rPr>
        <w:t>为龙头，发展焦炉煤气制</w:t>
      </w:r>
      <w:r>
        <w:rPr>
          <w:rFonts w:cs="Times New Roman" w:eastAsiaTheme="minorEastAsia"/>
          <w:szCs w:val="24"/>
        </w:rPr>
        <w:t>LNG</w:t>
      </w:r>
      <w:r>
        <w:rPr>
          <w:rFonts w:hint="eastAsia" w:cs="Times New Roman" w:eastAsiaTheme="minorEastAsia"/>
          <w:szCs w:val="24"/>
        </w:rPr>
        <w:t>、PSA制氢、合成氨、</w:t>
      </w:r>
      <w:r>
        <w:rPr>
          <w:rFonts w:hint="eastAsia" w:cs="Times New Roman" w:hAnsiTheme="minorEastAsia" w:eastAsiaTheme="minorEastAsia"/>
          <w:szCs w:val="24"/>
        </w:rPr>
        <w:t>化产</w:t>
      </w:r>
      <w:r>
        <w:rPr>
          <w:rFonts w:cs="Times New Roman" w:hAnsiTheme="minorEastAsia" w:eastAsiaTheme="minorEastAsia"/>
          <w:szCs w:val="24"/>
        </w:rPr>
        <w:t>深加工、</w:t>
      </w:r>
      <w:r>
        <w:rPr>
          <w:rFonts w:hint="eastAsia" w:cs="Times New Roman" w:hAnsiTheme="minorEastAsia" w:eastAsiaTheme="minorEastAsia"/>
          <w:szCs w:val="24"/>
        </w:rPr>
        <w:t>高纯氢</w:t>
      </w:r>
      <w:r>
        <w:rPr>
          <w:rFonts w:cs="Times New Roman" w:hAnsiTheme="minorEastAsia" w:eastAsiaTheme="minorEastAsia"/>
          <w:szCs w:val="24"/>
        </w:rPr>
        <w:t>等产业，</w:t>
      </w:r>
      <w:r>
        <w:rPr>
          <w:rFonts w:cs="Times New Roman" w:hAnsiTheme="minorEastAsia" w:eastAsiaTheme="minorEastAsia"/>
        </w:rPr>
        <w:t>依据《产业结构调整指导目录》（</w:t>
      </w:r>
      <w:r>
        <w:rPr>
          <w:rFonts w:cs="Times New Roman" w:eastAsiaTheme="minorEastAsia"/>
        </w:rPr>
        <w:t>2019</w:t>
      </w:r>
      <w:r>
        <w:rPr>
          <w:rFonts w:cs="Times New Roman" w:hAnsiTheme="minorEastAsia" w:eastAsiaTheme="minorEastAsia"/>
        </w:rPr>
        <w:t>本），不属于限制类和淘汰类项目。</w:t>
      </w:r>
    </w:p>
    <w:p>
      <w:pPr>
        <w:pStyle w:val="37"/>
        <w:rPr>
          <w:rFonts w:cs="Times New Roman" w:eastAsiaTheme="minorEastAsia"/>
        </w:rPr>
      </w:pPr>
      <w:r>
        <w:rPr>
          <w:rFonts w:cs="Times New Roman" w:hAnsiTheme="minorEastAsia" w:eastAsiaTheme="minorEastAsia"/>
        </w:rPr>
        <w:t>表</w:t>
      </w:r>
      <w:r>
        <w:rPr>
          <w:rFonts w:cs="Times New Roman" w:eastAsiaTheme="minorEastAsia"/>
          <w:bCs/>
        </w:rPr>
        <w:t>3-6</w:t>
      </w:r>
      <w:r>
        <w:rPr>
          <w:rFonts w:cs="Times New Roman" w:hAnsiTheme="minorEastAsia" w:eastAsiaTheme="minorEastAsia"/>
          <w:bCs/>
        </w:rPr>
        <w:t>煤化工</w:t>
      </w:r>
      <w:r>
        <w:rPr>
          <w:rFonts w:cs="Times New Roman" w:hAnsiTheme="minorEastAsia" w:eastAsiaTheme="minorEastAsia"/>
        </w:rPr>
        <w:t>产业政策</w:t>
      </w:r>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37"/>
        <w:gridCol w:w="2835"/>
        <w:gridCol w:w="479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7" w:type="dxa"/>
            <w:tcMar>
              <w:left w:w="28" w:type="dxa"/>
              <w:right w:w="28" w:type="dxa"/>
            </w:tcMar>
            <w:vAlign w:val="center"/>
          </w:tcPr>
          <w:p>
            <w:pPr>
              <w:adjustRightInd w:val="0"/>
              <w:snapToGrid w:val="0"/>
              <w:spacing w:line="240" w:lineRule="auto"/>
              <w:ind w:firstLine="0" w:firstLineChars="0"/>
              <w:jc w:val="center"/>
              <w:rPr>
                <w:rFonts w:cs="Times New Roman" w:eastAsiaTheme="minorEastAsia"/>
                <w:kern w:val="0"/>
                <w:sz w:val="24"/>
                <w:szCs w:val="24"/>
              </w:rPr>
            </w:pPr>
            <w:r>
              <w:rPr>
                <w:rFonts w:cs="Times New Roman" w:hAnsiTheme="minorEastAsia" w:eastAsiaTheme="minorEastAsia"/>
                <w:kern w:val="0"/>
                <w:sz w:val="24"/>
                <w:szCs w:val="24"/>
              </w:rPr>
              <w:t>序号</w:t>
            </w:r>
          </w:p>
        </w:tc>
        <w:tc>
          <w:tcPr>
            <w:tcW w:w="2835" w:type="dxa"/>
            <w:tcMar>
              <w:left w:w="28" w:type="dxa"/>
              <w:right w:w="28" w:type="dxa"/>
            </w:tcMar>
            <w:vAlign w:val="center"/>
          </w:tcPr>
          <w:p>
            <w:pPr>
              <w:adjustRightInd w:val="0"/>
              <w:snapToGrid w:val="0"/>
              <w:spacing w:line="240" w:lineRule="auto"/>
              <w:ind w:firstLine="0" w:firstLineChars="0"/>
              <w:jc w:val="center"/>
              <w:rPr>
                <w:rFonts w:cs="Times New Roman" w:eastAsiaTheme="minorEastAsia"/>
                <w:kern w:val="0"/>
                <w:sz w:val="24"/>
                <w:szCs w:val="24"/>
              </w:rPr>
            </w:pPr>
            <w:r>
              <w:rPr>
                <w:rFonts w:cs="Times New Roman" w:hAnsiTheme="minorEastAsia" w:eastAsiaTheme="minorEastAsia"/>
                <w:kern w:val="0"/>
                <w:sz w:val="24"/>
                <w:szCs w:val="24"/>
              </w:rPr>
              <w:t>文件</w:t>
            </w:r>
          </w:p>
        </w:tc>
        <w:tc>
          <w:tcPr>
            <w:tcW w:w="4790" w:type="dxa"/>
            <w:tcMar>
              <w:left w:w="28" w:type="dxa"/>
              <w:right w:w="28" w:type="dxa"/>
            </w:tcMar>
            <w:vAlign w:val="center"/>
          </w:tcPr>
          <w:p>
            <w:pPr>
              <w:adjustRightInd w:val="0"/>
              <w:snapToGrid w:val="0"/>
              <w:spacing w:line="240" w:lineRule="auto"/>
              <w:ind w:firstLine="0" w:firstLineChars="0"/>
              <w:jc w:val="center"/>
              <w:rPr>
                <w:rFonts w:cs="Times New Roman" w:eastAsiaTheme="minorEastAsia"/>
                <w:kern w:val="0"/>
                <w:sz w:val="24"/>
                <w:szCs w:val="24"/>
              </w:rPr>
            </w:pPr>
            <w:r>
              <w:rPr>
                <w:rFonts w:cs="Times New Roman" w:hAnsiTheme="minorEastAsia" w:eastAsiaTheme="minorEastAsia"/>
                <w:kern w:val="0"/>
                <w:sz w:val="24"/>
                <w:szCs w:val="24"/>
              </w:rPr>
              <w:t>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7" w:type="dxa"/>
            <w:tcMar>
              <w:left w:w="28" w:type="dxa"/>
              <w:right w:w="28" w:type="dxa"/>
            </w:tcMar>
            <w:vAlign w:val="center"/>
          </w:tcPr>
          <w:p>
            <w:pPr>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w:t>
            </w:r>
          </w:p>
        </w:tc>
        <w:tc>
          <w:tcPr>
            <w:tcW w:w="2835" w:type="dxa"/>
            <w:tcMar>
              <w:left w:w="28" w:type="dxa"/>
              <w:right w:w="28" w:type="dxa"/>
            </w:tcMar>
            <w:vAlign w:val="center"/>
          </w:tcPr>
          <w:p>
            <w:pPr>
              <w:adjustRightInd w:val="0"/>
              <w:snapToGrid w:val="0"/>
              <w:spacing w:line="240" w:lineRule="auto"/>
              <w:ind w:firstLine="0" w:firstLineChars="0"/>
              <w:rPr>
                <w:rFonts w:cs="Times New Roman" w:eastAsiaTheme="minorEastAsia"/>
                <w:kern w:val="0"/>
                <w:sz w:val="21"/>
              </w:rPr>
            </w:pPr>
            <w:r>
              <w:rPr>
                <w:rFonts w:cs="Times New Roman" w:hAnsiTheme="minorEastAsia" w:eastAsiaTheme="minorEastAsia"/>
                <w:kern w:val="0"/>
                <w:sz w:val="21"/>
              </w:rPr>
              <w:t>《产业结构调整指导目录》（</w:t>
            </w:r>
            <w:r>
              <w:rPr>
                <w:rFonts w:cs="Times New Roman" w:eastAsiaTheme="minorEastAsia"/>
                <w:kern w:val="0"/>
                <w:sz w:val="21"/>
              </w:rPr>
              <w:t xml:space="preserve">2019 </w:t>
            </w:r>
            <w:r>
              <w:rPr>
                <w:rFonts w:cs="Times New Roman" w:hAnsiTheme="minorEastAsia" w:eastAsiaTheme="minorEastAsia"/>
                <w:kern w:val="0"/>
                <w:sz w:val="21"/>
              </w:rPr>
              <w:t>本，国家发展改革委令第</w:t>
            </w:r>
            <w:r>
              <w:rPr>
                <w:rFonts w:cs="Times New Roman" w:eastAsiaTheme="minorEastAsia"/>
                <w:kern w:val="0"/>
                <w:sz w:val="21"/>
              </w:rPr>
              <w:t xml:space="preserve">29 </w:t>
            </w:r>
            <w:r>
              <w:rPr>
                <w:rFonts w:cs="Times New Roman" w:hAnsiTheme="minorEastAsia" w:eastAsiaTheme="minorEastAsia"/>
                <w:kern w:val="0"/>
                <w:sz w:val="21"/>
              </w:rPr>
              <w:t>号）</w:t>
            </w:r>
          </w:p>
        </w:tc>
        <w:tc>
          <w:tcPr>
            <w:tcW w:w="4790" w:type="dxa"/>
            <w:tcMar>
              <w:left w:w="28" w:type="dxa"/>
              <w:right w:w="28" w:type="dxa"/>
            </w:tcMar>
            <w:vAlign w:val="center"/>
          </w:tcPr>
          <w:p>
            <w:pPr>
              <w:adjustRightInd w:val="0"/>
              <w:snapToGrid w:val="0"/>
              <w:spacing w:line="240" w:lineRule="auto"/>
              <w:ind w:firstLine="0" w:firstLineChars="0"/>
              <w:rPr>
                <w:rFonts w:cs="Times New Roman" w:hAnsiTheme="minorEastAsia" w:eastAsiaTheme="minorEastAsia"/>
                <w:kern w:val="0"/>
                <w:sz w:val="21"/>
              </w:rPr>
            </w:pPr>
            <w:r>
              <w:rPr>
                <w:rFonts w:cs="Times New Roman" w:hAnsiTheme="minorEastAsia" w:eastAsiaTheme="minorEastAsia"/>
                <w:kern w:val="0"/>
                <w:sz w:val="21"/>
              </w:rPr>
              <w:t>限制类：</w:t>
            </w:r>
          </w:p>
          <w:p>
            <w:pPr>
              <w:adjustRightInd w:val="0"/>
              <w:snapToGrid w:val="0"/>
              <w:spacing w:line="240" w:lineRule="auto"/>
              <w:ind w:firstLine="420"/>
              <w:rPr>
                <w:rFonts w:cs="Times New Roman" w:hAnsiTheme="minorEastAsia" w:eastAsiaTheme="minorEastAsia"/>
                <w:kern w:val="0"/>
                <w:sz w:val="21"/>
              </w:rPr>
            </w:pPr>
            <w:r>
              <w:rPr>
                <w:rFonts w:cs="Times New Roman" w:hAnsiTheme="minorEastAsia" w:eastAsiaTheme="minorEastAsia"/>
                <w:kern w:val="0"/>
                <w:sz w:val="21"/>
              </w:rPr>
              <w:t>顶装焦炉炭化室高度&lt;6.0米、捣固焦炉炭化室高度&lt;5.5米，100万吨/年以下焦化项目；热回收焦炉捣固煤饼体积&lt;35立方米，企业生产能力&lt;100万吨/年(铸造焦&lt;60万吨/年)焦化项目；半焦炉单炉生产能力&lt;10万吨/年，企业生产能力&lt;100万吨/年焦化项目</w:t>
            </w:r>
          </w:p>
          <w:p>
            <w:pPr>
              <w:adjustRightInd w:val="0"/>
              <w:snapToGrid w:val="0"/>
              <w:spacing w:line="240" w:lineRule="auto"/>
              <w:ind w:firstLine="420"/>
              <w:rPr>
                <w:rFonts w:cs="Times New Roman" w:hAnsiTheme="minorEastAsia" w:eastAsiaTheme="minorEastAsia"/>
                <w:kern w:val="0"/>
                <w:sz w:val="21"/>
              </w:rPr>
            </w:pPr>
            <w:r>
              <w:rPr>
                <w:rFonts w:hint="eastAsia" w:cs="Times New Roman" w:hAnsiTheme="minorEastAsia" w:eastAsiaTheme="minorEastAsia"/>
                <w:kern w:val="0"/>
                <w:sz w:val="21"/>
              </w:rPr>
              <w:t>新建以石油、天然气为原料的氮肥，采用固定层间歇气化技术合成氨，磷铵生产装置，铜洗法氨合成原料气净化工艺</w:t>
            </w:r>
          </w:p>
        </w:tc>
      </w:tr>
    </w:tbl>
    <w:p>
      <w:pPr>
        <w:pStyle w:val="5"/>
        <w:ind w:firstLine="562"/>
        <w:rPr>
          <w:rFonts w:cs="Times New Roman" w:eastAsiaTheme="minorEastAsia"/>
        </w:rPr>
      </w:pPr>
      <w:r>
        <w:rPr>
          <w:rFonts w:cs="Times New Roman" w:eastAsiaTheme="minorEastAsia"/>
        </w:rPr>
        <w:t>3.2.</w:t>
      </w:r>
      <w:r>
        <w:rPr>
          <w:rFonts w:hint="eastAsia" w:cs="Times New Roman" w:eastAsiaTheme="minorEastAsia"/>
        </w:rPr>
        <w:t>2</w:t>
      </w:r>
      <w:r>
        <w:rPr>
          <w:rFonts w:cs="Times New Roman" w:eastAsiaTheme="minorEastAsia"/>
        </w:rPr>
        <w:t xml:space="preserve"> </w:t>
      </w:r>
      <w:r>
        <w:rPr>
          <w:rFonts w:hint="eastAsia" w:cs="Times New Roman" w:eastAsiaTheme="minorEastAsia"/>
        </w:rPr>
        <w:t>精细</w:t>
      </w:r>
      <w:r>
        <w:rPr>
          <w:rFonts w:cs="Times New Roman" w:eastAsiaTheme="minorEastAsia"/>
        </w:rPr>
        <w:t>化</w:t>
      </w:r>
      <w:r>
        <w:rPr>
          <w:rFonts w:hint="eastAsia" w:cs="Times New Roman" w:eastAsiaTheme="minorEastAsia"/>
        </w:rPr>
        <w:t>工</w:t>
      </w:r>
      <w:r>
        <w:rPr>
          <w:rFonts w:hint="eastAsia" w:cs="Times New Roman" w:hAnsiTheme="minorEastAsia" w:eastAsiaTheme="minorEastAsia"/>
        </w:rPr>
        <w:t>产业</w:t>
      </w:r>
    </w:p>
    <w:p>
      <w:pPr>
        <w:ind w:firstLine="560"/>
      </w:pPr>
      <w:r>
        <w:t>本规划</w:t>
      </w:r>
      <w:r>
        <w:rPr>
          <w:rFonts w:hint="eastAsia"/>
          <w:kern w:val="0"/>
        </w:rPr>
        <w:t>依托锂矿石资源开发的碳酸锂中间产品，发展</w:t>
      </w:r>
      <w:r>
        <w:rPr>
          <w:kern w:val="0"/>
        </w:rPr>
        <w:t>钴酸锂（LCO）、锰酸锂（LMO）、磷酸铁锂（LFP）</w:t>
      </w:r>
      <w:r>
        <w:rPr>
          <w:rFonts w:hint="eastAsia"/>
          <w:kern w:val="0"/>
        </w:rPr>
        <w:t>、</w:t>
      </w:r>
      <w:r>
        <w:rPr>
          <w:kern w:val="0"/>
        </w:rPr>
        <w:t>镍钴锰酸锂（NCM）和镍钴铝酸锂（NCA）</w:t>
      </w:r>
      <w:r>
        <w:rPr>
          <w:rFonts w:hint="eastAsia"/>
          <w:kern w:val="0"/>
        </w:rPr>
        <w:t>、</w:t>
      </w:r>
      <w:r>
        <w:rPr>
          <w:kern w:val="0"/>
        </w:rPr>
        <w:t>超高功率石墨电极、</w:t>
      </w:r>
      <w:r>
        <w:rPr>
          <w:rFonts w:hint="eastAsia"/>
        </w:rPr>
        <w:t>聚偏氟乙烯</w:t>
      </w:r>
      <w:r>
        <w:rPr>
          <w:rFonts w:hint="eastAsia"/>
          <w:kern w:val="0"/>
        </w:rPr>
        <w:t>等精</w:t>
      </w:r>
      <w:r>
        <w:rPr>
          <w:kern w:val="0"/>
        </w:rPr>
        <w:t>细化学品</w:t>
      </w:r>
      <w:r>
        <w:rPr>
          <w:rFonts w:hint="eastAsia"/>
          <w:kern w:val="0"/>
        </w:rPr>
        <w:t>材料</w:t>
      </w:r>
      <w:r>
        <w:rPr>
          <w:shd w:val="clear" w:color="auto" w:fill="FFFFFF"/>
        </w:rPr>
        <w:t>，</w:t>
      </w:r>
      <w:r>
        <w:t>依据《产业结构调整指导目录》（2019本），不属于限制类和淘汰类项目。</w:t>
      </w:r>
    </w:p>
    <w:p>
      <w:pPr>
        <w:pStyle w:val="37"/>
      </w:pPr>
      <w:r>
        <w:rPr>
          <w:rFonts w:hint="eastAsia"/>
        </w:rPr>
        <w:t>表3-7精</w:t>
      </w:r>
      <w:r>
        <w:t>细化工</w:t>
      </w:r>
      <w:r>
        <w:rPr>
          <w:rFonts w:hint="eastAsia"/>
        </w:rPr>
        <w:t>相关</w:t>
      </w:r>
      <w:r>
        <w:t>产业</w:t>
      </w:r>
      <w:r>
        <w:rPr>
          <w:rFonts w:hint="eastAsia"/>
        </w:rPr>
        <w:t>政策</w:t>
      </w:r>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41"/>
        <w:gridCol w:w="2103"/>
        <w:gridCol w:w="679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tcMar>
              <w:left w:w="28" w:type="dxa"/>
              <w:right w:w="28" w:type="dxa"/>
            </w:tcMar>
            <w:vAlign w:val="center"/>
          </w:tcPr>
          <w:p>
            <w:pPr>
              <w:adjustRightInd w:val="0"/>
              <w:snapToGrid w:val="0"/>
              <w:spacing w:line="240" w:lineRule="auto"/>
              <w:ind w:firstLine="0" w:firstLineChars="0"/>
              <w:jc w:val="center"/>
              <w:rPr>
                <w:rFonts w:cs="Times New Roman" w:eastAsiaTheme="minorEastAsia"/>
                <w:kern w:val="0"/>
                <w:sz w:val="24"/>
                <w:szCs w:val="24"/>
              </w:rPr>
            </w:pPr>
            <w:r>
              <w:rPr>
                <w:rFonts w:cs="Times New Roman" w:hAnsiTheme="minorEastAsia" w:eastAsiaTheme="minorEastAsia"/>
                <w:kern w:val="0"/>
                <w:sz w:val="24"/>
                <w:szCs w:val="24"/>
              </w:rPr>
              <w:t>序号</w:t>
            </w:r>
          </w:p>
        </w:tc>
        <w:tc>
          <w:tcPr>
            <w:tcW w:w="0" w:type="auto"/>
            <w:tcMar>
              <w:left w:w="28" w:type="dxa"/>
              <w:right w:w="28" w:type="dxa"/>
            </w:tcMar>
            <w:vAlign w:val="center"/>
          </w:tcPr>
          <w:p>
            <w:pPr>
              <w:adjustRightInd w:val="0"/>
              <w:snapToGrid w:val="0"/>
              <w:spacing w:line="240" w:lineRule="auto"/>
              <w:ind w:firstLine="0" w:firstLineChars="0"/>
              <w:jc w:val="center"/>
              <w:rPr>
                <w:rFonts w:cs="Times New Roman" w:eastAsiaTheme="minorEastAsia"/>
                <w:kern w:val="0"/>
                <w:sz w:val="24"/>
                <w:szCs w:val="24"/>
              </w:rPr>
            </w:pPr>
            <w:r>
              <w:rPr>
                <w:rFonts w:cs="Times New Roman" w:hAnsiTheme="minorEastAsia" w:eastAsiaTheme="minorEastAsia"/>
                <w:kern w:val="0"/>
                <w:sz w:val="24"/>
                <w:szCs w:val="24"/>
              </w:rPr>
              <w:t>文件</w:t>
            </w:r>
          </w:p>
        </w:tc>
        <w:tc>
          <w:tcPr>
            <w:tcW w:w="0" w:type="auto"/>
            <w:tcMar>
              <w:left w:w="28" w:type="dxa"/>
              <w:right w:w="28" w:type="dxa"/>
            </w:tcMar>
            <w:vAlign w:val="center"/>
          </w:tcPr>
          <w:p>
            <w:pPr>
              <w:adjustRightInd w:val="0"/>
              <w:snapToGrid w:val="0"/>
              <w:spacing w:line="240" w:lineRule="auto"/>
              <w:ind w:firstLine="0" w:firstLineChars="0"/>
              <w:jc w:val="center"/>
              <w:rPr>
                <w:rFonts w:cs="Times New Roman" w:eastAsiaTheme="minorEastAsia"/>
                <w:kern w:val="0"/>
                <w:sz w:val="24"/>
                <w:szCs w:val="24"/>
              </w:rPr>
            </w:pPr>
            <w:r>
              <w:rPr>
                <w:rFonts w:cs="Times New Roman" w:hAnsiTheme="minorEastAsia" w:eastAsiaTheme="minorEastAsia"/>
                <w:kern w:val="0"/>
                <w:sz w:val="24"/>
                <w:szCs w:val="24"/>
              </w:rPr>
              <w:t>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0" w:type="auto"/>
            <w:tcMar>
              <w:left w:w="28" w:type="dxa"/>
              <w:right w:w="28" w:type="dxa"/>
            </w:tcMar>
            <w:vAlign w:val="center"/>
          </w:tcPr>
          <w:p>
            <w:pPr>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1</w:t>
            </w:r>
          </w:p>
        </w:tc>
        <w:tc>
          <w:tcPr>
            <w:tcW w:w="0" w:type="auto"/>
            <w:tcMar>
              <w:left w:w="28" w:type="dxa"/>
              <w:right w:w="28" w:type="dxa"/>
            </w:tcMar>
            <w:vAlign w:val="center"/>
          </w:tcPr>
          <w:p>
            <w:pPr>
              <w:adjustRightInd w:val="0"/>
              <w:snapToGrid w:val="0"/>
              <w:spacing w:line="240" w:lineRule="auto"/>
              <w:ind w:firstLine="0" w:firstLineChars="0"/>
              <w:rPr>
                <w:rFonts w:cs="Times New Roman" w:eastAsiaTheme="minorEastAsia"/>
                <w:kern w:val="0"/>
                <w:sz w:val="21"/>
              </w:rPr>
            </w:pPr>
            <w:r>
              <w:rPr>
                <w:rFonts w:cs="Times New Roman" w:hAnsiTheme="minorEastAsia" w:eastAsiaTheme="minorEastAsia"/>
                <w:kern w:val="0"/>
                <w:sz w:val="21"/>
              </w:rPr>
              <w:t>《产业结构调整指导目录》（</w:t>
            </w:r>
            <w:r>
              <w:rPr>
                <w:rFonts w:cs="Times New Roman" w:eastAsiaTheme="minorEastAsia"/>
                <w:kern w:val="0"/>
                <w:sz w:val="21"/>
              </w:rPr>
              <w:t xml:space="preserve">2019 </w:t>
            </w:r>
            <w:r>
              <w:rPr>
                <w:rFonts w:cs="Times New Roman" w:hAnsiTheme="minorEastAsia" w:eastAsiaTheme="minorEastAsia"/>
                <w:kern w:val="0"/>
                <w:sz w:val="21"/>
              </w:rPr>
              <w:t>本，国家发展改革委令第</w:t>
            </w:r>
            <w:r>
              <w:rPr>
                <w:rFonts w:cs="Times New Roman" w:eastAsiaTheme="minorEastAsia"/>
                <w:kern w:val="0"/>
                <w:sz w:val="21"/>
              </w:rPr>
              <w:t xml:space="preserve">29 </w:t>
            </w:r>
            <w:r>
              <w:rPr>
                <w:rFonts w:cs="Times New Roman" w:hAnsiTheme="minorEastAsia" w:eastAsiaTheme="minorEastAsia"/>
                <w:kern w:val="0"/>
                <w:sz w:val="21"/>
              </w:rPr>
              <w:t>号）</w:t>
            </w:r>
          </w:p>
        </w:tc>
        <w:tc>
          <w:tcPr>
            <w:tcW w:w="0" w:type="auto"/>
            <w:tcMar>
              <w:left w:w="28" w:type="dxa"/>
              <w:right w:w="28" w:type="dxa"/>
            </w:tcMar>
            <w:vAlign w:val="center"/>
          </w:tcPr>
          <w:p>
            <w:pPr>
              <w:adjustRightInd w:val="0"/>
              <w:snapToGrid w:val="0"/>
              <w:spacing w:line="240" w:lineRule="auto"/>
              <w:ind w:firstLine="0" w:firstLineChars="0"/>
              <w:rPr>
                <w:rFonts w:cs="Times New Roman" w:hAnsiTheme="minorEastAsia" w:eastAsiaTheme="minorEastAsia"/>
                <w:kern w:val="0"/>
                <w:sz w:val="21"/>
              </w:rPr>
            </w:pPr>
            <w:r>
              <w:rPr>
                <w:rFonts w:cs="Times New Roman" w:hAnsiTheme="minorEastAsia" w:eastAsiaTheme="minorEastAsia"/>
                <w:kern w:val="0"/>
                <w:sz w:val="21"/>
              </w:rPr>
              <w:t>鼓励类：</w:t>
            </w:r>
          </w:p>
          <w:p>
            <w:pPr>
              <w:adjustRightInd w:val="0"/>
              <w:snapToGrid w:val="0"/>
              <w:spacing w:line="240" w:lineRule="auto"/>
              <w:ind w:firstLine="420"/>
              <w:rPr>
                <w:rFonts w:cs="Times New Roman" w:hAnsiTheme="minorEastAsia" w:eastAsiaTheme="minorEastAsia"/>
                <w:kern w:val="0"/>
                <w:sz w:val="21"/>
              </w:rPr>
            </w:pPr>
            <w:r>
              <w:rPr>
                <w:rFonts w:hint="eastAsia" w:cs="Times New Roman" w:hAnsiTheme="minorEastAsia" w:eastAsiaTheme="minorEastAsia"/>
                <w:kern w:val="0"/>
                <w:sz w:val="21"/>
              </w:rPr>
              <w:t>硫、钾、硼、锂、溴等短缺化工矿产资源勘探开发及综合利用，磷矿选矿尾矿综合利用技术开发与应用，中低品位磷矿、萤石矿采选与利用，磷矿、萤石矿伴生资源综合利用</w:t>
            </w:r>
          </w:p>
          <w:p>
            <w:pPr>
              <w:adjustRightInd w:val="0"/>
              <w:snapToGrid w:val="0"/>
              <w:spacing w:line="240" w:lineRule="auto"/>
              <w:ind w:firstLine="420"/>
              <w:rPr>
                <w:rFonts w:cs="Times New Roman" w:hAnsiTheme="minorEastAsia" w:eastAsiaTheme="minorEastAsia"/>
                <w:kern w:val="0"/>
                <w:sz w:val="21"/>
              </w:rPr>
            </w:pPr>
            <w:r>
              <w:rPr>
                <w:rFonts w:hint="eastAsia" w:cs="Times New Roman" w:hAnsiTheme="minorEastAsia" w:eastAsiaTheme="minorEastAsia"/>
                <w:kern w:val="0"/>
                <w:sz w:val="21"/>
              </w:rPr>
              <w:t>锂离子电池用三元和多元、磷酸铁锂等正极材料、中间相炭微球和硅碳等负极材料、单层与三层复合锂离子电池隔膜、氟代碳酸乙烯酯( FEC)等电解质与添加剂；废旧电池资源化和绿色循环生产工艺及其装备制造</w:t>
            </w:r>
          </w:p>
          <w:p>
            <w:pPr>
              <w:adjustRightInd w:val="0"/>
              <w:snapToGrid w:val="0"/>
              <w:spacing w:line="240" w:lineRule="auto"/>
              <w:ind w:firstLine="420"/>
              <w:rPr>
                <w:rFonts w:cs="Times New Roman" w:hAnsiTheme="minorEastAsia" w:eastAsiaTheme="minorEastAsia"/>
                <w:kern w:val="0"/>
                <w:sz w:val="21"/>
              </w:rPr>
            </w:pPr>
            <w:r>
              <w:rPr>
                <w:rFonts w:hint="eastAsia" w:cs="Times New Roman" w:hAnsiTheme="minorEastAsia" w:eastAsiaTheme="minorEastAsia"/>
                <w:kern w:val="0"/>
                <w:sz w:val="21"/>
              </w:rPr>
              <w:t>直径600毫米及以上超高功率电极、高炉用微孔和超微孔碳砖、特种石墨（高强、高密、高纯、高模量）、石墨（质）化阴极、内串石墨化炉开发与生产，环保均质化凉料设备开发与生产应用</w:t>
            </w:r>
          </w:p>
          <w:p>
            <w:pPr>
              <w:adjustRightInd w:val="0"/>
              <w:snapToGrid w:val="0"/>
              <w:spacing w:line="240" w:lineRule="auto"/>
              <w:ind w:firstLine="420"/>
            </w:pPr>
            <w:r>
              <w:rPr>
                <w:rFonts w:hint="eastAsia" w:cs="Times New Roman" w:hAnsiTheme="minorEastAsia" w:eastAsiaTheme="minorEastAsia"/>
                <w:kern w:val="0"/>
                <w:sz w:val="21"/>
              </w:rPr>
              <w:t>全氟烯醚等特种含氟单体，聚全氟乙丙烯、聚偏氟乙烯、聚三氟氯乙烯、乙烯</w:t>
            </w:r>
            <w:r>
              <w:rPr>
                <w:rFonts w:cs="Times New Roman" w:hAnsiTheme="minorEastAsia" w:eastAsiaTheme="minorEastAsia"/>
                <w:kern w:val="0"/>
                <w:sz w:val="21"/>
              </w:rPr>
              <w:t>-</w:t>
            </w:r>
            <w:r>
              <w:rPr>
                <w:rFonts w:hint="eastAsia" w:cs="Times New Roman" w:hAnsiTheme="minorEastAsia" w:eastAsiaTheme="minorEastAsia"/>
                <w:kern w:val="0"/>
                <w:sz w:val="21"/>
              </w:rPr>
              <w:t>四氟乙烯共聚物等高品质氟树脂，氟醚橡胶、氟硅橡胶、四丙氟橡胶、高含氟量</w:t>
            </w:r>
            <w:r>
              <w:rPr>
                <w:rFonts w:cs="Times New Roman" w:hAnsiTheme="minorEastAsia" w:eastAsiaTheme="minorEastAsia"/>
                <w:kern w:val="0"/>
                <w:sz w:val="21"/>
              </w:rPr>
              <w:t>246</w:t>
            </w:r>
            <w:r>
              <w:rPr>
                <w:rFonts w:hint="eastAsia" w:cs="Times New Roman" w:hAnsiTheme="minorEastAsia" w:eastAsiaTheme="minorEastAsia"/>
                <w:kern w:val="0"/>
                <w:sz w:val="21"/>
              </w:rPr>
              <w:t>氟橡胶等高性能氟橡胶，含氟润滑油脂，消耗臭氧潜能值（</w:t>
            </w:r>
            <w:r>
              <w:rPr>
                <w:rFonts w:cs="Times New Roman" w:hAnsiTheme="minorEastAsia" w:eastAsiaTheme="minorEastAsia"/>
                <w:kern w:val="0"/>
                <w:sz w:val="21"/>
              </w:rPr>
              <w:t>ODP</w:t>
            </w:r>
            <w:r>
              <w:rPr>
                <w:rFonts w:hint="eastAsia" w:cs="Times New Roman" w:hAnsiTheme="minorEastAsia" w:eastAsiaTheme="minorEastAsia"/>
                <w:kern w:val="0"/>
                <w:sz w:val="21"/>
              </w:rPr>
              <w:t>）为零、全球变暖潜能值（</w:t>
            </w:r>
            <w:r>
              <w:rPr>
                <w:rFonts w:cs="Times New Roman" w:hAnsiTheme="minorEastAsia" w:eastAsiaTheme="minorEastAsia"/>
                <w:kern w:val="0"/>
                <w:sz w:val="21"/>
              </w:rPr>
              <w:t>GWP</w:t>
            </w:r>
            <w:r>
              <w:rPr>
                <w:rFonts w:hint="eastAsia" w:cs="Times New Roman" w:hAnsiTheme="minorEastAsia" w:eastAsiaTheme="minorEastAsia"/>
                <w:kern w:val="0"/>
                <w:sz w:val="21"/>
              </w:rPr>
              <w:t>）低的消耗臭氧层物质（</w:t>
            </w:r>
            <w:r>
              <w:rPr>
                <w:rFonts w:cs="Times New Roman" w:hAnsiTheme="minorEastAsia" w:eastAsiaTheme="minorEastAsia"/>
                <w:kern w:val="0"/>
                <w:sz w:val="21"/>
              </w:rPr>
              <w:t>ODS</w:t>
            </w:r>
            <w:r>
              <w:rPr>
                <w:rFonts w:hint="eastAsia" w:cs="Times New Roman" w:hAnsiTheme="minorEastAsia" w:eastAsiaTheme="minorEastAsia"/>
                <w:kern w:val="0"/>
                <w:sz w:val="21"/>
              </w:rPr>
              <w:t>）替代品，全氟辛基磺酰化合物（</w:t>
            </w:r>
            <w:r>
              <w:rPr>
                <w:rFonts w:cs="Times New Roman" w:hAnsiTheme="minorEastAsia" w:eastAsiaTheme="minorEastAsia"/>
                <w:kern w:val="0"/>
                <w:sz w:val="21"/>
              </w:rPr>
              <w:t>PFOS</w:t>
            </w:r>
            <w:r>
              <w:rPr>
                <w:rFonts w:hint="eastAsia" w:cs="Times New Roman" w:hAnsiTheme="minorEastAsia" w:eastAsiaTheme="minorEastAsia"/>
                <w:kern w:val="0"/>
                <w:sz w:val="21"/>
              </w:rPr>
              <w:t>）和全氟辛酸（</w:t>
            </w:r>
            <w:r>
              <w:rPr>
                <w:rFonts w:cs="Times New Roman" w:hAnsiTheme="minorEastAsia" w:eastAsiaTheme="minorEastAsia"/>
                <w:kern w:val="0"/>
                <w:sz w:val="21"/>
              </w:rPr>
              <w:t>PFOA</w:t>
            </w:r>
            <w:r>
              <w:rPr>
                <w:rFonts w:hint="eastAsia" w:cs="Times New Roman" w:hAnsiTheme="minorEastAsia" w:eastAsiaTheme="minorEastAsia"/>
                <w:kern w:val="0"/>
                <w:sz w:val="21"/>
              </w:rPr>
              <w:t>）及其盐类的替代品和替代技术开发和应用，含氟精细化学品和高品质含氟无机盐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0" w:type="auto"/>
            <w:tcMar>
              <w:left w:w="28" w:type="dxa"/>
              <w:right w:w="28" w:type="dxa"/>
            </w:tcMar>
            <w:vAlign w:val="center"/>
          </w:tcPr>
          <w:p>
            <w:pPr>
              <w:adjustRightInd w:val="0"/>
              <w:snapToGrid w:val="0"/>
              <w:spacing w:line="240" w:lineRule="auto"/>
              <w:ind w:firstLine="0" w:firstLineChars="0"/>
              <w:jc w:val="center"/>
              <w:rPr>
                <w:rFonts w:cs="Times New Roman" w:eastAsiaTheme="minorEastAsia"/>
                <w:kern w:val="0"/>
                <w:sz w:val="21"/>
              </w:rPr>
            </w:pPr>
            <w:r>
              <w:rPr>
                <w:rFonts w:cs="Times New Roman" w:eastAsiaTheme="minorEastAsia"/>
                <w:kern w:val="0"/>
                <w:sz w:val="21"/>
              </w:rPr>
              <w:t>2</w:t>
            </w:r>
          </w:p>
        </w:tc>
        <w:tc>
          <w:tcPr>
            <w:tcW w:w="0" w:type="auto"/>
            <w:tcMar>
              <w:left w:w="28" w:type="dxa"/>
              <w:right w:w="28" w:type="dxa"/>
            </w:tcMar>
            <w:vAlign w:val="center"/>
          </w:tcPr>
          <w:p>
            <w:pPr>
              <w:adjustRightInd w:val="0"/>
              <w:snapToGrid w:val="0"/>
              <w:spacing w:line="240" w:lineRule="auto"/>
              <w:ind w:firstLine="0" w:firstLineChars="0"/>
              <w:rPr>
                <w:rFonts w:cs="Times New Roman" w:eastAsiaTheme="minorEastAsia"/>
                <w:kern w:val="0"/>
                <w:sz w:val="21"/>
              </w:rPr>
            </w:pPr>
            <w:r>
              <w:rPr>
                <w:rFonts w:cs="Times New Roman" w:hAnsiTheme="minorEastAsia" w:eastAsiaTheme="minorEastAsia"/>
                <w:kern w:val="0"/>
                <w:sz w:val="21"/>
              </w:rPr>
              <w:t>《战略性新兴产业分类（</w:t>
            </w:r>
            <w:r>
              <w:rPr>
                <w:rFonts w:cs="Times New Roman" w:eastAsiaTheme="minorEastAsia"/>
                <w:kern w:val="0"/>
                <w:sz w:val="21"/>
              </w:rPr>
              <w:t>2018</w:t>
            </w:r>
            <w:r>
              <w:rPr>
                <w:rFonts w:cs="Times New Roman" w:hAnsiTheme="minorEastAsia" w:eastAsiaTheme="minorEastAsia"/>
                <w:kern w:val="0"/>
                <w:sz w:val="21"/>
              </w:rPr>
              <w:t>）》（国家统计局令第</w:t>
            </w:r>
            <w:r>
              <w:rPr>
                <w:rFonts w:cs="Times New Roman" w:eastAsiaTheme="minorEastAsia"/>
                <w:kern w:val="0"/>
                <w:sz w:val="21"/>
              </w:rPr>
              <w:t xml:space="preserve">23 </w:t>
            </w:r>
            <w:r>
              <w:rPr>
                <w:rFonts w:cs="Times New Roman" w:hAnsiTheme="minorEastAsia" w:eastAsiaTheme="minorEastAsia"/>
                <w:kern w:val="0"/>
                <w:sz w:val="21"/>
              </w:rPr>
              <w:t>号）</w:t>
            </w:r>
          </w:p>
        </w:tc>
        <w:tc>
          <w:tcPr>
            <w:tcW w:w="0" w:type="auto"/>
            <w:tcMar>
              <w:left w:w="28" w:type="dxa"/>
              <w:right w:w="28" w:type="dxa"/>
            </w:tcMar>
            <w:vAlign w:val="center"/>
          </w:tcPr>
          <w:p>
            <w:pPr>
              <w:adjustRightInd w:val="0"/>
              <w:snapToGrid w:val="0"/>
              <w:spacing w:line="240" w:lineRule="auto"/>
              <w:ind w:firstLine="0" w:firstLineChars="0"/>
              <w:jc w:val="left"/>
              <w:rPr>
                <w:rFonts w:cs="Times New Roman" w:eastAsiaTheme="minorEastAsia"/>
                <w:kern w:val="0"/>
                <w:sz w:val="21"/>
              </w:rPr>
            </w:pPr>
            <w:r>
              <w:rPr>
                <w:rFonts w:cs="Times New Roman" w:hAnsiTheme="minorEastAsia" w:eastAsiaTheme="minorEastAsia"/>
                <w:kern w:val="0"/>
                <w:sz w:val="21"/>
              </w:rPr>
              <w:t>氢氧化锂、碳酸锂、硫酸镍、硫酸钴、六氟磷酸锂、层状材料（如镍钴铝和镍钴锰等）</w:t>
            </w:r>
          </w:p>
        </w:tc>
      </w:tr>
    </w:tbl>
    <w:p>
      <w:pPr>
        <w:ind w:firstLine="560"/>
        <w:rPr>
          <w:rFonts w:cs="Times New Roman" w:eastAsiaTheme="minorEastAsia"/>
          <w:kern w:val="0"/>
          <w:szCs w:val="28"/>
        </w:rPr>
      </w:pPr>
      <w:r>
        <w:rPr>
          <w:rFonts w:cs="Times New Roman" w:eastAsiaTheme="minorEastAsia"/>
          <w:kern w:val="0"/>
          <w:szCs w:val="28"/>
        </w:rPr>
        <w:br w:type="page"/>
      </w:r>
    </w:p>
    <w:p>
      <w:pPr>
        <w:pStyle w:val="3"/>
        <w:spacing w:before="120" w:after="120"/>
        <w:ind w:firstLine="643"/>
        <w:rPr>
          <w:rFonts w:cs="Times New Roman" w:eastAsiaTheme="minorEastAsia"/>
        </w:rPr>
      </w:pPr>
      <w:bookmarkStart w:id="12" w:name="_Toc126591856"/>
      <w:r>
        <w:rPr>
          <w:rFonts w:cs="Times New Roman" w:hAnsiTheme="minorEastAsia" w:eastAsiaTheme="minorEastAsia"/>
        </w:rPr>
        <w:t>第四章规划总体要求</w:t>
      </w:r>
      <w:bookmarkEnd w:id="12"/>
    </w:p>
    <w:p>
      <w:pPr>
        <w:pStyle w:val="4"/>
        <w:ind w:firstLine="602"/>
        <w:rPr>
          <w:rFonts w:cs="Times New Roman" w:eastAsiaTheme="minorEastAsia"/>
        </w:rPr>
      </w:pPr>
      <w:bookmarkStart w:id="13" w:name="_Toc126591857"/>
      <w:r>
        <w:rPr>
          <w:rFonts w:cs="Times New Roman" w:eastAsiaTheme="minorEastAsia"/>
        </w:rPr>
        <w:t xml:space="preserve">4.1 </w:t>
      </w:r>
      <w:r>
        <w:rPr>
          <w:rFonts w:cs="Times New Roman" w:hAnsiTheme="minorEastAsia" w:eastAsiaTheme="minorEastAsia"/>
        </w:rPr>
        <w:t>指导思想</w:t>
      </w:r>
      <w:bookmarkEnd w:id="13"/>
    </w:p>
    <w:p>
      <w:pPr>
        <w:ind w:firstLine="560"/>
        <w:rPr>
          <w:rFonts w:cs="Times New Roman" w:eastAsiaTheme="minorEastAsia"/>
        </w:rPr>
      </w:pPr>
      <w:r>
        <w:rPr>
          <w:rFonts w:cs="Times New Roman" w:hAnsiTheme="minorEastAsia" w:eastAsiaTheme="minorEastAsia"/>
        </w:rPr>
        <w:t>坚持以习近平新时代中国特色社会主义思想为指导，深入贯彻习近平总书记视察贵州重要讲话精神和对六枝重要批示精神，全面落实省委省政府、市委市政府关于新型工业化暨开发区高质量发展工作决策部署，立足新发展阶段，贯彻新发展理念，融入新发展格局，围绕</w:t>
      </w:r>
      <w:r>
        <w:rPr>
          <w:rFonts w:cs="Times New Roman" w:eastAsiaTheme="minorEastAsia"/>
        </w:rPr>
        <w:t>“</w:t>
      </w:r>
      <w:r>
        <w:rPr>
          <w:rFonts w:cs="Times New Roman" w:hAnsiTheme="minorEastAsia" w:eastAsiaTheme="minorEastAsia"/>
        </w:rPr>
        <w:t>四新</w:t>
      </w:r>
      <w:r>
        <w:rPr>
          <w:rFonts w:cs="Times New Roman" w:eastAsiaTheme="minorEastAsia"/>
        </w:rPr>
        <w:t>”</w:t>
      </w:r>
      <w:r>
        <w:rPr>
          <w:rFonts w:cs="Times New Roman" w:hAnsiTheme="minorEastAsia" w:eastAsiaTheme="minorEastAsia"/>
        </w:rPr>
        <w:t>主攻</w:t>
      </w:r>
      <w:r>
        <w:rPr>
          <w:rFonts w:cs="Times New Roman" w:eastAsiaTheme="minorEastAsia"/>
        </w:rPr>
        <w:t>“</w:t>
      </w:r>
      <w:r>
        <w:rPr>
          <w:rFonts w:cs="Times New Roman" w:hAnsiTheme="minorEastAsia" w:eastAsiaTheme="minorEastAsia"/>
        </w:rPr>
        <w:t>四化</w:t>
      </w:r>
      <w:r>
        <w:rPr>
          <w:rFonts w:cs="Times New Roman" w:eastAsiaTheme="minorEastAsia"/>
        </w:rPr>
        <w:t>”</w:t>
      </w:r>
      <w:r>
        <w:rPr>
          <w:rFonts w:cs="Times New Roman" w:hAnsiTheme="minorEastAsia" w:eastAsiaTheme="minorEastAsia"/>
        </w:rPr>
        <w:t>，以化工园区绿色低碳循环发展为导向，牢牢守住发展和生态两条底线，以高端化、绿色化、集约化为主攻方向，以化工园区为载体，以化工龙头企业和示范项目为抓手，以科技创新为驱动，着力培育</w:t>
      </w:r>
      <w:r>
        <w:rPr>
          <w:rFonts w:hint="eastAsia" w:cs="Times New Roman" w:hAnsiTheme="minorEastAsia" w:eastAsiaTheme="minorEastAsia"/>
        </w:rPr>
        <w:t>现代煤化工</w:t>
      </w:r>
      <w:r>
        <w:rPr>
          <w:rFonts w:cs="Times New Roman" w:hAnsiTheme="minorEastAsia" w:eastAsiaTheme="minorEastAsia"/>
        </w:rPr>
        <w:t>、</w:t>
      </w:r>
      <w:r>
        <w:rPr>
          <w:rFonts w:hint="eastAsia" w:cs="Times New Roman" w:hAnsiTheme="minorEastAsia" w:eastAsiaTheme="minorEastAsia"/>
        </w:rPr>
        <w:t>精</w:t>
      </w:r>
      <w:r>
        <w:rPr>
          <w:rFonts w:cs="Times New Roman" w:hAnsiTheme="minorEastAsia" w:eastAsiaTheme="minorEastAsia"/>
        </w:rPr>
        <w:t>细化工产业，大力建设特色鲜明的化工组团，不断夯实六枝特区化工产业发展基础，精准优化化工园区产业布局，持续释放化工园区发展动能，奋力打造绿色低碳循环化工试验示范区，引领六枝特区产业绿色转型发展，助力六盘水市及六枝特区工业倍增，为六盘水市及六枝特区在闯新路、开新局、抢新机、出新绩中彰显担当、贡献力量。</w:t>
      </w:r>
    </w:p>
    <w:p>
      <w:pPr>
        <w:pStyle w:val="4"/>
        <w:ind w:firstLine="602"/>
        <w:rPr>
          <w:rFonts w:cs="Times New Roman" w:eastAsiaTheme="minorEastAsia"/>
        </w:rPr>
      </w:pPr>
      <w:bookmarkStart w:id="14" w:name="_Toc126591858"/>
      <w:r>
        <w:rPr>
          <w:rFonts w:cs="Times New Roman" w:eastAsiaTheme="minorEastAsia"/>
        </w:rPr>
        <w:t xml:space="preserve">4.2 </w:t>
      </w:r>
      <w:r>
        <w:rPr>
          <w:rFonts w:cs="Times New Roman" w:hAnsiTheme="minorEastAsia" w:eastAsiaTheme="minorEastAsia"/>
        </w:rPr>
        <w:t>基本原则</w:t>
      </w:r>
      <w:bookmarkEnd w:id="14"/>
    </w:p>
    <w:p>
      <w:pPr>
        <w:ind w:firstLine="560"/>
        <w:rPr>
          <w:rFonts w:cs="Times New Roman" w:eastAsiaTheme="minorEastAsia"/>
        </w:rPr>
      </w:pPr>
      <w:r>
        <w:rPr>
          <w:rFonts w:cs="Times New Roman" w:eastAsiaTheme="minorEastAsia"/>
        </w:rPr>
        <w:t>——</w:t>
      </w:r>
      <w:r>
        <w:rPr>
          <w:rFonts w:cs="Times New Roman" w:hAnsiTheme="minorEastAsia" w:eastAsiaTheme="minorEastAsia"/>
        </w:rPr>
        <w:t>坚持绿色发展。秉持绿水青山就是金山银山理念，将生态优先、绿色低碳发展思想全面贯穿于新型工业化全过程，推动传统化工产业绿色升级，引导新型化工产业低碳循环，牢牢守住发展和生态两条底线，探索城市绿色转型新路。</w:t>
      </w:r>
    </w:p>
    <w:p>
      <w:pPr>
        <w:ind w:firstLine="560"/>
        <w:rPr>
          <w:rFonts w:cs="Times New Roman" w:eastAsiaTheme="minorEastAsia"/>
          <w:szCs w:val="28"/>
        </w:rPr>
      </w:pPr>
      <w:r>
        <w:rPr>
          <w:rFonts w:cs="Times New Roman" w:eastAsiaTheme="minorEastAsia"/>
        </w:rPr>
        <w:t>——</w:t>
      </w:r>
      <w:r>
        <w:rPr>
          <w:rFonts w:cs="Times New Roman" w:hAnsiTheme="minorEastAsia" w:eastAsiaTheme="minorEastAsia"/>
        </w:rPr>
        <w:t>坚持安全发展。坚持</w:t>
      </w:r>
      <w:r>
        <w:rPr>
          <w:rFonts w:cs="Times New Roman" w:eastAsiaTheme="minorEastAsia"/>
        </w:rPr>
        <w:t>“</w:t>
      </w:r>
      <w:r>
        <w:rPr>
          <w:rFonts w:cs="Times New Roman" w:hAnsiTheme="minorEastAsia" w:eastAsiaTheme="minorEastAsia"/>
        </w:rPr>
        <w:t>安全第一、预防为主、综合治理</w:t>
      </w:r>
      <w:r>
        <w:rPr>
          <w:rFonts w:cs="Times New Roman" w:eastAsiaTheme="minorEastAsia"/>
        </w:rPr>
        <w:t>”</w:t>
      </w:r>
      <w:r>
        <w:rPr>
          <w:rFonts w:cs="Times New Roman" w:hAnsiTheme="minorEastAsia" w:eastAsiaTheme="minorEastAsia"/>
        </w:rPr>
        <w:t>方针，全面加强安全发展意识，强化化工安全生产责任制，完善和优化安全发展制度体系，进一步加强化工安全生产基础能力和安全事</w:t>
      </w:r>
      <w:r>
        <w:rPr>
          <w:rFonts w:cs="Times New Roman" w:hAnsiTheme="minorEastAsia" w:eastAsiaTheme="minorEastAsia"/>
          <w:szCs w:val="28"/>
        </w:rPr>
        <w:t>故应急处理能力建设，切实降低安全风险，提升安全生产水平。</w:t>
      </w:r>
    </w:p>
    <w:p>
      <w:pPr>
        <w:ind w:firstLine="560"/>
        <w:rPr>
          <w:rFonts w:cs="Times New Roman" w:eastAsiaTheme="minorEastAsia"/>
        </w:rPr>
      </w:pPr>
      <w:r>
        <w:rPr>
          <w:rFonts w:cs="Times New Roman" w:eastAsiaTheme="minorEastAsia"/>
        </w:rPr>
        <w:t>——</w:t>
      </w:r>
      <w:r>
        <w:rPr>
          <w:rFonts w:cs="Times New Roman" w:hAnsiTheme="minorEastAsia" w:eastAsiaTheme="minorEastAsia"/>
        </w:rPr>
        <w:t>坚持创新驱动。坚持将创新作为化工园区建设和化工产业发展的核心驱动力，高度重视技术创新、产品创新、管理创新、模式创新、服务创新、体制机制创新，坚持问题导向，加强资源整合，推动形成产学研、产业链协同创新格局。</w:t>
      </w:r>
    </w:p>
    <w:p>
      <w:pPr>
        <w:ind w:firstLine="560"/>
        <w:rPr>
          <w:rFonts w:cs="Times New Roman" w:eastAsiaTheme="minorEastAsia"/>
        </w:rPr>
      </w:pPr>
      <w:r>
        <w:rPr>
          <w:rFonts w:cs="Times New Roman" w:eastAsiaTheme="minorEastAsia"/>
        </w:rPr>
        <w:t>——</w:t>
      </w:r>
      <w:r>
        <w:rPr>
          <w:rFonts w:cs="Times New Roman" w:hAnsiTheme="minorEastAsia" w:eastAsiaTheme="minorEastAsia"/>
        </w:rPr>
        <w:t>坚持产业融合。坚持融合聚集要素、融合带动发展思路，依托化工园区首位产业和主导产业，持续推动建联、延链、补链、强链，不断提升化工产业链发展水平，构建横向成链、纵向成面的化工产业发展格局，积极推动化工产业与六盘水市新能源材料产业联动发展，以产业融合培育化工产业生态圈。</w:t>
      </w:r>
    </w:p>
    <w:p>
      <w:pPr>
        <w:ind w:firstLine="560"/>
        <w:rPr>
          <w:rFonts w:cs="Times New Roman" w:eastAsiaTheme="minorEastAsia"/>
        </w:rPr>
      </w:pPr>
      <w:r>
        <w:rPr>
          <w:rFonts w:cs="Times New Roman" w:eastAsiaTheme="minorEastAsia"/>
        </w:rPr>
        <w:br w:type="page"/>
      </w:r>
    </w:p>
    <w:p>
      <w:pPr>
        <w:pStyle w:val="3"/>
        <w:spacing w:before="120" w:after="120"/>
        <w:ind w:firstLine="643"/>
        <w:rPr>
          <w:rFonts w:cs="Times New Roman" w:eastAsiaTheme="minorEastAsia"/>
        </w:rPr>
      </w:pPr>
      <w:bookmarkStart w:id="15" w:name="_Toc126591859"/>
      <w:r>
        <w:rPr>
          <w:rFonts w:cs="Times New Roman" w:hAnsiTheme="minorEastAsia" w:eastAsiaTheme="minorEastAsia"/>
        </w:rPr>
        <w:t>第五章产业发展规划</w:t>
      </w:r>
      <w:bookmarkEnd w:id="15"/>
    </w:p>
    <w:p>
      <w:pPr>
        <w:pStyle w:val="4"/>
        <w:ind w:firstLine="602"/>
        <w:rPr>
          <w:rFonts w:cs="Times New Roman" w:eastAsiaTheme="minorEastAsia"/>
        </w:rPr>
      </w:pPr>
      <w:bookmarkStart w:id="16" w:name="_Toc126591860"/>
      <w:r>
        <w:rPr>
          <w:rFonts w:cs="Times New Roman" w:eastAsiaTheme="minorEastAsia"/>
        </w:rPr>
        <w:t xml:space="preserve">5.1 </w:t>
      </w:r>
      <w:r>
        <w:rPr>
          <w:rFonts w:cs="Times New Roman" w:hAnsiTheme="minorEastAsia" w:eastAsiaTheme="minorEastAsia"/>
        </w:rPr>
        <w:t>发展思路</w:t>
      </w:r>
      <w:bookmarkEnd w:id="16"/>
    </w:p>
    <w:p>
      <w:pPr>
        <w:ind w:firstLine="560"/>
        <w:rPr>
          <w:rFonts w:cs="Times New Roman" w:eastAsiaTheme="minorEastAsia"/>
        </w:rPr>
      </w:pPr>
      <w:r>
        <w:rPr>
          <w:rFonts w:hint="eastAsia" w:cs="Times New Roman" w:hAnsiTheme="minorEastAsia" w:eastAsiaTheme="minorEastAsia"/>
          <w:szCs w:val="24"/>
        </w:rPr>
        <w:t>六枝特区化工园区</w:t>
      </w:r>
      <w:r>
        <w:rPr>
          <w:rFonts w:cs="Times New Roman" w:hAnsiTheme="minorEastAsia" w:eastAsiaTheme="minorEastAsia"/>
          <w:szCs w:val="24"/>
        </w:rPr>
        <w:t>的产业发展充分利用区域的</w:t>
      </w:r>
      <w:r>
        <w:rPr>
          <w:rFonts w:hint="eastAsia" w:cs="Times New Roman" w:hAnsiTheme="minorEastAsia" w:eastAsiaTheme="minorEastAsia"/>
          <w:szCs w:val="24"/>
        </w:rPr>
        <w:t>煤炭</w:t>
      </w:r>
      <w:r>
        <w:rPr>
          <w:rFonts w:cs="Times New Roman" w:hAnsiTheme="minorEastAsia" w:eastAsiaTheme="minorEastAsia"/>
          <w:szCs w:val="24"/>
        </w:rPr>
        <w:t>资源及产业</w:t>
      </w:r>
      <w:r>
        <w:rPr>
          <w:rFonts w:hint="eastAsia" w:cs="Times New Roman" w:hAnsiTheme="minorEastAsia" w:eastAsiaTheme="minorEastAsia"/>
          <w:szCs w:val="24"/>
        </w:rPr>
        <w:t>优势</w:t>
      </w:r>
      <w:r>
        <w:rPr>
          <w:rFonts w:cs="Times New Roman" w:hAnsiTheme="minorEastAsia" w:eastAsiaTheme="minorEastAsia"/>
          <w:szCs w:val="24"/>
        </w:rPr>
        <w:t>，以焦化为基础，大力发展以焦炉煤气制</w:t>
      </w:r>
      <w:r>
        <w:rPr>
          <w:rFonts w:cs="Times New Roman" w:eastAsiaTheme="minorEastAsia"/>
          <w:szCs w:val="24"/>
        </w:rPr>
        <w:t>LNG</w:t>
      </w:r>
      <w:r>
        <w:rPr>
          <w:rFonts w:hint="eastAsia" w:cs="Times New Roman" w:eastAsiaTheme="minorEastAsia"/>
          <w:szCs w:val="24"/>
        </w:rPr>
        <w:t>、PSA制氢、合成氨、</w:t>
      </w:r>
      <w:r>
        <w:rPr>
          <w:rFonts w:hint="eastAsia" w:cs="Times New Roman" w:hAnsiTheme="minorEastAsia" w:eastAsiaTheme="minorEastAsia"/>
          <w:szCs w:val="24"/>
        </w:rPr>
        <w:t>化产深加工</w:t>
      </w:r>
      <w:r>
        <w:rPr>
          <w:rFonts w:cs="Times New Roman" w:hAnsiTheme="minorEastAsia" w:eastAsiaTheme="minorEastAsia"/>
          <w:szCs w:val="24"/>
        </w:rPr>
        <w:t>等为代表的</w:t>
      </w:r>
      <w:r>
        <w:rPr>
          <w:rFonts w:hint="eastAsia" w:cs="Times New Roman" w:hAnsiTheme="minorEastAsia" w:eastAsiaTheme="minorEastAsia"/>
          <w:szCs w:val="24"/>
        </w:rPr>
        <w:t>现代煤化工</w:t>
      </w:r>
      <w:r>
        <w:rPr>
          <w:rFonts w:cs="Times New Roman" w:hAnsiTheme="minorEastAsia" w:eastAsiaTheme="minorEastAsia"/>
          <w:szCs w:val="24"/>
        </w:rPr>
        <w:t>产业</w:t>
      </w:r>
      <w:r>
        <w:rPr>
          <w:rFonts w:cs="Times New Roman" w:hAnsiTheme="minorEastAsia" w:eastAsiaTheme="minorEastAsia"/>
          <w:szCs w:val="28"/>
        </w:rPr>
        <w:t>；</w:t>
      </w:r>
      <w:r>
        <w:rPr>
          <w:rFonts w:hint="eastAsia" w:cs="Times New Roman" w:hAnsiTheme="minorEastAsia" w:eastAsiaTheme="minorEastAsia"/>
          <w:kern w:val="0"/>
        </w:rPr>
        <w:t>利用区域锂矿石资源，大力发展锂电池储能精细化学品为</w:t>
      </w:r>
      <w:r>
        <w:rPr>
          <w:rFonts w:cs="Times New Roman" w:hAnsiTheme="minorEastAsia" w:eastAsiaTheme="minorEastAsia"/>
          <w:kern w:val="0"/>
        </w:rPr>
        <w:t>代表的精细化工</w:t>
      </w:r>
      <w:r>
        <w:rPr>
          <w:rFonts w:hint="eastAsia" w:cs="Times New Roman" w:hAnsiTheme="minorEastAsia" w:eastAsiaTheme="minorEastAsia"/>
          <w:kern w:val="0"/>
        </w:rPr>
        <w:t>产业；</w:t>
      </w:r>
      <w:r>
        <w:rPr>
          <w:rFonts w:cs="Times New Roman" w:hAnsiTheme="minorEastAsia" w:eastAsiaTheme="minorEastAsia"/>
          <w:szCs w:val="24"/>
        </w:rPr>
        <w:t>适度发展市场前景好、产品附加值高的</w:t>
      </w:r>
      <w:r>
        <w:rPr>
          <w:rFonts w:hint="eastAsia" w:cs="Times New Roman" w:hAnsiTheme="minorEastAsia" w:eastAsiaTheme="minorEastAsia"/>
          <w:szCs w:val="24"/>
        </w:rPr>
        <w:t>其他精细化学</w:t>
      </w:r>
      <w:r>
        <w:rPr>
          <w:rFonts w:cs="Times New Roman" w:hAnsiTheme="minorEastAsia" w:eastAsiaTheme="minorEastAsia"/>
          <w:szCs w:val="24"/>
        </w:rPr>
        <w:t>品，打造特色</w:t>
      </w:r>
      <w:r>
        <w:rPr>
          <w:rFonts w:hint="eastAsia" w:cs="Times New Roman" w:hAnsiTheme="minorEastAsia" w:eastAsiaTheme="minorEastAsia"/>
          <w:szCs w:val="24"/>
        </w:rPr>
        <w:t>六枝特区化工园区</w:t>
      </w:r>
      <w:r>
        <w:rPr>
          <w:rFonts w:cs="Times New Roman" w:hAnsiTheme="minorEastAsia" w:eastAsiaTheme="minorEastAsia"/>
          <w:szCs w:val="24"/>
        </w:rPr>
        <w:t>。</w:t>
      </w:r>
    </w:p>
    <w:p>
      <w:pPr>
        <w:pStyle w:val="4"/>
        <w:ind w:firstLine="602"/>
        <w:rPr>
          <w:rFonts w:cs="Times New Roman" w:eastAsiaTheme="minorEastAsia"/>
        </w:rPr>
      </w:pPr>
      <w:bookmarkStart w:id="17" w:name="_Toc126591861"/>
      <w:r>
        <w:rPr>
          <w:rFonts w:cs="Times New Roman" w:eastAsiaTheme="minorEastAsia"/>
        </w:rPr>
        <w:t xml:space="preserve">5.2 </w:t>
      </w:r>
      <w:r>
        <w:rPr>
          <w:rFonts w:cs="Times New Roman" w:hAnsiTheme="minorEastAsia" w:eastAsiaTheme="minorEastAsia"/>
        </w:rPr>
        <w:t>发展目标</w:t>
      </w:r>
      <w:bookmarkEnd w:id="17"/>
    </w:p>
    <w:p>
      <w:pPr>
        <w:ind w:firstLine="560"/>
        <w:rPr>
          <w:rFonts w:cs="Times New Roman" w:hAnsiTheme="minorEastAsia" w:eastAsiaTheme="minorEastAsia"/>
        </w:rPr>
      </w:pPr>
      <w:r>
        <w:rPr>
          <w:rFonts w:cs="Times New Roman" w:hAnsiTheme="minorEastAsia" w:eastAsiaTheme="minorEastAsia"/>
        </w:rPr>
        <w:t>到</w:t>
      </w:r>
      <w:r>
        <w:rPr>
          <w:rFonts w:cs="Times New Roman" w:eastAsiaTheme="minorEastAsia"/>
        </w:rPr>
        <w:t>202</w:t>
      </w:r>
      <w:r>
        <w:rPr>
          <w:rFonts w:hint="eastAsia" w:cs="Times New Roman" w:eastAsiaTheme="minorEastAsia"/>
        </w:rPr>
        <w:t>8</w:t>
      </w:r>
      <w:r>
        <w:rPr>
          <w:rFonts w:cs="Times New Roman" w:hAnsiTheme="minorEastAsia" w:eastAsiaTheme="minorEastAsia"/>
        </w:rPr>
        <w:t>年</w:t>
      </w:r>
      <w:r>
        <w:rPr>
          <w:rFonts w:hint="eastAsia" w:cs="Times New Roman" w:hAnsiTheme="minorEastAsia" w:eastAsiaTheme="minorEastAsia"/>
        </w:rPr>
        <w:t>六枝特区化工园区</w:t>
      </w:r>
      <w:r>
        <w:rPr>
          <w:rFonts w:cs="Times New Roman" w:hAnsiTheme="minorEastAsia" w:eastAsiaTheme="minorEastAsia"/>
        </w:rPr>
        <w:t>转型升级取得决定性成果，产业链条不断完整，产业结构不断优化，在产业布局上形成</w:t>
      </w:r>
      <w:r>
        <w:rPr>
          <w:rFonts w:cs="Times New Roman" w:eastAsiaTheme="minorEastAsia"/>
        </w:rPr>
        <w:t>“</w:t>
      </w:r>
      <w:r>
        <w:rPr>
          <w:rFonts w:cs="Times New Roman" w:hAnsiTheme="minorEastAsia" w:eastAsiaTheme="minorEastAsia"/>
        </w:rPr>
        <w:t>一园两区</w:t>
      </w:r>
      <w:r>
        <w:rPr>
          <w:rFonts w:cs="Times New Roman" w:eastAsiaTheme="minorEastAsia"/>
        </w:rPr>
        <w:t>”</w:t>
      </w:r>
      <w:r>
        <w:rPr>
          <w:rFonts w:cs="Times New Roman" w:hAnsiTheme="minorEastAsia" w:eastAsiaTheme="minorEastAsia"/>
        </w:rPr>
        <w:t>的结构，即</w:t>
      </w:r>
      <w:r>
        <w:rPr>
          <w:rFonts w:hint="eastAsia" w:cs="Times New Roman" w:hAnsiTheme="minorEastAsia" w:eastAsiaTheme="minorEastAsia"/>
        </w:rPr>
        <w:t>现代煤化工产业区</w:t>
      </w:r>
      <w:r>
        <w:rPr>
          <w:rFonts w:cs="Times New Roman" w:hAnsiTheme="minorEastAsia" w:eastAsiaTheme="minorEastAsia"/>
        </w:rPr>
        <w:t>和</w:t>
      </w:r>
      <w:r>
        <w:rPr>
          <w:rFonts w:hint="eastAsia" w:cs="Times New Roman" w:hAnsiTheme="minorEastAsia" w:eastAsiaTheme="minorEastAsia"/>
        </w:rPr>
        <w:t>精细化工</w:t>
      </w:r>
      <w:r>
        <w:rPr>
          <w:rFonts w:cs="Times New Roman" w:hAnsiTheme="minorEastAsia" w:eastAsiaTheme="minorEastAsia"/>
        </w:rPr>
        <w:t>两大片区。初步形成以</w:t>
      </w:r>
      <w:r>
        <w:rPr>
          <w:rFonts w:hint="eastAsia" w:cs="Times New Roman" w:hAnsiTheme="minorEastAsia" w:eastAsiaTheme="minorEastAsia"/>
        </w:rPr>
        <w:t>现代煤化工、</w:t>
      </w:r>
      <w:r>
        <w:rPr>
          <w:rFonts w:hint="eastAsia" w:cs="Times New Roman" w:hAnsiTheme="minorEastAsia" w:eastAsiaTheme="minorEastAsia"/>
          <w:kern w:val="0"/>
        </w:rPr>
        <w:t>锂电池储能化学品</w:t>
      </w:r>
      <w:r>
        <w:rPr>
          <w:rFonts w:cs="Times New Roman" w:hAnsiTheme="minorEastAsia" w:eastAsiaTheme="minorEastAsia"/>
        </w:rPr>
        <w:t>为龙头，</w:t>
      </w:r>
      <w:r>
        <w:rPr>
          <w:rFonts w:hint="eastAsia" w:cs="Times New Roman" w:hAnsiTheme="minorEastAsia" w:eastAsiaTheme="minorEastAsia"/>
        </w:rPr>
        <w:t>其它精细</w:t>
      </w:r>
      <w:r>
        <w:rPr>
          <w:rFonts w:cs="Times New Roman" w:hAnsiTheme="minorEastAsia" w:eastAsiaTheme="minorEastAsia"/>
        </w:rPr>
        <w:t>化学品为支撑的产业结构</w:t>
      </w:r>
      <w:r>
        <w:rPr>
          <w:rFonts w:hint="eastAsia" w:cs="Times New Roman" w:hAnsiTheme="minorEastAsia" w:eastAsiaTheme="minorEastAsia"/>
        </w:rPr>
        <w:t>。现代煤</w:t>
      </w:r>
      <w:r>
        <w:rPr>
          <w:rFonts w:cs="Times New Roman" w:hAnsiTheme="minorEastAsia" w:eastAsiaTheme="minorEastAsia"/>
        </w:rPr>
        <w:t>化工方面，</w:t>
      </w:r>
      <w:r>
        <w:rPr>
          <w:rFonts w:hint="eastAsia" w:cs="Times New Roman" w:hAnsiTheme="minorEastAsia" w:eastAsiaTheme="minorEastAsia"/>
        </w:rPr>
        <w:t>六枝特区化工园区</w:t>
      </w:r>
      <w:r>
        <w:rPr>
          <w:rFonts w:cs="Times New Roman" w:hAnsiTheme="minorEastAsia" w:eastAsiaTheme="minorEastAsia"/>
        </w:rPr>
        <w:t>规划</w:t>
      </w:r>
      <w:r>
        <w:rPr>
          <w:rFonts w:cs="Times New Roman" w:eastAsiaTheme="minorEastAsia"/>
        </w:rPr>
        <w:t>400万吨/</w:t>
      </w:r>
      <w:r>
        <w:rPr>
          <w:rFonts w:cs="Times New Roman" w:hAnsiTheme="minorEastAsia" w:eastAsiaTheme="minorEastAsia"/>
        </w:rPr>
        <w:t>年焦炭、</w:t>
      </w:r>
      <w:r>
        <w:rPr>
          <w:rFonts w:cs="Times New Roman" w:eastAsiaTheme="minorEastAsia"/>
        </w:rPr>
        <w:t>20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年煤焦油、</w:t>
      </w:r>
      <w:r>
        <w:rPr>
          <w:rFonts w:cs="Times New Roman" w:eastAsiaTheme="minorEastAsia"/>
        </w:rPr>
        <w:t>20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w:t>
      </w:r>
      <w:r>
        <w:rPr>
          <w:rFonts w:cs="Times New Roman" w:eastAsiaTheme="minorEastAsia"/>
        </w:rPr>
        <w:t>LNG</w:t>
      </w:r>
      <w:r>
        <w:rPr>
          <w:rFonts w:cs="Times New Roman" w:hAnsiTheme="minorEastAsia" w:eastAsiaTheme="minorEastAsia"/>
        </w:rPr>
        <w:t>、</w:t>
      </w:r>
      <w:r>
        <w:rPr>
          <w:rFonts w:cs="Times New Roman" w:eastAsiaTheme="minorEastAsia"/>
        </w:rPr>
        <w:t>30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年液氨、</w:t>
      </w:r>
      <w:r>
        <w:rPr>
          <w:rFonts w:cs="Times New Roman" w:eastAsiaTheme="minorEastAsia"/>
        </w:rPr>
        <w:t>15</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年液态二氧化碳、</w:t>
      </w:r>
      <w:r>
        <w:rPr>
          <w:rFonts w:cs="Times New Roman" w:eastAsiaTheme="minorEastAsia"/>
        </w:rPr>
        <w:t>5.</w:t>
      </w:r>
      <w:r>
        <w:rPr>
          <w:rFonts w:hint="eastAsia" w:cs="Times New Roman" w:eastAsiaTheme="minorEastAsia"/>
        </w:rPr>
        <w:t>5</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年粗苯、</w:t>
      </w:r>
      <w:r>
        <w:rPr>
          <w:rFonts w:hint="eastAsia" w:cs="Times New Roman" w:eastAsiaTheme="minorEastAsia"/>
        </w:rPr>
        <w:t>5</w:t>
      </w:r>
      <w:r>
        <w:rPr>
          <w:rFonts w:cs="Times New Roman" w:eastAsiaTheme="minorEastAsia"/>
        </w:rPr>
        <w:t>.4</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年硫铵、</w:t>
      </w:r>
      <w:r>
        <w:rPr>
          <w:rFonts w:cs="Times New Roman"/>
          <w:kern w:val="0"/>
          <w:szCs w:val="28"/>
        </w:rPr>
        <w:t>11000m</w:t>
      </w:r>
      <w:r>
        <w:rPr>
          <w:rFonts w:cs="Times New Roman"/>
          <w:kern w:val="0"/>
          <w:szCs w:val="28"/>
          <w:vertAlign w:val="superscript"/>
        </w:rPr>
        <w:t>3</w:t>
      </w:r>
      <w:r>
        <w:rPr>
          <w:rFonts w:cs="Times New Roman"/>
          <w:kern w:val="0"/>
          <w:szCs w:val="28"/>
        </w:rPr>
        <w:t>/h</w:t>
      </w:r>
      <w:r>
        <w:rPr>
          <w:rFonts w:cs="Times New Roman" w:hAnsiTheme="minorEastAsia" w:eastAsiaTheme="minorEastAsia"/>
        </w:rPr>
        <w:t>高纯氢项目</w:t>
      </w:r>
      <w:r>
        <w:rPr>
          <w:rFonts w:hint="eastAsia" w:cs="Times New Roman" w:hAnsiTheme="minorEastAsia" w:eastAsiaTheme="minorEastAsia"/>
        </w:rPr>
        <w:t>；精细化工方面，</w:t>
      </w:r>
      <w:r>
        <w:rPr>
          <w:rFonts w:cs="Times New Roman" w:hAnsiTheme="minorEastAsia" w:eastAsiaTheme="minorEastAsia"/>
        </w:rPr>
        <w:t>建成2.3</w:t>
      </w:r>
      <w:r>
        <w:rPr>
          <w:rFonts w:hint="eastAsia" w:cs="Times New Roman" w:hAnsiTheme="minorEastAsia" w:eastAsiaTheme="minorEastAsia"/>
        </w:rPr>
        <w:t>万</w:t>
      </w:r>
      <w:r>
        <w:rPr>
          <w:rFonts w:cs="Times New Roman" w:hAnsiTheme="minorEastAsia" w:eastAsiaTheme="minorEastAsia"/>
        </w:rPr>
        <w:t>吨</w:t>
      </w:r>
      <w:r>
        <w:rPr>
          <w:rFonts w:hint="eastAsia" w:cs="Times New Roman" w:hAnsiTheme="minorEastAsia" w:eastAsiaTheme="minorEastAsia"/>
        </w:rPr>
        <w:t>/年</w:t>
      </w:r>
      <w:r>
        <w:rPr>
          <w:rFonts w:cs="Times New Roman" w:hAnsiTheme="minorEastAsia" w:eastAsiaTheme="minorEastAsia"/>
        </w:rPr>
        <w:t>碳酸锂、</w:t>
      </w:r>
      <w:r>
        <w:rPr>
          <w:rFonts w:cs="Times New Roman" w:eastAsiaTheme="minorEastAsia"/>
        </w:rPr>
        <w:t>10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年磷酸铁锂项目</w:t>
      </w:r>
      <w:r>
        <w:rPr>
          <w:rFonts w:hint="eastAsia" w:cs="Times New Roman" w:hAnsiTheme="minorEastAsia" w:eastAsiaTheme="minorEastAsia"/>
        </w:rPr>
        <w:t>。</w:t>
      </w:r>
      <w:r>
        <w:rPr>
          <w:rFonts w:cs="Times New Roman" w:hAnsiTheme="minorEastAsia" w:eastAsiaTheme="minorEastAsia"/>
        </w:rPr>
        <w:t>园区累计新增投资达到</w:t>
      </w:r>
      <w:r>
        <w:rPr>
          <w:rFonts w:cs="Times New Roman" w:eastAsiaTheme="minorEastAsia"/>
        </w:rPr>
        <w:t>135.0</w:t>
      </w:r>
      <w:r>
        <w:rPr>
          <w:rFonts w:cs="Times New Roman" w:hAnsiTheme="minorEastAsia" w:eastAsiaTheme="minorEastAsia"/>
        </w:rPr>
        <w:t>亿元，年产值新增</w:t>
      </w:r>
      <w:r>
        <w:rPr>
          <w:rFonts w:hint="eastAsia" w:cs="Times New Roman" w:hAnsiTheme="minorEastAsia" w:eastAsiaTheme="minorEastAsia"/>
        </w:rPr>
        <w:t>271.46</w:t>
      </w:r>
      <w:r>
        <w:rPr>
          <w:rFonts w:cs="Times New Roman" w:hAnsiTheme="minorEastAsia" w:eastAsiaTheme="minorEastAsia"/>
        </w:rPr>
        <w:t>亿元，年利税新增27.76亿元。园区清洁生产水平大大提高，确保实现安全环保发展，全部污染物达标排放，主要污染物排放满足总量控制要求，固废实现充分综合利用。</w:t>
      </w:r>
    </w:p>
    <w:p>
      <w:pPr>
        <w:ind w:firstLine="560"/>
        <w:rPr>
          <w:rFonts w:cs="Times New Roman" w:hAnsiTheme="minorEastAsia" w:eastAsiaTheme="minorEastAsia"/>
        </w:rPr>
      </w:pPr>
      <w:r>
        <w:rPr>
          <w:rFonts w:cs="Times New Roman" w:hAnsiTheme="minorEastAsia" w:eastAsiaTheme="minorEastAsia"/>
        </w:rPr>
        <w:t>展望</w:t>
      </w:r>
      <w:r>
        <w:rPr>
          <w:rFonts w:cs="Times New Roman" w:eastAsiaTheme="minorEastAsia"/>
        </w:rPr>
        <w:t>202</w:t>
      </w:r>
      <w:r>
        <w:rPr>
          <w:rFonts w:hint="eastAsia" w:cs="Times New Roman" w:eastAsiaTheme="minorEastAsia"/>
        </w:rPr>
        <w:t>9</w:t>
      </w:r>
      <w:r>
        <w:rPr>
          <w:rFonts w:cs="Times New Roman" w:eastAsiaTheme="minorEastAsia"/>
        </w:rPr>
        <w:t>-2035</w:t>
      </w:r>
      <w:r>
        <w:rPr>
          <w:rFonts w:cs="Times New Roman" w:hAnsiTheme="minorEastAsia" w:eastAsiaTheme="minorEastAsia"/>
        </w:rPr>
        <w:t>年，</w:t>
      </w:r>
      <w:r>
        <w:rPr>
          <w:rFonts w:hint="eastAsia" w:cs="Times New Roman" w:hAnsiTheme="minorEastAsia" w:eastAsiaTheme="minorEastAsia"/>
        </w:rPr>
        <w:t>六枝特区化工园区</w:t>
      </w:r>
      <w:r>
        <w:rPr>
          <w:rFonts w:cs="Times New Roman" w:hAnsiTheme="minorEastAsia" w:eastAsiaTheme="minorEastAsia"/>
        </w:rPr>
        <w:t>高质量发展进入新阶段，</w:t>
      </w:r>
      <w:r>
        <w:rPr>
          <w:rFonts w:hint="eastAsia" w:cs="Times New Roman" w:hAnsiTheme="minorEastAsia" w:eastAsiaTheme="minorEastAsia"/>
        </w:rPr>
        <w:t>以煤焦化产品</w:t>
      </w:r>
      <w:r>
        <w:rPr>
          <w:rFonts w:cs="Times New Roman" w:hAnsiTheme="minorEastAsia" w:eastAsiaTheme="minorEastAsia"/>
        </w:rPr>
        <w:t>为原料开展</w:t>
      </w:r>
      <w:r>
        <w:rPr>
          <w:rFonts w:hint="eastAsia" w:cs="Times New Roman" w:hAnsiTheme="minorEastAsia" w:eastAsiaTheme="minorEastAsia"/>
        </w:rPr>
        <w:t>精深</w:t>
      </w:r>
      <w:r>
        <w:rPr>
          <w:rFonts w:cs="Times New Roman" w:hAnsiTheme="minorEastAsia" w:eastAsiaTheme="minorEastAsia"/>
        </w:rPr>
        <w:t>加工</w:t>
      </w:r>
      <w:r>
        <w:rPr>
          <w:rFonts w:hint="eastAsia" w:cs="Times New Roman" w:hAnsiTheme="minorEastAsia" w:eastAsiaTheme="minorEastAsia"/>
        </w:rPr>
        <w:t>，同时延伸</w:t>
      </w:r>
      <w:r>
        <w:rPr>
          <w:rFonts w:cs="Times New Roman" w:hAnsiTheme="minorEastAsia" w:eastAsiaTheme="minorEastAsia"/>
        </w:rPr>
        <w:t>锂电池储能</w:t>
      </w:r>
      <w:r>
        <w:rPr>
          <w:rFonts w:hint="eastAsia" w:cs="Times New Roman" w:hAnsiTheme="minorEastAsia" w:eastAsiaTheme="minorEastAsia"/>
        </w:rPr>
        <w:t>化学品</w:t>
      </w:r>
      <w:r>
        <w:rPr>
          <w:rFonts w:cs="Times New Roman" w:hAnsiTheme="minorEastAsia" w:eastAsiaTheme="minorEastAsia"/>
        </w:rPr>
        <w:t>产业链</w:t>
      </w:r>
      <w:r>
        <w:rPr>
          <w:rFonts w:hint="eastAsia" w:cs="Times New Roman" w:hAnsiTheme="minorEastAsia" w:eastAsiaTheme="minorEastAsia"/>
        </w:rPr>
        <w:t>，将</w:t>
      </w:r>
      <w:r>
        <w:rPr>
          <w:rFonts w:cs="Times New Roman" w:hAnsiTheme="minorEastAsia" w:eastAsiaTheme="minorEastAsia"/>
        </w:rPr>
        <w:t>资源优势变化为产品</w:t>
      </w:r>
      <w:r>
        <w:rPr>
          <w:rFonts w:hint="eastAsia" w:cs="Times New Roman" w:hAnsiTheme="minorEastAsia" w:eastAsiaTheme="minorEastAsia"/>
        </w:rPr>
        <w:t>和</w:t>
      </w:r>
      <w:r>
        <w:rPr>
          <w:rFonts w:cs="Times New Roman" w:hAnsiTheme="minorEastAsia" w:eastAsiaTheme="minorEastAsia"/>
        </w:rPr>
        <w:t>技术优势。</w:t>
      </w:r>
      <w:r>
        <w:rPr>
          <w:rFonts w:hint="eastAsia" w:cs="Times New Roman" w:hAnsiTheme="minorEastAsia" w:eastAsiaTheme="minorEastAsia"/>
        </w:rPr>
        <w:t>现代</w:t>
      </w:r>
      <w:r>
        <w:rPr>
          <w:rFonts w:cs="Times New Roman" w:hAnsiTheme="minorEastAsia" w:eastAsiaTheme="minorEastAsia"/>
        </w:rPr>
        <w:t>现代煤化工</w:t>
      </w:r>
      <w:r>
        <w:rPr>
          <w:rFonts w:hint="eastAsia" w:cs="Times New Roman" w:hAnsiTheme="minorEastAsia" w:eastAsiaTheme="minorEastAsia"/>
        </w:rPr>
        <w:t>和</w:t>
      </w:r>
      <w:r>
        <w:rPr>
          <w:rFonts w:cs="Times New Roman" w:hAnsiTheme="minorEastAsia" w:eastAsiaTheme="minorEastAsia"/>
        </w:rPr>
        <w:t>锂电储能</w:t>
      </w:r>
      <w:r>
        <w:rPr>
          <w:rFonts w:hint="eastAsia" w:cs="Times New Roman" w:hAnsiTheme="minorEastAsia" w:eastAsiaTheme="minorEastAsia"/>
        </w:rPr>
        <w:t>精细</w:t>
      </w:r>
      <w:r>
        <w:rPr>
          <w:rFonts w:cs="Times New Roman" w:hAnsiTheme="minorEastAsia" w:eastAsiaTheme="minorEastAsia"/>
        </w:rPr>
        <w:t>化学品成为六枝特区完成基本实现新型工业化目标的重要支撑，</w:t>
      </w:r>
      <w:r>
        <w:rPr>
          <w:rFonts w:hint="eastAsia" w:cs="Times New Roman" w:hAnsiTheme="minorEastAsia" w:eastAsiaTheme="minorEastAsia"/>
        </w:rPr>
        <w:t>并</w:t>
      </w:r>
      <w:r>
        <w:rPr>
          <w:rFonts w:cs="Times New Roman" w:hAnsiTheme="minorEastAsia" w:eastAsiaTheme="minorEastAsia"/>
        </w:rPr>
        <w:t>适度发展其他精细化学品。</w:t>
      </w:r>
      <w:r>
        <w:rPr>
          <w:rFonts w:hint="eastAsia" w:cs="Times New Roman" w:hAnsiTheme="minorEastAsia" w:eastAsiaTheme="minorEastAsia"/>
          <w:kern w:val="0"/>
        </w:rPr>
        <w:t>现代煤化工</w:t>
      </w:r>
      <w:r>
        <w:rPr>
          <w:rFonts w:cs="Times New Roman" w:hAnsiTheme="minorEastAsia" w:eastAsiaTheme="minorEastAsia"/>
        </w:rPr>
        <w:t>方面，</w:t>
      </w:r>
      <w:r>
        <w:rPr>
          <w:rFonts w:hint="eastAsia" w:cs="Times New Roman" w:hAnsiTheme="minorEastAsia" w:eastAsiaTheme="minorEastAsia"/>
        </w:rPr>
        <w:t>建</w:t>
      </w:r>
      <w:r>
        <w:rPr>
          <w:rFonts w:cs="Times New Roman" w:hAnsiTheme="minorEastAsia" w:eastAsiaTheme="minorEastAsia"/>
        </w:rPr>
        <w:t>成11.6</w:t>
      </w:r>
      <w:r>
        <w:rPr>
          <w:rFonts w:hint="eastAsia" w:cs="Times New Roman" w:hAnsiTheme="minorEastAsia" w:eastAsiaTheme="minorEastAsia"/>
        </w:rPr>
        <w:t>万</w:t>
      </w:r>
      <w:r>
        <w:rPr>
          <w:rFonts w:cs="Times New Roman" w:hAnsiTheme="minorEastAsia" w:eastAsiaTheme="minorEastAsia"/>
        </w:rPr>
        <w:t>吨</w:t>
      </w:r>
      <w:r>
        <w:rPr>
          <w:rFonts w:hint="eastAsia" w:cs="Times New Roman" w:hAnsiTheme="minorEastAsia" w:eastAsiaTheme="minorEastAsia"/>
        </w:rPr>
        <w:t>/年纯</w:t>
      </w:r>
      <w:r>
        <w:rPr>
          <w:rFonts w:cs="Times New Roman" w:hAnsiTheme="minorEastAsia" w:eastAsiaTheme="minorEastAsia"/>
        </w:rPr>
        <w:t>苯、</w:t>
      </w:r>
      <w:r>
        <w:rPr>
          <w:rFonts w:hint="eastAsia" w:cs="Times New Roman" w:hAnsiTheme="minorEastAsia" w:eastAsiaTheme="minorEastAsia"/>
        </w:rPr>
        <w:t>2.2万</w:t>
      </w:r>
      <w:r>
        <w:rPr>
          <w:rFonts w:cs="Times New Roman" w:hAnsiTheme="minorEastAsia" w:eastAsiaTheme="minorEastAsia"/>
        </w:rPr>
        <w:t>吨</w:t>
      </w:r>
      <w:r>
        <w:rPr>
          <w:rFonts w:hint="eastAsia" w:cs="Times New Roman" w:hAnsiTheme="minorEastAsia" w:eastAsiaTheme="minorEastAsia"/>
        </w:rPr>
        <w:t>/年甲</w:t>
      </w:r>
      <w:r>
        <w:rPr>
          <w:rFonts w:cs="Times New Roman" w:hAnsiTheme="minorEastAsia" w:eastAsiaTheme="minorEastAsia"/>
        </w:rPr>
        <w:t>苯、</w:t>
      </w:r>
      <w:r>
        <w:rPr>
          <w:rFonts w:hint="eastAsia" w:cs="Times New Roman" w:hAnsiTheme="minorEastAsia" w:eastAsiaTheme="minorEastAsia"/>
        </w:rPr>
        <w:t>0.6万</w:t>
      </w:r>
      <w:r>
        <w:rPr>
          <w:rFonts w:cs="Times New Roman" w:hAnsiTheme="minorEastAsia" w:eastAsiaTheme="minorEastAsia"/>
        </w:rPr>
        <w:t>吨</w:t>
      </w:r>
      <w:r>
        <w:rPr>
          <w:rFonts w:hint="eastAsia" w:cs="Times New Roman" w:hAnsiTheme="minorEastAsia" w:eastAsiaTheme="minorEastAsia"/>
        </w:rPr>
        <w:t>/年二</w:t>
      </w:r>
      <w:r>
        <w:rPr>
          <w:rFonts w:cs="Times New Roman" w:hAnsiTheme="minorEastAsia" w:eastAsiaTheme="minorEastAsia"/>
        </w:rPr>
        <w:t>甲苯、</w:t>
      </w:r>
      <w:r>
        <w:rPr>
          <w:rFonts w:hint="eastAsia" w:cs="Times New Roman" w:hAnsiTheme="minorEastAsia" w:eastAsiaTheme="minorEastAsia"/>
        </w:rPr>
        <w:t>1.5万</w:t>
      </w:r>
      <w:r>
        <w:rPr>
          <w:rFonts w:cs="Times New Roman" w:hAnsiTheme="minorEastAsia" w:eastAsiaTheme="minorEastAsia"/>
        </w:rPr>
        <w:t>吨</w:t>
      </w:r>
      <w:r>
        <w:rPr>
          <w:rFonts w:hint="eastAsia" w:cs="Times New Roman" w:hAnsiTheme="minorEastAsia" w:eastAsiaTheme="minorEastAsia"/>
        </w:rPr>
        <w:t>/年古</w:t>
      </w:r>
      <w:r>
        <w:rPr>
          <w:rFonts w:cs="Times New Roman" w:hAnsiTheme="minorEastAsia" w:eastAsiaTheme="minorEastAsia"/>
        </w:rPr>
        <w:t>马隆、</w:t>
      </w:r>
      <w:r>
        <w:rPr>
          <w:rFonts w:hint="eastAsia" w:cs="Times New Roman" w:hAnsiTheme="minorEastAsia" w:eastAsiaTheme="minorEastAsia"/>
        </w:rPr>
        <w:t>0.12万</w:t>
      </w:r>
      <w:r>
        <w:rPr>
          <w:rFonts w:cs="Times New Roman" w:hAnsiTheme="minorEastAsia" w:eastAsiaTheme="minorEastAsia"/>
        </w:rPr>
        <w:t>吨</w:t>
      </w:r>
      <w:r>
        <w:rPr>
          <w:rFonts w:hint="eastAsia" w:cs="Times New Roman" w:hAnsiTheme="minorEastAsia" w:eastAsiaTheme="minorEastAsia"/>
        </w:rPr>
        <w:t>/年二</w:t>
      </w:r>
      <w:r>
        <w:rPr>
          <w:rFonts w:cs="Times New Roman" w:hAnsiTheme="minorEastAsia" w:eastAsiaTheme="minorEastAsia"/>
        </w:rPr>
        <w:t>甲酚、</w:t>
      </w:r>
      <w:r>
        <w:rPr>
          <w:rFonts w:hint="eastAsia" w:cs="Times New Roman" w:hAnsiTheme="minorEastAsia" w:eastAsiaTheme="minorEastAsia"/>
        </w:rPr>
        <w:t>0.12万</w:t>
      </w:r>
      <w:r>
        <w:rPr>
          <w:rFonts w:cs="Times New Roman" w:hAnsiTheme="minorEastAsia" w:eastAsiaTheme="minorEastAsia"/>
        </w:rPr>
        <w:t>吨</w:t>
      </w:r>
      <w:r>
        <w:rPr>
          <w:rFonts w:hint="eastAsia" w:cs="Times New Roman" w:hAnsiTheme="minorEastAsia" w:eastAsiaTheme="minorEastAsia"/>
        </w:rPr>
        <w:t>/年苯</w:t>
      </w:r>
      <w:r>
        <w:rPr>
          <w:rFonts w:cs="Times New Roman" w:hAnsiTheme="minorEastAsia" w:eastAsiaTheme="minorEastAsia"/>
        </w:rPr>
        <w:t>酚、</w:t>
      </w:r>
      <w:r>
        <w:rPr>
          <w:rFonts w:hint="eastAsia" w:cs="Times New Roman" w:hAnsiTheme="minorEastAsia" w:eastAsiaTheme="minorEastAsia"/>
        </w:rPr>
        <w:t>0.07万</w:t>
      </w:r>
      <w:r>
        <w:rPr>
          <w:rFonts w:cs="Times New Roman" w:hAnsiTheme="minorEastAsia" w:eastAsiaTheme="minorEastAsia"/>
        </w:rPr>
        <w:t>吨</w:t>
      </w:r>
      <w:r>
        <w:rPr>
          <w:rFonts w:hint="eastAsia" w:cs="Times New Roman" w:hAnsiTheme="minorEastAsia" w:eastAsiaTheme="minorEastAsia"/>
        </w:rPr>
        <w:t>/年邻</w:t>
      </w:r>
      <w:r>
        <w:rPr>
          <w:rFonts w:cs="Times New Roman" w:hAnsiTheme="minorEastAsia" w:eastAsiaTheme="minorEastAsia"/>
        </w:rPr>
        <w:t>苯酚、</w:t>
      </w:r>
      <w:r>
        <w:rPr>
          <w:rFonts w:hint="eastAsia" w:cs="Times New Roman" w:hAnsiTheme="minorEastAsia" w:eastAsiaTheme="minorEastAsia"/>
        </w:rPr>
        <w:t>0.1万</w:t>
      </w:r>
      <w:r>
        <w:rPr>
          <w:rFonts w:cs="Times New Roman" w:hAnsiTheme="minorEastAsia" w:eastAsiaTheme="minorEastAsia"/>
        </w:rPr>
        <w:t>吨</w:t>
      </w:r>
      <w:r>
        <w:rPr>
          <w:rFonts w:hint="eastAsia" w:cs="Times New Roman" w:hAnsiTheme="minorEastAsia" w:eastAsiaTheme="minorEastAsia"/>
        </w:rPr>
        <w:t>/年间</w:t>
      </w:r>
      <w:r>
        <w:rPr>
          <w:rFonts w:cs="Times New Roman" w:hAnsiTheme="minorEastAsia" w:eastAsiaTheme="minorEastAsia"/>
        </w:rPr>
        <w:t>对位甲酚、</w:t>
      </w:r>
      <w:r>
        <w:rPr>
          <w:rFonts w:hint="eastAsia" w:cs="Times New Roman" w:hAnsiTheme="minorEastAsia" w:eastAsiaTheme="minorEastAsia"/>
        </w:rPr>
        <w:t>3.5万</w:t>
      </w:r>
      <w:r>
        <w:rPr>
          <w:rFonts w:cs="Times New Roman" w:hAnsiTheme="minorEastAsia" w:eastAsiaTheme="minorEastAsia"/>
        </w:rPr>
        <w:t>吨</w:t>
      </w:r>
      <w:r>
        <w:rPr>
          <w:rFonts w:hint="eastAsia" w:cs="Times New Roman" w:hAnsiTheme="minorEastAsia" w:eastAsiaTheme="minorEastAsia"/>
        </w:rPr>
        <w:t>/年精</w:t>
      </w:r>
      <w:r>
        <w:rPr>
          <w:rFonts w:cs="Times New Roman" w:hAnsiTheme="minorEastAsia" w:eastAsiaTheme="minorEastAsia"/>
        </w:rPr>
        <w:t>萘、</w:t>
      </w:r>
      <w:r>
        <w:rPr>
          <w:rFonts w:hint="eastAsia" w:cs="Times New Roman" w:hAnsiTheme="minorEastAsia" w:eastAsiaTheme="minorEastAsia"/>
        </w:rPr>
        <w:t>1.5万</w:t>
      </w:r>
      <w:r>
        <w:rPr>
          <w:rFonts w:cs="Times New Roman" w:hAnsiTheme="minorEastAsia" w:eastAsiaTheme="minorEastAsia"/>
        </w:rPr>
        <w:t>吨</w:t>
      </w:r>
      <w:r>
        <w:rPr>
          <w:rFonts w:hint="eastAsia" w:cs="Times New Roman" w:hAnsiTheme="minorEastAsia" w:eastAsiaTheme="minorEastAsia"/>
        </w:rPr>
        <w:t>/年苯</w:t>
      </w:r>
      <w:r>
        <w:rPr>
          <w:rFonts w:cs="Times New Roman" w:hAnsiTheme="minorEastAsia" w:eastAsiaTheme="minorEastAsia"/>
        </w:rPr>
        <w:t>酐、</w:t>
      </w:r>
      <w:r>
        <w:rPr>
          <w:rFonts w:hint="eastAsia" w:cs="Times New Roman" w:hAnsiTheme="minorEastAsia" w:eastAsiaTheme="minorEastAsia"/>
        </w:rPr>
        <w:t>0.45万</w:t>
      </w:r>
      <w:r>
        <w:rPr>
          <w:rFonts w:cs="Times New Roman" w:hAnsiTheme="minorEastAsia" w:eastAsiaTheme="minorEastAsia"/>
        </w:rPr>
        <w:t>吨</w:t>
      </w:r>
      <w:r>
        <w:rPr>
          <w:rFonts w:hint="eastAsia" w:cs="Times New Roman" w:hAnsiTheme="minorEastAsia" w:eastAsiaTheme="minorEastAsia"/>
        </w:rPr>
        <w:t>/年喹</w:t>
      </w:r>
      <w:r>
        <w:rPr>
          <w:rFonts w:cs="Times New Roman" w:hAnsiTheme="minorEastAsia" w:eastAsiaTheme="minorEastAsia"/>
        </w:rPr>
        <w:t>啉、</w:t>
      </w:r>
      <w:r>
        <w:rPr>
          <w:rFonts w:hint="eastAsia" w:cs="Times New Roman" w:hAnsiTheme="minorEastAsia" w:eastAsiaTheme="minorEastAsia"/>
        </w:rPr>
        <w:t>0.25万</w:t>
      </w:r>
      <w:r>
        <w:rPr>
          <w:rFonts w:cs="Times New Roman" w:hAnsiTheme="minorEastAsia" w:eastAsiaTheme="minorEastAsia"/>
        </w:rPr>
        <w:t>吨</w:t>
      </w:r>
      <w:r>
        <w:rPr>
          <w:rFonts w:hint="eastAsia" w:cs="Times New Roman" w:hAnsiTheme="minorEastAsia" w:eastAsiaTheme="minorEastAsia"/>
        </w:rPr>
        <w:t>/年工业</w:t>
      </w:r>
      <w:r>
        <w:rPr>
          <w:rFonts w:cs="Times New Roman" w:hAnsiTheme="minorEastAsia" w:eastAsiaTheme="minorEastAsia"/>
        </w:rPr>
        <w:t>芴、</w:t>
      </w:r>
      <w:r>
        <w:rPr>
          <w:rFonts w:hint="eastAsia" w:cs="Times New Roman" w:hAnsiTheme="minorEastAsia" w:eastAsiaTheme="minorEastAsia"/>
        </w:rPr>
        <w:t>1万</w:t>
      </w:r>
      <w:r>
        <w:rPr>
          <w:rFonts w:cs="Times New Roman" w:hAnsiTheme="minorEastAsia" w:eastAsiaTheme="minorEastAsia"/>
        </w:rPr>
        <w:t>吨</w:t>
      </w:r>
      <w:r>
        <w:rPr>
          <w:rFonts w:hint="eastAsia" w:cs="Times New Roman" w:hAnsiTheme="minorEastAsia" w:eastAsiaTheme="minorEastAsia"/>
        </w:rPr>
        <w:t>/年精</w:t>
      </w:r>
      <w:r>
        <w:rPr>
          <w:rFonts w:cs="Times New Roman" w:hAnsiTheme="minorEastAsia" w:eastAsiaTheme="minorEastAsia"/>
        </w:rPr>
        <w:t>蒽、</w:t>
      </w:r>
      <w:r>
        <w:rPr>
          <w:rFonts w:hint="eastAsia" w:cs="Times New Roman" w:hAnsiTheme="minorEastAsia" w:eastAsiaTheme="minorEastAsia"/>
        </w:rPr>
        <w:t>2万</w:t>
      </w:r>
      <w:r>
        <w:rPr>
          <w:rFonts w:cs="Times New Roman" w:hAnsiTheme="minorEastAsia" w:eastAsiaTheme="minorEastAsia"/>
        </w:rPr>
        <w:t>吨</w:t>
      </w:r>
      <w:r>
        <w:rPr>
          <w:rFonts w:hint="eastAsia" w:cs="Times New Roman" w:hAnsiTheme="minorEastAsia" w:eastAsiaTheme="minorEastAsia"/>
        </w:rPr>
        <w:t>/年轻</w:t>
      </w:r>
      <w:r>
        <w:rPr>
          <w:rFonts w:cs="Times New Roman" w:hAnsiTheme="minorEastAsia" w:eastAsiaTheme="minorEastAsia"/>
        </w:rPr>
        <w:t>质白油、</w:t>
      </w:r>
      <w:r>
        <w:rPr>
          <w:rFonts w:hint="eastAsia" w:cs="Times New Roman" w:hAnsiTheme="minorEastAsia" w:eastAsiaTheme="minorEastAsia"/>
        </w:rPr>
        <w:t>10万</w:t>
      </w:r>
      <w:r>
        <w:rPr>
          <w:rFonts w:cs="Times New Roman" w:hAnsiTheme="minorEastAsia" w:eastAsiaTheme="minorEastAsia"/>
        </w:rPr>
        <w:t>吨</w:t>
      </w:r>
      <w:r>
        <w:rPr>
          <w:rFonts w:hint="eastAsia" w:cs="Times New Roman" w:hAnsiTheme="minorEastAsia" w:eastAsiaTheme="minorEastAsia"/>
        </w:rPr>
        <w:t>/年针</w:t>
      </w:r>
      <w:r>
        <w:rPr>
          <w:rFonts w:cs="Times New Roman" w:hAnsiTheme="minorEastAsia" w:eastAsiaTheme="minorEastAsia"/>
        </w:rPr>
        <w:t>状焦、</w:t>
      </w:r>
      <w:r>
        <w:rPr>
          <w:rFonts w:hint="eastAsia" w:cs="Times New Roman" w:hAnsiTheme="minorEastAsia" w:eastAsiaTheme="minorEastAsia"/>
        </w:rPr>
        <w:t>12.5万</w:t>
      </w:r>
      <w:r>
        <w:rPr>
          <w:rFonts w:cs="Times New Roman" w:hAnsiTheme="minorEastAsia" w:eastAsiaTheme="minorEastAsia"/>
        </w:rPr>
        <w:t>吨</w:t>
      </w:r>
      <w:r>
        <w:rPr>
          <w:rFonts w:hint="eastAsia" w:cs="Times New Roman" w:hAnsiTheme="minorEastAsia" w:eastAsiaTheme="minorEastAsia"/>
        </w:rPr>
        <w:t>/年炭</w:t>
      </w:r>
      <w:r>
        <w:rPr>
          <w:rFonts w:cs="Times New Roman" w:hAnsiTheme="minorEastAsia" w:eastAsiaTheme="minorEastAsia"/>
        </w:rPr>
        <w:t>黑</w:t>
      </w:r>
      <w:r>
        <w:rPr>
          <w:rFonts w:hint="eastAsia" w:cs="Times New Roman" w:hAnsiTheme="minorEastAsia" w:eastAsiaTheme="minorEastAsia"/>
        </w:rPr>
        <w:t>；</w:t>
      </w:r>
      <w:r>
        <w:rPr>
          <w:rFonts w:hint="eastAsia" w:cs="Times New Roman" w:hAnsiTheme="minorEastAsia" w:eastAsiaTheme="minorEastAsia"/>
          <w:kern w:val="0"/>
        </w:rPr>
        <w:t>精细化工方面</w:t>
      </w:r>
      <w:r>
        <w:rPr>
          <w:rFonts w:cs="Times New Roman" w:hAnsiTheme="minorEastAsia" w:eastAsiaTheme="minorEastAsia"/>
        </w:rPr>
        <w:t>，</w:t>
      </w:r>
      <w:r>
        <w:rPr>
          <w:rFonts w:hint="eastAsia" w:cs="Times New Roman" w:hAnsiTheme="minorEastAsia" w:eastAsiaTheme="minorEastAsia"/>
        </w:rPr>
        <w:t>建</w:t>
      </w:r>
      <w:r>
        <w:rPr>
          <w:rFonts w:cs="Times New Roman" w:hAnsiTheme="minorEastAsia" w:eastAsiaTheme="minorEastAsia"/>
        </w:rPr>
        <w:t>成6.7</w:t>
      </w:r>
      <w:r>
        <w:rPr>
          <w:rFonts w:hint="eastAsia" w:cs="Times New Roman" w:hAnsiTheme="minorEastAsia" w:eastAsiaTheme="minorEastAsia"/>
        </w:rPr>
        <w:t>万</w:t>
      </w:r>
      <w:r>
        <w:rPr>
          <w:rFonts w:cs="Times New Roman" w:hAnsiTheme="minorEastAsia" w:eastAsiaTheme="minorEastAsia"/>
        </w:rPr>
        <w:t>吨</w:t>
      </w:r>
      <w:r>
        <w:rPr>
          <w:rFonts w:hint="eastAsia" w:cs="Times New Roman" w:hAnsiTheme="minorEastAsia" w:eastAsiaTheme="minorEastAsia"/>
        </w:rPr>
        <w:t>/年</w:t>
      </w:r>
      <w:r>
        <w:rPr>
          <w:rFonts w:cs="Times New Roman" w:hAnsiTheme="minorEastAsia" w:eastAsiaTheme="minorEastAsia"/>
        </w:rPr>
        <w:t>碳酸锂、</w:t>
      </w:r>
      <w:r>
        <w:rPr>
          <w:rFonts w:hint="eastAsia" w:cs="Times New Roman" w:hAnsiTheme="minorEastAsia" w:eastAsiaTheme="minorEastAsia"/>
        </w:rPr>
        <w:t>2</w:t>
      </w:r>
      <w:r>
        <w:rPr>
          <w:rFonts w:cs="Times New Roman" w:eastAsiaTheme="minorEastAsia"/>
        </w:rPr>
        <w:t>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年磷酸铁锂</w:t>
      </w:r>
      <w:r>
        <w:rPr>
          <w:rFonts w:hint="eastAsia" w:cs="Times New Roman" w:hAnsiTheme="minorEastAsia" w:eastAsiaTheme="minorEastAsia"/>
        </w:rPr>
        <w:t>、5万吨/年</w:t>
      </w:r>
      <w:r>
        <w:rPr>
          <w:rFonts w:cs="Times New Roman" w:hAnsiTheme="minorEastAsia" w:eastAsiaTheme="minorEastAsia"/>
        </w:rPr>
        <w:t>锰酸锂、</w:t>
      </w:r>
      <w:r>
        <w:rPr>
          <w:rFonts w:hint="eastAsia" w:cs="Times New Roman" w:hAnsiTheme="minorEastAsia" w:eastAsiaTheme="minorEastAsia"/>
        </w:rPr>
        <w:t>0.</w:t>
      </w:r>
      <w:r>
        <w:rPr>
          <w:rFonts w:cs="Times New Roman" w:hAnsiTheme="minorEastAsia" w:eastAsiaTheme="minorEastAsia"/>
        </w:rPr>
        <w:t>5</w:t>
      </w:r>
      <w:r>
        <w:rPr>
          <w:rFonts w:hint="eastAsia" w:cs="Times New Roman" w:hAnsiTheme="minorEastAsia" w:eastAsiaTheme="minorEastAsia"/>
        </w:rPr>
        <w:t>万</w:t>
      </w:r>
      <w:r>
        <w:rPr>
          <w:rFonts w:cs="Times New Roman" w:hAnsiTheme="minorEastAsia" w:eastAsiaTheme="minorEastAsia"/>
        </w:rPr>
        <w:t>吨</w:t>
      </w:r>
      <w:r>
        <w:rPr>
          <w:rFonts w:hint="eastAsia" w:cs="Times New Roman" w:hAnsiTheme="minorEastAsia" w:eastAsiaTheme="minorEastAsia"/>
        </w:rPr>
        <w:t>/年</w:t>
      </w:r>
      <w:r>
        <w:rPr>
          <w:rFonts w:cs="Times New Roman" w:hAnsiTheme="minorEastAsia" w:eastAsiaTheme="minorEastAsia"/>
        </w:rPr>
        <w:t>钴酸锂、</w:t>
      </w:r>
      <w:r>
        <w:rPr>
          <w:rFonts w:hint="eastAsia" w:cs="Times New Roman" w:hAnsiTheme="minorEastAsia" w:eastAsiaTheme="minorEastAsia"/>
        </w:rPr>
        <w:t>1万</w:t>
      </w:r>
      <w:r>
        <w:rPr>
          <w:rFonts w:cs="Times New Roman" w:hAnsiTheme="minorEastAsia" w:eastAsiaTheme="minorEastAsia"/>
        </w:rPr>
        <w:t>吨</w:t>
      </w:r>
      <w:r>
        <w:rPr>
          <w:rFonts w:hint="eastAsia" w:cs="Times New Roman" w:hAnsiTheme="minorEastAsia" w:eastAsiaTheme="minorEastAsia"/>
        </w:rPr>
        <w:t>/年</w:t>
      </w:r>
      <w:r>
        <w:rPr>
          <w:rFonts w:cs="Times New Roman" w:hAnsiTheme="minorEastAsia" w:eastAsiaTheme="minorEastAsia"/>
        </w:rPr>
        <w:t>镍钴锰酸锂、</w:t>
      </w:r>
      <w:r>
        <w:rPr>
          <w:rFonts w:hint="eastAsia" w:cs="Times New Roman" w:hAnsiTheme="minorEastAsia" w:eastAsiaTheme="minorEastAsia"/>
        </w:rPr>
        <w:t>0.5万</w:t>
      </w:r>
      <w:r>
        <w:rPr>
          <w:rFonts w:cs="Times New Roman" w:hAnsiTheme="minorEastAsia" w:eastAsiaTheme="minorEastAsia"/>
        </w:rPr>
        <w:t>吨</w:t>
      </w:r>
      <w:r>
        <w:rPr>
          <w:rFonts w:hint="eastAsia" w:cs="Times New Roman" w:hAnsiTheme="minorEastAsia" w:eastAsiaTheme="minorEastAsia"/>
        </w:rPr>
        <w:t>/年</w:t>
      </w:r>
      <w:r>
        <w:rPr>
          <w:rFonts w:cs="Times New Roman" w:hAnsiTheme="minorEastAsia" w:eastAsiaTheme="minorEastAsia"/>
        </w:rPr>
        <w:t>镍钴铝酸</w:t>
      </w:r>
      <w:r>
        <w:rPr>
          <w:rFonts w:hint="eastAsia" w:cs="Times New Roman" w:hAnsiTheme="minorEastAsia" w:eastAsiaTheme="minorEastAsia"/>
        </w:rPr>
        <w:t>锂、8万</w:t>
      </w:r>
      <w:r>
        <w:rPr>
          <w:rFonts w:cs="Times New Roman" w:hAnsiTheme="minorEastAsia" w:eastAsiaTheme="minorEastAsia"/>
        </w:rPr>
        <w:t>吨</w:t>
      </w:r>
      <w:r>
        <w:rPr>
          <w:rFonts w:hint="eastAsia" w:cs="Times New Roman" w:hAnsiTheme="minorEastAsia" w:eastAsiaTheme="minorEastAsia"/>
        </w:rPr>
        <w:t>/年六</w:t>
      </w:r>
      <w:r>
        <w:rPr>
          <w:rFonts w:cs="Times New Roman" w:hAnsiTheme="minorEastAsia" w:eastAsiaTheme="minorEastAsia"/>
        </w:rPr>
        <w:t>氟</w:t>
      </w:r>
      <w:r>
        <w:rPr>
          <w:rFonts w:hint="eastAsia" w:cs="Times New Roman" w:hAnsiTheme="minorEastAsia" w:eastAsiaTheme="minorEastAsia"/>
        </w:rPr>
        <w:t>磷</w:t>
      </w:r>
      <w:r>
        <w:rPr>
          <w:rFonts w:cs="Times New Roman" w:hAnsiTheme="minorEastAsia" w:eastAsiaTheme="minorEastAsia"/>
        </w:rPr>
        <w:t>酸锂电解液、</w:t>
      </w:r>
      <w:r>
        <w:rPr>
          <w:rFonts w:hint="eastAsia" w:cs="Times New Roman" w:hAnsiTheme="minorEastAsia" w:eastAsiaTheme="minorEastAsia"/>
        </w:rPr>
        <w:t>0.5万</w:t>
      </w:r>
      <w:r>
        <w:rPr>
          <w:rFonts w:cs="Times New Roman" w:hAnsiTheme="minorEastAsia" w:eastAsiaTheme="minorEastAsia"/>
        </w:rPr>
        <w:t>吨</w:t>
      </w:r>
      <w:r>
        <w:rPr>
          <w:rFonts w:hint="eastAsia" w:cs="Times New Roman" w:hAnsiTheme="minorEastAsia" w:eastAsiaTheme="minorEastAsia"/>
        </w:rPr>
        <w:t>/年聚</w:t>
      </w:r>
      <w:r>
        <w:rPr>
          <w:rFonts w:cs="Times New Roman" w:hAnsiTheme="minorEastAsia" w:eastAsiaTheme="minorEastAsia"/>
        </w:rPr>
        <w:t>偏氟乙烯、</w:t>
      </w:r>
      <w:r>
        <w:rPr>
          <w:rFonts w:hint="eastAsia" w:cs="Times New Roman" w:hAnsiTheme="minorEastAsia" w:eastAsiaTheme="minorEastAsia"/>
        </w:rPr>
        <w:t>10万</w:t>
      </w:r>
      <w:r>
        <w:rPr>
          <w:rFonts w:cs="Times New Roman" w:hAnsiTheme="minorEastAsia" w:eastAsiaTheme="minorEastAsia"/>
        </w:rPr>
        <w:t>吨</w:t>
      </w:r>
      <w:r>
        <w:rPr>
          <w:rFonts w:hint="eastAsia" w:cs="Times New Roman" w:hAnsiTheme="minorEastAsia" w:eastAsiaTheme="minorEastAsia"/>
        </w:rPr>
        <w:t>/年石</w:t>
      </w:r>
      <w:r>
        <w:rPr>
          <w:rFonts w:cs="Times New Roman" w:hAnsiTheme="minorEastAsia" w:eastAsiaTheme="minorEastAsia"/>
        </w:rPr>
        <w:t>墨电极。远期园区新增投资达到</w:t>
      </w:r>
      <w:r>
        <w:rPr>
          <w:rFonts w:hint="eastAsia" w:cs="Times New Roman" w:hAnsiTheme="minorEastAsia" w:eastAsiaTheme="minorEastAsia"/>
        </w:rPr>
        <w:t>11</w:t>
      </w:r>
      <w:r>
        <w:rPr>
          <w:rFonts w:cs="Times New Roman" w:hAnsiTheme="minorEastAsia" w:eastAsiaTheme="minorEastAsia"/>
        </w:rPr>
        <w:t>0.6亿元，年产值新增</w:t>
      </w:r>
      <w:r>
        <w:rPr>
          <w:rFonts w:hint="eastAsia" w:cs="Times New Roman" w:hAnsiTheme="minorEastAsia" w:eastAsiaTheme="minorEastAsia"/>
        </w:rPr>
        <w:t>478.68</w:t>
      </w:r>
      <w:r>
        <w:rPr>
          <w:rFonts w:cs="Times New Roman" w:hAnsiTheme="minorEastAsia" w:eastAsiaTheme="minorEastAsia"/>
        </w:rPr>
        <w:t>亿元，年利税新增</w:t>
      </w:r>
      <w:r>
        <w:rPr>
          <w:rFonts w:hint="eastAsia" w:cs="Times New Roman" w:hAnsiTheme="minorEastAsia" w:eastAsiaTheme="minorEastAsia"/>
        </w:rPr>
        <w:t>66.67</w:t>
      </w:r>
      <w:r>
        <w:rPr>
          <w:rFonts w:cs="Times New Roman" w:hAnsiTheme="minorEastAsia" w:eastAsiaTheme="minorEastAsia"/>
        </w:rPr>
        <w:t>亿元。园区累计新增投资达到245.6亿元，年产值累计新增</w:t>
      </w:r>
      <w:r>
        <w:rPr>
          <w:rFonts w:hint="eastAsia" w:cs="Times New Roman" w:hAnsiTheme="minorEastAsia" w:eastAsiaTheme="minorEastAsia"/>
        </w:rPr>
        <w:t>750.14</w:t>
      </w:r>
      <w:r>
        <w:rPr>
          <w:rFonts w:cs="Times New Roman" w:hAnsiTheme="minorEastAsia" w:eastAsiaTheme="minorEastAsia"/>
        </w:rPr>
        <w:t>亿元，年利税累计新增</w:t>
      </w:r>
      <w:r>
        <w:rPr>
          <w:rFonts w:hint="eastAsia" w:cs="Times New Roman" w:hAnsiTheme="minorEastAsia" w:eastAsiaTheme="minorEastAsia"/>
        </w:rPr>
        <w:t>94.43</w:t>
      </w:r>
      <w:r>
        <w:rPr>
          <w:rFonts w:cs="Times New Roman" w:hAnsiTheme="minorEastAsia" w:eastAsiaTheme="minorEastAsia"/>
        </w:rPr>
        <w:t>亿元。</w:t>
      </w:r>
    </w:p>
    <w:p>
      <w:pPr>
        <w:pStyle w:val="4"/>
        <w:ind w:firstLine="602"/>
        <w:rPr>
          <w:rFonts w:cs="Times New Roman" w:eastAsiaTheme="minorEastAsia"/>
        </w:rPr>
      </w:pPr>
      <w:bookmarkStart w:id="18" w:name="_Toc126591862"/>
      <w:r>
        <w:rPr>
          <w:rFonts w:cs="Times New Roman" w:eastAsiaTheme="minorEastAsia"/>
        </w:rPr>
        <w:t xml:space="preserve">5.3 </w:t>
      </w:r>
      <w:r>
        <w:rPr>
          <w:rFonts w:cs="Times New Roman" w:hAnsiTheme="minorEastAsia" w:eastAsiaTheme="minorEastAsia"/>
        </w:rPr>
        <w:t>产业定位</w:t>
      </w:r>
      <w:r>
        <w:rPr>
          <w:rFonts w:hint="eastAsia" w:cs="Times New Roman" w:hAnsiTheme="minorEastAsia" w:eastAsiaTheme="minorEastAsia"/>
        </w:rPr>
        <w:t>及发展方向</w:t>
      </w:r>
      <w:bookmarkEnd w:id="18"/>
    </w:p>
    <w:p>
      <w:pPr>
        <w:ind w:firstLine="560"/>
        <w:rPr>
          <w:rFonts w:cs="Times New Roman" w:eastAsiaTheme="minorEastAsia"/>
          <w:szCs w:val="24"/>
        </w:rPr>
      </w:pPr>
      <w:r>
        <w:rPr>
          <w:rFonts w:cs="Times New Roman" w:hAnsiTheme="minorEastAsia" w:eastAsiaTheme="minorEastAsia"/>
          <w:szCs w:val="24"/>
        </w:rPr>
        <w:t>六枝特区在探明储量的矿产资源中，优势资源首先是煤炭资源，其次是锂矿资源，其它储量资源与目前国内其它地方相比较不具备明显优势。</w:t>
      </w:r>
      <w:r>
        <w:rPr>
          <w:rFonts w:hint="eastAsia" w:cs="Times New Roman" w:hAnsiTheme="minorEastAsia" w:eastAsiaTheme="minorEastAsia"/>
          <w:szCs w:val="24"/>
        </w:rPr>
        <w:t>六枝特区化工园区</w:t>
      </w:r>
      <w:r>
        <w:rPr>
          <w:rFonts w:cs="Times New Roman" w:hAnsiTheme="minorEastAsia" w:eastAsiaTheme="minorEastAsia"/>
          <w:szCs w:val="24"/>
        </w:rPr>
        <w:t>发展的产业应首先定位于煤炭资源、锂矿资源的深加工产业，即</w:t>
      </w:r>
      <w:r>
        <w:rPr>
          <w:rFonts w:hint="eastAsia" w:cs="Times New Roman" w:hAnsiTheme="minorEastAsia" w:eastAsiaTheme="minorEastAsia"/>
          <w:szCs w:val="24"/>
        </w:rPr>
        <w:t>大力发展现代</w:t>
      </w:r>
      <w:r>
        <w:rPr>
          <w:rFonts w:cs="Times New Roman" w:hAnsiTheme="minorEastAsia" w:eastAsiaTheme="minorEastAsia"/>
          <w:szCs w:val="24"/>
        </w:rPr>
        <w:t>煤化工</w:t>
      </w:r>
      <w:r>
        <w:rPr>
          <w:rFonts w:hint="eastAsia" w:cs="Times New Roman" w:hAnsiTheme="minorEastAsia" w:eastAsiaTheme="minorEastAsia"/>
          <w:szCs w:val="24"/>
        </w:rPr>
        <w:t>产业</w:t>
      </w:r>
      <w:r>
        <w:rPr>
          <w:rFonts w:hint="eastAsia" w:cs="Times New Roman" w:hAnsiTheme="minorEastAsia" w:eastAsiaTheme="minorEastAsia"/>
          <w:kern w:val="0"/>
        </w:rPr>
        <w:t>和以锂电池储能化学品为</w:t>
      </w:r>
      <w:r>
        <w:rPr>
          <w:rFonts w:cs="Times New Roman" w:hAnsiTheme="minorEastAsia" w:eastAsiaTheme="minorEastAsia"/>
          <w:kern w:val="0"/>
        </w:rPr>
        <w:t>代表的精细化工</w:t>
      </w:r>
      <w:r>
        <w:rPr>
          <w:rFonts w:hint="eastAsia" w:cs="Times New Roman" w:hAnsiTheme="minorEastAsia" w:eastAsiaTheme="minorEastAsia"/>
          <w:kern w:val="0"/>
        </w:rPr>
        <w:t>产业</w:t>
      </w:r>
      <w:r>
        <w:rPr>
          <w:rFonts w:cs="Times New Roman" w:hAnsiTheme="minorEastAsia" w:eastAsiaTheme="minorEastAsia"/>
          <w:szCs w:val="24"/>
        </w:rPr>
        <w:t>，同时</w:t>
      </w:r>
      <w:r>
        <w:rPr>
          <w:rFonts w:hint="eastAsia" w:cs="Times New Roman" w:hAnsiTheme="minorEastAsia" w:eastAsiaTheme="minorEastAsia"/>
          <w:szCs w:val="24"/>
        </w:rPr>
        <w:t>适度发展其他</w:t>
      </w:r>
      <w:r>
        <w:rPr>
          <w:rFonts w:cs="Times New Roman" w:hAnsiTheme="minorEastAsia" w:eastAsiaTheme="minorEastAsia"/>
          <w:szCs w:val="24"/>
        </w:rPr>
        <w:t>高附加值的精细化学品。产业发展方向如下：</w:t>
      </w:r>
    </w:p>
    <w:p>
      <w:pPr>
        <w:pStyle w:val="5"/>
        <w:ind w:firstLine="562"/>
        <w:rPr>
          <w:rFonts w:cs="Times New Roman" w:eastAsiaTheme="minorEastAsia"/>
        </w:rPr>
      </w:pPr>
      <w:bookmarkStart w:id="19" w:name="_Toc19157"/>
      <w:r>
        <w:rPr>
          <w:rFonts w:cs="Times New Roman" w:eastAsiaTheme="minorEastAsia"/>
        </w:rPr>
        <w:t>5.</w:t>
      </w:r>
      <w:r>
        <w:rPr>
          <w:rFonts w:hint="eastAsia" w:cs="Times New Roman" w:eastAsiaTheme="minorEastAsia"/>
        </w:rPr>
        <w:t>3</w:t>
      </w:r>
      <w:r>
        <w:rPr>
          <w:rFonts w:cs="Times New Roman" w:eastAsiaTheme="minorEastAsia"/>
        </w:rPr>
        <w:t xml:space="preserve">.1 </w:t>
      </w:r>
      <w:r>
        <w:rPr>
          <w:rFonts w:hint="eastAsia" w:cs="Times New Roman" w:eastAsiaTheme="minorEastAsia"/>
        </w:rPr>
        <w:t>现代</w:t>
      </w:r>
      <w:r>
        <w:rPr>
          <w:rFonts w:cs="Times New Roman" w:hAnsiTheme="minorEastAsia" w:eastAsiaTheme="minorEastAsia"/>
        </w:rPr>
        <w:t>煤化工产业</w:t>
      </w:r>
      <w:bookmarkEnd w:id="19"/>
    </w:p>
    <w:p>
      <w:pPr>
        <w:ind w:firstLine="560"/>
        <w:rPr>
          <w:rFonts w:cs="Times New Roman" w:eastAsiaTheme="minorEastAsia"/>
          <w:szCs w:val="24"/>
        </w:rPr>
      </w:pPr>
      <w:r>
        <w:rPr>
          <w:rFonts w:hint="eastAsia" w:cs="Times New Roman" w:hAnsiTheme="minorEastAsia" w:eastAsiaTheme="minorEastAsia"/>
          <w:szCs w:val="24"/>
        </w:rPr>
        <w:t>结合园区现代煤化工</w:t>
      </w:r>
      <w:r>
        <w:rPr>
          <w:rFonts w:cs="Times New Roman" w:hAnsiTheme="minorEastAsia" w:eastAsiaTheme="minorEastAsia"/>
          <w:szCs w:val="24"/>
        </w:rPr>
        <w:t>产业定位，以</w:t>
      </w:r>
      <w:r>
        <w:rPr>
          <w:rFonts w:hint="eastAsia" w:cs="Times New Roman" w:hAnsiTheme="minorEastAsia" w:eastAsiaTheme="minorEastAsia"/>
          <w:szCs w:val="24"/>
        </w:rPr>
        <w:t>贵州美锦华宇新能源有限公司</w:t>
      </w:r>
      <w:r>
        <w:rPr>
          <w:rFonts w:cs="Times New Roman" w:hAnsiTheme="minorEastAsia" w:eastAsiaTheme="minorEastAsia"/>
          <w:szCs w:val="24"/>
        </w:rPr>
        <w:t>为龙头，围绕</w:t>
      </w:r>
      <w:r>
        <w:rPr>
          <w:rFonts w:hint="eastAsia" w:cs="Times New Roman" w:hAnsiTheme="minorEastAsia" w:eastAsiaTheme="minorEastAsia"/>
          <w:szCs w:val="24"/>
        </w:rPr>
        <w:t>焦炉煤气综合利用、</w:t>
      </w:r>
      <w:r>
        <w:rPr>
          <w:rFonts w:cs="Times New Roman" w:hAnsiTheme="minorEastAsia" w:eastAsiaTheme="minorEastAsia"/>
          <w:szCs w:val="24"/>
        </w:rPr>
        <w:t>化工新材料生产和</w:t>
      </w:r>
      <w:r>
        <w:rPr>
          <w:rFonts w:hint="eastAsia" w:cs="Times New Roman" w:hAnsiTheme="minorEastAsia" w:eastAsiaTheme="minorEastAsia"/>
          <w:szCs w:val="24"/>
        </w:rPr>
        <w:t>化产深</w:t>
      </w:r>
      <w:r>
        <w:rPr>
          <w:rFonts w:cs="Times New Roman" w:hAnsiTheme="minorEastAsia" w:eastAsiaTheme="minorEastAsia"/>
          <w:szCs w:val="24"/>
        </w:rPr>
        <w:t>加工</w:t>
      </w:r>
      <w:r>
        <w:rPr>
          <w:rFonts w:hint="eastAsia" w:cs="Times New Roman" w:hAnsiTheme="minorEastAsia" w:eastAsiaTheme="minorEastAsia"/>
          <w:szCs w:val="24"/>
        </w:rPr>
        <w:t>等产业发展方向，</w:t>
      </w:r>
      <w:r>
        <w:rPr>
          <w:rFonts w:cs="Times New Roman" w:hAnsiTheme="minorEastAsia" w:eastAsiaTheme="minorEastAsia"/>
          <w:szCs w:val="24"/>
        </w:rPr>
        <w:t>重点发展煤焦化及其下游关联产业，布局焦炉煤气制</w:t>
      </w:r>
      <w:r>
        <w:rPr>
          <w:rFonts w:cs="Times New Roman" w:eastAsiaTheme="minorEastAsia"/>
          <w:szCs w:val="24"/>
        </w:rPr>
        <w:t>LNG</w:t>
      </w:r>
      <w:r>
        <w:rPr>
          <w:rFonts w:hint="eastAsia" w:cs="Times New Roman" w:eastAsiaTheme="minorEastAsia"/>
          <w:szCs w:val="24"/>
        </w:rPr>
        <w:t>、PSA制氢、合成氨、</w:t>
      </w:r>
      <w:r>
        <w:rPr>
          <w:rFonts w:hint="eastAsia" w:cs="Times New Roman" w:hAnsiTheme="minorEastAsia" w:eastAsiaTheme="minorEastAsia"/>
          <w:szCs w:val="24"/>
        </w:rPr>
        <w:t>化产</w:t>
      </w:r>
      <w:r>
        <w:rPr>
          <w:rFonts w:cs="Times New Roman" w:hAnsiTheme="minorEastAsia" w:eastAsiaTheme="minorEastAsia"/>
          <w:szCs w:val="24"/>
        </w:rPr>
        <w:t>深加工等项目</w:t>
      </w:r>
      <w:r>
        <w:rPr>
          <w:rFonts w:hint="eastAsia" w:cs="Times New Roman" w:hAnsiTheme="minorEastAsia" w:eastAsiaTheme="minorEastAsia"/>
          <w:szCs w:val="24"/>
        </w:rPr>
        <w:t>，</w:t>
      </w:r>
      <w:r>
        <w:rPr>
          <w:rFonts w:cs="Times New Roman" w:hAnsiTheme="minorEastAsia" w:eastAsiaTheme="minorEastAsia"/>
          <w:szCs w:val="24"/>
        </w:rPr>
        <w:t>打造</w:t>
      </w:r>
      <w:r>
        <w:rPr>
          <w:rFonts w:hint="eastAsia" w:cs="Times New Roman" w:hAnsiTheme="minorEastAsia" w:eastAsiaTheme="minorEastAsia"/>
          <w:szCs w:val="24"/>
        </w:rPr>
        <w:t>现代煤化工</w:t>
      </w:r>
      <w:r>
        <w:rPr>
          <w:rFonts w:cs="Times New Roman" w:hAnsiTheme="minorEastAsia" w:eastAsiaTheme="minorEastAsia"/>
          <w:szCs w:val="24"/>
        </w:rPr>
        <w:t>产业链。</w:t>
      </w:r>
    </w:p>
    <w:p>
      <w:pPr>
        <w:ind w:firstLine="560"/>
        <w:rPr>
          <w:rFonts w:cs="Times New Roman" w:hAnsiTheme="minorEastAsia" w:eastAsiaTheme="minorEastAsia"/>
        </w:rPr>
      </w:pPr>
      <w:r>
        <w:rPr>
          <w:rFonts w:hint="eastAsia" w:cs="Times New Roman" w:hAnsiTheme="minorEastAsia" w:eastAsiaTheme="minorEastAsia"/>
        </w:rPr>
        <w:t>六枝特区化工园区在现代煤化工方面</w:t>
      </w:r>
      <w:r>
        <w:rPr>
          <w:rFonts w:cs="Times New Roman" w:hAnsiTheme="minorEastAsia" w:eastAsiaTheme="minorEastAsia"/>
        </w:rPr>
        <w:t>，规划</w:t>
      </w:r>
      <w:r>
        <w:rPr>
          <w:rFonts w:cs="Times New Roman" w:eastAsiaTheme="minorEastAsia"/>
        </w:rPr>
        <w:t>400万吨/</w:t>
      </w:r>
      <w:r>
        <w:rPr>
          <w:rFonts w:cs="Times New Roman" w:hAnsiTheme="minorEastAsia" w:eastAsiaTheme="minorEastAsia"/>
        </w:rPr>
        <w:t>年焦炭、</w:t>
      </w:r>
      <w:r>
        <w:rPr>
          <w:rFonts w:cs="Times New Roman" w:eastAsiaTheme="minorEastAsia"/>
        </w:rPr>
        <w:t>20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w:t>
      </w:r>
      <w:r>
        <w:rPr>
          <w:rFonts w:cs="Times New Roman" w:eastAsiaTheme="minorEastAsia"/>
        </w:rPr>
        <w:t>LNG</w:t>
      </w:r>
      <w:r>
        <w:rPr>
          <w:rFonts w:cs="Times New Roman" w:hAnsiTheme="minorEastAsia" w:eastAsiaTheme="minorEastAsia"/>
        </w:rPr>
        <w:t>、</w:t>
      </w:r>
      <w:r>
        <w:rPr>
          <w:rFonts w:cs="Times New Roman" w:eastAsiaTheme="minorEastAsia"/>
        </w:rPr>
        <w:t>30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年液氨、</w:t>
      </w:r>
      <w:r>
        <w:rPr>
          <w:rFonts w:cs="Times New Roman" w:eastAsiaTheme="minorEastAsia"/>
        </w:rPr>
        <w:t>15</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年液态二氧化碳、</w:t>
      </w:r>
      <w:r>
        <w:rPr>
          <w:rFonts w:cs="Times New Roman" w:eastAsiaTheme="minorEastAsia"/>
        </w:rPr>
        <w:t>5.</w:t>
      </w:r>
      <w:r>
        <w:rPr>
          <w:rFonts w:hint="eastAsia" w:cs="Times New Roman" w:eastAsiaTheme="minorEastAsia"/>
        </w:rPr>
        <w:t>5</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年粗苯、</w:t>
      </w:r>
      <w:r>
        <w:rPr>
          <w:rFonts w:hint="eastAsia" w:cs="Times New Roman" w:eastAsiaTheme="minorEastAsia"/>
        </w:rPr>
        <w:t>5</w:t>
      </w:r>
      <w:r>
        <w:rPr>
          <w:rFonts w:cs="Times New Roman" w:eastAsiaTheme="minorEastAsia"/>
        </w:rPr>
        <w:t>.4</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年硫铵、11.6</w:t>
      </w:r>
      <w:r>
        <w:rPr>
          <w:rFonts w:hint="eastAsia" w:cs="Times New Roman" w:hAnsiTheme="minorEastAsia" w:eastAsiaTheme="minorEastAsia"/>
        </w:rPr>
        <w:t>万</w:t>
      </w:r>
      <w:r>
        <w:rPr>
          <w:rFonts w:cs="Times New Roman" w:hAnsiTheme="minorEastAsia" w:eastAsiaTheme="minorEastAsia"/>
        </w:rPr>
        <w:t>吨</w:t>
      </w:r>
      <w:r>
        <w:rPr>
          <w:rFonts w:hint="eastAsia" w:cs="Times New Roman" w:hAnsiTheme="minorEastAsia" w:eastAsiaTheme="minorEastAsia"/>
        </w:rPr>
        <w:t>/年纯</w:t>
      </w:r>
      <w:r>
        <w:rPr>
          <w:rFonts w:cs="Times New Roman" w:hAnsiTheme="minorEastAsia" w:eastAsiaTheme="minorEastAsia"/>
        </w:rPr>
        <w:t>苯、</w:t>
      </w:r>
      <w:r>
        <w:rPr>
          <w:rFonts w:hint="eastAsia" w:cs="Times New Roman" w:hAnsiTheme="minorEastAsia" w:eastAsiaTheme="minorEastAsia"/>
        </w:rPr>
        <w:t>2.2万</w:t>
      </w:r>
      <w:r>
        <w:rPr>
          <w:rFonts w:cs="Times New Roman" w:hAnsiTheme="minorEastAsia" w:eastAsiaTheme="minorEastAsia"/>
        </w:rPr>
        <w:t>吨</w:t>
      </w:r>
      <w:r>
        <w:rPr>
          <w:rFonts w:hint="eastAsia" w:cs="Times New Roman" w:hAnsiTheme="minorEastAsia" w:eastAsiaTheme="minorEastAsia"/>
        </w:rPr>
        <w:t>/年甲</w:t>
      </w:r>
      <w:r>
        <w:rPr>
          <w:rFonts w:cs="Times New Roman" w:hAnsiTheme="minorEastAsia" w:eastAsiaTheme="minorEastAsia"/>
        </w:rPr>
        <w:t>苯、</w:t>
      </w:r>
      <w:r>
        <w:rPr>
          <w:rFonts w:hint="eastAsia" w:cs="Times New Roman" w:hAnsiTheme="minorEastAsia" w:eastAsiaTheme="minorEastAsia"/>
        </w:rPr>
        <w:t>0.6万</w:t>
      </w:r>
      <w:r>
        <w:rPr>
          <w:rFonts w:cs="Times New Roman" w:hAnsiTheme="minorEastAsia" w:eastAsiaTheme="minorEastAsia"/>
        </w:rPr>
        <w:t>吨</w:t>
      </w:r>
      <w:r>
        <w:rPr>
          <w:rFonts w:hint="eastAsia" w:cs="Times New Roman" w:hAnsiTheme="minorEastAsia" w:eastAsiaTheme="minorEastAsia"/>
        </w:rPr>
        <w:t>/年二</w:t>
      </w:r>
      <w:r>
        <w:rPr>
          <w:rFonts w:cs="Times New Roman" w:hAnsiTheme="minorEastAsia" w:eastAsiaTheme="minorEastAsia"/>
        </w:rPr>
        <w:t>甲苯、</w:t>
      </w:r>
      <w:r>
        <w:rPr>
          <w:rFonts w:hint="eastAsia" w:cs="Times New Roman" w:hAnsiTheme="minorEastAsia" w:eastAsiaTheme="minorEastAsia"/>
        </w:rPr>
        <w:t>1.5万</w:t>
      </w:r>
      <w:r>
        <w:rPr>
          <w:rFonts w:cs="Times New Roman" w:hAnsiTheme="minorEastAsia" w:eastAsiaTheme="minorEastAsia"/>
        </w:rPr>
        <w:t>吨</w:t>
      </w:r>
      <w:r>
        <w:rPr>
          <w:rFonts w:hint="eastAsia" w:cs="Times New Roman" w:hAnsiTheme="minorEastAsia" w:eastAsiaTheme="minorEastAsia"/>
        </w:rPr>
        <w:t>/年古</w:t>
      </w:r>
      <w:r>
        <w:rPr>
          <w:rFonts w:cs="Times New Roman" w:hAnsiTheme="minorEastAsia" w:eastAsiaTheme="minorEastAsia"/>
        </w:rPr>
        <w:t>马隆、</w:t>
      </w:r>
      <w:r>
        <w:rPr>
          <w:rFonts w:hint="eastAsia" w:cs="Times New Roman" w:hAnsiTheme="minorEastAsia" w:eastAsiaTheme="minorEastAsia"/>
        </w:rPr>
        <w:t>0.12万</w:t>
      </w:r>
      <w:r>
        <w:rPr>
          <w:rFonts w:cs="Times New Roman" w:hAnsiTheme="minorEastAsia" w:eastAsiaTheme="minorEastAsia"/>
        </w:rPr>
        <w:t>吨</w:t>
      </w:r>
      <w:r>
        <w:rPr>
          <w:rFonts w:hint="eastAsia" w:cs="Times New Roman" w:hAnsiTheme="minorEastAsia" w:eastAsiaTheme="minorEastAsia"/>
        </w:rPr>
        <w:t>/年二</w:t>
      </w:r>
      <w:r>
        <w:rPr>
          <w:rFonts w:cs="Times New Roman" w:hAnsiTheme="minorEastAsia" w:eastAsiaTheme="minorEastAsia"/>
        </w:rPr>
        <w:t>甲酚、</w:t>
      </w:r>
      <w:r>
        <w:rPr>
          <w:rFonts w:hint="eastAsia" w:cs="Times New Roman" w:hAnsiTheme="minorEastAsia" w:eastAsiaTheme="minorEastAsia"/>
        </w:rPr>
        <w:t>0.12万</w:t>
      </w:r>
      <w:r>
        <w:rPr>
          <w:rFonts w:cs="Times New Roman" w:hAnsiTheme="minorEastAsia" w:eastAsiaTheme="minorEastAsia"/>
        </w:rPr>
        <w:t>吨</w:t>
      </w:r>
      <w:r>
        <w:rPr>
          <w:rFonts w:hint="eastAsia" w:cs="Times New Roman" w:hAnsiTheme="minorEastAsia" w:eastAsiaTheme="minorEastAsia"/>
        </w:rPr>
        <w:t>/年苯</w:t>
      </w:r>
      <w:r>
        <w:rPr>
          <w:rFonts w:cs="Times New Roman" w:hAnsiTheme="minorEastAsia" w:eastAsiaTheme="minorEastAsia"/>
        </w:rPr>
        <w:t>酚、</w:t>
      </w:r>
      <w:r>
        <w:rPr>
          <w:rFonts w:hint="eastAsia" w:cs="Times New Roman" w:hAnsiTheme="minorEastAsia" w:eastAsiaTheme="minorEastAsia"/>
        </w:rPr>
        <w:t>0.07万</w:t>
      </w:r>
      <w:r>
        <w:rPr>
          <w:rFonts w:cs="Times New Roman" w:hAnsiTheme="minorEastAsia" w:eastAsiaTheme="minorEastAsia"/>
        </w:rPr>
        <w:t>吨</w:t>
      </w:r>
      <w:r>
        <w:rPr>
          <w:rFonts w:hint="eastAsia" w:cs="Times New Roman" w:hAnsiTheme="minorEastAsia" w:eastAsiaTheme="minorEastAsia"/>
        </w:rPr>
        <w:t>/年邻</w:t>
      </w:r>
      <w:r>
        <w:rPr>
          <w:rFonts w:cs="Times New Roman" w:hAnsiTheme="minorEastAsia" w:eastAsiaTheme="minorEastAsia"/>
        </w:rPr>
        <w:t>苯酚、</w:t>
      </w:r>
      <w:r>
        <w:rPr>
          <w:rFonts w:hint="eastAsia" w:cs="Times New Roman" w:hAnsiTheme="minorEastAsia" w:eastAsiaTheme="minorEastAsia"/>
        </w:rPr>
        <w:t>0.1万</w:t>
      </w:r>
      <w:r>
        <w:rPr>
          <w:rFonts w:cs="Times New Roman" w:hAnsiTheme="minorEastAsia" w:eastAsiaTheme="minorEastAsia"/>
        </w:rPr>
        <w:t>吨</w:t>
      </w:r>
      <w:r>
        <w:rPr>
          <w:rFonts w:hint="eastAsia" w:cs="Times New Roman" w:hAnsiTheme="minorEastAsia" w:eastAsiaTheme="minorEastAsia"/>
        </w:rPr>
        <w:t>/年间</w:t>
      </w:r>
      <w:r>
        <w:rPr>
          <w:rFonts w:cs="Times New Roman" w:hAnsiTheme="minorEastAsia" w:eastAsiaTheme="minorEastAsia"/>
        </w:rPr>
        <w:t>对位甲酚、</w:t>
      </w:r>
      <w:r>
        <w:rPr>
          <w:rFonts w:hint="eastAsia" w:cs="Times New Roman" w:hAnsiTheme="minorEastAsia" w:eastAsiaTheme="minorEastAsia"/>
        </w:rPr>
        <w:t>3.5万</w:t>
      </w:r>
      <w:r>
        <w:rPr>
          <w:rFonts w:cs="Times New Roman" w:hAnsiTheme="minorEastAsia" w:eastAsiaTheme="minorEastAsia"/>
        </w:rPr>
        <w:t>吨</w:t>
      </w:r>
      <w:r>
        <w:rPr>
          <w:rFonts w:hint="eastAsia" w:cs="Times New Roman" w:hAnsiTheme="minorEastAsia" w:eastAsiaTheme="minorEastAsia"/>
        </w:rPr>
        <w:t>/年精</w:t>
      </w:r>
      <w:r>
        <w:rPr>
          <w:rFonts w:cs="Times New Roman" w:hAnsiTheme="minorEastAsia" w:eastAsiaTheme="minorEastAsia"/>
        </w:rPr>
        <w:t>萘、</w:t>
      </w:r>
      <w:r>
        <w:rPr>
          <w:rFonts w:hint="eastAsia" w:cs="Times New Roman" w:hAnsiTheme="minorEastAsia" w:eastAsiaTheme="minorEastAsia"/>
        </w:rPr>
        <w:t>1.5万</w:t>
      </w:r>
      <w:r>
        <w:rPr>
          <w:rFonts w:cs="Times New Roman" w:hAnsiTheme="minorEastAsia" w:eastAsiaTheme="minorEastAsia"/>
        </w:rPr>
        <w:t>吨</w:t>
      </w:r>
      <w:r>
        <w:rPr>
          <w:rFonts w:hint="eastAsia" w:cs="Times New Roman" w:hAnsiTheme="minorEastAsia" w:eastAsiaTheme="minorEastAsia"/>
        </w:rPr>
        <w:t>/年苯</w:t>
      </w:r>
      <w:r>
        <w:rPr>
          <w:rFonts w:cs="Times New Roman" w:hAnsiTheme="minorEastAsia" w:eastAsiaTheme="minorEastAsia"/>
        </w:rPr>
        <w:t>酐、</w:t>
      </w:r>
      <w:r>
        <w:rPr>
          <w:rFonts w:hint="eastAsia" w:cs="Times New Roman" w:hAnsiTheme="minorEastAsia" w:eastAsiaTheme="minorEastAsia"/>
        </w:rPr>
        <w:t>0.45万</w:t>
      </w:r>
      <w:r>
        <w:rPr>
          <w:rFonts w:cs="Times New Roman" w:hAnsiTheme="minorEastAsia" w:eastAsiaTheme="minorEastAsia"/>
        </w:rPr>
        <w:t>吨</w:t>
      </w:r>
      <w:r>
        <w:rPr>
          <w:rFonts w:hint="eastAsia" w:cs="Times New Roman" w:hAnsiTheme="minorEastAsia" w:eastAsiaTheme="minorEastAsia"/>
        </w:rPr>
        <w:t>/年喹</w:t>
      </w:r>
      <w:r>
        <w:rPr>
          <w:rFonts w:cs="Times New Roman" w:hAnsiTheme="minorEastAsia" w:eastAsiaTheme="minorEastAsia"/>
        </w:rPr>
        <w:t>啉、</w:t>
      </w:r>
      <w:r>
        <w:rPr>
          <w:rFonts w:hint="eastAsia" w:cs="Times New Roman" w:hAnsiTheme="minorEastAsia" w:eastAsiaTheme="minorEastAsia"/>
        </w:rPr>
        <w:t>0.25万</w:t>
      </w:r>
      <w:r>
        <w:rPr>
          <w:rFonts w:cs="Times New Roman" w:hAnsiTheme="minorEastAsia" w:eastAsiaTheme="minorEastAsia"/>
        </w:rPr>
        <w:t>吨</w:t>
      </w:r>
      <w:r>
        <w:rPr>
          <w:rFonts w:hint="eastAsia" w:cs="Times New Roman" w:hAnsiTheme="minorEastAsia" w:eastAsiaTheme="minorEastAsia"/>
        </w:rPr>
        <w:t>/年工业</w:t>
      </w:r>
      <w:r>
        <w:rPr>
          <w:rFonts w:cs="Times New Roman" w:hAnsiTheme="minorEastAsia" w:eastAsiaTheme="minorEastAsia"/>
        </w:rPr>
        <w:t>芴、</w:t>
      </w:r>
      <w:r>
        <w:rPr>
          <w:rFonts w:hint="eastAsia" w:cs="Times New Roman" w:hAnsiTheme="minorEastAsia" w:eastAsiaTheme="minorEastAsia"/>
        </w:rPr>
        <w:t>1万</w:t>
      </w:r>
      <w:r>
        <w:rPr>
          <w:rFonts w:cs="Times New Roman" w:hAnsiTheme="minorEastAsia" w:eastAsiaTheme="minorEastAsia"/>
        </w:rPr>
        <w:t>吨</w:t>
      </w:r>
      <w:r>
        <w:rPr>
          <w:rFonts w:hint="eastAsia" w:cs="Times New Roman" w:hAnsiTheme="minorEastAsia" w:eastAsiaTheme="minorEastAsia"/>
        </w:rPr>
        <w:t>/年精</w:t>
      </w:r>
      <w:r>
        <w:rPr>
          <w:rFonts w:cs="Times New Roman" w:hAnsiTheme="minorEastAsia" w:eastAsiaTheme="minorEastAsia"/>
        </w:rPr>
        <w:t>蒽、</w:t>
      </w:r>
      <w:r>
        <w:rPr>
          <w:rFonts w:hint="eastAsia" w:cs="Times New Roman" w:hAnsiTheme="minorEastAsia" w:eastAsiaTheme="minorEastAsia"/>
        </w:rPr>
        <w:t>2万</w:t>
      </w:r>
      <w:r>
        <w:rPr>
          <w:rFonts w:cs="Times New Roman" w:hAnsiTheme="minorEastAsia" w:eastAsiaTheme="minorEastAsia"/>
        </w:rPr>
        <w:t>吨</w:t>
      </w:r>
      <w:r>
        <w:rPr>
          <w:rFonts w:hint="eastAsia" w:cs="Times New Roman" w:hAnsiTheme="minorEastAsia" w:eastAsiaTheme="minorEastAsia"/>
        </w:rPr>
        <w:t>/年轻</w:t>
      </w:r>
      <w:r>
        <w:rPr>
          <w:rFonts w:cs="Times New Roman" w:hAnsiTheme="minorEastAsia" w:eastAsiaTheme="minorEastAsia"/>
        </w:rPr>
        <w:t>质白油、</w:t>
      </w:r>
      <w:r>
        <w:rPr>
          <w:rFonts w:hint="eastAsia" w:cs="Times New Roman" w:hAnsiTheme="minorEastAsia" w:eastAsiaTheme="minorEastAsia"/>
        </w:rPr>
        <w:t>10万</w:t>
      </w:r>
      <w:r>
        <w:rPr>
          <w:rFonts w:cs="Times New Roman" w:hAnsiTheme="minorEastAsia" w:eastAsiaTheme="minorEastAsia"/>
        </w:rPr>
        <w:t>吨</w:t>
      </w:r>
      <w:r>
        <w:rPr>
          <w:rFonts w:hint="eastAsia" w:cs="Times New Roman" w:hAnsiTheme="minorEastAsia" w:eastAsiaTheme="minorEastAsia"/>
        </w:rPr>
        <w:t>/年针</w:t>
      </w:r>
      <w:r>
        <w:rPr>
          <w:rFonts w:cs="Times New Roman" w:hAnsiTheme="minorEastAsia" w:eastAsiaTheme="minorEastAsia"/>
        </w:rPr>
        <w:t>状焦、</w:t>
      </w:r>
      <w:r>
        <w:rPr>
          <w:rFonts w:hint="eastAsia" w:cs="Times New Roman" w:hAnsiTheme="minorEastAsia" w:eastAsiaTheme="minorEastAsia"/>
        </w:rPr>
        <w:t>12.5万</w:t>
      </w:r>
      <w:r>
        <w:rPr>
          <w:rFonts w:cs="Times New Roman" w:hAnsiTheme="minorEastAsia" w:eastAsiaTheme="minorEastAsia"/>
        </w:rPr>
        <w:t>吨</w:t>
      </w:r>
      <w:r>
        <w:rPr>
          <w:rFonts w:hint="eastAsia" w:cs="Times New Roman" w:hAnsiTheme="minorEastAsia" w:eastAsiaTheme="minorEastAsia"/>
        </w:rPr>
        <w:t>/年炭</w:t>
      </w:r>
      <w:r>
        <w:rPr>
          <w:rFonts w:cs="Times New Roman" w:hAnsiTheme="minorEastAsia" w:eastAsiaTheme="minorEastAsia"/>
        </w:rPr>
        <w:t>黑及</w:t>
      </w:r>
      <w:r>
        <w:rPr>
          <w:rFonts w:cs="Times New Roman"/>
          <w:kern w:val="0"/>
          <w:szCs w:val="28"/>
        </w:rPr>
        <w:t>11000</w:t>
      </w:r>
      <w:r>
        <w:rPr>
          <w:rFonts w:hint="eastAsia" w:cs="Times New Roman"/>
          <w:kern w:val="0"/>
          <w:szCs w:val="28"/>
        </w:rPr>
        <w:t>m</w:t>
      </w:r>
      <w:r>
        <w:rPr>
          <w:rFonts w:hint="eastAsia" w:cs="Times New Roman"/>
          <w:kern w:val="0"/>
          <w:szCs w:val="28"/>
          <w:vertAlign w:val="superscript"/>
        </w:rPr>
        <w:t>3</w:t>
      </w:r>
      <w:r>
        <w:rPr>
          <w:rFonts w:hint="eastAsia" w:cs="Times New Roman"/>
          <w:kern w:val="0"/>
          <w:szCs w:val="28"/>
        </w:rPr>
        <w:t>/h</w:t>
      </w:r>
      <w:r>
        <w:rPr>
          <w:rFonts w:cs="Times New Roman" w:hAnsiTheme="minorEastAsia" w:eastAsiaTheme="minorEastAsia"/>
        </w:rPr>
        <w:t>高纯氢项目。</w:t>
      </w:r>
      <w:bookmarkStart w:id="20" w:name="_Toc3827"/>
    </w:p>
    <w:p>
      <w:pPr>
        <w:pStyle w:val="5"/>
        <w:ind w:firstLine="562"/>
      </w:pPr>
      <w:r>
        <w:t>5.</w:t>
      </w:r>
      <w:r>
        <w:rPr>
          <w:rFonts w:hint="eastAsia"/>
        </w:rPr>
        <w:t>3</w:t>
      </w:r>
      <w:r>
        <w:t xml:space="preserve">.2 </w:t>
      </w:r>
      <w:r>
        <w:rPr>
          <w:rFonts w:hint="eastAsia"/>
        </w:rPr>
        <w:t>精细化工产业</w:t>
      </w:r>
    </w:p>
    <w:p>
      <w:pPr>
        <w:ind w:firstLine="560"/>
        <w:rPr>
          <w:rFonts w:cs="Times New Roman" w:hAnsiTheme="minorEastAsia" w:eastAsiaTheme="minorEastAsia"/>
        </w:rPr>
      </w:pPr>
      <w:r>
        <w:rPr>
          <w:rFonts w:hint="eastAsia" w:cs="Times New Roman" w:hAnsiTheme="minorEastAsia" w:eastAsiaTheme="minorEastAsia"/>
          <w:szCs w:val="24"/>
        </w:rPr>
        <w:t>发展</w:t>
      </w:r>
      <w:r>
        <w:rPr>
          <w:rFonts w:hint="eastAsia" w:cs="Times New Roman" w:hAnsiTheme="minorEastAsia" w:eastAsiaTheme="minorEastAsia"/>
          <w:kern w:val="0"/>
        </w:rPr>
        <w:t>以锂电池储能化学品为</w:t>
      </w:r>
      <w:r>
        <w:rPr>
          <w:rFonts w:cs="Times New Roman" w:hAnsiTheme="minorEastAsia" w:eastAsiaTheme="minorEastAsia"/>
          <w:kern w:val="0"/>
        </w:rPr>
        <w:t>代表的精细化工</w:t>
      </w:r>
      <w:r>
        <w:rPr>
          <w:rFonts w:hint="eastAsia" w:cs="Times New Roman" w:hAnsiTheme="minorEastAsia" w:eastAsiaTheme="minorEastAsia"/>
          <w:kern w:val="0"/>
        </w:rPr>
        <w:t>产业</w:t>
      </w:r>
      <w:r>
        <w:rPr>
          <w:rFonts w:hint="eastAsia" w:cs="Times New Roman" w:hAnsiTheme="minorEastAsia" w:eastAsiaTheme="minorEastAsia"/>
          <w:kern w:val="0"/>
          <w:szCs w:val="28"/>
        </w:rPr>
        <w:t>，</w:t>
      </w:r>
      <w:r>
        <w:rPr>
          <w:rFonts w:hint="eastAsia" w:cs="Times New Roman" w:hAnsiTheme="minorEastAsia" w:eastAsiaTheme="minorEastAsia"/>
          <w:kern w:val="0"/>
        </w:rPr>
        <w:t>锂电池储能材料包括</w:t>
      </w:r>
      <w:r>
        <w:rPr>
          <w:rFonts w:cs="Times New Roman" w:hAnsiTheme="minorEastAsia" w:eastAsiaTheme="minorEastAsia"/>
          <w:kern w:val="0"/>
        </w:rPr>
        <w:t>锂电池正极材料</w:t>
      </w:r>
      <w:r>
        <w:rPr>
          <w:rFonts w:hint="eastAsia" w:cs="Times New Roman" w:hAnsiTheme="minorEastAsia" w:eastAsiaTheme="minorEastAsia"/>
          <w:kern w:val="0"/>
        </w:rPr>
        <w:t>、</w:t>
      </w:r>
      <w:r>
        <w:rPr>
          <w:rFonts w:cs="Times New Roman" w:hAnsiTheme="minorEastAsia" w:eastAsiaTheme="minorEastAsia"/>
          <w:kern w:val="0"/>
          <w:szCs w:val="28"/>
        </w:rPr>
        <w:t>负极材料</w:t>
      </w:r>
      <w:r>
        <w:rPr>
          <w:rFonts w:hint="eastAsia" w:cs="Times New Roman" w:hAnsiTheme="minorEastAsia" w:eastAsiaTheme="minorEastAsia"/>
          <w:kern w:val="0"/>
          <w:szCs w:val="28"/>
        </w:rPr>
        <w:t>、</w:t>
      </w:r>
      <w:r>
        <w:rPr>
          <w:rFonts w:cs="Times New Roman" w:hAnsiTheme="minorEastAsia" w:eastAsiaTheme="minorEastAsia"/>
          <w:kern w:val="0"/>
          <w:szCs w:val="28"/>
        </w:rPr>
        <w:t>电解液</w:t>
      </w:r>
      <w:r>
        <w:rPr>
          <w:rFonts w:hint="eastAsia" w:cs="Times New Roman" w:hAnsiTheme="minorEastAsia" w:eastAsiaTheme="minorEastAsia"/>
          <w:kern w:val="0"/>
          <w:szCs w:val="28"/>
        </w:rPr>
        <w:t>和</w:t>
      </w:r>
      <w:r>
        <w:rPr>
          <w:rFonts w:cs="Times New Roman" w:hAnsiTheme="minorEastAsia" w:eastAsiaTheme="minorEastAsia"/>
          <w:kern w:val="0"/>
          <w:szCs w:val="28"/>
        </w:rPr>
        <w:t>隔膜材料</w:t>
      </w:r>
      <w:r>
        <w:rPr>
          <w:rFonts w:hint="eastAsia" w:cs="Times New Roman" w:hAnsiTheme="minorEastAsia" w:eastAsiaTheme="minorEastAsia"/>
          <w:kern w:val="0"/>
          <w:szCs w:val="28"/>
        </w:rPr>
        <w:t>等。</w:t>
      </w:r>
      <w:r>
        <w:rPr>
          <w:rFonts w:cs="Times New Roman" w:hAnsiTheme="minorEastAsia" w:eastAsiaTheme="minorEastAsia"/>
          <w:kern w:val="0"/>
        </w:rPr>
        <w:t>锂电池正极材料</w:t>
      </w:r>
      <w:r>
        <w:rPr>
          <w:rFonts w:hint="eastAsia" w:cs="Times New Roman" w:hAnsiTheme="minorEastAsia" w:eastAsiaTheme="minorEastAsia"/>
          <w:kern w:val="0"/>
        </w:rPr>
        <w:t>包括</w:t>
      </w:r>
      <w:r>
        <w:rPr>
          <w:rFonts w:cs="Times New Roman" w:hAnsiTheme="minorEastAsia" w:eastAsiaTheme="minorEastAsia"/>
          <w:kern w:val="0"/>
        </w:rPr>
        <w:t>钴酸锂（</w:t>
      </w:r>
      <w:r>
        <w:rPr>
          <w:rFonts w:cs="Times New Roman" w:eastAsiaTheme="minorEastAsia"/>
          <w:kern w:val="0"/>
        </w:rPr>
        <w:t>LCO</w:t>
      </w:r>
      <w:r>
        <w:rPr>
          <w:rFonts w:cs="Times New Roman" w:hAnsiTheme="minorEastAsia" w:eastAsiaTheme="minorEastAsia"/>
          <w:kern w:val="0"/>
        </w:rPr>
        <w:t>）、锰酸锂（</w:t>
      </w:r>
      <w:r>
        <w:rPr>
          <w:rFonts w:cs="Times New Roman" w:eastAsiaTheme="minorEastAsia"/>
          <w:kern w:val="0"/>
        </w:rPr>
        <w:t>LMO</w:t>
      </w:r>
      <w:r>
        <w:rPr>
          <w:rFonts w:cs="Times New Roman" w:hAnsiTheme="minorEastAsia" w:eastAsiaTheme="minorEastAsia"/>
          <w:kern w:val="0"/>
        </w:rPr>
        <w:t>）、磷酸铁锂（</w:t>
      </w:r>
      <w:r>
        <w:rPr>
          <w:rFonts w:cs="Times New Roman" w:eastAsiaTheme="minorEastAsia"/>
          <w:kern w:val="0"/>
        </w:rPr>
        <w:t>LFP</w:t>
      </w:r>
      <w:r>
        <w:rPr>
          <w:rFonts w:cs="Times New Roman" w:hAnsiTheme="minorEastAsia" w:eastAsiaTheme="minorEastAsia"/>
          <w:kern w:val="0"/>
        </w:rPr>
        <w:t>）</w:t>
      </w:r>
      <w:r>
        <w:rPr>
          <w:rFonts w:hint="eastAsia" w:cs="Times New Roman" w:hAnsiTheme="minorEastAsia" w:eastAsiaTheme="minorEastAsia"/>
          <w:kern w:val="0"/>
        </w:rPr>
        <w:t>、</w:t>
      </w:r>
      <w:r>
        <w:rPr>
          <w:rFonts w:cs="Times New Roman" w:hAnsiTheme="minorEastAsia" w:eastAsiaTheme="minorEastAsia"/>
          <w:kern w:val="0"/>
        </w:rPr>
        <w:t>镍钴锰酸锂（</w:t>
      </w:r>
      <w:r>
        <w:rPr>
          <w:rFonts w:cs="Times New Roman" w:eastAsiaTheme="minorEastAsia"/>
          <w:kern w:val="0"/>
        </w:rPr>
        <w:t>NCM</w:t>
      </w:r>
      <w:r>
        <w:rPr>
          <w:rFonts w:cs="Times New Roman" w:hAnsiTheme="minorEastAsia" w:eastAsiaTheme="minorEastAsia"/>
          <w:kern w:val="0"/>
        </w:rPr>
        <w:t>）和镍钴铝酸锂（</w:t>
      </w:r>
      <w:r>
        <w:rPr>
          <w:rFonts w:cs="Times New Roman" w:eastAsiaTheme="minorEastAsia"/>
          <w:kern w:val="0"/>
        </w:rPr>
        <w:t>NCA</w:t>
      </w:r>
      <w:r>
        <w:rPr>
          <w:rFonts w:cs="Times New Roman" w:hAnsiTheme="minorEastAsia" w:eastAsiaTheme="minorEastAsia"/>
          <w:kern w:val="0"/>
        </w:rPr>
        <w:t>）</w:t>
      </w:r>
      <w:r>
        <w:rPr>
          <w:rFonts w:hint="eastAsia" w:cs="Times New Roman" w:hAnsiTheme="minorEastAsia" w:eastAsiaTheme="minorEastAsia"/>
          <w:kern w:val="0"/>
        </w:rPr>
        <w:t>等产品；</w:t>
      </w:r>
      <w:r>
        <w:rPr>
          <w:rFonts w:cs="Times New Roman" w:hAnsiTheme="minorEastAsia" w:eastAsiaTheme="minorEastAsia"/>
          <w:kern w:val="0"/>
          <w:szCs w:val="28"/>
        </w:rPr>
        <w:t>负极材料</w:t>
      </w:r>
      <w:r>
        <w:rPr>
          <w:rFonts w:hint="eastAsia" w:cs="Times New Roman" w:hAnsiTheme="minorEastAsia" w:eastAsiaTheme="minorEastAsia"/>
          <w:kern w:val="0"/>
          <w:szCs w:val="28"/>
        </w:rPr>
        <w:t>主要以</w:t>
      </w:r>
      <w:r>
        <w:rPr>
          <w:rFonts w:cs="Times New Roman" w:hAnsiTheme="minorEastAsia" w:eastAsiaTheme="minorEastAsia"/>
          <w:kern w:val="0"/>
          <w:szCs w:val="28"/>
        </w:rPr>
        <w:t>石墨</w:t>
      </w:r>
      <w:r>
        <w:rPr>
          <w:rFonts w:hint="eastAsia" w:cs="Times New Roman" w:hAnsiTheme="minorEastAsia" w:eastAsiaTheme="minorEastAsia"/>
          <w:kern w:val="0"/>
          <w:szCs w:val="28"/>
        </w:rPr>
        <w:t>为主；</w:t>
      </w:r>
      <w:r>
        <w:rPr>
          <w:rFonts w:cs="Times New Roman" w:hAnsiTheme="minorEastAsia" w:eastAsiaTheme="minorEastAsia"/>
          <w:kern w:val="0"/>
          <w:szCs w:val="28"/>
        </w:rPr>
        <w:t>电解液</w:t>
      </w:r>
      <w:r>
        <w:rPr>
          <w:rFonts w:hint="eastAsia" w:cs="Times New Roman" w:hAnsiTheme="minorEastAsia" w:eastAsiaTheme="minorEastAsia"/>
          <w:kern w:val="0"/>
          <w:szCs w:val="28"/>
        </w:rPr>
        <w:t>主要由有</w:t>
      </w:r>
      <w:r>
        <w:rPr>
          <w:rFonts w:cs="Times New Roman" w:hAnsiTheme="minorEastAsia" w:eastAsiaTheme="minorEastAsia"/>
          <w:kern w:val="0"/>
          <w:szCs w:val="28"/>
        </w:rPr>
        <w:t>机溶剂、六氟磷酸锂、添加剂</w:t>
      </w:r>
      <w:r>
        <w:rPr>
          <w:rFonts w:hint="eastAsia" w:cs="Times New Roman" w:hAnsiTheme="minorEastAsia" w:eastAsiaTheme="minorEastAsia"/>
          <w:kern w:val="0"/>
          <w:szCs w:val="28"/>
        </w:rPr>
        <w:t>组成，隔膜材料主要以</w:t>
      </w:r>
      <w:r>
        <w:rPr>
          <w:rFonts w:cs="Times New Roman" w:hAnsiTheme="minorEastAsia" w:eastAsiaTheme="minorEastAsia"/>
          <w:kern w:val="0"/>
          <w:szCs w:val="28"/>
        </w:rPr>
        <w:t>聚偏氟乙烯为主</w:t>
      </w:r>
      <w:r>
        <w:rPr>
          <w:rFonts w:hint="eastAsia" w:cs="Times New Roman" w:hAnsiTheme="minorEastAsia" w:eastAsiaTheme="minorEastAsia"/>
          <w:kern w:val="0"/>
          <w:szCs w:val="28"/>
        </w:rPr>
        <w:t>。</w:t>
      </w:r>
      <w:r>
        <w:rPr>
          <w:rFonts w:hint="eastAsia" w:cs="Times New Roman" w:hAnsiTheme="minorEastAsia" w:eastAsiaTheme="minorEastAsia"/>
        </w:rPr>
        <w:t>六枝特区化工园区依托区域锂矿石资源，耦合园区</w:t>
      </w:r>
      <w:r>
        <w:rPr>
          <w:rFonts w:cs="Times New Roman" w:hAnsiTheme="minorEastAsia" w:eastAsiaTheme="minorEastAsia"/>
        </w:rPr>
        <w:t>内现代煤化工产业</w:t>
      </w:r>
      <w:r>
        <w:rPr>
          <w:rFonts w:hint="eastAsia" w:cs="Times New Roman" w:hAnsiTheme="minorEastAsia" w:eastAsiaTheme="minorEastAsia"/>
        </w:rPr>
        <w:t>，大力发展锂电池正极材料</w:t>
      </w:r>
      <w:r>
        <w:rPr>
          <w:rFonts w:cs="Times New Roman" w:hAnsiTheme="minorEastAsia" w:eastAsiaTheme="minorEastAsia"/>
        </w:rPr>
        <w:t>、</w:t>
      </w:r>
      <w:r>
        <w:rPr>
          <w:rFonts w:hint="eastAsia" w:cs="Times New Roman" w:hAnsiTheme="minorEastAsia" w:eastAsiaTheme="minorEastAsia"/>
        </w:rPr>
        <w:t>负极</w:t>
      </w:r>
      <w:r>
        <w:rPr>
          <w:rFonts w:cs="Times New Roman" w:hAnsiTheme="minorEastAsia" w:eastAsiaTheme="minorEastAsia"/>
        </w:rPr>
        <w:t>材料、</w:t>
      </w:r>
      <w:r>
        <w:rPr>
          <w:rFonts w:hint="eastAsia" w:cs="Times New Roman" w:hAnsiTheme="minorEastAsia" w:eastAsiaTheme="minorEastAsia"/>
        </w:rPr>
        <w:t>电解液、</w:t>
      </w:r>
      <w:r>
        <w:rPr>
          <w:rFonts w:hint="eastAsia" w:cs="Times New Roman" w:hAnsiTheme="minorEastAsia" w:eastAsiaTheme="minorEastAsia"/>
          <w:kern w:val="0"/>
          <w:szCs w:val="28"/>
        </w:rPr>
        <w:t>隔膜材料等</w:t>
      </w:r>
      <w:r>
        <w:rPr>
          <w:rFonts w:hint="eastAsia" w:cs="Times New Roman" w:hAnsiTheme="minorEastAsia" w:eastAsiaTheme="minorEastAsia"/>
          <w:kern w:val="0"/>
        </w:rPr>
        <w:t>锂电池储能</w:t>
      </w:r>
      <w:r>
        <w:rPr>
          <w:rFonts w:cs="Times New Roman" w:hAnsiTheme="minorEastAsia" w:eastAsiaTheme="minorEastAsia"/>
          <w:kern w:val="0"/>
          <w:szCs w:val="28"/>
        </w:rPr>
        <w:t>精细化学品</w:t>
      </w:r>
      <w:r>
        <w:rPr>
          <w:rFonts w:hint="eastAsia" w:cs="Times New Roman" w:hAnsiTheme="minorEastAsia" w:eastAsiaTheme="minorEastAsia"/>
        </w:rPr>
        <w:t>。同时</w:t>
      </w:r>
      <w:r>
        <w:rPr>
          <w:rFonts w:cs="Times New Roman" w:hAnsiTheme="minorEastAsia" w:eastAsiaTheme="minorEastAsia"/>
          <w:szCs w:val="24"/>
        </w:rPr>
        <w:t>适度发展市场前景好、产品附加值高的</w:t>
      </w:r>
      <w:r>
        <w:rPr>
          <w:rFonts w:hint="eastAsia" w:cs="Times New Roman" w:hAnsiTheme="minorEastAsia" w:eastAsiaTheme="minorEastAsia"/>
          <w:szCs w:val="24"/>
        </w:rPr>
        <w:t>其他精细化学</w:t>
      </w:r>
      <w:r>
        <w:rPr>
          <w:rFonts w:cs="Times New Roman" w:hAnsiTheme="minorEastAsia" w:eastAsiaTheme="minorEastAsia"/>
          <w:szCs w:val="24"/>
        </w:rPr>
        <w:t>品</w:t>
      </w:r>
      <w:r>
        <w:rPr>
          <w:rFonts w:cs="Times New Roman" w:hAnsiTheme="minorEastAsia" w:eastAsiaTheme="minorEastAsia"/>
        </w:rPr>
        <w:t>。</w:t>
      </w:r>
    </w:p>
    <w:p>
      <w:pPr>
        <w:ind w:firstLine="560"/>
        <w:rPr>
          <w:rFonts w:cs="Times New Roman" w:hAnsiTheme="minorEastAsia" w:eastAsiaTheme="minorEastAsia"/>
        </w:rPr>
      </w:pPr>
      <w:r>
        <w:rPr>
          <w:rFonts w:hint="eastAsia" w:cs="Times New Roman" w:hAnsiTheme="minorEastAsia" w:eastAsiaTheme="minorEastAsia"/>
        </w:rPr>
        <w:t>六枝特区化工园区在</w:t>
      </w:r>
      <w:r>
        <w:rPr>
          <w:rFonts w:hint="eastAsia" w:cs="Times New Roman" w:hAnsiTheme="minorEastAsia" w:eastAsiaTheme="minorEastAsia"/>
          <w:kern w:val="0"/>
        </w:rPr>
        <w:t>锂电池储能材料</w:t>
      </w:r>
      <w:r>
        <w:rPr>
          <w:rFonts w:hint="eastAsia" w:cs="Times New Roman" w:hAnsiTheme="minorEastAsia" w:eastAsiaTheme="minorEastAsia"/>
        </w:rPr>
        <w:t>方面</w:t>
      </w:r>
      <w:r>
        <w:rPr>
          <w:rFonts w:cs="Times New Roman" w:hAnsiTheme="minorEastAsia" w:eastAsiaTheme="minorEastAsia"/>
        </w:rPr>
        <w:t>，</w:t>
      </w:r>
      <w:r>
        <w:rPr>
          <w:rFonts w:hint="eastAsia" w:cs="Times New Roman" w:hAnsiTheme="minorEastAsia" w:eastAsiaTheme="minorEastAsia"/>
        </w:rPr>
        <w:t>规划9万</w:t>
      </w:r>
      <w:r>
        <w:rPr>
          <w:rFonts w:cs="Times New Roman" w:hAnsiTheme="minorEastAsia" w:eastAsiaTheme="minorEastAsia"/>
        </w:rPr>
        <w:t>吨</w:t>
      </w:r>
      <w:r>
        <w:rPr>
          <w:rFonts w:hint="eastAsia" w:cs="Times New Roman" w:hAnsiTheme="minorEastAsia" w:eastAsiaTheme="minorEastAsia"/>
        </w:rPr>
        <w:t>/年</w:t>
      </w:r>
      <w:r>
        <w:rPr>
          <w:rFonts w:cs="Times New Roman" w:hAnsiTheme="minorEastAsia" w:eastAsiaTheme="minorEastAsia"/>
        </w:rPr>
        <w:t>碳酸锂、</w:t>
      </w:r>
      <w:r>
        <w:rPr>
          <w:rFonts w:hint="eastAsia" w:cs="Times New Roman" w:hAnsiTheme="minorEastAsia" w:eastAsiaTheme="minorEastAsia"/>
        </w:rPr>
        <w:t>3</w:t>
      </w:r>
      <w:r>
        <w:rPr>
          <w:rFonts w:cs="Times New Roman" w:eastAsiaTheme="minorEastAsia"/>
        </w:rPr>
        <w:t>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年磷酸铁锂</w:t>
      </w:r>
      <w:r>
        <w:rPr>
          <w:rFonts w:hint="eastAsia" w:cs="Times New Roman" w:hAnsiTheme="minorEastAsia" w:eastAsiaTheme="minorEastAsia"/>
        </w:rPr>
        <w:t>、5万吨/年</w:t>
      </w:r>
      <w:r>
        <w:rPr>
          <w:rFonts w:cs="Times New Roman" w:hAnsiTheme="minorEastAsia" w:eastAsiaTheme="minorEastAsia"/>
        </w:rPr>
        <w:t>锰酸锂、</w:t>
      </w:r>
      <w:r>
        <w:rPr>
          <w:rFonts w:hint="eastAsia" w:cs="Times New Roman" w:hAnsiTheme="minorEastAsia" w:eastAsiaTheme="minorEastAsia"/>
        </w:rPr>
        <w:t>0.</w:t>
      </w:r>
      <w:r>
        <w:rPr>
          <w:rFonts w:cs="Times New Roman" w:hAnsiTheme="minorEastAsia" w:eastAsiaTheme="minorEastAsia"/>
        </w:rPr>
        <w:t>5</w:t>
      </w:r>
      <w:r>
        <w:rPr>
          <w:rFonts w:hint="eastAsia" w:cs="Times New Roman" w:hAnsiTheme="minorEastAsia" w:eastAsiaTheme="minorEastAsia"/>
        </w:rPr>
        <w:t>万</w:t>
      </w:r>
      <w:r>
        <w:rPr>
          <w:rFonts w:cs="Times New Roman" w:hAnsiTheme="minorEastAsia" w:eastAsiaTheme="minorEastAsia"/>
        </w:rPr>
        <w:t>吨</w:t>
      </w:r>
      <w:r>
        <w:rPr>
          <w:rFonts w:hint="eastAsia" w:cs="Times New Roman" w:hAnsiTheme="minorEastAsia" w:eastAsiaTheme="minorEastAsia"/>
        </w:rPr>
        <w:t>/年</w:t>
      </w:r>
      <w:r>
        <w:rPr>
          <w:rFonts w:cs="Times New Roman" w:hAnsiTheme="minorEastAsia" w:eastAsiaTheme="minorEastAsia"/>
        </w:rPr>
        <w:t>钴酸锂、</w:t>
      </w:r>
      <w:r>
        <w:rPr>
          <w:rFonts w:hint="eastAsia" w:cs="Times New Roman" w:hAnsiTheme="minorEastAsia" w:eastAsiaTheme="minorEastAsia"/>
        </w:rPr>
        <w:t>1万</w:t>
      </w:r>
      <w:r>
        <w:rPr>
          <w:rFonts w:cs="Times New Roman" w:hAnsiTheme="minorEastAsia" w:eastAsiaTheme="minorEastAsia"/>
        </w:rPr>
        <w:t>吨</w:t>
      </w:r>
      <w:r>
        <w:rPr>
          <w:rFonts w:hint="eastAsia" w:cs="Times New Roman" w:hAnsiTheme="minorEastAsia" w:eastAsiaTheme="minorEastAsia"/>
        </w:rPr>
        <w:t>/年</w:t>
      </w:r>
      <w:r>
        <w:rPr>
          <w:rFonts w:cs="Times New Roman" w:hAnsiTheme="minorEastAsia" w:eastAsiaTheme="minorEastAsia"/>
        </w:rPr>
        <w:t>镍钴锰酸锂、</w:t>
      </w:r>
      <w:r>
        <w:rPr>
          <w:rFonts w:hint="eastAsia" w:cs="Times New Roman" w:hAnsiTheme="minorEastAsia" w:eastAsiaTheme="minorEastAsia"/>
        </w:rPr>
        <w:t>0.5万</w:t>
      </w:r>
      <w:r>
        <w:rPr>
          <w:rFonts w:cs="Times New Roman" w:hAnsiTheme="minorEastAsia" w:eastAsiaTheme="minorEastAsia"/>
        </w:rPr>
        <w:t>吨</w:t>
      </w:r>
      <w:r>
        <w:rPr>
          <w:rFonts w:hint="eastAsia" w:cs="Times New Roman" w:hAnsiTheme="minorEastAsia" w:eastAsiaTheme="minorEastAsia"/>
        </w:rPr>
        <w:t>/年</w:t>
      </w:r>
      <w:r>
        <w:rPr>
          <w:rFonts w:cs="Times New Roman" w:hAnsiTheme="minorEastAsia" w:eastAsiaTheme="minorEastAsia"/>
        </w:rPr>
        <w:t>镍钴铝酸</w:t>
      </w:r>
      <w:r>
        <w:rPr>
          <w:rFonts w:hint="eastAsia" w:cs="Times New Roman" w:hAnsiTheme="minorEastAsia" w:eastAsiaTheme="minorEastAsia"/>
        </w:rPr>
        <w:t>锂、8万</w:t>
      </w:r>
      <w:r>
        <w:rPr>
          <w:rFonts w:cs="Times New Roman" w:hAnsiTheme="minorEastAsia" w:eastAsiaTheme="minorEastAsia"/>
        </w:rPr>
        <w:t>吨</w:t>
      </w:r>
      <w:r>
        <w:rPr>
          <w:rFonts w:hint="eastAsia" w:cs="Times New Roman" w:hAnsiTheme="minorEastAsia" w:eastAsiaTheme="minorEastAsia"/>
        </w:rPr>
        <w:t>/年六</w:t>
      </w:r>
      <w:r>
        <w:rPr>
          <w:rFonts w:cs="Times New Roman" w:hAnsiTheme="minorEastAsia" w:eastAsiaTheme="minorEastAsia"/>
        </w:rPr>
        <w:t>氟</w:t>
      </w:r>
      <w:r>
        <w:rPr>
          <w:rFonts w:hint="eastAsia" w:cs="Times New Roman" w:hAnsiTheme="minorEastAsia" w:eastAsiaTheme="minorEastAsia"/>
        </w:rPr>
        <w:t>磷</w:t>
      </w:r>
      <w:r>
        <w:rPr>
          <w:rFonts w:cs="Times New Roman" w:hAnsiTheme="minorEastAsia" w:eastAsiaTheme="minorEastAsia"/>
        </w:rPr>
        <w:t>酸锂电解液、</w:t>
      </w:r>
      <w:r>
        <w:rPr>
          <w:rFonts w:hint="eastAsia" w:cs="Times New Roman" w:hAnsiTheme="minorEastAsia" w:eastAsiaTheme="minorEastAsia"/>
        </w:rPr>
        <w:t>0.5万</w:t>
      </w:r>
      <w:r>
        <w:rPr>
          <w:rFonts w:cs="Times New Roman" w:hAnsiTheme="minorEastAsia" w:eastAsiaTheme="minorEastAsia"/>
        </w:rPr>
        <w:t>吨</w:t>
      </w:r>
      <w:r>
        <w:rPr>
          <w:rFonts w:hint="eastAsia" w:cs="Times New Roman" w:hAnsiTheme="minorEastAsia" w:eastAsiaTheme="minorEastAsia"/>
        </w:rPr>
        <w:t>/年聚</w:t>
      </w:r>
      <w:r>
        <w:rPr>
          <w:rFonts w:cs="Times New Roman" w:hAnsiTheme="minorEastAsia" w:eastAsiaTheme="minorEastAsia"/>
        </w:rPr>
        <w:t>偏氟乙烯、</w:t>
      </w:r>
      <w:r>
        <w:rPr>
          <w:rFonts w:hint="eastAsia" w:cs="Times New Roman" w:hAnsiTheme="minorEastAsia" w:eastAsiaTheme="minorEastAsia"/>
        </w:rPr>
        <w:t>10万</w:t>
      </w:r>
      <w:r>
        <w:rPr>
          <w:rFonts w:cs="Times New Roman" w:hAnsiTheme="minorEastAsia" w:eastAsiaTheme="minorEastAsia"/>
        </w:rPr>
        <w:t>吨</w:t>
      </w:r>
      <w:r>
        <w:rPr>
          <w:rFonts w:hint="eastAsia" w:cs="Times New Roman" w:hAnsiTheme="minorEastAsia" w:eastAsiaTheme="minorEastAsia"/>
        </w:rPr>
        <w:t>/年石</w:t>
      </w:r>
      <w:r>
        <w:rPr>
          <w:rFonts w:cs="Times New Roman" w:hAnsiTheme="minorEastAsia" w:eastAsiaTheme="minorEastAsia"/>
        </w:rPr>
        <w:t>墨电极项目</w:t>
      </w:r>
      <w:r>
        <w:rPr>
          <w:rFonts w:hint="eastAsia" w:cs="Times New Roman" w:hAnsiTheme="minorEastAsia" w:eastAsiaTheme="minorEastAsia"/>
        </w:rPr>
        <w:t>。</w:t>
      </w:r>
    </w:p>
    <w:bookmarkEnd w:id="20"/>
    <w:p>
      <w:pPr>
        <w:ind w:firstLine="560"/>
        <w:rPr>
          <w:rFonts w:cs="Times New Roman" w:eastAsiaTheme="minorEastAsia"/>
        </w:rPr>
      </w:pPr>
    </w:p>
    <w:p>
      <w:pPr>
        <w:pStyle w:val="37"/>
        <w:rPr>
          <w:rFonts w:cs="Times New Roman" w:eastAsiaTheme="minorEastAsia"/>
        </w:rPr>
        <w:sectPr>
          <w:pgSz w:w="11906" w:h="16838"/>
          <w:pgMar w:top="1247" w:right="1361" w:bottom="1247" w:left="1361" w:header="851" w:footer="992" w:gutter="0"/>
          <w:pgNumType w:start="1"/>
          <w:cols w:space="425" w:num="1"/>
          <w:docGrid w:linePitch="381" w:charSpace="0"/>
        </w:sectPr>
      </w:pPr>
    </w:p>
    <w:p>
      <w:pPr>
        <w:pStyle w:val="4"/>
        <w:ind w:firstLine="602"/>
        <w:rPr>
          <w:rFonts w:cs="Times New Roman" w:eastAsiaTheme="minorEastAsia"/>
        </w:rPr>
      </w:pPr>
      <w:bookmarkStart w:id="21" w:name="_Toc126591863"/>
      <w:r>
        <w:rPr>
          <w:rFonts w:cs="Times New Roman" w:eastAsiaTheme="minorEastAsia"/>
        </w:rPr>
        <w:t>5.</w:t>
      </w:r>
      <w:r>
        <w:rPr>
          <w:rFonts w:hint="eastAsia" w:cs="Times New Roman" w:eastAsiaTheme="minorEastAsia"/>
        </w:rPr>
        <w:t>4</w:t>
      </w:r>
      <w:r>
        <w:rPr>
          <w:rFonts w:cs="Times New Roman" w:hAnsiTheme="minorEastAsia" w:eastAsiaTheme="minorEastAsia"/>
        </w:rPr>
        <w:t>发展产业链</w:t>
      </w:r>
      <w:bookmarkEnd w:id="21"/>
    </w:p>
    <w:p>
      <w:pPr>
        <w:pStyle w:val="5"/>
        <w:ind w:firstLine="562"/>
        <w:rPr>
          <w:rFonts w:cs="Times New Roman" w:eastAsiaTheme="minorEastAsia"/>
          <w:shd w:val="clear" w:color="auto" w:fill="FFFFFF"/>
        </w:rPr>
      </w:pPr>
      <w:r>
        <w:rPr>
          <w:rFonts w:cs="Times New Roman" w:eastAsiaTheme="minorEastAsia"/>
        </w:rPr>
        <w:t>5.</w:t>
      </w:r>
      <w:r>
        <w:rPr>
          <w:rFonts w:hint="eastAsia" w:cs="Times New Roman" w:eastAsiaTheme="minorEastAsia"/>
        </w:rPr>
        <w:t>4</w:t>
      </w:r>
      <w:r>
        <w:rPr>
          <w:rFonts w:cs="Times New Roman" w:eastAsiaTheme="minorEastAsia"/>
        </w:rPr>
        <w:t xml:space="preserve">.1 </w:t>
      </w:r>
      <w:r>
        <w:rPr>
          <w:rFonts w:hint="eastAsia" w:cs="Times New Roman" w:eastAsiaTheme="minorEastAsia"/>
        </w:rPr>
        <w:t>现代煤化工</w:t>
      </w:r>
      <w:r>
        <w:rPr>
          <w:rFonts w:cs="Times New Roman" w:hAnsiTheme="minorEastAsia" w:eastAsiaTheme="minorEastAsia"/>
        </w:rPr>
        <w:t>产业</w:t>
      </w:r>
      <w:r>
        <w:rPr>
          <w:rFonts w:cs="Times New Roman" w:hAnsiTheme="minorEastAsia" w:eastAsiaTheme="minorEastAsia"/>
          <w:shd w:val="clear" w:color="auto" w:fill="FFFFFF"/>
        </w:rPr>
        <w:t>链图</w:t>
      </w:r>
    </w:p>
    <w:p>
      <w:pPr>
        <w:pStyle w:val="37"/>
        <w:rPr>
          <w:rFonts w:cs="Times New Roman" w:eastAsiaTheme="minorEastAsia"/>
        </w:rPr>
      </w:pPr>
      <w:r>
        <w:rPr>
          <w:rFonts w:cs="Times New Roman" w:eastAsiaTheme="minorEastAsia"/>
        </w:rPr>
        <w:drawing>
          <wp:inline distT="0" distB="0" distL="0" distR="0">
            <wp:extent cx="7094220" cy="4652645"/>
            <wp:effectExtent l="0" t="0" r="0" b="0"/>
            <wp:docPr id="3" name="图片 3" descr="D:\Documents\导图\煤化工产业路线图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Documents\导图\煤化工产业路线图1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7103277" cy="4658995"/>
                    </a:xfrm>
                    <a:prstGeom prst="rect">
                      <a:avLst/>
                    </a:prstGeom>
                    <a:noFill/>
                    <a:ln>
                      <a:noFill/>
                    </a:ln>
                  </pic:spPr>
                </pic:pic>
              </a:graphicData>
            </a:graphic>
          </wp:inline>
        </w:drawing>
      </w:r>
    </w:p>
    <w:p>
      <w:pPr>
        <w:pStyle w:val="37"/>
        <w:rPr>
          <w:rFonts w:cs="Times New Roman" w:hAnsiTheme="minorEastAsia" w:eastAsiaTheme="minorEastAsia"/>
        </w:rPr>
      </w:pPr>
      <w:r>
        <w:rPr>
          <w:rFonts w:cs="Times New Roman" w:hAnsiTheme="minorEastAsia" w:eastAsiaTheme="minorEastAsia"/>
        </w:rPr>
        <w:t>图</w:t>
      </w:r>
      <w:r>
        <w:rPr>
          <w:rFonts w:cs="Times New Roman" w:eastAsiaTheme="minorEastAsia"/>
        </w:rPr>
        <w:t xml:space="preserve">5-1 </w:t>
      </w:r>
      <w:r>
        <w:rPr>
          <w:rFonts w:hint="eastAsia" w:cs="Times New Roman" w:eastAsiaTheme="minorEastAsia"/>
        </w:rPr>
        <w:t>现代煤化工</w:t>
      </w:r>
      <w:r>
        <w:rPr>
          <w:rFonts w:cs="Times New Roman" w:hAnsiTheme="minorEastAsia" w:eastAsiaTheme="minorEastAsia"/>
        </w:rPr>
        <w:t>产业链图（单位：万吨</w:t>
      </w:r>
      <w:r>
        <w:rPr>
          <w:rFonts w:cs="Times New Roman" w:eastAsiaTheme="minorEastAsia"/>
        </w:rPr>
        <w:t>/</w:t>
      </w:r>
      <w:r>
        <w:rPr>
          <w:rFonts w:cs="Times New Roman" w:hAnsiTheme="minorEastAsia" w:eastAsiaTheme="minorEastAsia"/>
        </w:rPr>
        <w:t>年）</w:t>
      </w:r>
      <w:r>
        <w:rPr>
          <w:rFonts w:cs="Times New Roman" w:hAnsiTheme="minorEastAsia" w:eastAsiaTheme="minorEastAsia"/>
        </w:rPr>
        <w:br w:type="page"/>
      </w:r>
    </w:p>
    <w:p>
      <w:pPr>
        <w:pStyle w:val="5"/>
        <w:ind w:firstLine="562"/>
        <w:rPr>
          <w:rFonts w:cs="Times New Roman" w:hAnsiTheme="minorEastAsia" w:eastAsiaTheme="minorEastAsia"/>
        </w:rPr>
      </w:pPr>
      <w:r>
        <w:rPr>
          <w:rFonts w:cs="Times New Roman" w:eastAsiaTheme="minorEastAsia"/>
        </w:rPr>
        <w:t>5.</w:t>
      </w:r>
      <w:r>
        <w:rPr>
          <w:rFonts w:hint="eastAsia" w:cs="Times New Roman" w:eastAsiaTheme="minorEastAsia"/>
        </w:rPr>
        <w:t>4</w:t>
      </w:r>
      <w:r>
        <w:rPr>
          <w:rFonts w:cs="Times New Roman" w:eastAsiaTheme="minorEastAsia"/>
        </w:rPr>
        <w:t xml:space="preserve">.2 </w:t>
      </w:r>
      <w:r>
        <w:rPr>
          <w:rFonts w:hint="eastAsia" w:cs="Times New Roman" w:eastAsiaTheme="minorEastAsia"/>
        </w:rPr>
        <w:t>精</w:t>
      </w:r>
      <w:r>
        <w:rPr>
          <w:rFonts w:cs="Times New Roman" w:eastAsiaTheme="minorEastAsia"/>
        </w:rPr>
        <w:t>细</w:t>
      </w:r>
      <w:r>
        <w:rPr>
          <w:rFonts w:hint="eastAsia" w:cs="Times New Roman" w:hAnsiTheme="minorEastAsia" w:eastAsiaTheme="minorEastAsia"/>
        </w:rPr>
        <w:t>化工</w:t>
      </w:r>
      <w:r>
        <w:rPr>
          <w:rFonts w:cs="Times New Roman" w:hAnsiTheme="minorEastAsia" w:eastAsiaTheme="minorEastAsia"/>
        </w:rPr>
        <w:t>产业链图</w:t>
      </w:r>
    </w:p>
    <w:p>
      <w:pPr>
        <w:ind w:firstLine="560"/>
        <w:rPr>
          <w:rFonts w:cs="Times New Roman" w:hAnsiTheme="minorEastAsia" w:eastAsiaTheme="minorEastAsia"/>
        </w:rPr>
      </w:pPr>
      <w:r>
        <w:rPr>
          <w:rFonts w:hint="eastAsia" w:cs="Times New Roman" w:hAnsiTheme="minorEastAsia" w:eastAsiaTheme="minorEastAsia"/>
        </w:rPr>
        <w:drawing>
          <wp:anchor distT="0" distB="0" distL="114300" distR="114300" simplePos="0" relativeHeight="251660288" behindDoc="1" locked="0" layoutInCell="1" allowOverlap="1">
            <wp:simplePos x="0" y="0"/>
            <wp:positionH relativeFrom="column">
              <wp:posOffset>1125220</wp:posOffset>
            </wp:positionH>
            <wp:positionV relativeFrom="paragraph">
              <wp:posOffset>42545</wp:posOffset>
            </wp:positionV>
            <wp:extent cx="5497830" cy="4827270"/>
            <wp:effectExtent l="0" t="0" r="1270" b="11430"/>
            <wp:wrapNone/>
            <wp:docPr id="7" name="图片 7" descr="QQ图片2022122716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QQ图片20221227161403"/>
                    <pic:cNvPicPr>
                      <a:picLocks noChangeAspect="1"/>
                    </pic:cNvPicPr>
                  </pic:nvPicPr>
                  <pic:blipFill>
                    <a:blip r:embed="rId16"/>
                    <a:stretch>
                      <a:fillRect/>
                    </a:stretch>
                  </pic:blipFill>
                  <pic:spPr>
                    <a:xfrm>
                      <a:off x="0" y="0"/>
                      <a:ext cx="5497830" cy="4827270"/>
                    </a:xfrm>
                    <a:prstGeom prst="rect">
                      <a:avLst/>
                    </a:prstGeom>
                  </pic:spPr>
                </pic:pic>
              </a:graphicData>
            </a:graphic>
          </wp:anchor>
        </w:drawing>
      </w:r>
    </w:p>
    <w:p>
      <w:pPr>
        <w:pStyle w:val="2"/>
        <w:ind w:firstLine="560"/>
        <w:rPr>
          <w:rFonts w:cs="Times New Roman" w:hAnsiTheme="minorEastAsia" w:eastAsiaTheme="minorEastAsia"/>
        </w:rPr>
      </w:pPr>
    </w:p>
    <w:p>
      <w:pPr>
        <w:ind w:firstLine="560"/>
      </w:pPr>
    </w:p>
    <w:p>
      <w:pPr>
        <w:pStyle w:val="37"/>
      </w:pPr>
    </w:p>
    <w:p>
      <w:pPr>
        <w:pStyle w:val="37"/>
        <w:rPr>
          <w:rFonts w:cs="Times New Roman" w:hAnsiTheme="minorEastAsia" w:eastAsiaTheme="minorEastAsia"/>
        </w:rPr>
      </w:pPr>
    </w:p>
    <w:p>
      <w:pPr>
        <w:pStyle w:val="37"/>
        <w:rPr>
          <w:rFonts w:cs="Times New Roman" w:hAnsiTheme="minorEastAsia" w:eastAsiaTheme="minorEastAsia"/>
        </w:rPr>
      </w:pPr>
    </w:p>
    <w:p>
      <w:pPr>
        <w:pStyle w:val="37"/>
        <w:rPr>
          <w:rFonts w:cs="Times New Roman" w:hAnsiTheme="minorEastAsia" w:eastAsiaTheme="minorEastAsia"/>
        </w:rPr>
      </w:pPr>
    </w:p>
    <w:p>
      <w:pPr>
        <w:pStyle w:val="37"/>
        <w:rPr>
          <w:rFonts w:cs="Times New Roman" w:hAnsiTheme="minorEastAsia" w:eastAsiaTheme="minorEastAsia"/>
        </w:rPr>
      </w:pPr>
    </w:p>
    <w:p>
      <w:pPr>
        <w:pStyle w:val="37"/>
        <w:rPr>
          <w:rFonts w:cs="Times New Roman" w:hAnsiTheme="minorEastAsia" w:eastAsiaTheme="minorEastAsia"/>
        </w:rPr>
      </w:pPr>
    </w:p>
    <w:p>
      <w:pPr>
        <w:pStyle w:val="37"/>
        <w:rPr>
          <w:rFonts w:cs="Times New Roman" w:hAnsiTheme="minorEastAsia" w:eastAsiaTheme="minorEastAsia"/>
        </w:rPr>
      </w:pPr>
    </w:p>
    <w:p>
      <w:pPr>
        <w:pStyle w:val="37"/>
        <w:rPr>
          <w:rFonts w:cs="Times New Roman" w:hAnsiTheme="minorEastAsia" w:eastAsiaTheme="minorEastAsia"/>
        </w:rPr>
      </w:pPr>
    </w:p>
    <w:p>
      <w:pPr>
        <w:pStyle w:val="37"/>
        <w:rPr>
          <w:rFonts w:cs="Times New Roman" w:hAnsiTheme="minorEastAsia" w:eastAsiaTheme="minorEastAsia"/>
        </w:rPr>
      </w:pPr>
    </w:p>
    <w:p>
      <w:pPr>
        <w:pStyle w:val="37"/>
        <w:rPr>
          <w:rFonts w:cs="Times New Roman" w:hAnsiTheme="minorEastAsia" w:eastAsiaTheme="minorEastAsia"/>
        </w:rPr>
      </w:pPr>
    </w:p>
    <w:p>
      <w:pPr>
        <w:pStyle w:val="37"/>
        <w:rPr>
          <w:rFonts w:cs="Times New Roman" w:hAnsiTheme="minorEastAsia" w:eastAsiaTheme="minorEastAsia"/>
        </w:rPr>
      </w:pPr>
    </w:p>
    <w:p>
      <w:pPr>
        <w:pStyle w:val="37"/>
        <w:rPr>
          <w:rFonts w:cs="Times New Roman" w:hAnsiTheme="minorEastAsia" w:eastAsiaTheme="minorEastAsia"/>
        </w:rPr>
      </w:pPr>
    </w:p>
    <w:p>
      <w:pPr>
        <w:pStyle w:val="37"/>
        <w:rPr>
          <w:rFonts w:cs="Times New Roman" w:hAnsiTheme="minorEastAsia" w:eastAsiaTheme="minorEastAsia"/>
        </w:rPr>
      </w:pPr>
    </w:p>
    <w:p>
      <w:pPr>
        <w:pStyle w:val="37"/>
        <w:rPr>
          <w:rFonts w:cs="Times New Roman" w:hAnsiTheme="minorEastAsia" w:eastAsiaTheme="minorEastAsia"/>
        </w:rPr>
      </w:pPr>
    </w:p>
    <w:p>
      <w:pPr>
        <w:pStyle w:val="37"/>
        <w:rPr>
          <w:rFonts w:cs="Times New Roman" w:hAnsiTheme="minorEastAsia" w:eastAsiaTheme="minorEastAsia"/>
        </w:rPr>
      </w:pPr>
    </w:p>
    <w:p>
      <w:pPr>
        <w:pStyle w:val="37"/>
        <w:rPr>
          <w:rFonts w:cs="Times New Roman" w:hAnsiTheme="minorEastAsia" w:eastAsiaTheme="minorEastAsia"/>
        </w:rPr>
      </w:pPr>
    </w:p>
    <w:p>
      <w:pPr>
        <w:pStyle w:val="37"/>
        <w:rPr>
          <w:rFonts w:cs="Times New Roman" w:hAnsiTheme="minorEastAsia" w:eastAsiaTheme="minorEastAsia"/>
        </w:rPr>
      </w:pPr>
    </w:p>
    <w:p>
      <w:pPr>
        <w:pStyle w:val="37"/>
      </w:pPr>
      <w:r>
        <w:rPr>
          <w:rFonts w:cs="Times New Roman" w:hAnsiTheme="minorEastAsia" w:eastAsiaTheme="minorEastAsia"/>
        </w:rPr>
        <w:t>图</w:t>
      </w:r>
      <w:r>
        <w:rPr>
          <w:rFonts w:cs="Times New Roman" w:eastAsiaTheme="minorEastAsia"/>
        </w:rPr>
        <w:t>5-2</w:t>
      </w:r>
      <w:r>
        <w:rPr>
          <w:rFonts w:hint="eastAsia" w:cs="Times New Roman" w:eastAsiaTheme="minorEastAsia"/>
        </w:rPr>
        <w:t>精</w:t>
      </w:r>
      <w:r>
        <w:rPr>
          <w:rFonts w:cs="Times New Roman" w:eastAsiaTheme="minorEastAsia"/>
        </w:rPr>
        <w:t>细</w:t>
      </w:r>
      <w:r>
        <w:rPr>
          <w:rFonts w:hint="eastAsia" w:cs="Times New Roman" w:hAnsiTheme="minorEastAsia" w:eastAsiaTheme="minorEastAsia"/>
        </w:rPr>
        <w:t>化工</w:t>
      </w:r>
      <w:r>
        <w:rPr>
          <w:rFonts w:cs="Times New Roman" w:hAnsiTheme="minorEastAsia" w:eastAsiaTheme="minorEastAsia"/>
        </w:rPr>
        <w:t>产业链图（单位：万吨</w:t>
      </w:r>
      <w:r>
        <w:rPr>
          <w:rFonts w:cs="Times New Roman" w:eastAsiaTheme="minorEastAsia"/>
        </w:rPr>
        <w:t>/</w:t>
      </w:r>
      <w:r>
        <w:rPr>
          <w:rFonts w:cs="Times New Roman" w:hAnsiTheme="minorEastAsia" w:eastAsiaTheme="minorEastAsia"/>
        </w:rPr>
        <w:t>年）</w:t>
      </w:r>
    </w:p>
    <w:p>
      <w:pPr>
        <w:pStyle w:val="2"/>
        <w:ind w:firstLine="560"/>
        <w:sectPr>
          <w:pgSz w:w="16839" w:h="11907" w:orient="landscape"/>
          <w:pgMar w:top="1247" w:right="1361" w:bottom="1247" w:left="1361" w:header="851" w:footer="992" w:gutter="0"/>
          <w:cols w:space="425" w:num="1"/>
          <w:docGrid w:linePitch="381" w:charSpace="0"/>
        </w:sectPr>
      </w:pPr>
    </w:p>
    <w:p>
      <w:pPr>
        <w:pStyle w:val="4"/>
        <w:ind w:firstLine="602"/>
        <w:rPr>
          <w:rFonts w:cs="Times New Roman" w:eastAsiaTheme="minorEastAsia"/>
        </w:rPr>
      </w:pPr>
      <w:bookmarkStart w:id="22" w:name="_Toc126591864"/>
      <w:r>
        <w:rPr>
          <w:rFonts w:cs="Times New Roman" w:eastAsiaTheme="minorEastAsia"/>
        </w:rPr>
        <w:t>5.</w:t>
      </w:r>
      <w:r>
        <w:rPr>
          <w:rFonts w:hint="eastAsia" w:cs="Times New Roman" w:eastAsiaTheme="minorEastAsia"/>
        </w:rPr>
        <w:t>5</w:t>
      </w:r>
      <w:r>
        <w:rPr>
          <w:rFonts w:cs="Times New Roman" w:hAnsiTheme="minorEastAsia" w:eastAsiaTheme="minorEastAsia"/>
        </w:rPr>
        <w:t>园区规划项目</w:t>
      </w:r>
      <w:bookmarkEnd w:id="22"/>
    </w:p>
    <w:p>
      <w:pPr>
        <w:pStyle w:val="37"/>
        <w:rPr>
          <w:rFonts w:cs="Times New Roman" w:eastAsiaTheme="minorEastAsia"/>
        </w:rPr>
      </w:pPr>
      <w:r>
        <w:rPr>
          <w:rFonts w:cs="Times New Roman" w:hAnsiTheme="minorEastAsia" w:eastAsiaTheme="minorEastAsia"/>
        </w:rPr>
        <w:t>表</w:t>
      </w:r>
      <w:r>
        <w:rPr>
          <w:rFonts w:cs="Times New Roman" w:eastAsiaTheme="minorEastAsia"/>
        </w:rPr>
        <w:t xml:space="preserve">5-1 </w:t>
      </w:r>
      <w:r>
        <w:rPr>
          <w:rFonts w:cs="Times New Roman" w:hAnsiTheme="minorEastAsia" w:eastAsiaTheme="minorEastAsia"/>
        </w:rPr>
        <w:t>化工园区规划项目表</w:t>
      </w:r>
    </w:p>
    <w:tbl>
      <w:tblPr>
        <w:tblStyle w:val="30"/>
        <w:tblW w:w="8930" w:type="dxa"/>
        <w:jc w:val="center"/>
        <w:tblLayout w:type="autofit"/>
        <w:tblCellMar>
          <w:top w:w="0" w:type="dxa"/>
          <w:left w:w="28" w:type="dxa"/>
          <w:bottom w:w="0" w:type="dxa"/>
          <w:right w:w="28" w:type="dxa"/>
        </w:tblCellMar>
      </w:tblPr>
      <w:tblGrid>
        <w:gridCol w:w="608"/>
        <w:gridCol w:w="881"/>
        <w:gridCol w:w="1203"/>
        <w:gridCol w:w="1418"/>
        <w:gridCol w:w="1134"/>
        <w:gridCol w:w="865"/>
        <w:gridCol w:w="951"/>
        <w:gridCol w:w="947"/>
        <w:gridCol w:w="923"/>
      </w:tblGrid>
      <w:tr>
        <w:tblPrEx>
          <w:tblCellMar>
            <w:top w:w="0" w:type="dxa"/>
            <w:left w:w="28" w:type="dxa"/>
            <w:bottom w:w="0" w:type="dxa"/>
            <w:right w:w="28" w:type="dxa"/>
          </w:tblCellMar>
        </w:tblPrEx>
        <w:trPr>
          <w:trHeight w:val="864" w:hRule="atLeast"/>
          <w:jc w:val="center"/>
        </w:trPr>
        <w:tc>
          <w:tcPr>
            <w:tcW w:w="6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序号</w:t>
            </w:r>
          </w:p>
        </w:tc>
        <w:tc>
          <w:tcPr>
            <w:tcW w:w="2084" w:type="dxa"/>
            <w:gridSpan w:val="2"/>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项目名称</w:t>
            </w:r>
          </w:p>
        </w:tc>
        <w:tc>
          <w:tcPr>
            <w:tcW w:w="1418"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产品</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规模</w:t>
            </w:r>
            <w:r>
              <w:rPr>
                <w:rFonts w:cs="Times New Roman"/>
                <w:b/>
                <w:bCs/>
                <w:kern w:val="0"/>
                <w:sz w:val="21"/>
              </w:rPr>
              <w:t>(</w:t>
            </w:r>
            <w:r>
              <w:rPr>
                <w:rFonts w:hint="eastAsia" w:ascii="宋体" w:hAnsi="宋体" w:cs="宋体"/>
                <w:b/>
                <w:bCs/>
                <w:kern w:val="0"/>
                <w:sz w:val="21"/>
              </w:rPr>
              <w:t>万吨</w:t>
            </w:r>
            <w:r>
              <w:rPr>
                <w:rFonts w:cs="Times New Roman"/>
                <w:b/>
                <w:bCs/>
                <w:kern w:val="0"/>
                <w:sz w:val="21"/>
              </w:rPr>
              <w:t>)</w:t>
            </w:r>
          </w:p>
        </w:tc>
        <w:tc>
          <w:tcPr>
            <w:tcW w:w="865"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总投资（万元）</w:t>
            </w:r>
          </w:p>
        </w:tc>
        <w:tc>
          <w:tcPr>
            <w:tcW w:w="951"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销售收入（万元）</w:t>
            </w:r>
          </w:p>
        </w:tc>
        <w:tc>
          <w:tcPr>
            <w:tcW w:w="94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利税（万元）</w:t>
            </w:r>
          </w:p>
        </w:tc>
        <w:tc>
          <w:tcPr>
            <w:tcW w:w="923"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规划时限</w:t>
            </w:r>
          </w:p>
        </w:tc>
      </w:tr>
      <w:tr>
        <w:tblPrEx>
          <w:tblCellMar>
            <w:top w:w="0" w:type="dxa"/>
            <w:left w:w="28" w:type="dxa"/>
            <w:bottom w:w="0" w:type="dxa"/>
            <w:right w:w="28" w:type="dxa"/>
          </w:tblCellMar>
        </w:tblPrEx>
        <w:trPr>
          <w:trHeight w:val="288" w:hRule="atLeast"/>
          <w:jc w:val="center"/>
        </w:trPr>
        <w:tc>
          <w:tcPr>
            <w:tcW w:w="608"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w:t>
            </w:r>
          </w:p>
        </w:tc>
        <w:tc>
          <w:tcPr>
            <w:tcW w:w="881" w:type="dxa"/>
            <w:vMerge w:val="restart"/>
            <w:tcBorders>
              <w:top w:val="nil"/>
              <w:left w:val="single" w:color="auto" w:sz="4" w:space="0"/>
              <w:bottom w:val="nil"/>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现代煤化工</w:t>
            </w:r>
          </w:p>
        </w:tc>
        <w:tc>
          <w:tcPr>
            <w:tcW w:w="1203"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焦化</w:t>
            </w: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焦炭</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400</w:t>
            </w:r>
          </w:p>
        </w:tc>
        <w:tc>
          <w:tcPr>
            <w:tcW w:w="865"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930000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800000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37600</w:t>
            </w:r>
          </w:p>
        </w:tc>
        <w:tc>
          <w:tcPr>
            <w:tcW w:w="923"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近期</w:t>
            </w: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焦炉气综合利用及化产深加工</w:t>
            </w: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焦油</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20</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112000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5264</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粗苯</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5.5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35750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1680.25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LNG</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20</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140000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6580</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液氨</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30</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90000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4230</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液态二氧化碳</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15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4200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197.4</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硫磺</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0.88</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1320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62.04</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硫铵</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5.4</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7560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355.32</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高纯氢</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11000</w:t>
            </w:r>
            <w:r>
              <w:rPr>
                <w:rFonts w:hint="eastAsia" w:cs="Times New Roman"/>
                <w:kern w:val="0"/>
                <w:sz w:val="21"/>
              </w:rPr>
              <w:t>m</w:t>
            </w:r>
            <w:r>
              <w:rPr>
                <w:rFonts w:cs="Times New Roman"/>
                <w:kern w:val="0"/>
                <w:sz w:val="21"/>
                <w:vertAlign w:val="superscript"/>
              </w:rPr>
              <w:t>3</w:t>
            </w:r>
            <w:r>
              <w:rPr>
                <w:rFonts w:hint="eastAsia" w:cs="Times New Roman"/>
                <w:kern w:val="0"/>
                <w:sz w:val="21"/>
              </w:rPr>
              <w:t>/h</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23760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1116.72</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纯苯</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11.6</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81200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3816.4</w:t>
            </w:r>
          </w:p>
        </w:tc>
        <w:tc>
          <w:tcPr>
            <w:tcW w:w="923"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远期</w:t>
            </w: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甲苯</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2.2</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16500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775.5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二甲苯</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0.6</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4920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231.24</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古马隆</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1.5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5250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246.75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二甲酚</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0.12</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1200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56.4</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苯酚</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0.12</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1200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56.4</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邻苯酚</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0.07</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700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32.9</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间对位甲酚</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0.1</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47</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精萘</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3.5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26250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1233.75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苯酐</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1.5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12750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599.25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喹啉</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0.45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4950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232.65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工业芴</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0.25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7000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329</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精蒽</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1</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16000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752</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轻质白油</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2</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8000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376</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针状焦</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10</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45000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2115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炭黑</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12.5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137500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6462.5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300" w:hRule="atLeast"/>
          <w:jc w:val="center"/>
        </w:trPr>
        <w:tc>
          <w:tcPr>
            <w:tcW w:w="608"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w:t>
            </w:r>
          </w:p>
        </w:tc>
        <w:tc>
          <w:tcPr>
            <w:tcW w:w="2084" w:type="dxa"/>
            <w:gridSpan w:val="2"/>
            <w:vMerge w:val="restart"/>
            <w:tcBorders>
              <w:top w:val="single" w:color="auto" w:sz="4" w:space="0"/>
              <w:left w:val="single" w:color="auto" w:sz="4" w:space="0"/>
              <w:bottom w:val="single" w:color="000000" w:sz="4" w:space="0"/>
              <w:right w:val="single" w:color="000000"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精细化工</w:t>
            </w:r>
          </w:p>
        </w:tc>
        <w:tc>
          <w:tcPr>
            <w:tcW w:w="1418"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磷酸铁锂</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10</w:t>
            </w:r>
          </w:p>
        </w:tc>
        <w:tc>
          <w:tcPr>
            <w:tcW w:w="865"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300000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1500000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220500</w:t>
            </w:r>
          </w:p>
        </w:tc>
        <w:tc>
          <w:tcPr>
            <w:tcW w:w="923"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近期</w:t>
            </w:r>
          </w:p>
        </w:tc>
      </w:tr>
      <w:tr>
        <w:tblPrEx>
          <w:tblCellMar>
            <w:top w:w="0" w:type="dxa"/>
            <w:left w:w="28" w:type="dxa"/>
            <w:bottom w:w="0" w:type="dxa"/>
            <w:right w:w="28" w:type="dxa"/>
          </w:tblCellMar>
        </w:tblPrEx>
        <w:trPr>
          <w:trHeight w:val="300"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20</w:t>
            </w:r>
          </w:p>
        </w:tc>
        <w:tc>
          <w:tcPr>
            <w:tcW w:w="865"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500000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3000000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441000</w:t>
            </w:r>
          </w:p>
        </w:tc>
        <w:tc>
          <w:tcPr>
            <w:tcW w:w="923"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远期</w:t>
            </w:r>
          </w:p>
        </w:tc>
      </w:tr>
      <w:tr>
        <w:tblPrEx>
          <w:tblCellMar>
            <w:top w:w="0" w:type="dxa"/>
            <w:left w:w="28" w:type="dxa"/>
            <w:bottom w:w="0" w:type="dxa"/>
            <w:right w:w="28" w:type="dxa"/>
          </w:tblCellMar>
        </w:tblPrEx>
        <w:trPr>
          <w:trHeight w:val="576"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vMerge w:val="restart"/>
            <w:tcBorders>
              <w:top w:val="nil"/>
              <w:left w:val="nil"/>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碳酸锂(中间产品)</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2.3</w:t>
            </w:r>
          </w:p>
        </w:tc>
        <w:tc>
          <w:tcPr>
            <w:tcW w:w="865"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120000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hint="eastAsia" w:cs="Times New Roman"/>
                <w:kern w:val="0"/>
                <w:sz w:val="21"/>
              </w:rPr>
              <w:t>-</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hint="eastAsia" w:cs="Times New Roman"/>
                <w:kern w:val="0"/>
                <w:sz w:val="21"/>
              </w:rPr>
              <w:t>-</w:t>
            </w:r>
          </w:p>
        </w:tc>
        <w:tc>
          <w:tcPr>
            <w:tcW w:w="923"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近期</w:t>
            </w:r>
          </w:p>
        </w:tc>
      </w:tr>
      <w:tr>
        <w:tblPrEx>
          <w:tblCellMar>
            <w:top w:w="0" w:type="dxa"/>
            <w:left w:w="28" w:type="dxa"/>
            <w:bottom w:w="0" w:type="dxa"/>
            <w:right w:w="28" w:type="dxa"/>
          </w:tblCellMar>
        </w:tblPrEx>
        <w:trPr>
          <w:trHeight w:val="300"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vMerge w:val="continue"/>
            <w:tcBorders>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6.7</w:t>
            </w:r>
          </w:p>
        </w:tc>
        <w:tc>
          <w:tcPr>
            <w:tcW w:w="865"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180000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hint="eastAsia" w:cs="Times New Roman"/>
                <w:kern w:val="0"/>
                <w:sz w:val="21"/>
              </w:rPr>
              <w:t>-</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hint="eastAsia" w:cs="Times New Roman"/>
                <w:kern w:val="0"/>
                <w:sz w:val="21"/>
              </w:rPr>
              <w:t>-</w:t>
            </w:r>
          </w:p>
        </w:tc>
        <w:tc>
          <w:tcPr>
            <w:tcW w:w="923"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远期</w:t>
            </w: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锰酸锂</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w:t>
            </w:r>
          </w:p>
        </w:tc>
        <w:tc>
          <w:tcPr>
            <w:tcW w:w="865" w:type="dxa"/>
            <w:vMerge w:val="restart"/>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140000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390000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57330</w:t>
            </w:r>
          </w:p>
        </w:tc>
        <w:tc>
          <w:tcPr>
            <w:tcW w:w="923"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远期</w:t>
            </w: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钴酸锂</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0.5</w:t>
            </w:r>
          </w:p>
        </w:tc>
        <w:tc>
          <w:tcPr>
            <w:tcW w:w="865"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210000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30870</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镍钴锰酸锂</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w:t>
            </w:r>
          </w:p>
        </w:tc>
        <w:tc>
          <w:tcPr>
            <w:tcW w:w="865"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210000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30870</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镍钴铝酸锂</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0.5</w:t>
            </w:r>
          </w:p>
        </w:tc>
        <w:tc>
          <w:tcPr>
            <w:tcW w:w="865"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125000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18375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noWrap/>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六氟磷酸锂电解液</w:t>
            </w:r>
          </w:p>
        </w:tc>
        <w:tc>
          <w:tcPr>
            <w:tcW w:w="1134" w:type="dxa"/>
            <w:tcBorders>
              <w:top w:val="nil"/>
              <w:left w:val="nil"/>
              <w:bottom w:val="single" w:color="auto" w:sz="4" w:space="0"/>
              <w:right w:val="single" w:color="auto" w:sz="4" w:space="0"/>
            </w:tcBorders>
            <w:shd w:val="clear" w:color="auto" w:fill="auto"/>
            <w:noWrap/>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8</w:t>
            </w:r>
          </w:p>
        </w:tc>
        <w:tc>
          <w:tcPr>
            <w:tcW w:w="865"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42000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270400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39748.8</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noWrap/>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聚偏氟乙烯</w:t>
            </w:r>
          </w:p>
        </w:tc>
        <w:tc>
          <w:tcPr>
            <w:tcW w:w="1134" w:type="dxa"/>
            <w:tcBorders>
              <w:top w:val="nil"/>
              <w:left w:val="nil"/>
              <w:bottom w:val="single" w:color="auto" w:sz="4" w:space="0"/>
              <w:right w:val="single" w:color="auto" w:sz="4" w:space="0"/>
            </w:tcBorders>
            <w:shd w:val="clear" w:color="auto" w:fill="auto"/>
            <w:noWrap/>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w:t>
            </w:r>
            <w:r>
              <w:rPr>
                <w:rFonts w:ascii="宋体" w:hAnsi="宋体" w:cs="宋体"/>
                <w:kern w:val="0"/>
                <w:sz w:val="21"/>
              </w:rPr>
              <w:t>4</w:t>
            </w:r>
          </w:p>
        </w:tc>
        <w:tc>
          <w:tcPr>
            <w:tcW w:w="865"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30000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sz w:val="21"/>
              </w:rPr>
              <w:t>32000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sz w:val="21"/>
              </w:rPr>
              <w:t>4704</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超</w:t>
            </w:r>
            <w:r>
              <w:rPr>
                <w:rFonts w:ascii="宋体" w:hAnsi="宋体" w:cs="宋体"/>
                <w:kern w:val="0"/>
                <w:sz w:val="21"/>
              </w:rPr>
              <w:t>高功率</w:t>
            </w:r>
            <w:r>
              <w:rPr>
                <w:rFonts w:hint="eastAsia" w:ascii="宋体" w:hAnsi="宋体" w:cs="宋体"/>
                <w:kern w:val="0"/>
                <w:sz w:val="21"/>
              </w:rPr>
              <w:t>石墨电极</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10</w:t>
            </w:r>
          </w:p>
        </w:tc>
        <w:tc>
          <w:tcPr>
            <w:tcW w:w="865"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214000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180000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26460</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bl>
    <w:p>
      <w:pPr>
        <w:pStyle w:val="37"/>
        <w:rPr>
          <w:rFonts w:cs="Times New Roman" w:eastAsiaTheme="minorEastAsia"/>
        </w:rPr>
      </w:pPr>
      <w:r>
        <w:rPr>
          <w:rFonts w:cs="Times New Roman" w:eastAsiaTheme="minorEastAsia"/>
        </w:rPr>
        <w:br w:type="page"/>
      </w:r>
    </w:p>
    <w:p>
      <w:pPr>
        <w:pStyle w:val="3"/>
        <w:spacing w:before="120" w:after="120"/>
        <w:ind w:firstLine="643"/>
        <w:rPr>
          <w:rFonts w:cs="Times New Roman" w:eastAsiaTheme="minorEastAsia"/>
        </w:rPr>
      </w:pPr>
      <w:bookmarkStart w:id="23" w:name="_Toc126591865"/>
      <w:r>
        <w:rPr>
          <w:rFonts w:cs="Times New Roman" w:hAnsiTheme="minorEastAsia" w:eastAsiaTheme="minorEastAsia"/>
        </w:rPr>
        <w:t>第六章初步空间规划</w:t>
      </w:r>
      <w:bookmarkEnd w:id="23"/>
    </w:p>
    <w:p>
      <w:pPr>
        <w:pStyle w:val="4"/>
        <w:ind w:firstLine="602"/>
        <w:rPr>
          <w:rFonts w:cs="Times New Roman" w:eastAsiaTheme="minorEastAsia"/>
        </w:rPr>
      </w:pPr>
      <w:bookmarkStart w:id="24" w:name="_Toc126591866"/>
      <w:bookmarkStart w:id="25" w:name="_Toc24710"/>
      <w:r>
        <w:rPr>
          <w:rFonts w:cs="Times New Roman" w:eastAsiaTheme="minorEastAsia"/>
        </w:rPr>
        <w:t>6.</w:t>
      </w:r>
      <w:r>
        <w:rPr>
          <w:rFonts w:hint="eastAsia" w:cs="Times New Roman" w:eastAsiaTheme="minorEastAsia"/>
        </w:rPr>
        <w:t>1</w:t>
      </w:r>
      <w:r>
        <w:rPr>
          <w:rFonts w:cs="Times New Roman" w:hAnsiTheme="minorEastAsia" w:eastAsiaTheme="minorEastAsia"/>
        </w:rPr>
        <w:t>空间结构</w:t>
      </w:r>
      <w:bookmarkEnd w:id="24"/>
      <w:bookmarkEnd w:id="25"/>
    </w:p>
    <w:p>
      <w:pPr>
        <w:ind w:firstLine="560"/>
        <w:rPr>
          <w:rFonts w:cs="Times New Roman" w:hAnsiTheme="minorEastAsia" w:eastAsiaTheme="minorEastAsia"/>
          <w:szCs w:val="24"/>
        </w:rPr>
      </w:pPr>
      <w:bookmarkStart w:id="26" w:name="_Toc25080"/>
      <w:bookmarkStart w:id="27" w:name="_Toc7717"/>
      <w:r>
        <w:rPr>
          <w:rFonts w:cs="Times New Roman" w:hAnsiTheme="minorEastAsia" w:eastAsiaTheme="minorEastAsia"/>
          <w:szCs w:val="24"/>
        </w:rPr>
        <w:t>六枝</w:t>
      </w:r>
      <w:r>
        <w:rPr>
          <w:rFonts w:hint="eastAsia" w:cs="Times New Roman" w:hAnsiTheme="minorEastAsia" w:eastAsiaTheme="minorEastAsia"/>
          <w:szCs w:val="24"/>
        </w:rPr>
        <w:t>特</w:t>
      </w:r>
      <w:r>
        <w:rPr>
          <w:rFonts w:cs="Times New Roman" w:hAnsiTheme="minorEastAsia" w:eastAsiaTheme="minorEastAsia"/>
          <w:szCs w:val="24"/>
        </w:rPr>
        <w:t xml:space="preserve">区化工园区为“一园两区”的空间结构。 </w:t>
      </w:r>
    </w:p>
    <w:p>
      <w:pPr>
        <w:ind w:firstLine="560"/>
        <w:rPr>
          <w:rFonts w:cs="Times New Roman" w:hAnsiTheme="minorEastAsia" w:eastAsiaTheme="minorEastAsia"/>
          <w:szCs w:val="24"/>
        </w:rPr>
      </w:pPr>
      <w:r>
        <w:rPr>
          <w:rFonts w:hint="eastAsia" w:cs="Times New Roman" w:hAnsiTheme="minorEastAsia" w:eastAsiaTheme="minorEastAsia"/>
          <w:szCs w:val="24"/>
        </w:rPr>
        <w:t>“</w:t>
      </w:r>
      <w:r>
        <w:rPr>
          <w:rFonts w:cs="Times New Roman" w:hAnsiTheme="minorEastAsia" w:eastAsiaTheme="minorEastAsia"/>
          <w:szCs w:val="24"/>
        </w:rPr>
        <w:t>一园</w:t>
      </w:r>
      <w:r>
        <w:rPr>
          <w:rFonts w:hint="eastAsia" w:cs="Times New Roman" w:hAnsiTheme="minorEastAsia" w:eastAsiaTheme="minorEastAsia"/>
          <w:szCs w:val="24"/>
        </w:rPr>
        <w:t>”</w:t>
      </w:r>
      <w:r>
        <w:rPr>
          <w:rFonts w:cs="Times New Roman" w:hAnsiTheme="minorEastAsia" w:eastAsiaTheme="minorEastAsia"/>
          <w:szCs w:val="24"/>
        </w:rPr>
        <w:t>即六枝</w:t>
      </w:r>
      <w:r>
        <w:rPr>
          <w:rFonts w:hint="eastAsia" w:cs="Times New Roman" w:hAnsiTheme="minorEastAsia" w:eastAsiaTheme="minorEastAsia"/>
          <w:szCs w:val="24"/>
        </w:rPr>
        <w:t>特</w:t>
      </w:r>
      <w:r>
        <w:rPr>
          <w:rFonts w:cs="Times New Roman" w:hAnsiTheme="minorEastAsia" w:eastAsiaTheme="minorEastAsia"/>
          <w:szCs w:val="24"/>
        </w:rPr>
        <w:t xml:space="preserve">区化工园区。 </w:t>
      </w:r>
    </w:p>
    <w:p>
      <w:pPr>
        <w:ind w:firstLine="560"/>
        <w:rPr>
          <w:rFonts w:cs="Times New Roman" w:hAnsiTheme="minorEastAsia" w:eastAsiaTheme="minorEastAsia"/>
          <w:szCs w:val="24"/>
        </w:rPr>
      </w:pPr>
      <w:r>
        <w:rPr>
          <w:rFonts w:hint="eastAsia" w:cs="Times New Roman" w:hAnsiTheme="minorEastAsia" w:eastAsiaTheme="minorEastAsia"/>
          <w:szCs w:val="24"/>
        </w:rPr>
        <w:t>“</w:t>
      </w:r>
      <w:r>
        <w:rPr>
          <w:rFonts w:cs="Times New Roman" w:hAnsiTheme="minorEastAsia" w:eastAsiaTheme="minorEastAsia"/>
          <w:szCs w:val="24"/>
        </w:rPr>
        <w:t>两区</w:t>
      </w:r>
      <w:r>
        <w:rPr>
          <w:rFonts w:hint="eastAsia" w:cs="Times New Roman" w:hAnsiTheme="minorEastAsia" w:eastAsiaTheme="minorEastAsia"/>
          <w:szCs w:val="24"/>
        </w:rPr>
        <w:t>”</w:t>
      </w:r>
      <w:r>
        <w:rPr>
          <w:rFonts w:cs="Times New Roman" w:hAnsiTheme="minorEastAsia" w:eastAsiaTheme="minorEastAsia"/>
          <w:szCs w:val="24"/>
        </w:rPr>
        <w:t>即</w:t>
      </w:r>
      <w:r>
        <w:rPr>
          <w:rFonts w:hint="eastAsia" w:cs="Times New Roman" w:hAnsiTheme="minorEastAsia" w:eastAsiaTheme="minorEastAsia"/>
          <w:szCs w:val="24"/>
        </w:rPr>
        <w:t>现代煤化工产业</w:t>
      </w:r>
      <w:r>
        <w:rPr>
          <w:rFonts w:cs="Times New Roman" w:hAnsiTheme="minorEastAsia" w:eastAsiaTheme="minorEastAsia"/>
          <w:szCs w:val="24"/>
        </w:rPr>
        <w:t>区、精细化工</w:t>
      </w:r>
      <w:r>
        <w:rPr>
          <w:rFonts w:hint="eastAsia" w:cs="Times New Roman" w:hAnsiTheme="minorEastAsia" w:eastAsiaTheme="minorEastAsia"/>
          <w:szCs w:val="24"/>
        </w:rPr>
        <w:t>产业</w:t>
      </w:r>
      <w:r>
        <w:rPr>
          <w:rFonts w:cs="Times New Roman" w:hAnsiTheme="minorEastAsia" w:eastAsiaTheme="minorEastAsia"/>
          <w:szCs w:val="24"/>
        </w:rPr>
        <w:t xml:space="preserve">区。 </w:t>
      </w:r>
    </w:p>
    <w:p>
      <w:pPr>
        <w:ind w:firstLine="560"/>
        <w:rPr>
          <w:rFonts w:cs="Times New Roman" w:hAnsiTheme="minorEastAsia" w:eastAsiaTheme="minorEastAsia"/>
          <w:szCs w:val="24"/>
        </w:rPr>
      </w:pPr>
      <w:r>
        <w:rPr>
          <w:rFonts w:hint="eastAsia" w:cs="Times New Roman" w:hAnsiTheme="minorEastAsia" w:eastAsiaTheme="minorEastAsia"/>
          <w:szCs w:val="24"/>
        </w:rPr>
        <w:t>园</w:t>
      </w:r>
      <w:r>
        <w:rPr>
          <w:rFonts w:cs="Times New Roman" w:hAnsiTheme="minorEastAsia" w:eastAsiaTheme="minorEastAsia"/>
          <w:szCs w:val="24"/>
        </w:rPr>
        <w:t>区规划面积</w:t>
      </w:r>
      <w:r>
        <w:rPr>
          <w:rFonts w:hint="eastAsia" w:cs="Times New Roman" w:hAnsiTheme="minorEastAsia" w:eastAsiaTheme="minorEastAsia"/>
          <w:szCs w:val="24"/>
        </w:rPr>
        <w:t>约3.11</w:t>
      </w:r>
      <w:r>
        <w:rPr>
          <w:rFonts w:cs="Times New Roman" w:hAnsiTheme="minorEastAsia" w:eastAsiaTheme="minorEastAsia"/>
          <w:szCs w:val="24"/>
        </w:rPr>
        <w:t>平方公里。</w:t>
      </w:r>
    </w:p>
    <w:p>
      <w:pPr>
        <w:pStyle w:val="4"/>
        <w:ind w:firstLine="602"/>
        <w:rPr>
          <w:rFonts w:cs="Times New Roman" w:eastAsiaTheme="minorEastAsia"/>
        </w:rPr>
      </w:pPr>
      <w:bookmarkStart w:id="28" w:name="_Toc126591867"/>
      <w:r>
        <w:rPr>
          <w:rFonts w:cs="Times New Roman" w:eastAsiaTheme="minorEastAsia"/>
        </w:rPr>
        <w:t>6.</w:t>
      </w:r>
      <w:r>
        <w:rPr>
          <w:rFonts w:hint="eastAsia" w:cs="Times New Roman" w:eastAsiaTheme="minorEastAsia"/>
        </w:rPr>
        <w:t>2</w:t>
      </w:r>
      <w:r>
        <w:rPr>
          <w:rFonts w:cs="Times New Roman" w:hAnsiTheme="minorEastAsia" w:eastAsiaTheme="minorEastAsia"/>
        </w:rPr>
        <w:t>产业功能区</w:t>
      </w:r>
      <w:bookmarkEnd w:id="26"/>
      <w:bookmarkEnd w:id="27"/>
      <w:bookmarkEnd w:id="28"/>
    </w:p>
    <w:p>
      <w:pPr>
        <w:pStyle w:val="5"/>
        <w:ind w:firstLine="562"/>
      </w:pPr>
      <w:r>
        <w:rPr>
          <w:rFonts w:hint="eastAsia"/>
        </w:rPr>
        <w:t>6</w:t>
      </w:r>
      <w:r>
        <w:t>.</w:t>
      </w:r>
      <w:r>
        <w:rPr>
          <w:rFonts w:hint="eastAsia"/>
        </w:rPr>
        <w:t>2</w:t>
      </w:r>
      <w:r>
        <w:t xml:space="preserve">.1 </w:t>
      </w:r>
      <w:r>
        <w:rPr>
          <w:rFonts w:hint="eastAsia" w:cs="Times New Roman" w:hAnsiTheme="minorEastAsia" w:eastAsiaTheme="minorEastAsia"/>
        </w:rPr>
        <w:t>现代煤化工产业</w:t>
      </w:r>
      <w:r>
        <w:rPr>
          <w:rFonts w:cs="Times New Roman" w:hAnsiTheme="minorEastAsia" w:eastAsiaTheme="minorEastAsia"/>
        </w:rPr>
        <w:t>区</w:t>
      </w:r>
    </w:p>
    <w:p>
      <w:pPr>
        <w:ind w:firstLine="560"/>
        <w:rPr>
          <w:rFonts w:cs="Times New Roman" w:eastAsiaTheme="minorEastAsia"/>
          <w:szCs w:val="24"/>
        </w:rPr>
      </w:pPr>
      <w:r>
        <w:rPr>
          <w:rFonts w:hint="eastAsia" w:cs="Times New Roman" w:hAnsiTheme="minorEastAsia" w:eastAsiaTheme="minorEastAsia"/>
        </w:rPr>
        <w:t>现代煤化工产业区</w:t>
      </w:r>
      <w:r>
        <w:rPr>
          <w:rFonts w:cs="Times New Roman" w:hAnsiTheme="minorEastAsia" w:eastAsiaTheme="minorEastAsia"/>
          <w:szCs w:val="24"/>
        </w:rPr>
        <w:t>规划面积</w:t>
      </w:r>
      <w:r>
        <w:rPr>
          <w:rFonts w:hint="eastAsia" w:cs="Times New Roman" w:eastAsiaTheme="minorEastAsia"/>
          <w:szCs w:val="24"/>
        </w:rPr>
        <w:t>1.6164</w:t>
      </w:r>
      <w:r>
        <w:rPr>
          <w:rFonts w:cs="Times New Roman" w:hAnsiTheme="minorEastAsia" w:eastAsiaTheme="minorEastAsia"/>
          <w:szCs w:val="24"/>
        </w:rPr>
        <w:t>平方公里</w:t>
      </w:r>
      <w:r>
        <w:rPr>
          <w:rFonts w:hint="eastAsia" w:cs="Times New Roman" w:hAnsiTheme="minorEastAsia" w:eastAsiaTheme="minorEastAsia"/>
          <w:szCs w:val="24"/>
        </w:rPr>
        <w:t>。</w:t>
      </w:r>
      <w:r>
        <w:rPr>
          <w:rFonts w:hint="eastAsia" w:cs="Times New Roman" w:hAnsiTheme="minorEastAsia" w:eastAsiaTheme="minorEastAsia"/>
        </w:rPr>
        <w:t>现代煤化工产业区</w:t>
      </w:r>
      <w:r>
        <w:rPr>
          <w:rFonts w:cs="Times New Roman" w:hAnsiTheme="minorEastAsia" w:eastAsiaTheme="minorEastAsia"/>
          <w:szCs w:val="24"/>
        </w:rPr>
        <w:t>利用区域的</w:t>
      </w:r>
      <w:r>
        <w:rPr>
          <w:rFonts w:hint="eastAsia" w:cs="Times New Roman" w:hAnsiTheme="minorEastAsia" w:eastAsiaTheme="minorEastAsia"/>
          <w:szCs w:val="24"/>
        </w:rPr>
        <w:t>煤炭</w:t>
      </w:r>
      <w:r>
        <w:rPr>
          <w:rFonts w:cs="Times New Roman" w:hAnsiTheme="minorEastAsia" w:eastAsiaTheme="minorEastAsia"/>
          <w:szCs w:val="24"/>
        </w:rPr>
        <w:t>资源及产业</w:t>
      </w:r>
      <w:r>
        <w:rPr>
          <w:rFonts w:hint="eastAsia" w:cs="Times New Roman" w:hAnsiTheme="minorEastAsia" w:eastAsiaTheme="minorEastAsia"/>
          <w:szCs w:val="24"/>
        </w:rPr>
        <w:t>优势</w:t>
      </w:r>
      <w:r>
        <w:rPr>
          <w:rFonts w:cs="Times New Roman" w:hAnsiTheme="minorEastAsia" w:eastAsiaTheme="minorEastAsia"/>
          <w:szCs w:val="24"/>
        </w:rPr>
        <w:t>，以焦化为基础，以</w:t>
      </w:r>
      <w:r>
        <w:rPr>
          <w:rFonts w:hint="eastAsia" w:cs="Times New Roman" w:hAnsiTheme="minorEastAsia" w:eastAsiaTheme="minorEastAsia"/>
          <w:szCs w:val="24"/>
        </w:rPr>
        <w:t>贵州美锦华宇新能源有限公司</w:t>
      </w:r>
      <w:r>
        <w:rPr>
          <w:rFonts w:cs="Times New Roman" w:hAnsiTheme="minorEastAsia" w:eastAsiaTheme="minorEastAsia"/>
          <w:szCs w:val="24"/>
        </w:rPr>
        <w:t>为龙头，围绕</w:t>
      </w:r>
      <w:r>
        <w:rPr>
          <w:rFonts w:hint="eastAsia" w:cs="Times New Roman" w:hAnsiTheme="minorEastAsia" w:eastAsiaTheme="minorEastAsia"/>
          <w:szCs w:val="24"/>
        </w:rPr>
        <w:t>焦炉煤气综合利用、</w:t>
      </w:r>
      <w:r>
        <w:rPr>
          <w:rFonts w:cs="Times New Roman" w:hAnsiTheme="minorEastAsia" w:eastAsiaTheme="minorEastAsia"/>
          <w:szCs w:val="24"/>
        </w:rPr>
        <w:t>化工新材料生产和</w:t>
      </w:r>
      <w:r>
        <w:rPr>
          <w:rFonts w:hint="eastAsia" w:cs="Times New Roman" w:hAnsiTheme="minorEastAsia" w:eastAsiaTheme="minorEastAsia"/>
          <w:szCs w:val="24"/>
        </w:rPr>
        <w:t>化产深</w:t>
      </w:r>
      <w:r>
        <w:rPr>
          <w:rFonts w:cs="Times New Roman" w:hAnsiTheme="minorEastAsia" w:eastAsiaTheme="minorEastAsia"/>
          <w:szCs w:val="24"/>
        </w:rPr>
        <w:t>加工</w:t>
      </w:r>
      <w:r>
        <w:rPr>
          <w:rFonts w:hint="eastAsia" w:cs="Times New Roman" w:hAnsiTheme="minorEastAsia" w:eastAsiaTheme="minorEastAsia"/>
          <w:szCs w:val="24"/>
        </w:rPr>
        <w:t>等产业发展方向，</w:t>
      </w:r>
      <w:r>
        <w:rPr>
          <w:rFonts w:cs="Times New Roman" w:hAnsiTheme="minorEastAsia" w:eastAsiaTheme="minorEastAsia"/>
          <w:szCs w:val="24"/>
        </w:rPr>
        <w:t>重点发展煤焦化及其下游关联产业，布局焦炉煤气制</w:t>
      </w:r>
      <w:r>
        <w:rPr>
          <w:rFonts w:cs="Times New Roman" w:eastAsiaTheme="minorEastAsia"/>
          <w:szCs w:val="24"/>
        </w:rPr>
        <w:t>LNG</w:t>
      </w:r>
      <w:r>
        <w:rPr>
          <w:rFonts w:hint="eastAsia" w:cs="Times New Roman" w:eastAsiaTheme="minorEastAsia"/>
          <w:szCs w:val="24"/>
        </w:rPr>
        <w:t>、PSA制氢、合成氨、</w:t>
      </w:r>
      <w:r>
        <w:rPr>
          <w:rFonts w:hint="eastAsia" w:cs="Times New Roman" w:hAnsiTheme="minorEastAsia" w:eastAsiaTheme="minorEastAsia"/>
          <w:szCs w:val="24"/>
        </w:rPr>
        <w:t>化产</w:t>
      </w:r>
      <w:r>
        <w:rPr>
          <w:rFonts w:cs="Times New Roman" w:hAnsiTheme="minorEastAsia" w:eastAsiaTheme="minorEastAsia"/>
          <w:szCs w:val="24"/>
        </w:rPr>
        <w:t>深加工等项目</w:t>
      </w:r>
      <w:r>
        <w:rPr>
          <w:rFonts w:hint="eastAsia" w:cs="Times New Roman" w:hAnsiTheme="minorEastAsia" w:eastAsiaTheme="minorEastAsia"/>
          <w:szCs w:val="24"/>
        </w:rPr>
        <w:t>，</w:t>
      </w:r>
      <w:r>
        <w:rPr>
          <w:rFonts w:cs="Times New Roman" w:hAnsiTheme="minorEastAsia" w:eastAsiaTheme="minorEastAsia"/>
          <w:szCs w:val="24"/>
        </w:rPr>
        <w:t>打造</w:t>
      </w:r>
      <w:r>
        <w:rPr>
          <w:rFonts w:hint="eastAsia" w:cs="Times New Roman" w:hAnsiTheme="minorEastAsia" w:eastAsiaTheme="minorEastAsia"/>
          <w:szCs w:val="24"/>
        </w:rPr>
        <w:t>现代煤化工</w:t>
      </w:r>
      <w:r>
        <w:rPr>
          <w:rFonts w:cs="Times New Roman" w:hAnsiTheme="minorEastAsia" w:eastAsiaTheme="minorEastAsia"/>
          <w:szCs w:val="24"/>
        </w:rPr>
        <w:t>产业链。</w:t>
      </w:r>
    </w:p>
    <w:p>
      <w:pPr>
        <w:pStyle w:val="5"/>
        <w:ind w:firstLine="562"/>
      </w:pPr>
      <w:r>
        <w:rPr>
          <w:rFonts w:hint="eastAsia"/>
        </w:rPr>
        <w:t>6.2.2</w:t>
      </w:r>
      <w:r>
        <w:rPr>
          <w:rFonts w:hint="eastAsia" w:cs="Times New Roman" w:hAnsiTheme="minorEastAsia" w:eastAsiaTheme="minorEastAsia"/>
          <w:szCs w:val="24"/>
        </w:rPr>
        <w:t>精细化工产业区</w:t>
      </w:r>
    </w:p>
    <w:p>
      <w:pPr>
        <w:ind w:firstLine="560"/>
        <w:rPr>
          <w:rFonts w:cs="Times New Roman" w:hAnsiTheme="minorEastAsia" w:eastAsiaTheme="minorEastAsia"/>
        </w:rPr>
      </w:pPr>
      <w:r>
        <w:rPr>
          <w:rFonts w:hint="eastAsia" w:cs="Times New Roman" w:hAnsiTheme="minorEastAsia" w:eastAsiaTheme="minorEastAsia"/>
          <w:szCs w:val="24"/>
        </w:rPr>
        <w:t>精细化工产业区</w:t>
      </w:r>
      <w:r>
        <w:rPr>
          <w:rFonts w:cs="Times New Roman" w:hAnsiTheme="minorEastAsia" w:eastAsiaTheme="minorEastAsia"/>
          <w:szCs w:val="24"/>
        </w:rPr>
        <w:t>规划面积</w:t>
      </w:r>
      <w:r>
        <w:rPr>
          <w:rFonts w:hint="eastAsia" w:cs="Times New Roman" w:eastAsiaTheme="minorEastAsia"/>
          <w:szCs w:val="24"/>
        </w:rPr>
        <w:t>1.1352</w:t>
      </w:r>
      <w:r>
        <w:rPr>
          <w:rFonts w:cs="Times New Roman" w:hAnsiTheme="minorEastAsia" w:eastAsiaTheme="minorEastAsia"/>
          <w:szCs w:val="24"/>
        </w:rPr>
        <w:t>平方公里。</w:t>
      </w:r>
      <w:r>
        <w:rPr>
          <w:rFonts w:hint="eastAsia" w:cs="Times New Roman" w:hAnsiTheme="minorEastAsia" w:eastAsiaTheme="minorEastAsia"/>
          <w:szCs w:val="24"/>
        </w:rPr>
        <w:t>精细化工产业区</w:t>
      </w:r>
      <w:r>
        <w:rPr>
          <w:rFonts w:hint="eastAsia" w:cs="Times New Roman" w:hAnsiTheme="minorEastAsia" w:eastAsiaTheme="minorEastAsia"/>
        </w:rPr>
        <w:t>依托区域锂矿石资源，耦合园区</w:t>
      </w:r>
      <w:r>
        <w:rPr>
          <w:rFonts w:cs="Times New Roman" w:hAnsiTheme="minorEastAsia" w:eastAsiaTheme="minorEastAsia"/>
        </w:rPr>
        <w:t>内现代煤化工产业</w:t>
      </w:r>
      <w:r>
        <w:rPr>
          <w:rFonts w:hint="eastAsia" w:cs="Times New Roman" w:hAnsiTheme="minorEastAsia" w:eastAsiaTheme="minorEastAsia"/>
        </w:rPr>
        <w:t>，大力发展锂电池正极材料</w:t>
      </w:r>
      <w:r>
        <w:rPr>
          <w:rFonts w:cs="Times New Roman" w:hAnsiTheme="minorEastAsia" w:eastAsiaTheme="minorEastAsia"/>
        </w:rPr>
        <w:t>、</w:t>
      </w:r>
      <w:r>
        <w:rPr>
          <w:rFonts w:hint="eastAsia" w:cs="Times New Roman" w:hAnsiTheme="minorEastAsia" w:eastAsiaTheme="minorEastAsia"/>
        </w:rPr>
        <w:t>负极</w:t>
      </w:r>
      <w:r>
        <w:rPr>
          <w:rFonts w:cs="Times New Roman" w:hAnsiTheme="minorEastAsia" w:eastAsiaTheme="minorEastAsia"/>
        </w:rPr>
        <w:t>材料、</w:t>
      </w:r>
      <w:r>
        <w:rPr>
          <w:rFonts w:hint="eastAsia" w:cs="Times New Roman" w:hAnsiTheme="minorEastAsia" w:eastAsiaTheme="minorEastAsia"/>
        </w:rPr>
        <w:t>电解液、</w:t>
      </w:r>
      <w:r>
        <w:rPr>
          <w:rFonts w:hint="eastAsia" w:cs="Times New Roman" w:hAnsiTheme="minorEastAsia" w:eastAsiaTheme="minorEastAsia"/>
          <w:kern w:val="0"/>
          <w:szCs w:val="28"/>
        </w:rPr>
        <w:t>隔膜材料等</w:t>
      </w:r>
      <w:r>
        <w:rPr>
          <w:rFonts w:hint="eastAsia" w:cs="Times New Roman" w:hAnsiTheme="minorEastAsia" w:eastAsiaTheme="minorEastAsia"/>
          <w:kern w:val="0"/>
        </w:rPr>
        <w:t>锂电池储能</w:t>
      </w:r>
      <w:r>
        <w:rPr>
          <w:rFonts w:cs="Times New Roman" w:hAnsiTheme="minorEastAsia" w:eastAsiaTheme="minorEastAsia"/>
          <w:kern w:val="0"/>
          <w:szCs w:val="28"/>
        </w:rPr>
        <w:t>精细化学品</w:t>
      </w:r>
      <w:r>
        <w:rPr>
          <w:rFonts w:hint="eastAsia" w:cs="Times New Roman" w:hAnsiTheme="minorEastAsia" w:eastAsiaTheme="minorEastAsia"/>
        </w:rPr>
        <w:t>。同时</w:t>
      </w:r>
      <w:r>
        <w:rPr>
          <w:rFonts w:cs="Times New Roman" w:hAnsiTheme="minorEastAsia" w:eastAsiaTheme="minorEastAsia"/>
          <w:szCs w:val="24"/>
        </w:rPr>
        <w:t>适度发展市场前景好、产品附加值高的</w:t>
      </w:r>
      <w:r>
        <w:rPr>
          <w:rFonts w:hint="eastAsia" w:cs="Times New Roman" w:hAnsiTheme="minorEastAsia" w:eastAsiaTheme="minorEastAsia"/>
          <w:szCs w:val="24"/>
        </w:rPr>
        <w:t>其他精细化学</w:t>
      </w:r>
      <w:r>
        <w:rPr>
          <w:rFonts w:cs="Times New Roman" w:hAnsiTheme="minorEastAsia" w:eastAsiaTheme="minorEastAsia"/>
          <w:szCs w:val="24"/>
        </w:rPr>
        <w:t>品</w:t>
      </w:r>
      <w:r>
        <w:rPr>
          <w:rFonts w:cs="Times New Roman" w:hAnsiTheme="minorEastAsia" w:eastAsiaTheme="minorEastAsia"/>
        </w:rPr>
        <w:t>。</w:t>
      </w:r>
    </w:p>
    <w:p>
      <w:pPr>
        <w:pStyle w:val="4"/>
        <w:ind w:firstLine="602"/>
        <w:rPr>
          <w:rFonts w:cs="Times New Roman" w:eastAsiaTheme="minorEastAsia"/>
        </w:rPr>
      </w:pPr>
      <w:bookmarkStart w:id="29" w:name="_Toc126591868"/>
      <w:bookmarkStart w:id="30" w:name="_Toc22071"/>
      <w:bookmarkStart w:id="31" w:name="_Toc29421"/>
      <w:r>
        <w:rPr>
          <w:rFonts w:cs="Times New Roman" w:eastAsiaTheme="minorEastAsia"/>
        </w:rPr>
        <w:t>6.</w:t>
      </w:r>
      <w:r>
        <w:rPr>
          <w:rFonts w:hint="eastAsia" w:cs="Times New Roman" w:eastAsiaTheme="minorEastAsia"/>
        </w:rPr>
        <w:t>3</w:t>
      </w:r>
      <w:r>
        <w:rPr>
          <w:rFonts w:cs="Times New Roman" w:hAnsiTheme="minorEastAsia" w:eastAsiaTheme="minorEastAsia"/>
        </w:rPr>
        <w:t>公共管理服务设施</w:t>
      </w:r>
      <w:bookmarkEnd w:id="29"/>
      <w:bookmarkEnd w:id="30"/>
      <w:bookmarkEnd w:id="31"/>
    </w:p>
    <w:p>
      <w:pPr>
        <w:ind w:firstLine="560"/>
        <w:rPr>
          <w:rFonts w:cs="Times New Roman" w:eastAsiaTheme="minorEastAsia"/>
        </w:rPr>
      </w:pPr>
      <w:r>
        <w:rPr>
          <w:rFonts w:cs="Times New Roman" w:hAnsiTheme="minorEastAsia" w:eastAsiaTheme="minorEastAsia"/>
          <w:szCs w:val="24"/>
        </w:rPr>
        <w:t>园区管理服务设施需满足整个园区的行政管理、信息咨询、金融服务、环境监测、应急响应、医疗急救、小型商贸服务等功能，形成园区公共管理与公共服务中心，同时依托先进化工企业优越的人才与设备条件，提供人才培训、信息服务等，适时建设具有影响力的产业研发中心和专业孵化器，通过产业技术创新提高园区核心竞争力。</w:t>
      </w:r>
    </w:p>
    <w:p>
      <w:pPr>
        <w:pStyle w:val="4"/>
        <w:ind w:firstLine="602"/>
        <w:rPr>
          <w:rFonts w:cs="Times New Roman" w:eastAsiaTheme="minorEastAsia"/>
        </w:rPr>
      </w:pPr>
      <w:bookmarkStart w:id="32" w:name="_Toc126591869"/>
      <w:bookmarkStart w:id="33" w:name="_Toc20643"/>
      <w:bookmarkStart w:id="34" w:name="_Toc26099"/>
      <w:r>
        <w:rPr>
          <w:rFonts w:cs="Times New Roman" w:eastAsiaTheme="minorEastAsia"/>
        </w:rPr>
        <w:t>6.</w:t>
      </w:r>
      <w:r>
        <w:rPr>
          <w:rFonts w:hint="eastAsia" w:cs="Times New Roman" w:eastAsiaTheme="minorEastAsia"/>
        </w:rPr>
        <w:t>4</w:t>
      </w:r>
      <w:r>
        <w:rPr>
          <w:rFonts w:cs="Times New Roman" w:hAnsiTheme="minorEastAsia" w:eastAsiaTheme="minorEastAsia"/>
        </w:rPr>
        <w:t>安全防护距离和缓冲带</w:t>
      </w:r>
      <w:bookmarkEnd w:id="32"/>
      <w:bookmarkEnd w:id="33"/>
      <w:bookmarkEnd w:id="34"/>
    </w:p>
    <w:p>
      <w:pPr>
        <w:ind w:firstLine="560"/>
        <w:rPr>
          <w:rFonts w:cs="Times New Roman" w:eastAsiaTheme="minorEastAsia"/>
        </w:rPr>
      </w:pPr>
      <w:r>
        <w:rPr>
          <w:rFonts w:cs="Times New Roman" w:hAnsiTheme="minorEastAsia" w:eastAsiaTheme="minorEastAsia"/>
          <w:szCs w:val="24"/>
        </w:rPr>
        <w:t>化工园区与城市建成区、人口密集区、重要设施等防护目标之间应保持足够的安全防护距离，留有适当的缓冲带，将化工园区安全与周边公共安全的相互影响降至风险可以接受。化工园区应进行选址安全评估，化工园区与城市建成区、人口密集区、重要设施等防护目标之间安全防护距离应满足要求。缓冲带建议大于等于</w:t>
      </w:r>
      <w:r>
        <w:rPr>
          <w:rFonts w:cs="Times New Roman" w:eastAsiaTheme="minorEastAsia"/>
          <w:szCs w:val="24"/>
        </w:rPr>
        <w:t>200</w:t>
      </w:r>
      <w:r>
        <w:rPr>
          <w:rFonts w:cs="Times New Roman" w:hAnsiTheme="minorEastAsia" w:eastAsiaTheme="minorEastAsia"/>
          <w:szCs w:val="24"/>
        </w:rPr>
        <w:t>米，条件允许可大于等于</w:t>
      </w:r>
      <w:r>
        <w:rPr>
          <w:rFonts w:cs="Times New Roman" w:eastAsiaTheme="minorEastAsia"/>
          <w:szCs w:val="24"/>
        </w:rPr>
        <w:t>500</w:t>
      </w:r>
      <w:r>
        <w:rPr>
          <w:rFonts w:cs="Times New Roman" w:hAnsiTheme="minorEastAsia" w:eastAsiaTheme="minorEastAsia"/>
          <w:szCs w:val="24"/>
        </w:rPr>
        <w:t>米。缓冲带范围内严禁建设居住区、学校、医院等环境敏感设施，同时应控制园区周围村庄及城镇进一步向园区靠近发展。</w:t>
      </w:r>
    </w:p>
    <w:p>
      <w:pPr>
        <w:pStyle w:val="4"/>
        <w:ind w:firstLine="602"/>
        <w:rPr>
          <w:rFonts w:cs="Times New Roman" w:eastAsiaTheme="minorEastAsia"/>
        </w:rPr>
      </w:pPr>
      <w:bookmarkStart w:id="35" w:name="_Toc7280"/>
      <w:bookmarkStart w:id="36" w:name="_Toc126591870"/>
      <w:bookmarkStart w:id="37" w:name="_Toc2843"/>
      <w:r>
        <w:rPr>
          <w:rFonts w:cs="Times New Roman" w:eastAsiaTheme="minorEastAsia"/>
        </w:rPr>
        <w:t>6.</w:t>
      </w:r>
      <w:r>
        <w:rPr>
          <w:rFonts w:hint="eastAsia" w:cs="Times New Roman" w:eastAsiaTheme="minorEastAsia"/>
        </w:rPr>
        <w:t>5</w:t>
      </w:r>
      <w:r>
        <w:rPr>
          <w:rFonts w:cs="Times New Roman" w:hAnsiTheme="minorEastAsia" w:eastAsiaTheme="minorEastAsia"/>
        </w:rPr>
        <w:t>土地开发控制</w:t>
      </w:r>
      <w:bookmarkEnd w:id="35"/>
      <w:bookmarkEnd w:id="36"/>
      <w:bookmarkEnd w:id="37"/>
    </w:p>
    <w:p>
      <w:pPr>
        <w:pStyle w:val="5"/>
        <w:ind w:firstLine="562"/>
      </w:pPr>
      <w:r>
        <w:rPr>
          <w:rFonts w:hint="eastAsia"/>
        </w:rPr>
        <w:t>6</w:t>
      </w:r>
      <w:r>
        <w:t>.</w:t>
      </w:r>
      <w:r>
        <w:rPr>
          <w:rFonts w:hint="eastAsia"/>
        </w:rPr>
        <w:t>5</w:t>
      </w:r>
      <w:r>
        <w:t>.1 建设用地控制指标</w:t>
      </w:r>
    </w:p>
    <w:p>
      <w:pPr>
        <w:ind w:firstLine="560"/>
        <w:rPr>
          <w:rFonts w:cs="Times New Roman" w:eastAsiaTheme="minorEastAsia"/>
          <w:szCs w:val="24"/>
        </w:rPr>
      </w:pPr>
      <w:r>
        <w:rPr>
          <w:rFonts w:cs="Times New Roman" w:hAnsiTheme="minorEastAsia" w:eastAsiaTheme="minorEastAsia"/>
          <w:szCs w:val="24"/>
        </w:rPr>
        <w:t>园区内工业项目建设用地控制指标应符合当地关于投资强度、容积率、建筑系数、行政办公及生活服务设施用地所占比重、绿地率、亩均产值、亩均税收等控制指标的有关规定。</w:t>
      </w:r>
    </w:p>
    <w:p>
      <w:pPr>
        <w:pStyle w:val="5"/>
        <w:ind w:firstLine="562"/>
      </w:pPr>
      <w:r>
        <w:rPr>
          <w:rFonts w:hint="eastAsia"/>
        </w:rPr>
        <w:t>6.5.2</w:t>
      </w:r>
      <w:r>
        <w:t xml:space="preserve"> 土地开发计划</w:t>
      </w:r>
    </w:p>
    <w:p>
      <w:pPr>
        <w:ind w:firstLine="560"/>
        <w:rPr>
          <w:rFonts w:cs="Times New Roman" w:eastAsiaTheme="minorEastAsia"/>
          <w:szCs w:val="24"/>
        </w:rPr>
      </w:pPr>
      <w:r>
        <w:rPr>
          <w:rFonts w:cs="Times New Roman" w:hAnsiTheme="minorEastAsia" w:eastAsiaTheme="minorEastAsia"/>
          <w:szCs w:val="24"/>
        </w:rPr>
        <w:t>化工园区土地资源宝贵，应集约节约利用，可根据招商情况和项目实际需求进行滚动开发。园区项目落地应符合各功能区规划的产业发展方向，不得随意布局。园区近期建设重点应放在公用工程设施和重大交通设施建设上，并做好园区的专项规划工作，为随后项目建设创造良好的条件。</w:t>
      </w:r>
      <w:bookmarkStart w:id="38" w:name="_Toc6785"/>
    </w:p>
    <w:bookmarkEnd w:id="38"/>
    <w:p>
      <w:pPr>
        <w:ind w:firstLine="560"/>
        <w:rPr>
          <w:rFonts w:cs="Times New Roman" w:eastAsiaTheme="minorEastAsia"/>
        </w:rPr>
      </w:pPr>
    </w:p>
    <w:p>
      <w:pPr>
        <w:ind w:firstLine="560"/>
        <w:rPr>
          <w:rFonts w:cs="Times New Roman" w:eastAsiaTheme="minorEastAsia"/>
        </w:rPr>
      </w:pPr>
    </w:p>
    <w:p>
      <w:pPr>
        <w:ind w:firstLine="560"/>
        <w:rPr>
          <w:rFonts w:cs="Times New Roman" w:eastAsiaTheme="minorEastAsia"/>
        </w:rPr>
      </w:pPr>
      <w:r>
        <w:rPr>
          <w:rFonts w:cs="Times New Roman" w:eastAsiaTheme="minorEastAsia"/>
        </w:rPr>
        <w:br w:type="page"/>
      </w:r>
    </w:p>
    <w:p>
      <w:pPr>
        <w:pStyle w:val="3"/>
        <w:spacing w:before="120" w:after="120"/>
        <w:rPr>
          <w:rFonts w:cs="Times New Roman" w:eastAsiaTheme="minorEastAsia"/>
          <w:kern w:val="2"/>
        </w:rPr>
      </w:pPr>
      <w:bookmarkStart w:id="39" w:name="_Toc126591871"/>
      <w:bookmarkStart w:id="40" w:name="_Toc7"/>
      <w:bookmarkStart w:id="41" w:name="_Toc13056"/>
      <w:r>
        <w:rPr>
          <w:rFonts w:cs="Times New Roman" w:hAnsiTheme="minorEastAsia" w:eastAsiaTheme="minorEastAsia"/>
          <w:kern w:val="2"/>
        </w:rPr>
        <w:t>第七章环境保护规划</w:t>
      </w:r>
      <w:bookmarkEnd w:id="39"/>
      <w:bookmarkEnd w:id="40"/>
      <w:bookmarkEnd w:id="41"/>
    </w:p>
    <w:p>
      <w:pPr>
        <w:pStyle w:val="4"/>
        <w:ind w:firstLine="602"/>
        <w:rPr>
          <w:rFonts w:cs="Times New Roman"/>
        </w:rPr>
      </w:pPr>
      <w:bookmarkStart w:id="42" w:name="_Toc126591872"/>
      <w:bookmarkStart w:id="43" w:name="_Toc108385280"/>
      <w:r>
        <w:rPr>
          <w:rFonts w:cs="Times New Roman"/>
        </w:rPr>
        <w:t>7.1 国家相关政策</w:t>
      </w:r>
      <w:bookmarkEnd w:id="42"/>
      <w:bookmarkEnd w:id="43"/>
    </w:p>
    <w:p>
      <w:pPr>
        <w:pStyle w:val="5"/>
        <w:ind w:firstLine="562"/>
        <w:rPr>
          <w:rFonts w:cs="Times New Roman"/>
        </w:rPr>
      </w:pPr>
      <w:r>
        <w:rPr>
          <w:rFonts w:cs="Times New Roman"/>
        </w:rPr>
        <w:t>7.1.1 绿色、低碳、节能减排发展</w:t>
      </w:r>
    </w:p>
    <w:p>
      <w:pPr>
        <w:ind w:firstLine="560"/>
        <w:rPr>
          <w:rFonts w:cs="Times New Roman"/>
        </w:rPr>
      </w:pPr>
      <w:r>
        <w:rPr>
          <w:rFonts w:cs="Times New Roman"/>
        </w:rPr>
        <w:t>2015年4月25日，中共中央、国务院发布《关于加快推进生态文明建设的意见》，《意见》中要求把生态文明建设放在突出的战略位置，全面促进资源节约利用，加大自然生态系统和环境保护力度，大力推进绿色发展、循环发展、低碳发展。十八届五中全会中提出要坚持绿色发展，必须坚持节约资源和保护环境的基本国策，坚持可持续发展，坚定走生产发展、生活富裕、生态良好的文明发展道路，加快建设资源节约型、环境友好型社会，形成人与自然和谐发展现代化建设新格局，推进美丽中国建设，为全球生态安全做出新贡献。</w:t>
      </w:r>
    </w:p>
    <w:p>
      <w:pPr>
        <w:ind w:firstLine="560"/>
        <w:rPr>
          <w:rFonts w:cs="Times New Roman"/>
        </w:rPr>
      </w:pPr>
      <w:r>
        <w:rPr>
          <w:rFonts w:hint="eastAsia" w:cs="Times New Roman"/>
        </w:rPr>
        <w:t>二十</w:t>
      </w:r>
      <w:r>
        <w:rPr>
          <w:rFonts w:cs="Times New Roman"/>
        </w:rPr>
        <w:t>大报告上也提出</w:t>
      </w:r>
      <w:r>
        <w:rPr>
          <w:rFonts w:ascii="Microsoft Sans Serif" w:hAnsi="Microsoft Sans Serif" w:cs="Microsoft Sans Serif"/>
          <w:sz w:val="27"/>
          <w:szCs w:val="27"/>
          <w:shd w:val="clear" w:color="auto" w:fill="FFFFFF"/>
        </w:rPr>
        <w:t>推动绿色低碳发展是国际潮流所向、大势所趋，绿色经济已成为全球产业竞争制高点。加快发展方式绿色转型，就是要尽快彻底改变过去那种以牺牲生态环境为代价换取一时一地经济增长的做法，推动形成绿色低碳的生产方式和生活方式，从根本上缓解经济发展与资源环境约束的矛盾。发展绿色低碳产业是发展方式绿色转型的重要方向</w:t>
      </w:r>
      <w:r>
        <w:rPr>
          <w:rFonts w:hint="eastAsia" w:ascii="Microsoft Sans Serif" w:hAnsi="Microsoft Sans Serif" w:cs="Microsoft Sans Serif"/>
          <w:sz w:val="27"/>
          <w:szCs w:val="27"/>
          <w:shd w:val="clear" w:color="auto" w:fill="FFFFFF"/>
        </w:rPr>
        <w:t>，</w:t>
      </w:r>
      <w:r>
        <w:rPr>
          <w:rFonts w:ascii="Microsoft Sans Serif" w:hAnsi="Microsoft Sans Serif" w:cs="Microsoft Sans Serif"/>
          <w:sz w:val="27"/>
          <w:szCs w:val="27"/>
          <w:shd w:val="clear" w:color="auto" w:fill="FFFFFF"/>
        </w:rPr>
        <w:t>培育壮大节能环保产业、清洁生产产业、清洁能源产业，加快发展氢能、新材料、新能源汽车、绿色智能船舶等产业。发展高效节能与先进环保装备制造业，壮大新能源与清洁能源装备制造业，大力推进太阳能、风能、潮流能、储能等新能源与清洁能源装备制造发展。</w:t>
      </w:r>
    </w:p>
    <w:p>
      <w:pPr>
        <w:ind w:firstLine="560"/>
        <w:rPr>
          <w:rFonts w:cs="Times New Roman"/>
        </w:rPr>
      </w:pPr>
      <w:r>
        <w:rPr>
          <w:rFonts w:cs="Times New Roman"/>
        </w:rPr>
        <w:t>2021年9月11日，国家发改委印发《完善能源消费强度和总量双控制度方案》，指出“国家继续将能耗强度降低作为国民经济和社会发展五年规划的约束性指标，合理设置能源消费总量指标，并向各省（自治区、直辖市）分解下达能耗双控五年目标”。能耗双控方案的实施，对于能源化工产业的发展面临巨大的挑战，须严肃认真地对待。</w:t>
      </w:r>
    </w:p>
    <w:p>
      <w:pPr>
        <w:pStyle w:val="5"/>
        <w:ind w:firstLine="562"/>
        <w:rPr>
          <w:rFonts w:cs="Times New Roman"/>
        </w:rPr>
      </w:pPr>
      <w:r>
        <w:rPr>
          <w:rFonts w:cs="Times New Roman"/>
        </w:rPr>
        <w:t>7.1.2 “碳达峰、碳中和”</w:t>
      </w:r>
    </w:p>
    <w:p>
      <w:pPr>
        <w:ind w:firstLine="560"/>
        <w:rPr>
          <w:rFonts w:cs="Times New Roman"/>
        </w:rPr>
      </w:pPr>
      <w:r>
        <w:rPr>
          <w:rFonts w:cs="Times New Roman"/>
        </w:rPr>
        <w:t>国家主席习近平在第75届联合国大会上宣布“中国将提高国家自主贡献力度，采取更加有力的政策措施，二氧化碳排放力争于2030年前达到峰值，努力争取2060 年前实现碳中和”。做好碳达峰、碳中和工作，是中央经济工作会议确定的八项重点任务之一，是我国积极应对全球气候变化，推动构建人类命运共同体的责任担当，是我国贯彻习近</w:t>
      </w:r>
      <w:r>
        <w:rPr>
          <w:rFonts w:hint="eastAsia" w:cs="Times New Roman"/>
          <w:lang w:eastAsia="zh-CN"/>
        </w:rPr>
        <w:t>平</w:t>
      </w:r>
      <w:r>
        <w:rPr>
          <w:rFonts w:cs="Times New Roman"/>
        </w:rPr>
        <w:t>生态文明</w:t>
      </w:r>
      <w:r>
        <w:rPr>
          <w:rFonts w:hint="eastAsia" w:cs="Times New Roman"/>
          <w:lang w:eastAsia="zh-CN"/>
        </w:rPr>
        <w:t>思想，</w:t>
      </w:r>
      <w:bookmarkStart w:id="483" w:name="_GoBack"/>
      <w:bookmarkEnd w:id="483"/>
      <w:r>
        <w:rPr>
          <w:rFonts w:cs="Times New Roman"/>
        </w:rPr>
        <w:t>构建低碳发展新格局、推进经济高质量发展的新要求。</w:t>
      </w:r>
    </w:p>
    <w:p>
      <w:pPr>
        <w:ind w:firstLine="560"/>
        <w:rPr>
          <w:rFonts w:cs="Times New Roman"/>
        </w:rPr>
      </w:pPr>
      <w:r>
        <w:rPr>
          <w:rFonts w:cs="Times New Roman"/>
        </w:rPr>
        <w:t>2021年3月，我国发布《中华人民共和国国民经济和社会发展第十四个五年规划和2035年远景目标纲要》，其中对生态文明建设、能源消费和结构、资源节约利用，提出了更为明确的方向和目标。</w:t>
      </w:r>
    </w:p>
    <w:p>
      <w:pPr>
        <w:ind w:firstLine="560"/>
        <w:rPr>
          <w:rFonts w:cs="Times New Roman"/>
        </w:rPr>
      </w:pPr>
      <w:r>
        <w:rPr>
          <w:rFonts w:cs="Times New Roman"/>
        </w:rPr>
        <w:t>——生态文明建设实现新进步。能源资源配置更加合理、利用效率大幅提高，单位国内生产总值能源消耗和二氧化碳排放分别降低13.5%、18%，主要污染物排放总量持续减少。</w:t>
      </w:r>
    </w:p>
    <w:p>
      <w:pPr>
        <w:ind w:firstLine="560"/>
        <w:rPr>
          <w:rFonts w:cs="Times New Roman"/>
        </w:rPr>
      </w:pPr>
      <w:r>
        <w:rPr>
          <w:rFonts w:cs="Times New Roman"/>
        </w:rPr>
        <w:t>——推进能源革命，建设清洁低碳、安全高效的能源体系，提高能源供给保障能力。加快发展非化石能源，坚持集中式和分布式并举。建设一批多能互补的清洁能源基地，非化石能源占能源消费总量比重提高到20%左右。推动煤炭生产向资源富集地区集中，合理控制煤电建设规模和发展节奏，推进以电代煤。</w:t>
      </w:r>
    </w:p>
    <w:p>
      <w:pPr>
        <w:ind w:firstLine="560"/>
        <w:rPr>
          <w:rFonts w:cs="Times New Roman"/>
        </w:rPr>
      </w:pPr>
      <w:r>
        <w:rPr>
          <w:rFonts w:cs="Times New Roman"/>
        </w:rPr>
        <w:t>——落实2030年应对气候变化国家自主贡献目标，制定2030年前碳排放达峰行动方案。完善能源消费总量和强度双控制度，重点控制化石能源消费。</w:t>
      </w:r>
    </w:p>
    <w:p>
      <w:pPr>
        <w:ind w:firstLine="560"/>
        <w:rPr>
          <w:rFonts w:cs="Times New Roman"/>
        </w:rPr>
      </w:pPr>
      <w:r>
        <w:rPr>
          <w:rFonts w:cs="Times New Roman"/>
        </w:rPr>
        <w:t>——实施重大节能低碳技术产业化示范工程，开展近零能耗建筑、近零碳排放、碳捕集利用与封存（CCUS）等重大项目示范。</w:t>
      </w:r>
    </w:p>
    <w:p>
      <w:pPr>
        <w:ind w:firstLine="560"/>
        <w:rPr>
          <w:rFonts w:cs="Times New Roman"/>
        </w:rPr>
      </w:pPr>
      <w:r>
        <w:rPr>
          <w:rFonts w:cs="Times New Roman"/>
        </w:rPr>
        <w:t>短期看，碳排放的约束会加大经济运行成本；但长期看，低碳循环节能产业将成为新一轮经济增长的重要动能，促进经济更快发展。</w:t>
      </w:r>
    </w:p>
    <w:p>
      <w:pPr>
        <w:pStyle w:val="5"/>
        <w:ind w:firstLine="562"/>
        <w:rPr>
          <w:rFonts w:cs="Times New Roman"/>
        </w:rPr>
      </w:pPr>
      <w:r>
        <w:rPr>
          <w:rFonts w:cs="Times New Roman"/>
        </w:rPr>
        <w:t>7.1.3 绿色发展具有以下内涵</w:t>
      </w:r>
    </w:p>
    <w:p>
      <w:pPr>
        <w:ind w:firstLine="560"/>
        <w:rPr>
          <w:rFonts w:cs="Times New Roman"/>
        </w:rPr>
      </w:pPr>
      <w:r>
        <w:rPr>
          <w:rFonts w:cs="Times New Roman"/>
        </w:rPr>
        <w:t>推动低碳循环发展，推进能源生产和消费革命，构建清洁低碳、安全高效的现代能源体系；推进资源全面节约和高效利用，树立节约集约循环利用的资源观，建立健全用能权、用水权、排污权、碳排放权初始分配制度，降低能耗、物耗，实现生产系统和生活系统循环链接；加大环境治理力度，以提高环境质量为核心，实行最严格的环境保护制度，深入实施大气、水、土壤污染防治行动计划。</w:t>
      </w:r>
    </w:p>
    <w:p>
      <w:pPr>
        <w:pStyle w:val="4"/>
        <w:ind w:firstLine="602"/>
        <w:rPr>
          <w:rFonts w:cs="Times New Roman"/>
        </w:rPr>
      </w:pPr>
      <w:bookmarkStart w:id="44" w:name="_Toc126591873"/>
      <w:bookmarkStart w:id="45" w:name="_Toc108385281"/>
      <w:r>
        <w:rPr>
          <w:rFonts w:cs="Times New Roman"/>
        </w:rPr>
        <w:t>7.2 环保及绿色发展原则</w:t>
      </w:r>
      <w:bookmarkEnd w:id="44"/>
      <w:bookmarkEnd w:id="45"/>
    </w:p>
    <w:p>
      <w:pPr>
        <w:ind w:firstLine="560"/>
        <w:rPr>
          <w:rFonts w:cs="Times New Roman"/>
        </w:rPr>
      </w:pPr>
      <w:r>
        <w:rPr>
          <w:rFonts w:cs="Times New Roman"/>
        </w:rPr>
        <w:t>（1）统筹规划，科学发展。在科学发展的前提下做好环境保护工作，从整体上对园区开发建设过程中的生态环境影响进行分析，采取有针对性的措施进行宏观管理。依靠科技进步，发展循环经济，倡导生态文明和绿色发展，强化环境法治，完善安全监管体制，建立长效机制，建设资源节约型、环境友好型社会。</w:t>
      </w:r>
    </w:p>
    <w:p>
      <w:pPr>
        <w:ind w:firstLine="560"/>
        <w:rPr>
          <w:rFonts w:cs="Times New Roman"/>
        </w:rPr>
      </w:pPr>
      <w:r>
        <w:rPr>
          <w:rFonts w:cs="Times New Roman"/>
        </w:rPr>
        <w:t>（2）生态保护和生态建设并重。园区开发建设过程中，通过科学规划布局、优化使用功能等措施最大限度的保护原有生态环境，通过园区内部绿化等措施进行生态建设。</w:t>
      </w:r>
    </w:p>
    <w:p>
      <w:pPr>
        <w:ind w:firstLine="560"/>
        <w:rPr>
          <w:rFonts w:cs="Times New Roman"/>
        </w:rPr>
      </w:pPr>
      <w:r>
        <w:rPr>
          <w:rFonts w:cs="Times New Roman"/>
        </w:rPr>
        <w:t>（3）强化环境、安全监管。对投资项目实行负面清单管理，严禁不符合要求的项目落地，加强对园区现有企业的监管，对存在安全隐患、污染物超标和违规排放的企业坚决进行停产和整改，建立安全、环保风险防控体系。</w:t>
      </w:r>
    </w:p>
    <w:p>
      <w:pPr>
        <w:ind w:firstLine="560"/>
        <w:rPr>
          <w:rFonts w:cs="Times New Roman"/>
        </w:rPr>
      </w:pPr>
      <w:r>
        <w:rPr>
          <w:rFonts w:cs="Times New Roman"/>
        </w:rPr>
        <w:t>（4）清洁生产原则。各项目的建设及工艺技术的选择要设置门槛，提高入驻项目的科技含量，选择能耗低、综合利用好、转换率高、无污染或少污染的工艺，满足清洁生产的需要。在生产环节，要严格执行排放强度准入制度，鼓励节能降耗，实行清洁生产并依法强制审核。</w:t>
      </w:r>
    </w:p>
    <w:p>
      <w:pPr>
        <w:ind w:firstLine="560"/>
        <w:rPr>
          <w:rFonts w:cs="Times New Roman"/>
        </w:rPr>
      </w:pPr>
      <w:r>
        <w:rPr>
          <w:rFonts w:cs="Times New Roman"/>
        </w:rPr>
        <w:t>（5）资源节约原则。要以资源保障能力为前提，构建有序开发、有偿利用、供需平衡、结构优化、集约高效的资源保护与合理利用新格局。通过采用先进工艺、优化项目流程、选用节能环保装置，降低矿产、水、一次能源的消耗，实现资源高效利用效率，实现可持续发展。</w:t>
      </w:r>
    </w:p>
    <w:p>
      <w:pPr>
        <w:ind w:firstLine="560"/>
        <w:rPr>
          <w:rFonts w:cs="Times New Roman"/>
        </w:rPr>
      </w:pPr>
      <w:r>
        <w:rPr>
          <w:rFonts w:cs="Times New Roman"/>
        </w:rPr>
        <w:t>（6）废物综合利用原则。对废气、废水、废渣等通过回用、综合利用等措施实现循环利用，实现工业废气达标后排放，一般工业固废全部综合利用或合理处置。</w:t>
      </w:r>
    </w:p>
    <w:p>
      <w:pPr>
        <w:ind w:firstLine="560"/>
        <w:rPr>
          <w:rFonts w:cs="Times New Roman"/>
        </w:rPr>
      </w:pPr>
      <w:r>
        <w:rPr>
          <w:rFonts w:cs="Times New Roman"/>
        </w:rPr>
        <w:t>（7）循环经济及产业耦合原则。结合园区产业的特点，推进企业和项目的耦合发展，形成“资源、产品、再生资源”循环经济模式，使不同企业和项目之间形成能源和资源互相依存、互相依靠，废料、废能互相利用局面，构建上下游一体延伸、多元互补、融合发展的产业链，实现能源、原料、产品、信息的有效沟通和互利共享，建立循环经济产业体系。</w:t>
      </w:r>
    </w:p>
    <w:p>
      <w:pPr>
        <w:pStyle w:val="4"/>
        <w:ind w:firstLine="602"/>
        <w:rPr>
          <w:rFonts w:cs="Times New Roman"/>
        </w:rPr>
      </w:pPr>
      <w:bookmarkStart w:id="46" w:name="_Toc126591874"/>
      <w:bookmarkStart w:id="47" w:name="_Toc108385282"/>
      <w:r>
        <w:rPr>
          <w:rFonts w:cs="Times New Roman"/>
        </w:rPr>
        <w:t>7.3 园区环境保护及绿色发展措施</w:t>
      </w:r>
      <w:bookmarkEnd w:id="46"/>
      <w:bookmarkEnd w:id="47"/>
    </w:p>
    <w:p>
      <w:pPr>
        <w:pStyle w:val="5"/>
        <w:ind w:firstLine="562"/>
        <w:rPr>
          <w:rFonts w:cs="Times New Roman"/>
        </w:rPr>
      </w:pPr>
      <w:r>
        <w:rPr>
          <w:rFonts w:cs="Times New Roman"/>
        </w:rPr>
        <w:t>7.3.1 发展目标</w:t>
      </w:r>
    </w:p>
    <w:p>
      <w:pPr>
        <w:ind w:firstLine="560"/>
        <w:rPr>
          <w:rFonts w:cs="Times New Roman"/>
          <w:sz w:val="24"/>
          <w:szCs w:val="24"/>
        </w:rPr>
      </w:pPr>
      <w:r>
        <w:rPr>
          <w:rFonts w:hint="eastAsia"/>
          <w:szCs w:val="24"/>
        </w:rPr>
        <w:t>通过推进清洁生产，强化末端治理，废物循环利用、生态绿化隔离等措施，最大限度减少污染物的排放量；加强园区开发建设过程中的生态环境保护，落实</w:t>
      </w:r>
      <w:r>
        <w:rPr>
          <w:szCs w:val="24"/>
        </w:rPr>
        <w:t>“</w:t>
      </w:r>
      <w:r>
        <w:rPr>
          <w:rFonts w:hint="eastAsia"/>
          <w:szCs w:val="24"/>
        </w:rPr>
        <w:t>三线一单</w:t>
      </w:r>
      <w:r>
        <w:rPr>
          <w:szCs w:val="24"/>
        </w:rPr>
        <w:t>”</w:t>
      </w:r>
      <w:r>
        <w:rPr>
          <w:rFonts w:hint="eastAsia"/>
          <w:szCs w:val="24"/>
        </w:rPr>
        <w:t>要求，以改善环境质量为抓手，实现经济发展与生态环境保护协同发展。</w:t>
      </w:r>
    </w:p>
    <w:p>
      <w:pPr>
        <w:ind w:firstLine="560"/>
        <w:rPr>
          <w:szCs w:val="24"/>
        </w:rPr>
      </w:pPr>
      <w:r>
        <w:rPr>
          <w:szCs w:val="24"/>
        </w:rPr>
        <w:t>1</w:t>
      </w:r>
      <w:r>
        <w:rPr>
          <w:rFonts w:hint="eastAsia"/>
          <w:szCs w:val="24"/>
        </w:rPr>
        <w:t>、水环境保护目标</w:t>
      </w:r>
    </w:p>
    <w:p>
      <w:pPr>
        <w:ind w:firstLine="560"/>
        <w:rPr>
          <w:szCs w:val="24"/>
        </w:rPr>
      </w:pPr>
      <w:r>
        <w:rPr>
          <w:rFonts w:hint="eastAsia"/>
          <w:szCs w:val="24"/>
        </w:rPr>
        <w:t>不仅要求规划区内的企业的污染源要达标排放，而且要强调企业中水重复利用率及资源的综合利用，实行达标和总量指标双控制。处理后的污水要达到《地表水环境质量标准》</w:t>
      </w:r>
      <w:r>
        <w:rPr>
          <w:rFonts w:hint="eastAsia" w:ascii="宋体" w:hAnsi="宋体" w:cs="宋体"/>
          <w:szCs w:val="24"/>
        </w:rPr>
        <w:t>Ⅲ</w:t>
      </w:r>
      <w:r>
        <w:rPr>
          <w:rFonts w:hint="eastAsia"/>
          <w:szCs w:val="24"/>
        </w:rPr>
        <w:t>类标准。</w:t>
      </w:r>
    </w:p>
    <w:p>
      <w:pPr>
        <w:ind w:firstLine="560"/>
        <w:rPr>
          <w:szCs w:val="24"/>
        </w:rPr>
      </w:pPr>
      <w:r>
        <w:rPr>
          <w:szCs w:val="24"/>
        </w:rPr>
        <w:t>2</w:t>
      </w:r>
      <w:r>
        <w:rPr>
          <w:rFonts w:hint="eastAsia"/>
          <w:szCs w:val="24"/>
        </w:rPr>
        <w:t>、空气环境保护目标</w:t>
      </w:r>
    </w:p>
    <w:p>
      <w:pPr>
        <w:ind w:firstLine="560"/>
        <w:rPr>
          <w:szCs w:val="24"/>
        </w:rPr>
      </w:pPr>
      <w:r>
        <w:rPr>
          <w:rFonts w:hint="eastAsia"/>
          <w:szCs w:val="24"/>
        </w:rPr>
        <w:t>环境空气质量达到《环境空气质量标准》二级标准。废气处理达标率</w:t>
      </w:r>
      <w:r>
        <w:rPr>
          <w:szCs w:val="24"/>
        </w:rPr>
        <w:t>100%</w:t>
      </w:r>
      <w:r>
        <w:rPr>
          <w:rFonts w:hint="eastAsia"/>
          <w:szCs w:val="24"/>
        </w:rPr>
        <w:t>。</w:t>
      </w:r>
    </w:p>
    <w:p>
      <w:pPr>
        <w:ind w:firstLine="560"/>
        <w:rPr>
          <w:szCs w:val="24"/>
        </w:rPr>
      </w:pPr>
      <w:r>
        <w:rPr>
          <w:szCs w:val="24"/>
        </w:rPr>
        <w:t>3</w:t>
      </w:r>
      <w:r>
        <w:rPr>
          <w:rFonts w:hint="eastAsia"/>
          <w:szCs w:val="24"/>
        </w:rPr>
        <w:t>、声环境保护目标</w:t>
      </w:r>
    </w:p>
    <w:p>
      <w:pPr>
        <w:ind w:firstLine="560"/>
        <w:rPr>
          <w:szCs w:val="24"/>
        </w:rPr>
      </w:pPr>
      <w:r>
        <w:rPr>
          <w:rFonts w:hint="eastAsia"/>
          <w:szCs w:val="24"/>
        </w:rPr>
        <w:t>规划区各类区域噪声环境执行《声环境质量标准》（</w:t>
      </w:r>
      <w:r>
        <w:rPr>
          <w:szCs w:val="24"/>
        </w:rPr>
        <w:t>GB 3096-2008</w:t>
      </w:r>
      <w:r>
        <w:rPr>
          <w:rFonts w:hint="eastAsia"/>
          <w:szCs w:val="24"/>
        </w:rPr>
        <w:t>）。规划将规划区的区域环境噪声分成四类：居民住宅、文化教育、科研设计、行政办公为主要功能，需要保持安静的区域执行</w:t>
      </w:r>
      <w:r>
        <w:rPr>
          <w:szCs w:val="24"/>
        </w:rPr>
        <w:t>1</w:t>
      </w:r>
      <w:r>
        <w:rPr>
          <w:rFonts w:hint="eastAsia"/>
          <w:szCs w:val="24"/>
        </w:rPr>
        <w:t>类标准；商业金融、集市贸易为主要功能，或者居民、商业、工业混杂，需要维护住宅安静的区域执行</w:t>
      </w:r>
      <w:r>
        <w:rPr>
          <w:szCs w:val="24"/>
        </w:rPr>
        <w:t>2</w:t>
      </w:r>
      <w:r>
        <w:rPr>
          <w:rFonts w:hint="eastAsia"/>
          <w:szCs w:val="24"/>
        </w:rPr>
        <w:t>类标准；工业生产、仓储物流为主要功能，需要防止工业噪声对环境产生严重影响的区域执行</w:t>
      </w:r>
      <w:r>
        <w:rPr>
          <w:szCs w:val="24"/>
        </w:rPr>
        <w:t>3</w:t>
      </w:r>
      <w:r>
        <w:rPr>
          <w:rFonts w:hint="eastAsia"/>
          <w:szCs w:val="24"/>
        </w:rPr>
        <w:t>类标准；交通干线两侧一定距离之内，需要防止交通噪声对周围环境产生严重影响区域执行</w:t>
      </w:r>
      <w:r>
        <w:rPr>
          <w:szCs w:val="24"/>
        </w:rPr>
        <w:t>4</w:t>
      </w:r>
      <w:r>
        <w:rPr>
          <w:rFonts w:hint="eastAsia"/>
          <w:szCs w:val="24"/>
        </w:rPr>
        <w:t>类标准。其中，二级公路、城市快速路、城市主干路、城市次干路两侧区域执行</w:t>
      </w:r>
      <w:r>
        <w:rPr>
          <w:szCs w:val="24"/>
        </w:rPr>
        <w:t>4a</w:t>
      </w:r>
      <w:r>
        <w:rPr>
          <w:rFonts w:hint="eastAsia"/>
          <w:szCs w:val="24"/>
        </w:rPr>
        <w:t>类标准。铁路干线两侧区域执行</w:t>
      </w:r>
      <w:r>
        <w:rPr>
          <w:szCs w:val="24"/>
        </w:rPr>
        <w:t>4b</w:t>
      </w:r>
      <w:r>
        <w:rPr>
          <w:rFonts w:hint="eastAsia"/>
          <w:szCs w:val="24"/>
        </w:rPr>
        <w:t>类标准。规划区域环境噪声近期达标区覆盖率为</w:t>
      </w:r>
      <w:r>
        <w:rPr>
          <w:szCs w:val="24"/>
        </w:rPr>
        <w:t>70%</w:t>
      </w:r>
      <w:r>
        <w:rPr>
          <w:rFonts w:hint="eastAsia"/>
          <w:szCs w:val="24"/>
        </w:rPr>
        <w:t>，远期达标区覆盖率为</w:t>
      </w:r>
      <w:r>
        <w:rPr>
          <w:szCs w:val="24"/>
        </w:rPr>
        <w:t>90%</w:t>
      </w:r>
      <w:r>
        <w:rPr>
          <w:rFonts w:hint="eastAsia"/>
          <w:szCs w:val="24"/>
        </w:rPr>
        <w:t>。</w:t>
      </w:r>
    </w:p>
    <w:p>
      <w:pPr>
        <w:ind w:firstLine="560"/>
        <w:rPr>
          <w:szCs w:val="24"/>
        </w:rPr>
      </w:pPr>
      <w:r>
        <w:rPr>
          <w:szCs w:val="24"/>
        </w:rPr>
        <w:t>4</w:t>
      </w:r>
      <w:r>
        <w:rPr>
          <w:rFonts w:hint="eastAsia"/>
          <w:szCs w:val="24"/>
        </w:rPr>
        <w:t>、固废处置目标</w:t>
      </w:r>
    </w:p>
    <w:p>
      <w:pPr>
        <w:ind w:firstLine="560"/>
        <w:rPr>
          <w:szCs w:val="24"/>
        </w:rPr>
      </w:pPr>
      <w:r>
        <w:rPr>
          <w:rFonts w:hint="eastAsia"/>
          <w:szCs w:val="24"/>
        </w:rPr>
        <w:t>规划区内固废和生活垃圾收集率达到</w:t>
      </w:r>
      <w:r>
        <w:rPr>
          <w:szCs w:val="24"/>
        </w:rPr>
        <w:t>100%</w:t>
      </w:r>
      <w:r>
        <w:rPr>
          <w:rFonts w:hint="eastAsia"/>
          <w:szCs w:val="24"/>
        </w:rPr>
        <w:t>，基地内危险固废收集率达到</w:t>
      </w:r>
      <w:r>
        <w:rPr>
          <w:szCs w:val="24"/>
        </w:rPr>
        <w:t>100%</w:t>
      </w:r>
      <w:r>
        <w:rPr>
          <w:rFonts w:hint="eastAsia"/>
          <w:szCs w:val="24"/>
        </w:rPr>
        <w:t>。</w:t>
      </w:r>
    </w:p>
    <w:p>
      <w:pPr>
        <w:ind w:firstLine="560"/>
        <w:rPr>
          <w:szCs w:val="24"/>
        </w:rPr>
      </w:pPr>
      <w:r>
        <w:rPr>
          <w:szCs w:val="24"/>
        </w:rPr>
        <w:t>5</w:t>
      </w:r>
      <w:r>
        <w:rPr>
          <w:rFonts w:hint="eastAsia"/>
          <w:szCs w:val="24"/>
        </w:rPr>
        <w:t>、环境绿化目标</w:t>
      </w:r>
    </w:p>
    <w:p>
      <w:pPr>
        <w:ind w:firstLine="560"/>
        <w:rPr>
          <w:rFonts w:cs="Times New Roman"/>
        </w:rPr>
      </w:pPr>
      <w:r>
        <w:rPr>
          <w:rFonts w:hint="eastAsia"/>
          <w:szCs w:val="24"/>
        </w:rPr>
        <w:t>规划区绿地率近期不高于</w:t>
      </w:r>
      <w:r>
        <w:rPr>
          <w:szCs w:val="24"/>
        </w:rPr>
        <w:t>20%</w:t>
      </w:r>
      <w:r>
        <w:rPr>
          <w:rFonts w:hint="eastAsia"/>
          <w:szCs w:val="24"/>
        </w:rPr>
        <w:t>，远期不高于</w:t>
      </w:r>
      <w:r>
        <w:rPr>
          <w:szCs w:val="24"/>
        </w:rPr>
        <w:t>25%</w:t>
      </w:r>
      <w:r>
        <w:rPr>
          <w:rFonts w:hint="eastAsia"/>
          <w:szCs w:val="24"/>
        </w:rPr>
        <w:t>。</w:t>
      </w:r>
    </w:p>
    <w:p>
      <w:pPr>
        <w:pStyle w:val="5"/>
        <w:ind w:firstLine="562"/>
        <w:rPr>
          <w:rFonts w:cs="Times New Roman"/>
        </w:rPr>
      </w:pPr>
      <w:r>
        <w:rPr>
          <w:rFonts w:cs="Times New Roman"/>
        </w:rPr>
        <w:t>7.3.2 环境保护措施</w:t>
      </w:r>
    </w:p>
    <w:p>
      <w:pPr>
        <w:pStyle w:val="2"/>
        <w:ind w:firstLine="560"/>
        <w:rPr>
          <w:rFonts w:cs="Times New Roman"/>
        </w:rPr>
      </w:pPr>
      <w:r>
        <w:rPr>
          <w:rFonts w:cs="Times New Roman"/>
        </w:rPr>
        <w:t xml:space="preserve">7.3.2.1 </w:t>
      </w:r>
      <w:r>
        <w:rPr>
          <w:rFonts w:hint="eastAsia" w:cs="Times New Roman"/>
        </w:rPr>
        <w:t>大</w:t>
      </w:r>
      <w:r>
        <w:rPr>
          <w:rFonts w:cs="Times New Roman"/>
        </w:rPr>
        <w:t>气环境保护措施</w:t>
      </w:r>
    </w:p>
    <w:p>
      <w:pPr>
        <w:ind w:firstLine="560"/>
        <w:rPr>
          <w:rFonts w:cs="Times New Roman"/>
          <w:sz w:val="24"/>
          <w:szCs w:val="24"/>
        </w:rPr>
      </w:pPr>
      <w:r>
        <w:rPr>
          <w:szCs w:val="24"/>
        </w:rPr>
        <w:t>1</w:t>
      </w:r>
      <w:r>
        <w:rPr>
          <w:rFonts w:hint="eastAsia"/>
          <w:szCs w:val="24"/>
        </w:rPr>
        <w:t>、有组织废气</w:t>
      </w:r>
    </w:p>
    <w:p>
      <w:pPr>
        <w:ind w:firstLine="560"/>
        <w:rPr>
          <w:szCs w:val="24"/>
        </w:rPr>
      </w:pPr>
      <w:r>
        <w:rPr>
          <w:rFonts w:hint="eastAsia"/>
          <w:szCs w:val="24"/>
        </w:rPr>
        <w:t>（</w:t>
      </w:r>
      <w:r>
        <w:rPr>
          <w:szCs w:val="24"/>
        </w:rPr>
        <w:t>1</w:t>
      </w:r>
      <w:r>
        <w:rPr>
          <w:rFonts w:hint="eastAsia"/>
          <w:szCs w:val="24"/>
        </w:rPr>
        <w:t>）化工项目工艺装置中的污染物排放等都与生产过程中的净化处理密不可分，应首先结合生产装置减少气态污染物排放。</w:t>
      </w:r>
    </w:p>
    <w:p>
      <w:pPr>
        <w:ind w:firstLine="560"/>
        <w:rPr>
          <w:szCs w:val="24"/>
        </w:rPr>
      </w:pPr>
      <w:r>
        <w:rPr>
          <w:rFonts w:hint="eastAsia"/>
          <w:szCs w:val="24"/>
        </w:rPr>
        <w:t>（2）根据排放废气所含污染物种类及特点，采用有效的废气治理措施（包括除尘、脱硫、低氮燃烧、催化氧化、洗涤、汽提、焚烧等）确保废气达标排放。烟气和有组织工艺废气均由管道收集处理后，统一由排气筒高空排放。工业废气处理达标率</w:t>
      </w:r>
      <w:r>
        <w:rPr>
          <w:szCs w:val="24"/>
        </w:rPr>
        <w:t>100%</w:t>
      </w:r>
      <w:r>
        <w:rPr>
          <w:rFonts w:hint="eastAsia"/>
          <w:szCs w:val="24"/>
        </w:rPr>
        <w:t>。</w:t>
      </w:r>
    </w:p>
    <w:p>
      <w:pPr>
        <w:ind w:firstLine="560"/>
        <w:rPr>
          <w:szCs w:val="24"/>
        </w:rPr>
      </w:pPr>
      <w:r>
        <w:rPr>
          <w:szCs w:val="24"/>
        </w:rPr>
        <w:t>2</w:t>
      </w:r>
      <w:r>
        <w:rPr>
          <w:rFonts w:hint="eastAsia"/>
          <w:szCs w:val="24"/>
        </w:rPr>
        <w:t>、无组织废气</w:t>
      </w:r>
    </w:p>
    <w:p>
      <w:pPr>
        <w:ind w:firstLine="560"/>
        <w:rPr>
          <w:szCs w:val="24"/>
        </w:rPr>
      </w:pPr>
      <w:r>
        <w:rPr>
          <w:rFonts w:hint="eastAsia"/>
          <w:szCs w:val="24"/>
        </w:rPr>
        <w:t>（</w:t>
      </w:r>
      <w:r>
        <w:rPr>
          <w:szCs w:val="24"/>
        </w:rPr>
        <w:t>1</w:t>
      </w:r>
      <w:r>
        <w:rPr>
          <w:rFonts w:hint="eastAsia"/>
          <w:szCs w:val="24"/>
        </w:rPr>
        <w:t>）加强烟尘粉尘治理，加强无组织尘源的密封和除尘，加强裸露土壤绿化与硬化。</w:t>
      </w:r>
    </w:p>
    <w:p>
      <w:pPr>
        <w:ind w:firstLine="560"/>
        <w:rPr>
          <w:szCs w:val="24"/>
        </w:rPr>
      </w:pPr>
      <w:r>
        <w:rPr>
          <w:rFonts w:hint="eastAsia"/>
          <w:szCs w:val="24"/>
        </w:rPr>
        <w:t>（</w:t>
      </w:r>
      <w:r>
        <w:rPr>
          <w:szCs w:val="24"/>
        </w:rPr>
        <w:t>2</w:t>
      </w:r>
      <w:r>
        <w:rPr>
          <w:rFonts w:hint="eastAsia"/>
          <w:szCs w:val="24"/>
        </w:rPr>
        <w:t>）加强工艺装置挥发性有机物治理，采用火炬或焚烧炉，对生产废气中的有机污染物或恶臭物质及事故状态下排出的可燃气体等进行焚烧处理。</w:t>
      </w:r>
    </w:p>
    <w:p>
      <w:pPr>
        <w:ind w:firstLine="560"/>
        <w:rPr>
          <w:szCs w:val="24"/>
        </w:rPr>
      </w:pPr>
      <w:r>
        <w:rPr>
          <w:rFonts w:hint="eastAsia"/>
          <w:szCs w:val="24"/>
        </w:rPr>
        <w:t>（</w:t>
      </w:r>
      <w:r>
        <w:rPr>
          <w:szCs w:val="24"/>
        </w:rPr>
        <w:t>3</w:t>
      </w:r>
      <w:r>
        <w:rPr>
          <w:rFonts w:hint="eastAsia"/>
          <w:szCs w:val="24"/>
        </w:rPr>
        <w:t>）减少废气污染物无组织排放，执行《挥发性有机物无组织排放控制标准》（</w:t>
      </w:r>
      <w:r>
        <w:rPr>
          <w:szCs w:val="24"/>
        </w:rPr>
        <w:t>GB 37822-2019</w:t>
      </w:r>
      <w:r>
        <w:rPr>
          <w:rFonts w:hint="eastAsia"/>
          <w:szCs w:val="24"/>
        </w:rPr>
        <w:t>）。园区边界大气污染物对照《恶臭污染物排放标准》（</w:t>
      </w:r>
      <w:r>
        <w:rPr>
          <w:szCs w:val="24"/>
        </w:rPr>
        <w:t>GB 14554-1993</w:t>
      </w:r>
      <w:r>
        <w:rPr>
          <w:rFonts w:hint="eastAsia"/>
          <w:szCs w:val="24"/>
        </w:rPr>
        <w:t>）厂界一级标准、《大气污染物综合排放标准》（</w:t>
      </w:r>
      <w:r>
        <w:rPr>
          <w:szCs w:val="24"/>
        </w:rPr>
        <w:t>GB 16297-1996</w:t>
      </w:r>
      <w:r>
        <w:rPr>
          <w:rFonts w:hint="eastAsia"/>
          <w:szCs w:val="24"/>
        </w:rPr>
        <w:t>）无组织排放标准，执行最低浓度限值。</w:t>
      </w:r>
    </w:p>
    <w:p>
      <w:pPr>
        <w:ind w:firstLine="560"/>
        <w:rPr>
          <w:szCs w:val="24"/>
        </w:rPr>
      </w:pPr>
      <w:r>
        <w:rPr>
          <w:rFonts w:hint="eastAsia"/>
          <w:szCs w:val="24"/>
        </w:rPr>
        <w:t>（</w:t>
      </w:r>
      <w:r>
        <w:rPr>
          <w:szCs w:val="24"/>
        </w:rPr>
        <w:t>4</w:t>
      </w:r>
      <w:r>
        <w:rPr>
          <w:rFonts w:hint="eastAsia"/>
          <w:szCs w:val="24"/>
        </w:rPr>
        <w:t>）对各企业工艺废气污染源，应配置废气收集与处理净化装置，确保达标排放。加强生产工艺研究与技术改进，采取有效措施，减少园区内工艺废气的无组织排放。</w:t>
      </w:r>
    </w:p>
    <w:p>
      <w:pPr>
        <w:ind w:firstLine="560"/>
        <w:rPr>
          <w:szCs w:val="24"/>
        </w:rPr>
      </w:pPr>
      <w:r>
        <w:rPr>
          <w:rFonts w:hint="eastAsia"/>
          <w:szCs w:val="24"/>
        </w:rPr>
        <w:t>（</w:t>
      </w:r>
      <w:r>
        <w:rPr>
          <w:szCs w:val="24"/>
        </w:rPr>
        <w:t>5</w:t>
      </w:r>
      <w:r>
        <w:rPr>
          <w:rFonts w:hint="eastAsia"/>
          <w:szCs w:val="24"/>
        </w:rPr>
        <w:t>）原料输送管线及设备采用高效密封措施，制订必要的严格操作规程，自控系统设置联锁保护，避免设备故障或操作失误造成的跑、冒、滴、漏，以减少有害挥发气体进入大气量，减少废气污染物无组织排放。</w:t>
      </w:r>
    </w:p>
    <w:p>
      <w:pPr>
        <w:ind w:firstLine="560"/>
        <w:rPr>
          <w:szCs w:val="24"/>
        </w:rPr>
      </w:pPr>
      <w:r>
        <w:rPr>
          <w:rFonts w:hint="eastAsia"/>
          <w:szCs w:val="24"/>
        </w:rPr>
        <w:t>（</w:t>
      </w:r>
      <w:r>
        <w:rPr>
          <w:szCs w:val="24"/>
        </w:rPr>
        <w:t>6</w:t>
      </w:r>
      <w:r>
        <w:rPr>
          <w:rFonts w:hint="eastAsia"/>
          <w:szCs w:val="24"/>
        </w:rPr>
        <w:t>）已建及新建装置需开展</w:t>
      </w:r>
      <w:r>
        <w:rPr>
          <w:szCs w:val="24"/>
        </w:rPr>
        <w:t>“</w:t>
      </w:r>
      <w:r>
        <w:rPr>
          <w:rFonts w:hint="eastAsia"/>
          <w:szCs w:val="24"/>
        </w:rPr>
        <w:t>泄漏检测与修复</w:t>
      </w:r>
      <w:r>
        <w:rPr>
          <w:szCs w:val="24"/>
        </w:rPr>
        <w:t>”</w:t>
      </w:r>
      <w:r>
        <w:rPr>
          <w:rFonts w:hint="eastAsia"/>
          <w:szCs w:val="24"/>
        </w:rPr>
        <w:t>技术改造，减少由于泄漏造成的无组织排放。</w:t>
      </w:r>
    </w:p>
    <w:p>
      <w:pPr>
        <w:ind w:firstLine="560"/>
        <w:rPr>
          <w:rFonts w:cs="Times New Roman"/>
          <w:szCs w:val="28"/>
        </w:rPr>
      </w:pPr>
      <w:r>
        <w:rPr>
          <w:rFonts w:hint="eastAsia"/>
          <w:szCs w:val="24"/>
        </w:rPr>
        <w:t>（</w:t>
      </w:r>
      <w:r>
        <w:rPr>
          <w:szCs w:val="24"/>
        </w:rPr>
        <w:t>7</w:t>
      </w:r>
      <w:r>
        <w:rPr>
          <w:rFonts w:hint="eastAsia"/>
          <w:szCs w:val="24"/>
        </w:rPr>
        <w:t>）污水处理场进行封闭，各处产生的废气经加盖收集后，采用生物除臭工艺或催化焚烧法进行处理。</w:t>
      </w:r>
    </w:p>
    <w:p>
      <w:pPr>
        <w:pStyle w:val="2"/>
        <w:ind w:firstLine="560"/>
        <w:rPr>
          <w:rFonts w:cs="Times New Roman"/>
        </w:rPr>
      </w:pPr>
      <w:r>
        <w:rPr>
          <w:rFonts w:cs="Times New Roman"/>
        </w:rPr>
        <w:t xml:space="preserve">7.3.2.2 </w:t>
      </w:r>
      <w:r>
        <w:rPr>
          <w:rFonts w:hint="eastAsia" w:cs="Times New Roman"/>
        </w:rPr>
        <w:t>水</w:t>
      </w:r>
      <w:r>
        <w:rPr>
          <w:rFonts w:cs="Times New Roman"/>
        </w:rPr>
        <w:t>环境保护措施</w:t>
      </w:r>
    </w:p>
    <w:p>
      <w:pPr>
        <w:ind w:firstLine="560"/>
        <w:rPr>
          <w:rFonts w:cs="Times New Roman"/>
          <w:bCs/>
          <w:sz w:val="24"/>
          <w:szCs w:val="24"/>
        </w:rPr>
      </w:pPr>
      <w:r>
        <w:rPr>
          <w:bCs/>
          <w:szCs w:val="24"/>
        </w:rPr>
        <w:t>1</w:t>
      </w:r>
      <w:r>
        <w:rPr>
          <w:rFonts w:hint="eastAsia"/>
          <w:bCs/>
          <w:szCs w:val="24"/>
        </w:rPr>
        <w:t>、地表水环境保护</w:t>
      </w:r>
      <w:r>
        <w:rPr>
          <w:bCs/>
          <w:szCs w:val="24"/>
        </w:rPr>
        <w:t>措施</w:t>
      </w:r>
    </w:p>
    <w:p>
      <w:pPr>
        <w:ind w:firstLine="560"/>
        <w:rPr>
          <w:szCs w:val="24"/>
        </w:rPr>
      </w:pPr>
      <w:r>
        <w:rPr>
          <w:rFonts w:hint="eastAsia"/>
          <w:szCs w:val="24"/>
        </w:rPr>
        <w:t>（</w:t>
      </w:r>
      <w:r>
        <w:rPr>
          <w:szCs w:val="24"/>
        </w:rPr>
        <w:t>1</w:t>
      </w:r>
      <w:r>
        <w:rPr>
          <w:rFonts w:hint="eastAsia"/>
          <w:szCs w:val="24"/>
        </w:rPr>
        <w:t>）推进清洁生产，选择生产工艺和设备时，应尽量采用不产生或少产生污染物的生产工艺，从源头上降低污水产生。</w:t>
      </w:r>
    </w:p>
    <w:p>
      <w:pPr>
        <w:ind w:firstLine="560"/>
        <w:rPr>
          <w:szCs w:val="24"/>
        </w:rPr>
      </w:pPr>
      <w:r>
        <w:rPr>
          <w:rFonts w:hint="eastAsia"/>
          <w:szCs w:val="24"/>
        </w:rPr>
        <w:t>（</w:t>
      </w:r>
      <w:r>
        <w:rPr>
          <w:szCs w:val="24"/>
        </w:rPr>
        <w:t>2</w:t>
      </w:r>
      <w:r>
        <w:rPr>
          <w:rFonts w:hint="eastAsia"/>
          <w:szCs w:val="24"/>
        </w:rPr>
        <w:t>）煤焦化项目产生的废水包括生产废水、生活污水和初期雨水，均自行处理后回用不外排，项目不设废水排放口。</w:t>
      </w:r>
    </w:p>
    <w:p>
      <w:pPr>
        <w:ind w:firstLine="560"/>
        <w:rPr>
          <w:szCs w:val="24"/>
        </w:rPr>
      </w:pPr>
      <w:r>
        <w:rPr>
          <w:rFonts w:hint="eastAsia"/>
          <w:szCs w:val="24"/>
        </w:rPr>
        <w:t>（</w:t>
      </w:r>
      <w:r>
        <w:rPr>
          <w:szCs w:val="24"/>
        </w:rPr>
        <w:t>3</w:t>
      </w:r>
      <w:r>
        <w:rPr>
          <w:rFonts w:hint="eastAsia"/>
          <w:szCs w:val="24"/>
        </w:rPr>
        <w:t>）新材料及专用化学品项目根据产业布局及污水水质特点设置统一的接管标准，企业可在厂区内预处理达到接管标准后送至园区污水处理厂进行集中处理。</w:t>
      </w:r>
    </w:p>
    <w:p>
      <w:pPr>
        <w:ind w:firstLine="560"/>
        <w:rPr>
          <w:szCs w:val="24"/>
        </w:rPr>
      </w:pPr>
      <w:r>
        <w:rPr>
          <w:rFonts w:hint="eastAsia"/>
          <w:szCs w:val="24"/>
        </w:rPr>
        <w:t>（</w:t>
      </w:r>
      <w:r>
        <w:rPr>
          <w:szCs w:val="24"/>
        </w:rPr>
        <w:t>4</w:t>
      </w:r>
      <w:r>
        <w:rPr>
          <w:rFonts w:hint="eastAsia"/>
          <w:szCs w:val="24"/>
        </w:rPr>
        <w:t>）园区应配套建设专业的污水处理厂，严禁化工废水接入城镇污水处理厂；严格控制区外非化工污水接入，特殊情况下如有接入，比例不得超过</w:t>
      </w:r>
      <w:r>
        <w:rPr>
          <w:szCs w:val="24"/>
        </w:rPr>
        <w:t>20%</w:t>
      </w:r>
      <w:r>
        <w:rPr>
          <w:rFonts w:hint="eastAsia"/>
          <w:szCs w:val="24"/>
        </w:rPr>
        <w:t>。污水处理厂原则上需设置高级氧化等强化处理工艺，提高难降解有毒有害污染物去除效率。</w:t>
      </w:r>
    </w:p>
    <w:p>
      <w:pPr>
        <w:ind w:firstLine="560"/>
        <w:rPr>
          <w:szCs w:val="24"/>
        </w:rPr>
      </w:pPr>
      <w:r>
        <w:rPr>
          <w:rFonts w:hint="eastAsia"/>
          <w:szCs w:val="24"/>
        </w:rPr>
        <w:t>（</w:t>
      </w:r>
      <w:r>
        <w:rPr>
          <w:szCs w:val="24"/>
        </w:rPr>
        <w:t>5</w:t>
      </w:r>
      <w:r>
        <w:rPr>
          <w:rFonts w:hint="eastAsia"/>
          <w:szCs w:val="24"/>
        </w:rPr>
        <w:t>）接纳化工废水的集中式污水处理厂主要污染物排放浓度不得高于《污水综合排放标准》（</w:t>
      </w:r>
      <w:r>
        <w:rPr>
          <w:szCs w:val="24"/>
        </w:rPr>
        <w:t>GB 8978-1996</w:t>
      </w:r>
      <w:r>
        <w:rPr>
          <w:rFonts w:hint="eastAsia"/>
          <w:szCs w:val="24"/>
        </w:rPr>
        <w:t>）一级标准。对于以上标准中没有包含的有毒有害物质，须开展特征污染物筛查，建立特征污染物名录库，参照《石油化学工业污染物排放标准》（</w:t>
      </w:r>
      <w:r>
        <w:rPr>
          <w:szCs w:val="24"/>
        </w:rPr>
        <w:t>GB 31571-2015</w:t>
      </w:r>
      <w:r>
        <w:rPr>
          <w:rFonts w:hint="eastAsia"/>
          <w:szCs w:val="24"/>
        </w:rPr>
        <w:t>）制定排放限值。</w:t>
      </w:r>
    </w:p>
    <w:p>
      <w:pPr>
        <w:ind w:firstLine="560"/>
        <w:rPr>
          <w:szCs w:val="24"/>
        </w:rPr>
      </w:pPr>
      <w:r>
        <w:rPr>
          <w:rFonts w:hint="eastAsia"/>
          <w:szCs w:val="24"/>
        </w:rPr>
        <w:t>（</w:t>
      </w:r>
      <w:r>
        <w:rPr>
          <w:szCs w:val="24"/>
        </w:rPr>
        <w:t>6</w:t>
      </w:r>
      <w:r>
        <w:rPr>
          <w:rFonts w:hint="eastAsia"/>
          <w:szCs w:val="24"/>
        </w:rPr>
        <w:t>）为保证事故状态下污水收集，规划区内企业需在厂区内设置事故池等应急储存设施。</w:t>
      </w:r>
    </w:p>
    <w:p>
      <w:pPr>
        <w:ind w:firstLine="560"/>
        <w:rPr>
          <w:szCs w:val="24"/>
        </w:rPr>
      </w:pPr>
      <w:r>
        <w:rPr>
          <w:rFonts w:hint="eastAsia"/>
          <w:szCs w:val="24"/>
        </w:rPr>
        <w:t>（</w:t>
      </w:r>
      <w:r>
        <w:rPr>
          <w:szCs w:val="24"/>
        </w:rPr>
        <w:t>7</w:t>
      </w:r>
      <w:r>
        <w:rPr>
          <w:rFonts w:hint="eastAsia"/>
          <w:szCs w:val="24"/>
        </w:rPr>
        <w:t>）为避免外排雨水污染区外水环境，规划区内企业需设置初期雨水池收集初期雨水，经过处理后排放。</w:t>
      </w:r>
    </w:p>
    <w:p>
      <w:pPr>
        <w:ind w:firstLine="560"/>
        <w:rPr>
          <w:szCs w:val="24"/>
        </w:rPr>
      </w:pPr>
      <w:r>
        <w:rPr>
          <w:rFonts w:hint="eastAsia"/>
          <w:szCs w:val="24"/>
        </w:rPr>
        <w:t>（</w:t>
      </w:r>
      <w:r>
        <w:rPr>
          <w:szCs w:val="24"/>
        </w:rPr>
        <w:t>8</w:t>
      </w:r>
      <w:r>
        <w:rPr>
          <w:rFonts w:hint="eastAsia"/>
          <w:szCs w:val="24"/>
        </w:rPr>
        <w:t>）规划区企业内雨水管道总排放口设置监测与截断设施，一旦发现雨排水水质超标及时阻截在厂区内处理，避免污染扩大。</w:t>
      </w:r>
    </w:p>
    <w:p>
      <w:pPr>
        <w:ind w:firstLine="560"/>
        <w:rPr>
          <w:bCs/>
          <w:szCs w:val="24"/>
        </w:rPr>
      </w:pPr>
      <w:r>
        <w:rPr>
          <w:bCs/>
          <w:szCs w:val="24"/>
        </w:rPr>
        <w:t>2</w:t>
      </w:r>
      <w:r>
        <w:rPr>
          <w:rFonts w:hint="eastAsia"/>
          <w:bCs/>
          <w:szCs w:val="24"/>
        </w:rPr>
        <w:t>、地下水环境保护</w:t>
      </w:r>
      <w:r>
        <w:rPr>
          <w:bCs/>
          <w:szCs w:val="24"/>
        </w:rPr>
        <w:t>措施</w:t>
      </w:r>
    </w:p>
    <w:p>
      <w:pPr>
        <w:ind w:firstLine="560"/>
        <w:rPr>
          <w:szCs w:val="24"/>
        </w:rPr>
      </w:pPr>
      <w:r>
        <w:rPr>
          <w:rFonts w:hint="eastAsia"/>
          <w:szCs w:val="24"/>
        </w:rPr>
        <w:t>（</w:t>
      </w:r>
      <w:r>
        <w:rPr>
          <w:szCs w:val="24"/>
        </w:rPr>
        <w:t>1</w:t>
      </w:r>
      <w:r>
        <w:rPr>
          <w:rFonts w:hint="eastAsia"/>
          <w:szCs w:val="24"/>
        </w:rPr>
        <w:t>）加强园区内企业排污管网建设及污染源监督管理，防止污染物的跑、冒、滴、漏等现象的出现。</w:t>
      </w:r>
    </w:p>
    <w:p>
      <w:pPr>
        <w:ind w:firstLine="560"/>
        <w:rPr>
          <w:szCs w:val="24"/>
        </w:rPr>
      </w:pPr>
      <w:r>
        <w:rPr>
          <w:rFonts w:hint="eastAsia"/>
          <w:szCs w:val="24"/>
        </w:rPr>
        <w:t>（</w:t>
      </w:r>
      <w:r>
        <w:rPr>
          <w:szCs w:val="24"/>
        </w:rPr>
        <w:t>2</w:t>
      </w:r>
      <w:r>
        <w:rPr>
          <w:rFonts w:hint="eastAsia"/>
          <w:szCs w:val="24"/>
        </w:rPr>
        <w:t>）规划布局的产业减少工业</w:t>
      </w:r>
      <w:r>
        <w:rPr>
          <w:szCs w:val="24"/>
        </w:rPr>
        <w:t>“</w:t>
      </w:r>
      <w:r>
        <w:rPr>
          <w:rFonts w:hint="eastAsia"/>
          <w:szCs w:val="24"/>
        </w:rPr>
        <w:t>三废</w:t>
      </w:r>
      <w:r>
        <w:rPr>
          <w:szCs w:val="24"/>
        </w:rPr>
        <w:t>”</w:t>
      </w:r>
      <w:r>
        <w:rPr>
          <w:rFonts w:hint="eastAsia"/>
          <w:szCs w:val="24"/>
        </w:rPr>
        <w:t>排放量：园区落户企业应采用清洁生产工艺，提高资源、能源和废物的利用率以及废水循环使用率，控制园区废水排放量，防止各类工业废物通过地表渗漏和冲刷污染地下水。</w:t>
      </w:r>
    </w:p>
    <w:p>
      <w:pPr>
        <w:ind w:firstLine="560"/>
        <w:rPr>
          <w:szCs w:val="24"/>
        </w:rPr>
      </w:pPr>
      <w:r>
        <w:rPr>
          <w:rFonts w:hint="eastAsia"/>
          <w:szCs w:val="24"/>
        </w:rPr>
        <w:t>（</w:t>
      </w:r>
      <w:r>
        <w:rPr>
          <w:szCs w:val="24"/>
        </w:rPr>
        <w:t>3</w:t>
      </w:r>
      <w:r>
        <w:rPr>
          <w:rFonts w:hint="eastAsia"/>
          <w:szCs w:val="24"/>
        </w:rPr>
        <w:t>）对易造成地下水水质污染的企业，提高标准，从严要求。在设计时应考虑环境保护的要求，把防治地下水污染的工程与其他工程同时设计、同时施工、同时运营。</w:t>
      </w:r>
    </w:p>
    <w:p>
      <w:pPr>
        <w:ind w:firstLine="560"/>
        <w:rPr>
          <w:szCs w:val="24"/>
        </w:rPr>
      </w:pPr>
      <w:r>
        <w:rPr>
          <w:rFonts w:hint="eastAsia"/>
          <w:szCs w:val="24"/>
        </w:rPr>
        <w:t>（</w:t>
      </w:r>
      <w:r>
        <w:rPr>
          <w:szCs w:val="24"/>
        </w:rPr>
        <w:t>4</w:t>
      </w:r>
      <w:r>
        <w:rPr>
          <w:rFonts w:hint="eastAsia"/>
          <w:szCs w:val="24"/>
        </w:rPr>
        <w:t>）防止污染物渗入地下水：园区企业的固废暂存场、污水收集和处理设施，以及可能对地下水产生污染的设施、场所均应进行防渗处理，并应注意地质条件的选择等；危废的临时堆放场所其地表的处理按《危险废物贮存污染控制标准》</w:t>
      </w:r>
      <w:r>
        <w:rPr>
          <w:szCs w:val="24"/>
        </w:rPr>
        <w:t>(GB 18597-2001)</w:t>
      </w:r>
      <w:r>
        <w:rPr>
          <w:rFonts w:hint="eastAsia"/>
          <w:szCs w:val="24"/>
        </w:rPr>
        <w:t>中的要求进行设置。</w:t>
      </w:r>
    </w:p>
    <w:p>
      <w:pPr>
        <w:ind w:firstLine="560"/>
        <w:rPr>
          <w:szCs w:val="24"/>
        </w:rPr>
      </w:pPr>
      <w:r>
        <w:rPr>
          <w:rFonts w:hint="eastAsia"/>
          <w:szCs w:val="24"/>
        </w:rPr>
        <w:t>（</w:t>
      </w:r>
      <w:r>
        <w:rPr>
          <w:szCs w:val="24"/>
        </w:rPr>
        <w:t>5</w:t>
      </w:r>
      <w:r>
        <w:rPr>
          <w:rFonts w:hint="eastAsia"/>
          <w:szCs w:val="24"/>
        </w:rPr>
        <w:t>）生态防护：园区内企业厂区地面硬化，避免企业生产过程中污染物的跑、冒、滴、漏污染地下水；加强园区内的绿化，强化植被对污染物质的净化作用，减少污染物质直接进入地下水系统的可能途径。</w:t>
      </w:r>
    </w:p>
    <w:p>
      <w:pPr>
        <w:ind w:firstLine="560"/>
        <w:rPr>
          <w:szCs w:val="24"/>
        </w:rPr>
      </w:pPr>
      <w:r>
        <w:rPr>
          <w:rFonts w:hint="eastAsia"/>
          <w:szCs w:val="24"/>
        </w:rPr>
        <w:t>（</w:t>
      </w:r>
      <w:r>
        <w:rPr>
          <w:szCs w:val="24"/>
        </w:rPr>
        <w:t>6</w:t>
      </w:r>
      <w:r>
        <w:rPr>
          <w:rFonts w:hint="eastAsia"/>
          <w:szCs w:val="24"/>
        </w:rPr>
        <w:t>）加强地下水跟踪监测工作，观察地下水的污染动态，适时提出保护措施。一旦发生地下水污染，立即启动地下水污染应急预案，采取有效的措施，保证在最短的时间内解决污染事故。</w:t>
      </w:r>
    </w:p>
    <w:p>
      <w:pPr>
        <w:ind w:firstLine="560"/>
        <w:rPr>
          <w:b/>
          <w:bCs/>
          <w:szCs w:val="24"/>
        </w:rPr>
      </w:pPr>
      <w:r>
        <w:rPr>
          <w:rFonts w:hint="eastAsia"/>
          <w:szCs w:val="24"/>
        </w:rPr>
        <w:t>（</w:t>
      </w:r>
      <w:r>
        <w:rPr>
          <w:szCs w:val="24"/>
        </w:rPr>
        <w:t>7</w:t>
      </w:r>
      <w:r>
        <w:rPr>
          <w:rFonts w:hint="eastAsia"/>
          <w:szCs w:val="24"/>
        </w:rPr>
        <w:t>）严格执行规划采用地表水供水，园区供水设施完善后禁止采用地下水。</w:t>
      </w:r>
    </w:p>
    <w:p>
      <w:pPr>
        <w:ind w:firstLine="560"/>
        <w:rPr>
          <w:szCs w:val="24"/>
        </w:rPr>
      </w:pPr>
      <w:r>
        <w:rPr>
          <w:rFonts w:hint="eastAsia"/>
          <w:szCs w:val="24"/>
        </w:rPr>
        <w:t>（</w:t>
      </w:r>
      <w:r>
        <w:rPr>
          <w:szCs w:val="24"/>
        </w:rPr>
        <w:t>8</w:t>
      </w:r>
      <w:r>
        <w:rPr>
          <w:rFonts w:hint="eastAsia"/>
          <w:szCs w:val="24"/>
        </w:rPr>
        <w:t>）严格执行化工项目准入门槛，提高危险化学品项目准入门槛，严格限制新增剧毒化学品项目。工业废水和液体输送管线必须建设地上管廊，实现</w:t>
      </w:r>
      <w:r>
        <w:rPr>
          <w:szCs w:val="24"/>
        </w:rPr>
        <w:t>“</w:t>
      </w:r>
      <w:r>
        <w:rPr>
          <w:rFonts w:hint="eastAsia"/>
          <w:szCs w:val="24"/>
        </w:rPr>
        <w:t>可视化</w:t>
      </w:r>
      <w:r>
        <w:rPr>
          <w:szCs w:val="24"/>
        </w:rPr>
        <w:t>”</w:t>
      </w:r>
      <w:r>
        <w:rPr>
          <w:rFonts w:hint="eastAsia"/>
          <w:szCs w:val="24"/>
        </w:rPr>
        <w:t>，建立工业废水分道收集、分质处理的</w:t>
      </w:r>
      <w:r>
        <w:rPr>
          <w:szCs w:val="24"/>
        </w:rPr>
        <w:t>“</w:t>
      </w:r>
      <w:r>
        <w:rPr>
          <w:rFonts w:hint="eastAsia"/>
          <w:szCs w:val="24"/>
        </w:rPr>
        <w:t>一企一管</w:t>
      </w:r>
      <w:r>
        <w:rPr>
          <w:szCs w:val="24"/>
        </w:rPr>
        <w:t>”</w:t>
      </w:r>
      <w:r>
        <w:rPr>
          <w:rFonts w:hint="eastAsia"/>
          <w:szCs w:val="24"/>
        </w:rPr>
        <w:t>模式；按照《石油化工工程防渗技术规范</w:t>
      </w:r>
      <w:r>
        <w:rPr>
          <w:szCs w:val="24"/>
        </w:rPr>
        <w:t>(GB/T50934)</w:t>
      </w:r>
      <w:r>
        <w:rPr>
          <w:rFonts w:hint="eastAsia"/>
          <w:szCs w:val="24"/>
        </w:rPr>
        <w:t>》及相关规定要求建设防渗设施，对污水池、罐区、地下管道等易发生渗漏区域按照不低于重点污染防治区的要求进行防渗处理，防止新的地下水污染产生；新建化工生产装置全部装备自动化控制系统，大型生产装置和涉及危险工艺的装置全部装备紧急停车系统。</w:t>
      </w:r>
    </w:p>
    <w:p>
      <w:pPr>
        <w:ind w:firstLine="560"/>
        <w:rPr>
          <w:rFonts w:cs="Times New Roman"/>
          <w:szCs w:val="28"/>
        </w:rPr>
      </w:pPr>
      <w:r>
        <w:rPr>
          <w:rFonts w:hint="eastAsia"/>
          <w:szCs w:val="24"/>
        </w:rPr>
        <w:t>（</w:t>
      </w:r>
      <w:r>
        <w:rPr>
          <w:szCs w:val="24"/>
        </w:rPr>
        <w:t>9</w:t>
      </w:r>
      <w:r>
        <w:rPr>
          <w:rFonts w:hint="eastAsia"/>
          <w:szCs w:val="24"/>
        </w:rPr>
        <w:t>）按照《中华人民共和国水污染防治法》《地下水环境监测技术规范》（</w:t>
      </w:r>
      <w:r>
        <w:rPr>
          <w:szCs w:val="24"/>
        </w:rPr>
        <w:t>HJ 164-2020</w:t>
      </w:r>
      <w:r>
        <w:rPr>
          <w:rFonts w:hint="eastAsia"/>
          <w:szCs w:val="24"/>
        </w:rPr>
        <w:t>）等法律标准要求，开展园区地下水环境监测；园区企业按照《地下水环境监测技术规范》（</w:t>
      </w:r>
      <w:r>
        <w:rPr>
          <w:szCs w:val="24"/>
        </w:rPr>
        <w:t>HJ164-2020</w:t>
      </w:r>
      <w:r>
        <w:rPr>
          <w:rFonts w:hint="eastAsia"/>
          <w:szCs w:val="24"/>
        </w:rPr>
        <w:t>）、《工业企业土壤和地下水自行监测技术指南（试行）》（</w:t>
      </w:r>
      <w:r>
        <w:rPr>
          <w:szCs w:val="24"/>
        </w:rPr>
        <w:t>HJ1209-2021</w:t>
      </w:r>
      <w:r>
        <w:rPr>
          <w:rFonts w:hint="eastAsia"/>
          <w:szCs w:val="24"/>
        </w:rPr>
        <w:t>）以及排污许可证要求，制定土壤和地下水环境自行监测方案，依法开展地下水环境自行监测。</w:t>
      </w:r>
    </w:p>
    <w:p>
      <w:pPr>
        <w:pStyle w:val="2"/>
        <w:ind w:firstLine="560"/>
        <w:rPr>
          <w:rFonts w:cs="Times New Roman"/>
        </w:rPr>
      </w:pPr>
      <w:bookmarkStart w:id="48" w:name="_Toc31410"/>
      <w:bookmarkStart w:id="49" w:name="_Toc21471"/>
      <w:r>
        <w:rPr>
          <w:rFonts w:cs="Times New Roman"/>
        </w:rPr>
        <w:t>7.3.2.3</w:t>
      </w:r>
      <w:r>
        <w:rPr>
          <w:rFonts w:hint="eastAsia" w:cs="Times New Roman"/>
        </w:rPr>
        <w:t>声</w:t>
      </w:r>
      <w:r>
        <w:rPr>
          <w:rFonts w:cs="Times New Roman"/>
        </w:rPr>
        <w:t>环境保护措施</w:t>
      </w:r>
      <w:bookmarkEnd w:id="48"/>
      <w:bookmarkEnd w:id="49"/>
    </w:p>
    <w:p>
      <w:pPr>
        <w:ind w:firstLine="560"/>
        <w:rPr>
          <w:rFonts w:cs="Times New Roman" w:eastAsiaTheme="minorEastAsia"/>
          <w:szCs w:val="24"/>
        </w:rPr>
      </w:pPr>
      <w:r>
        <w:rPr>
          <w:rFonts w:cs="Times New Roman" w:hAnsiTheme="minorEastAsia" w:eastAsiaTheme="minorEastAsia"/>
          <w:szCs w:val="24"/>
        </w:rPr>
        <w:t>（</w:t>
      </w:r>
      <w:r>
        <w:rPr>
          <w:rFonts w:cs="Times New Roman" w:eastAsiaTheme="minorEastAsia"/>
          <w:szCs w:val="24"/>
        </w:rPr>
        <w:t>1</w:t>
      </w:r>
      <w:r>
        <w:rPr>
          <w:rFonts w:cs="Times New Roman" w:hAnsiTheme="minorEastAsia" w:eastAsiaTheme="minorEastAsia"/>
          <w:szCs w:val="24"/>
        </w:rPr>
        <w:t>）加强对工业噪声的监督管理，强化工业企矿业噪声污染防治设施建设，积极推广低噪声生产工艺。</w:t>
      </w:r>
    </w:p>
    <w:p>
      <w:pPr>
        <w:ind w:firstLine="560"/>
        <w:rPr>
          <w:rFonts w:cs="Times New Roman" w:eastAsiaTheme="minorEastAsia"/>
          <w:szCs w:val="24"/>
        </w:rPr>
      </w:pPr>
      <w:r>
        <w:rPr>
          <w:rFonts w:cs="Times New Roman" w:hAnsiTheme="minorEastAsia" w:eastAsiaTheme="minorEastAsia"/>
          <w:szCs w:val="24"/>
        </w:rPr>
        <w:t>（</w:t>
      </w:r>
      <w:r>
        <w:rPr>
          <w:rFonts w:cs="Times New Roman" w:eastAsiaTheme="minorEastAsia"/>
          <w:szCs w:val="24"/>
        </w:rPr>
        <w:t>2</w:t>
      </w:r>
      <w:r>
        <w:rPr>
          <w:rFonts w:cs="Times New Roman" w:hAnsiTheme="minorEastAsia" w:eastAsiaTheme="minorEastAsia"/>
          <w:szCs w:val="24"/>
        </w:rPr>
        <w:t>）区域环境噪声综合整治，采用登记许可、目标管理、定量考核等办法，提高检测技术水平，强化对辖区内建筑噪声、文化娱乐噪声、商业噪声、社会噪声等的监督管理。</w:t>
      </w:r>
    </w:p>
    <w:p>
      <w:pPr>
        <w:ind w:firstLine="560"/>
        <w:rPr>
          <w:rFonts w:cs="Times New Roman" w:hAnsiTheme="minorEastAsia" w:eastAsiaTheme="minorEastAsia"/>
          <w:szCs w:val="24"/>
        </w:rPr>
      </w:pPr>
      <w:r>
        <w:rPr>
          <w:rFonts w:cs="Times New Roman" w:hAnsiTheme="minorEastAsia" w:eastAsiaTheme="minorEastAsia"/>
          <w:szCs w:val="24"/>
        </w:rPr>
        <w:t>（</w:t>
      </w:r>
      <w:r>
        <w:rPr>
          <w:rFonts w:cs="Times New Roman" w:eastAsiaTheme="minorEastAsia"/>
          <w:szCs w:val="24"/>
        </w:rPr>
        <w:t>3</w:t>
      </w:r>
      <w:r>
        <w:rPr>
          <w:rFonts w:cs="Times New Roman" w:hAnsiTheme="minorEastAsia" w:eastAsiaTheme="minorEastAsia"/>
          <w:szCs w:val="24"/>
        </w:rPr>
        <w:t>）加强交通噪声污染防治工作，六枝特区现代化工产业园内严禁鸣笛，降低交通噪音污染。</w:t>
      </w:r>
    </w:p>
    <w:p>
      <w:pPr>
        <w:pStyle w:val="2"/>
        <w:ind w:firstLine="560"/>
        <w:rPr>
          <w:rFonts w:hint="eastAsia" w:cs="Times New Roman"/>
        </w:rPr>
      </w:pPr>
      <w:r>
        <w:rPr>
          <w:rFonts w:cs="Times New Roman"/>
        </w:rPr>
        <w:t xml:space="preserve">7.3.2.4 </w:t>
      </w:r>
      <w:r>
        <w:rPr>
          <w:rFonts w:hint="eastAsia" w:cs="Times New Roman"/>
        </w:rPr>
        <w:t>土壤</w:t>
      </w:r>
      <w:r>
        <w:rPr>
          <w:rFonts w:cs="Times New Roman"/>
        </w:rPr>
        <w:t>环境保护措施</w:t>
      </w:r>
    </w:p>
    <w:p>
      <w:pPr>
        <w:ind w:firstLine="560"/>
        <w:rPr>
          <w:rFonts w:cs="Times New Roman"/>
          <w:sz w:val="24"/>
          <w:szCs w:val="24"/>
        </w:rPr>
      </w:pPr>
      <w:r>
        <w:rPr>
          <w:rFonts w:hint="eastAsia"/>
          <w:szCs w:val="24"/>
        </w:rPr>
        <w:t>（</w:t>
      </w:r>
      <w:r>
        <w:rPr>
          <w:szCs w:val="24"/>
        </w:rPr>
        <w:t>1</w:t>
      </w:r>
      <w:r>
        <w:rPr>
          <w:rFonts w:hint="eastAsia"/>
          <w:szCs w:val="24"/>
        </w:rPr>
        <w:t>）保护优先，源头减量。加强空间布局管控，开展污染源排查整治，切断污染物进入土壤、地下水环境的途径，防范新增污染。</w:t>
      </w:r>
    </w:p>
    <w:p>
      <w:pPr>
        <w:ind w:firstLine="560"/>
        <w:rPr>
          <w:szCs w:val="24"/>
        </w:rPr>
      </w:pPr>
      <w:r>
        <w:rPr>
          <w:rFonts w:hint="eastAsia"/>
          <w:szCs w:val="24"/>
        </w:rPr>
        <w:t>（</w:t>
      </w:r>
      <w:r>
        <w:rPr>
          <w:szCs w:val="24"/>
        </w:rPr>
        <w:t>2</w:t>
      </w:r>
      <w:r>
        <w:rPr>
          <w:rFonts w:hint="eastAsia"/>
          <w:szCs w:val="24"/>
        </w:rPr>
        <w:t>）加强企业污染管理。动态更新土壤环境重点监管企业名单，强化监察执法、监督监测、信息公开、清洁生产等日常监督管理，督促其开展用地土壤环境自行监测并公开结果、接受社会监督。制定重点监管企业和园区周边区域土壤监测计划，监测结果作为环境执法和风险预警的重要依据。</w:t>
      </w:r>
    </w:p>
    <w:p>
      <w:pPr>
        <w:ind w:firstLine="560"/>
        <w:rPr>
          <w:szCs w:val="24"/>
          <w:highlight w:val="yellow"/>
        </w:rPr>
      </w:pPr>
      <w:r>
        <w:rPr>
          <w:rFonts w:hint="eastAsia"/>
          <w:szCs w:val="24"/>
        </w:rPr>
        <w:t>（</w:t>
      </w:r>
      <w:r>
        <w:rPr>
          <w:szCs w:val="24"/>
        </w:rPr>
        <w:t>3</w:t>
      </w:r>
      <w:r>
        <w:rPr>
          <w:rFonts w:hint="eastAsia"/>
          <w:szCs w:val="24"/>
        </w:rPr>
        <w:t>）禁止企业在废水、废气和废渣处置过程中将污染物向土壤环境转移。</w:t>
      </w:r>
    </w:p>
    <w:p>
      <w:pPr>
        <w:ind w:firstLine="560"/>
        <w:rPr>
          <w:szCs w:val="24"/>
        </w:rPr>
      </w:pPr>
      <w:r>
        <w:rPr>
          <w:rFonts w:hint="eastAsia"/>
          <w:szCs w:val="24"/>
        </w:rPr>
        <w:t>（</w:t>
      </w:r>
      <w:r>
        <w:rPr>
          <w:szCs w:val="24"/>
        </w:rPr>
        <w:t>4</w:t>
      </w:r>
      <w:r>
        <w:rPr>
          <w:rFonts w:hint="eastAsia"/>
          <w:szCs w:val="24"/>
        </w:rPr>
        <w:t>）严防矿产资源开发污染。矿产资源开发利用活动集中的区域要严格执行重点污染物特别排放限值。</w:t>
      </w:r>
    </w:p>
    <w:p>
      <w:pPr>
        <w:ind w:firstLine="560"/>
        <w:rPr>
          <w:szCs w:val="24"/>
        </w:rPr>
      </w:pPr>
      <w:r>
        <w:rPr>
          <w:rFonts w:hint="eastAsia"/>
          <w:szCs w:val="24"/>
        </w:rPr>
        <w:t>（</w:t>
      </w:r>
      <w:r>
        <w:rPr>
          <w:szCs w:val="24"/>
        </w:rPr>
        <w:t>5</w:t>
      </w:r>
      <w:r>
        <w:rPr>
          <w:rFonts w:hint="eastAsia"/>
          <w:szCs w:val="24"/>
        </w:rPr>
        <w:t>）加强涉重金属行业污染防控。严格执行重金属污染物排放标准并落实相关总量控制指标，加大对涉重金属企业的监督检查力度，对整改后仍不达标的企业，依法责令其停业、关闭，并将企业名单向社会公开。</w:t>
      </w:r>
    </w:p>
    <w:p>
      <w:pPr>
        <w:ind w:firstLine="560"/>
      </w:pPr>
      <w:r>
        <w:rPr>
          <w:rFonts w:hint="eastAsia"/>
          <w:szCs w:val="24"/>
        </w:rPr>
        <w:t>（</w:t>
      </w:r>
      <w:r>
        <w:rPr>
          <w:szCs w:val="24"/>
        </w:rPr>
        <w:t>6</w:t>
      </w:r>
      <w:r>
        <w:rPr>
          <w:rFonts w:hint="eastAsia"/>
          <w:szCs w:val="24"/>
        </w:rPr>
        <w:t>）规范工业废物处置。加强园区固体废物堆存场所存在问题企业</w:t>
      </w:r>
      <w:r>
        <w:rPr>
          <w:szCs w:val="24"/>
        </w:rPr>
        <w:t>“</w:t>
      </w:r>
      <w:r>
        <w:rPr>
          <w:rFonts w:hint="eastAsia"/>
          <w:szCs w:val="24"/>
        </w:rPr>
        <w:t>防扬散、防流失、防渗漏</w:t>
      </w:r>
      <w:r>
        <w:rPr>
          <w:szCs w:val="24"/>
        </w:rPr>
        <w:t>”</w:t>
      </w:r>
      <w:r>
        <w:rPr>
          <w:rFonts w:hint="eastAsia"/>
          <w:szCs w:val="24"/>
        </w:rPr>
        <w:t>三防整治任务。</w:t>
      </w:r>
    </w:p>
    <w:p>
      <w:pPr>
        <w:pStyle w:val="2"/>
        <w:ind w:firstLine="560"/>
        <w:rPr>
          <w:rFonts w:cs="Times New Roman"/>
        </w:rPr>
      </w:pPr>
      <w:r>
        <w:rPr>
          <w:rFonts w:cs="Times New Roman"/>
        </w:rPr>
        <w:t>7.3.2.5 固</w:t>
      </w:r>
      <w:r>
        <w:rPr>
          <w:rFonts w:hint="eastAsia" w:cs="Times New Roman"/>
        </w:rPr>
        <w:t>体</w:t>
      </w:r>
      <w:r>
        <w:rPr>
          <w:rFonts w:cs="Times New Roman"/>
        </w:rPr>
        <w:t>废</w:t>
      </w:r>
      <w:r>
        <w:rPr>
          <w:rFonts w:hint="eastAsia" w:cs="Times New Roman"/>
        </w:rPr>
        <w:t>物防</w:t>
      </w:r>
      <w:r>
        <w:rPr>
          <w:rFonts w:cs="Times New Roman"/>
        </w:rPr>
        <w:t>治</w:t>
      </w:r>
      <w:r>
        <w:rPr>
          <w:rFonts w:hint="eastAsia" w:cs="Times New Roman"/>
        </w:rPr>
        <w:t>措施</w:t>
      </w:r>
    </w:p>
    <w:p>
      <w:pPr>
        <w:ind w:firstLine="560"/>
        <w:rPr>
          <w:rFonts w:cs="Times New Roman"/>
          <w:szCs w:val="28"/>
        </w:rPr>
      </w:pPr>
      <w:r>
        <w:rPr>
          <w:rFonts w:cs="Times New Roman"/>
          <w:szCs w:val="28"/>
        </w:rPr>
        <w:t>根据固体废物的性质特点，本着“减量化、资源化、无害化”的处理原则，提出如下固废污染防治措施：</w:t>
      </w:r>
    </w:p>
    <w:p>
      <w:pPr>
        <w:ind w:firstLine="560"/>
        <w:rPr>
          <w:rFonts w:cs="Times New Roman"/>
          <w:szCs w:val="28"/>
        </w:rPr>
      </w:pPr>
      <w:r>
        <w:rPr>
          <w:rFonts w:cs="Times New Roman"/>
          <w:szCs w:val="28"/>
        </w:rPr>
        <w:t>1、一般工业固体废物处置</w:t>
      </w:r>
    </w:p>
    <w:p>
      <w:pPr>
        <w:ind w:firstLine="560"/>
        <w:rPr>
          <w:rFonts w:cs="Times New Roman" w:eastAsiaTheme="minorEastAsia"/>
          <w:szCs w:val="24"/>
        </w:rPr>
      </w:pPr>
      <w:r>
        <w:rPr>
          <w:rFonts w:cs="Times New Roman" w:hAnsiTheme="minorEastAsia" w:eastAsiaTheme="minorEastAsia"/>
          <w:szCs w:val="24"/>
        </w:rPr>
        <w:t>积极推行清洁生产，减少固体废物的产生量。同时依据循环经济原则，鼓励工业固体废物的资源利用，加快固体废物资源化进程，提高综合利用率。规划区焦化</w:t>
      </w:r>
      <w:r>
        <w:rPr>
          <w:rFonts w:hint="eastAsia" w:cs="Times New Roman" w:hAnsiTheme="minorEastAsia" w:eastAsiaTheme="minorEastAsia"/>
          <w:szCs w:val="24"/>
        </w:rPr>
        <w:t>装置</w:t>
      </w:r>
      <w:r>
        <w:rPr>
          <w:rFonts w:cs="Times New Roman" w:hAnsiTheme="minorEastAsia" w:eastAsiaTheme="minorEastAsia"/>
          <w:szCs w:val="24"/>
        </w:rPr>
        <w:t>，焦炉机侧、推焦地面除尘站收集的粉尘回用于配煤中炼焦不外排，干熄焦粉尘外售综合利用，烟道气脱硫系统产生的</w:t>
      </w:r>
      <w:r>
        <w:rPr>
          <w:rFonts w:hint="eastAsia" w:cs="Times New Roman" w:hAnsiTheme="minorEastAsia" w:eastAsiaTheme="minorEastAsia"/>
          <w:szCs w:val="24"/>
        </w:rPr>
        <w:t>脱硫渣</w:t>
      </w:r>
      <w:r>
        <w:rPr>
          <w:rFonts w:cs="Times New Roman" w:hAnsiTheme="minorEastAsia" w:eastAsiaTheme="minorEastAsia"/>
          <w:szCs w:val="24"/>
        </w:rPr>
        <w:t>外售综合利用；</w:t>
      </w:r>
      <w:r>
        <w:rPr>
          <w:rFonts w:hint="eastAsia" w:cs="Times New Roman" w:hAnsiTheme="minorEastAsia" w:eastAsiaTheme="minorEastAsia"/>
          <w:szCs w:val="24"/>
        </w:rPr>
        <w:t>碳酸锂装置产生的锂渣部分用于矿采回填，部分外售给水泥厂、砖厂等企业综合利用。园区一般固废的处置利用率达到100%。</w:t>
      </w:r>
    </w:p>
    <w:p>
      <w:pPr>
        <w:ind w:firstLine="560"/>
        <w:rPr>
          <w:rFonts w:cs="Times New Roman" w:eastAsiaTheme="minorEastAsia"/>
          <w:szCs w:val="24"/>
        </w:rPr>
      </w:pPr>
      <w:r>
        <w:rPr>
          <w:rFonts w:cs="Times New Roman" w:eastAsiaTheme="minorEastAsia"/>
          <w:szCs w:val="24"/>
        </w:rPr>
        <w:t>2</w:t>
      </w:r>
      <w:r>
        <w:rPr>
          <w:rFonts w:cs="Times New Roman" w:hAnsiTheme="minorEastAsia" w:eastAsiaTheme="minorEastAsia"/>
          <w:szCs w:val="24"/>
        </w:rPr>
        <w:t>、危险废物</w:t>
      </w:r>
    </w:p>
    <w:p>
      <w:pPr>
        <w:ind w:firstLine="560"/>
        <w:rPr>
          <w:rFonts w:cs="Times New Roman" w:eastAsiaTheme="minorEastAsia"/>
          <w:szCs w:val="24"/>
        </w:rPr>
      </w:pPr>
      <w:r>
        <w:rPr>
          <w:rFonts w:cs="Times New Roman" w:hAnsiTheme="minorEastAsia" w:eastAsiaTheme="minorEastAsia"/>
          <w:szCs w:val="24"/>
        </w:rPr>
        <w:t>（</w:t>
      </w:r>
      <w:r>
        <w:rPr>
          <w:rFonts w:cs="Times New Roman" w:eastAsiaTheme="minorEastAsia"/>
          <w:szCs w:val="24"/>
        </w:rPr>
        <w:t>1</w:t>
      </w:r>
      <w:r>
        <w:rPr>
          <w:rFonts w:cs="Times New Roman" w:hAnsiTheme="minorEastAsia" w:eastAsiaTheme="minorEastAsia"/>
          <w:szCs w:val="24"/>
        </w:rPr>
        <w:t>）危险废物安全</w:t>
      </w:r>
      <w:r>
        <w:rPr>
          <w:rFonts w:hint="eastAsia" w:cs="Times New Roman" w:hAnsiTheme="minorEastAsia" w:eastAsiaTheme="minorEastAsia"/>
          <w:szCs w:val="24"/>
        </w:rPr>
        <w:t>贮存</w:t>
      </w:r>
    </w:p>
    <w:p>
      <w:pPr>
        <w:ind w:firstLine="560"/>
        <w:rPr>
          <w:rFonts w:cs="Times New Roman" w:eastAsiaTheme="minorEastAsia"/>
          <w:szCs w:val="24"/>
        </w:rPr>
      </w:pPr>
      <w:r>
        <w:rPr>
          <w:rFonts w:cs="Times New Roman" w:hAnsiTheme="minorEastAsia" w:eastAsiaTheme="minorEastAsia"/>
          <w:szCs w:val="24"/>
        </w:rPr>
        <w:t>规划区内企业应规范建设危废暂存间，危废暂存间的建设和管理须严格按照《危险废物贮存污染控制标准》（</w:t>
      </w:r>
      <w:r>
        <w:rPr>
          <w:rFonts w:cs="Times New Roman" w:eastAsiaTheme="minorEastAsia"/>
          <w:szCs w:val="24"/>
        </w:rPr>
        <w:t>GB 18597-2001</w:t>
      </w:r>
      <w:r>
        <w:rPr>
          <w:rFonts w:cs="Times New Roman" w:hAnsiTheme="minorEastAsia" w:eastAsiaTheme="minorEastAsia"/>
          <w:szCs w:val="24"/>
        </w:rPr>
        <w:t>及</w:t>
      </w:r>
      <w:r>
        <w:rPr>
          <w:rFonts w:cs="Times New Roman" w:eastAsiaTheme="minorEastAsia"/>
          <w:szCs w:val="24"/>
        </w:rPr>
        <w:t>2013</w:t>
      </w:r>
      <w:r>
        <w:rPr>
          <w:rFonts w:cs="Times New Roman" w:hAnsiTheme="minorEastAsia" w:eastAsiaTheme="minorEastAsia"/>
          <w:szCs w:val="24"/>
        </w:rPr>
        <w:t>年修改单）中的要求进行。</w:t>
      </w:r>
      <w:r>
        <w:rPr>
          <w:rFonts w:hint="eastAsia" w:cs="Times New Roman" w:hAnsiTheme="minorEastAsia" w:eastAsiaTheme="minorEastAsia"/>
          <w:szCs w:val="24"/>
        </w:rPr>
        <w:t>危废间应有</w:t>
      </w:r>
      <w:r>
        <w:rPr>
          <w:rFonts w:cs="Times New Roman" w:hAnsiTheme="minorEastAsia" w:eastAsiaTheme="minorEastAsia"/>
          <w:szCs w:val="24"/>
        </w:rPr>
        <w:t>防风、防雨</w:t>
      </w:r>
      <w:r>
        <w:rPr>
          <w:rFonts w:hint="eastAsia" w:cs="Times New Roman" w:hAnsiTheme="minorEastAsia" w:eastAsiaTheme="minorEastAsia"/>
          <w:szCs w:val="24"/>
        </w:rPr>
        <w:t>设施，以及事故废液导流、收集</w:t>
      </w:r>
      <w:r>
        <w:rPr>
          <w:rFonts w:cs="Times New Roman" w:hAnsiTheme="minorEastAsia" w:eastAsiaTheme="minorEastAsia"/>
          <w:szCs w:val="24"/>
        </w:rPr>
        <w:t>设施，</w:t>
      </w:r>
      <w:r>
        <w:rPr>
          <w:rFonts w:hint="eastAsia" w:cs="Times New Roman" w:hAnsiTheme="minorEastAsia" w:eastAsiaTheme="minorEastAsia"/>
          <w:szCs w:val="24"/>
        </w:rPr>
        <w:t>地面和裙角的防渗要满足规范的要求</w:t>
      </w:r>
      <w:r>
        <w:rPr>
          <w:rFonts w:cs="Times New Roman" w:hAnsiTheme="minorEastAsia" w:eastAsiaTheme="minorEastAsia"/>
          <w:szCs w:val="24"/>
        </w:rPr>
        <w:t>，贮存设施</w:t>
      </w:r>
      <w:r>
        <w:rPr>
          <w:rFonts w:hint="eastAsia" w:cs="Times New Roman" w:hAnsiTheme="minorEastAsia" w:eastAsiaTheme="minorEastAsia"/>
          <w:szCs w:val="24"/>
        </w:rPr>
        <w:t>规格应满足</w:t>
      </w:r>
      <w:r>
        <w:rPr>
          <w:rFonts w:cs="Times New Roman" w:hAnsiTheme="minorEastAsia" w:eastAsiaTheme="minorEastAsia"/>
          <w:szCs w:val="24"/>
        </w:rPr>
        <w:t>各类危险废物</w:t>
      </w:r>
      <w:r>
        <w:rPr>
          <w:rFonts w:hint="eastAsia" w:cs="Times New Roman" w:hAnsiTheme="minorEastAsia" w:eastAsiaTheme="minorEastAsia"/>
          <w:szCs w:val="24"/>
        </w:rPr>
        <w:t>暂存的</w:t>
      </w:r>
      <w:r>
        <w:rPr>
          <w:rFonts w:cs="Times New Roman" w:hAnsiTheme="minorEastAsia" w:eastAsiaTheme="minorEastAsia"/>
          <w:szCs w:val="24"/>
        </w:rPr>
        <w:t>需要。</w:t>
      </w:r>
    </w:p>
    <w:p>
      <w:pPr>
        <w:ind w:firstLine="560"/>
        <w:rPr>
          <w:rFonts w:cs="Times New Roman" w:eastAsiaTheme="minorEastAsia"/>
          <w:szCs w:val="24"/>
        </w:rPr>
      </w:pPr>
      <w:r>
        <w:rPr>
          <w:rFonts w:cs="Times New Roman" w:hAnsiTheme="minorEastAsia" w:eastAsiaTheme="minorEastAsia"/>
          <w:szCs w:val="24"/>
        </w:rPr>
        <w:t>（</w:t>
      </w:r>
      <w:r>
        <w:rPr>
          <w:rFonts w:cs="Times New Roman" w:eastAsiaTheme="minorEastAsia"/>
          <w:szCs w:val="24"/>
        </w:rPr>
        <w:t>2</w:t>
      </w:r>
      <w:r>
        <w:rPr>
          <w:rFonts w:cs="Times New Roman" w:hAnsiTheme="minorEastAsia" w:eastAsiaTheme="minorEastAsia"/>
          <w:szCs w:val="24"/>
        </w:rPr>
        <w:t>）危险废物的处置</w:t>
      </w:r>
    </w:p>
    <w:p>
      <w:pPr>
        <w:ind w:firstLine="560"/>
        <w:rPr>
          <w:rFonts w:cs="Times New Roman" w:hAnsiTheme="minorEastAsia" w:eastAsiaTheme="minorEastAsia"/>
          <w:szCs w:val="24"/>
        </w:rPr>
      </w:pPr>
      <w:r>
        <w:rPr>
          <w:rFonts w:cs="Times New Roman" w:hAnsiTheme="minorEastAsia" w:eastAsiaTheme="minorEastAsia"/>
          <w:szCs w:val="24"/>
        </w:rPr>
        <w:t>规划区危险废物应按照《危险废物贮存污染控制标准》、《危险废物管理暂行办法》、《危险废物转移管理办法》等有关规定文件的要求以及</w:t>
      </w:r>
      <w:r>
        <w:rPr>
          <w:rFonts w:cs="Times New Roman" w:eastAsiaTheme="minorEastAsia"/>
          <w:szCs w:val="24"/>
        </w:rPr>
        <w:t>“</w:t>
      </w:r>
      <w:r>
        <w:rPr>
          <w:rFonts w:cs="Times New Roman" w:hAnsiTheme="minorEastAsia" w:eastAsiaTheme="minorEastAsia"/>
          <w:szCs w:val="24"/>
        </w:rPr>
        <w:t>减量化、资源化和无害化</w:t>
      </w:r>
      <w:r>
        <w:rPr>
          <w:rFonts w:cs="Times New Roman" w:eastAsiaTheme="minorEastAsia"/>
          <w:szCs w:val="24"/>
        </w:rPr>
        <w:t>”</w:t>
      </w:r>
      <w:r>
        <w:rPr>
          <w:rFonts w:cs="Times New Roman" w:hAnsiTheme="minorEastAsia" w:eastAsiaTheme="minorEastAsia"/>
          <w:szCs w:val="24"/>
        </w:rPr>
        <w:t>的原则进行管理，在保证最大回收利用率和资源化的条件下，不能综合利用的危险废物按照国家及地方化工园区危废处置的政策要求，立足于就近安全处置的原则，委托有资质的</w:t>
      </w:r>
      <w:r>
        <w:rPr>
          <w:rFonts w:hint="eastAsia" w:cs="Times New Roman" w:hAnsiTheme="minorEastAsia" w:eastAsiaTheme="minorEastAsia"/>
          <w:szCs w:val="24"/>
        </w:rPr>
        <w:t>危废</w:t>
      </w:r>
      <w:r>
        <w:rPr>
          <w:rFonts w:cs="Times New Roman" w:hAnsiTheme="minorEastAsia" w:eastAsiaTheme="minorEastAsia"/>
          <w:szCs w:val="24"/>
        </w:rPr>
        <w:t>处理单位进行最终处置，安全处置率必须达到</w:t>
      </w:r>
      <w:r>
        <w:rPr>
          <w:rFonts w:cs="Times New Roman" w:eastAsiaTheme="minorEastAsia"/>
          <w:szCs w:val="24"/>
        </w:rPr>
        <w:t>100%</w:t>
      </w:r>
      <w:r>
        <w:rPr>
          <w:rFonts w:cs="Times New Roman" w:hAnsiTheme="minorEastAsia" w:eastAsiaTheme="minorEastAsia"/>
          <w:szCs w:val="24"/>
        </w:rPr>
        <w:t>。</w:t>
      </w:r>
    </w:p>
    <w:p>
      <w:pPr>
        <w:ind w:firstLine="560"/>
        <w:rPr>
          <w:rFonts w:cs="Times New Roman" w:eastAsiaTheme="minorEastAsia"/>
          <w:szCs w:val="24"/>
        </w:rPr>
      </w:pPr>
      <w:r>
        <w:rPr>
          <w:rFonts w:cs="Times New Roman" w:eastAsiaTheme="minorEastAsia"/>
          <w:szCs w:val="24"/>
        </w:rPr>
        <w:t>3</w:t>
      </w:r>
      <w:r>
        <w:rPr>
          <w:rFonts w:cs="Times New Roman" w:hAnsiTheme="minorEastAsia" w:eastAsiaTheme="minorEastAsia"/>
          <w:szCs w:val="24"/>
        </w:rPr>
        <w:t>、生活垃圾</w:t>
      </w:r>
    </w:p>
    <w:p>
      <w:pPr>
        <w:ind w:firstLine="560"/>
        <w:rPr>
          <w:rFonts w:cs="Times New Roman" w:eastAsiaTheme="minorEastAsia"/>
          <w:szCs w:val="24"/>
        </w:rPr>
      </w:pPr>
      <w:r>
        <w:rPr>
          <w:rFonts w:cs="Times New Roman" w:hAnsiTheme="minorEastAsia" w:eastAsiaTheme="minorEastAsia"/>
          <w:szCs w:val="24"/>
        </w:rPr>
        <w:t>园区内生活垃圾通过市政环卫系统进行集中收集处置。</w:t>
      </w:r>
    </w:p>
    <w:p>
      <w:pPr>
        <w:pStyle w:val="4"/>
        <w:ind w:firstLine="602"/>
        <w:rPr>
          <w:rFonts w:cs="Times New Roman" w:eastAsiaTheme="minorEastAsia"/>
        </w:rPr>
      </w:pPr>
      <w:bookmarkStart w:id="50" w:name="_Toc126591875"/>
      <w:bookmarkStart w:id="51" w:name="_Toc28168"/>
      <w:bookmarkStart w:id="52" w:name="_Toc11777"/>
      <w:r>
        <w:rPr>
          <w:rFonts w:cs="Times New Roman" w:eastAsiaTheme="minorEastAsia"/>
        </w:rPr>
        <w:t>7.</w:t>
      </w:r>
      <w:r>
        <w:rPr>
          <w:rFonts w:hint="eastAsia" w:cs="Times New Roman" w:eastAsiaTheme="minorEastAsia"/>
        </w:rPr>
        <w:t>4</w:t>
      </w:r>
      <w:r>
        <w:rPr>
          <w:rFonts w:cs="Times New Roman" w:hAnsiTheme="minorEastAsia" w:eastAsiaTheme="minorEastAsia"/>
        </w:rPr>
        <w:t>环境管理及监测</w:t>
      </w:r>
      <w:bookmarkEnd w:id="50"/>
      <w:bookmarkEnd w:id="51"/>
      <w:bookmarkEnd w:id="52"/>
    </w:p>
    <w:p>
      <w:pPr>
        <w:pStyle w:val="5"/>
        <w:ind w:firstLine="562"/>
        <w:rPr>
          <w:rFonts w:cs="Times New Roman" w:eastAsiaTheme="minorEastAsia"/>
        </w:rPr>
      </w:pPr>
      <w:bookmarkStart w:id="53" w:name="_Toc22790"/>
      <w:bookmarkStart w:id="54" w:name="_Toc16262"/>
      <w:r>
        <w:rPr>
          <w:rFonts w:cs="Times New Roman" w:eastAsiaTheme="minorEastAsia"/>
        </w:rPr>
        <w:t>7.</w:t>
      </w:r>
      <w:r>
        <w:rPr>
          <w:rFonts w:hint="eastAsia" w:cs="Times New Roman" w:eastAsiaTheme="minorEastAsia"/>
        </w:rPr>
        <w:t>4</w:t>
      </w:r>
      <w:r>
        <w:rPr>
          <w:rFonts w:cs="Times New Roman" w:eastAsiaTheme="minorEastAsia"/>
        </w:rPr>
        <w:t>.1</w:t>
      </w:r>
      <w:r>
        <w:rPr>
          <w:rFonts w:cs="Times New Roman" w:hAnsiTheme="minorEastAsia" w:eastAsiaTheme="minorEastAsia"/>
        </w:rPr>
        <w:t>环境管理</w:t>
      </w:r>
      <w:bookmarkEnd w:id="53"/>
      <w:bookmarkEnd w:id="54"/>
    </w:p>
    <w:p>
      <w:pPr>
        <w:ind w:firstLine="560"/>
        <w:rPr>
          <w:rFonts w:cs="Times New Roman" w:eastAsiaTheme="minorEastAsia"/>
          <w:szCs w:val="24"/>
        </w:rPr>
      </w:pPr>
      <w:r>
        <w:rPr>
          <w:rFonts w:cs="Times New Roman" w:eastAsiaTheme="minorEastAsia"/>
          <w:szCs w:val="24"/>
        </w:rPr>
        <w:t>1</w:t>
      </w:r>
      <w:r>
        <w:rPr>
          <w:rFonts w:cs="Times New Roman" w:hAnsiTheme="minorEastAsia" w:eastAsiaTheme="minorEastAsia"/>
          <w:szCs w:val="24"/>
        </w:rPr>
        <w:t>、成立园区专门环境保护管理机构</w:t>
      </w:r>
    </w:p>
    <w:p>
      <w:pPr>
        <w:ind w:firstLine="560"/>
        <w:rPr>
          <w:rFonts w:cs="Times New Roman" w:eastAsiaTheme="minorEastAsia"/>
          <w:szCs w:val="24"/>
        </w:rPr>
      </w:pPr>
      <w:r>
        <w:rPr>
          <w:rFonts w:cs="Times New Roman" w:hAnsiTheme="minorEastAsia" w:eastAsiaTheme="minorEastAsia"/>
          <w:szCs w:val="24"/>
        </w:rPr>
        <w:t>园区成立专门环境保护管理机构，依据园区周边区域的环境承载能力实施环境管理，在综合考虑污染排放密度的基础上，加大环境监管和执法力度，实现环境保护精细化管理。园区内企业通过清洁生产验收率</w:t>
      </w:r>
      <w:r>
        <w:rPr>
          <w:rFonts w:cs="Times New Roman" w:eastAsiaTheme="minorEastAsia"/>
          <w:szCs w:val="24"/>
        </w:rPr>
        <w:t>100%</w:t>
      </w:r>
      <w:r>
        <w:rPr>
          <w:rFonts w:cs="Times New Roman" w:hAnsiTheme="minorEastAsia" w:eastAsiaTheme="minorEastAsia"/>
          <w:szCs w:val="24"/>
        </w:rPr>
        <w:t>，企业环评和</w:t>
      </w:r>
      <w:r>
        <w:rPr>
          <w:rFonts w:cs="Times New Roman" w:eastAsiaTheme="minorEastAsia"/>
          <w:szCs w:val="24"/>
        </w:rPr>
        <w:t>“</w:t>
      </w:r>
      <w:r>
        <w:rPr>
          <w:rFonts w:cs="Times New Roman" w:hAnsiTheme="minorEastAsia" w:eastAsiaTheme="minorEastAsia"/>
          <w:szCs w:val="24"/>
        </w:rPr>
        <w:t>三同时</w:t>
      </w:r>
      <w:r>
        <w:rPr>
          <w:rFonts w:cs="Times New Roman" w:eastAsiaTheme="minorEastAsia"/>
          <w:szCs w:val="24"/>
        </w:rPr>
        <w:t>”</w:t>
      </w:r>
      <w:r>
        <w:rPr>
          <w:rFonts w:cs="Times New Roman" w:hAnsiTheme="minorEastAsia" w:eastAsiaTheme="minorEastAsia"/>
          <w:szCs w:val="24"/>
        </w:rPr>
        <w:t>执行率</w:t>
      </w:r>
      <w:r>
        <w:rPr>
          <w:rFonts w:cs="Times New Roman" w:eastAsiaTheme="minorEastAsia"/>
          <w:szCs w:val="24"/>
        </w:rPr>
        <w:t>100%</w:t>
      </w:r>
      <w:r>
        <w:rPr>
          <w:rFonts w:cs="Times New Roman" w:hAnsiTheme="minorEastAsia" w:eastAsiaTheme="minorEastAsia"/>
          <w:szCs w:val="24"/>
        </w:rPr>
        <w:t>。</w:t>
      </w:r>
    </w:p>
    <w:p>
      <w:pPr>
        <w:ind w:firstLine="560"/>
        <w:rPr>
          <w:rFonts w:cs="Times New Roman" w:eastAsiaTheme="minorEastAsia"/>
          <w:szCs w:val="24"/>
        </w:rPr>
      </w:pPr>
      <w:r>
        <w:rPr>
          <w:rFonts w:cs="Times New Roman" w:eastAsiaTheme="minorEastAsia"/>
          <w:szCs w:val="24"/>
        </w:rPr>
        <w:t>2</w:t>
      </w:r>
      <w:r>
        <w:rPr>
          <w:rFonts w:cs="Times New Roman" w:hAnsiTheme="minorEastAsia" w:eastAsiaTheme="minorEastAsia"/>
          <w:szCs w:val="24"/>
        </w:rPr>
        <w:t>、建立园区一体化风险防控体系</w:t>
      </w:r>
    </w:p>
    <w:p>
      <w:pPr>
        <w:ind w:firstLine="560"/>
        <w:rPr>
          <w:rFonts w:cs="Times New Roman" w:eastAsiaTheme="minorEastAsia"/>
          <w:szCs w:val="24"/>
        </w:rPr>
      </w:pPr>
      <w:r>
        <w:rPr>
          <w:rFonts w:hint="eastAsia" w:cs="Times New Roman" w:hAnsiTheme="minorEastAsia" w:eastAsiaTheme="minorEastAsia"/>
          <w:szCs w:val="24"/>
        </w:rPr>
        <w:t>组织</w:t>
      </w:r>
      <w:r>
        <w:rPr>
          <w:rFonts w:cs="Times New Roman" w:hAnsiTheme="minorEastAsia" w:eastAsiaTheme="minorEastAsia"/>
          <w:szCs w:val="24"/>
        </w:rPr>
        <w:t>编制</w:t>
      </w:r>
      <w:r>
        <w:rPr>
          <w:rFonts w:hint="eastAsia" w:cs="Times New Roman" w:hAnsiTheme="minorEastAsia" w:eastAsiaTheme="minorEastAsia"/>
          <w:szCs w:val="24"/>
        </w:rPr>
        <w:t>园区突发环境事件应急预案</w:t>
      </w:r>
      <w:r>
        <w:rPr>
          <w:rFonts w:cs="Times New Roman" w:hAnsiTheme="minorEastAsia" w:eastAsiaTheme="minorEastAsia"/>
          <w:szCs w:val="24"/>
        </w:rPr>
        <w:t>，按规定报所在地的环保部门备案</w:t>
      </w:r>
      <w:r>
        <w:rPr>
          <w:rFonts w:hint="eastAsia" w:cs="Times New Roman" w:hAnsiTheme="minorEastAsia" w:eastAsiaTheme="minorEastAsia"/>
          <w:szCs w:val="24"/>
        </w:rPr>
        <w:t>。</w:t>
      </w:r>
      <w:r>
        <w:rPr>
          <w:rFonts w:cs="Times New Roman" w:hAnsiTheme="minorEastAsia" w:eastAsiaTheme="minorEastAsia"/>
          <w:szCs w:val="24"/>
        </w:rPr>
        <w:t>组织对环境应急预案进行专项培训，定期组织开展应急演练</w:t>
      </w:r>
      <w:r>
        <w:rPr>
          <w:rFonts w:hint="eastAsia" w:cs="Times New Roman" w:hAnsiTheme="minorEastAsia" w:eastAsiaTheme="minorEastAsia"/>
          <w:szCs w:val="24"/>
        </w:rPr>
        <w:t>。</w:t>
      </w:r>
      <w:r>
        <w:rPr>
          <w:rFonts w:cs="Times New Roman" w:hAnsiTheme="minorEastAsia" w:eastAsiaTheme="minorEastAsia"/>
          <w:szCs w:val="24"/>
        </w:rPr>
        <w:t>建立</w:t>
      </w:r>
      <w:r>
        <w:rPr>
          <w:rFonts w:hint="eastAsia" w:cs="Times New Roman" w:hAnsiTheme="minorEastAsia" w:eastAsiaTheme="minorEastAsia"/>
          <w:szCs w:val="24"/>
        </w:rPr>
        <w:t>园区</w:t>
      </w:r>
      <w:r>
        <w:rPr>
          <w:rFonts w:cs="Times New Roman" w:hAnsiTheme="minorEastAsia" w:eastAsiaTheme="minorEastAsia"/>
          <w:szCs w:val="24"/>
        </w:rPr>
        <w:t>综合性或者专业环境应急救援队伍，储备必要的环境应急物资和装备。在污染源、风险源、环境质量监控等平台的基础上建立应急平台，实现企业、园区、政府互联互通、应急联动。</w:t>
      </w:r>
    </w:p>
    <w:p>
      <w:pPr>
        <w:ind w:firstLine="560"/>
        <w:rPr>
          <w:rFonts w:cs="Times New Roman" w:eastAsiaTheme="minorEastAsia"/>
          <w:szCs w:val="24"/>
        </w:rPr>
      </w:pPr>
      <w:r>
        <w:rPr>
          <w:rFonts w:cs="Times New Roman" w:eastAsiaTheme="minorEastAsia"/>
          <w:szCs w:val="24"/>
        </w:rPr>
        <w:t>3</w:t>
      </w:r>
      <w:r>
        <w:rPr>
          <w:rFonts w:cs="Times New Roman" w:hAnsiTheme="minorEastAsia" w:eastAsiaTheme="minorEastAsia"/>
          <w:szCs w:val="24"/>
        </w:rPr>
        <w:t>、畅通公众沟通渠道，实施责任关怀</w:t>
      </w:r>
    </w:p>
    <w:p>
      <w:pPr>
        <w:ind w:firstLine="560"/>
        <w:rPr>
          <w:rFonts w:cs="Times New Roman" w:eastAsiaTheme="minorEastAsia"/>
          <w:szCs w:val="24"/>
        </w:rPr>
      </w:pPr>
      <w:r>
        <w:rPr>
          <w:rFonts w:cs="Times New Roman" w:hAnsiTheme="minorEastAsia" w:eastAsiaTheme="minorEastAsia"/>
          <w:szCs w:val="24"/>
        </w:rPr>
        <w:t>园区建成后，应向社会公开环境污染举报电话、电子邮箱，开辟微博、微信公众号等方式加强与公众的沟通交流，对于涉及园区的环境信访、投诉案件要及时调查、处理，向举报人反馈结果。园区和园区内重点企业应建立与周边群众的常态化沟通机制，聘请群众监督员、设立公众开放日，开展公众满意度调查，通过网络征集等多种形式听取群众对园区环境质量、重大决策和建设项目的建议意见，建设和谐关系。</w:t>
      </w:r>
    </w:p>
    <w:p>
      <w:pPr>
        <w:pStyle w:val="5"/>
        <w:ind w:firstLine="562"/>
        <w:rPr>
          <w:rFonts w:cs="Times New Roman" w:eastAsiaTheme="minorEastAsia"/>
        </w:rPr>
      </w:pPr>
      <w:bookmarkStart w:id="55" w:name="_Toc11388"/>
      <w:bookmarkStart w:id="56" w:name="_Toc24525"/>
      <w:r>
        <w:rPr>
          <w:rFonts w:cs="Times New Roman" w:eastAsiaTheme="minorEastAsia"/>
        </w:rPr>
        <w:t>7.</w:t>
      </w:r>
      <w:r>
        <w:rPr>
          <w:rFonts w:hint="eastAsia" w:cs="Times New Roman" w:eastAsiaTheme="minorEastAsia"/>
        </w:rPr>
        <w:t>4</w:t>
      </w:r>
      <w:r>
        <w:rPr>
          <w:rFonts w:cs="Times New Roman" w:eastAsiaTheme="minorEastAsia"/>
        </w:rPr>
        <w:t>.2</w:t>
      </w:r>
      <w:r>
        <w:rPr>
          <w:rFonts w:cs="Times New Roman" w:hAnsiTheme="minorEastAsia" w:eastAsiaTheme="minorEastAsia"/>
        </w:rPr>
        <w:t>环境监测</w:t>
      </w:r>
      <w:bookmarkEnd w:id="55"/>
      <w:bookmarkEnd w:id="56"/>
    </w:p>
    <w:p>
      <w:pPr>
        <w:ind w:firstLine="560"/>
        <w:rPr>
          <w:rFonts w:cs="Times New Roman" w:eastAsiaTheme="minorEastAsia"/>
          <w:szCs w:val="24"/>
        </w:rPr>
      </w:pPr>
      <w:r>
        <w:rPr>
          <w:rFonts w:cs="Times New Roman" w:hAnsiTheme="minorEastAsia" w:eastAsiaTheme="minorEastAsia"/>
          <w:szCs w:val="24"/>
        </w:rPr>
        <w:t>建设园区一体化环境监测、监控体系，具体包括：</w:t>
      </w:r>
    </w:p>
    <w:p>
      <w:pPr>
        <w:ind w:firstLine="560"/>
        <w:rPr>
          <w:rFonts w:cs="Times New Roman" w:eastAsiaTheme="minorEastAsia"/>
          <w:szCs w:val="24"/>
        </w:rPr>
      </w:pPr>
      <w:r>
        <w:rPr>
          <w:rFonts w:cs="Times New Roman" w:hAnsiTheme="minorEastAsia" w:eastAsiaTheme="minorEastAsia"/>
          <w:szCs w:val="24"/>
        </w:rPr>
        <w:t>（</w:t>
      </w:r>
      <w:r>
        <w:rPr>
          <w:rFonts w:cs="Times New Roman" w:eastAsiaTheme="minorEastAsia"/>
          <w:szCs w:val="24"/>
        </w:rPr>
        <w:t>1</w:t>
      </w:r>
      <w:r>
        <w:rPr>
          <w:rFonts w:cs="Times New Roman" w:hAnsiTheme="minorEastAsia" w:eastAsiaTheme="minorEastAsia"/>
          <w:szCs w:val="24"/>
        </w:rPr>
        <w:t>）根据监测规范，结合园区规划环评要求，制定园区环境监测方案，组织开展园区地下水、排污受纳地表水体、边界大气、园区及周边土壤环境质量监测和环境噪声监测。</w:t>
      </w:r>
    </w:p>
    <w:p>
      <w:pPr>
        <w:ind w:firstLine="560"/>
        <w:rPr>
          <w:rFonts w:cs="Times New Roman" w:eastAsiaTheme="minorEastAsia"/>
          <w:szCs w:val="24"/>
        </w:rPr>
      </w:pPr>
      <w:r>
        <w:rPr>
          <w:rFonts w:cs="Times New Roman" w:hAnsiTheme="minorEastAsia" w:eastAsiaTheme="minorEastAsia"/>
          <w:szCs w:val="24"/>
        </w:rPr>
        <w:t>（</w:t>
      </w:r>
      <w:r>
        <w:rPr>
          <w:rFonts w:cs="Times New Roman" w:eastAsiaTheme="minorEastAsia"/>
          <w:szCs w:val="24"/>
        </w:rPr>
        <w:t>2</w:t>
      </w:r>
      <w:r>
        <w:rPr>
          <w:rFonts w:cs="Times New Roman" w:hAnsiTheme="minorEastAsia" w:eastAsiaTheme="minorEastAsia"/>
          <w:szCs w:val="24"/>
        </w:rPr>
        <w:t>）在开展常规污染监测的同时，逐步加强对特征污染物的监测。园区管理机构应积极创造条件，逐步建立、完善集污染源监控、工况监控、环境质量监控和图像监控于一体的开发区数字化在线监控平台，并与市环保部门联网。</w:t>
      </w:r>
    </w:p>
    <w:p>
      <w:pPr>
        <w:ind w:firstLine="560"/>
        <w:rPr>
          <w:rFonts w:cs="Times New Roman" w:eastAsiaTheme="minorEastAsia"/>
          <w:szCs w:val="24"/>
        </w:rPr>
      </w:pPr>
      <w:r>
        <w:rPr>
          <w:rFonts w:cs="Times New Roman" w:hAnsiTheme="minorEastAsia" w:eastAsiaTheme="minorEastAsia"/>
          <w:szCs w:val="24"/>
        </w:rPr>
        <w:t>（</w:t>
      </w:r>
      <w:r>
        <w:rPr>
          <w:rFonts w:cs="Times New Roman" w:eastAsiaTheme="minorEastAsia"/>
          <w:szCs w:val="24"/>
        </w:rPr>
        <w:t>3</w:t>
      </w:r>
      <w:r>
        <w:rPr>
          <w:rFonts w:cs="Times New Roman" w:hAnsiTheme="minorEastAsia" w:eastAsiaTheme="minorEastAsia"/>
          <w:szCs w:val="24"/>
        </w:rPr>
        <w:t>）园区污水总排口、接管口，应当设置在线监控、视频监控系统，并与当地环保部门联网。重点排污企业逐步安装排水自控阀门，实现自动留样、刷卡排污和自动截污。园区排污口按照主管行政部门要求设置排污口标志牌且排污口位置符合相关要求。</w:t>
      </w:r>
    </w:p>
    <w:p>
      <w:pPr>
        <w:pStyle w:val="4"/>
        <w:ind w:firstLine="602"/>
        <w:rPr>
          <w:rFonts w:cs="Times New Roman" w:eastAsiaTheme="minorEastAsia"/>
        </w:rPr>
      </w:pPr>
      <w:bookmarkStart w:id="57" w:name="_Toc126591876"/>
      <w:bookmarkStart w:id="58" w:name="_Toc31273"/>
      <w:bookmarkStart w:id="59" w:name="_Toc6203"/>
      <w:r>
        <w:rPr>
          <w:rFonts w:cs="Times New Roman" w:eastAsiaTheme="minorEastAsia"/>
        </w:rPr>
        <w:t>7.</w:t>
      </w:r>
      <w:r>
        <w:rPr>
          <w:rFonts w:hint="eastAsia" w:cs="Times New Roman" w:eastAsiaTheme="minorEastAsia"/>
        </w:rPr>
        <w:t>5</w:t>
      </w:r>
      <w:r>
        <w:rPr>
          <w:rFonts w:cs="Times New Roman" w:hAnsiTheme="minorEastAsia" w:eastAsiaTheme="minorEastAsia"/>
        </w:rPr>
        <w:t>环境风险防控体系</w:t>
      </w:r>
      <w:bookmarkEnd w:id="57"/>
      <w:bookmarkEnd w:id="58"/>
      <w:bookmarkEnd w:id="59"/>
    </w:p>
    <w:p>
      <w:pPr>
        <w:pStyle w:val="5"/>
        <w:ind w:firstLine="562"/>
        <w:rPr>
          <w:rFonts w:cs="Times New Roman" w:eastAsiaTheme="minorEastAsia"/>
        </w:rPr>
      </w:pPr>
      <w:bookmarkStart w:id="60" w:name="_Toc19760"/>
      <w:bookmarkStart w:id="61" w:name="_Toc14220"/>
      <w:r>
        <w:rPr>
          <w:rFonts w:cs="Times New Roman" w:eastAsiaTheme="minorEastAsia"/>
        </w:rPr>
        <w:t>7.</w:t>
      </w:r>
      <w:r>
        <w:rPr>
          <w:rFonts w:hint="eastAsia" w:cs="Times New Roman" w:eastAsiaTheme="minorEastAsia"/>
        </w:rPr>
        <w:t>5</w:t>
      </w:r>
      <w:r>
        <w:rPr>
          <w:rFonts w:cs="Times New Roman" w:eastAsiaTheme="minorEastAsia"/>
        </w:rPr>
        <w:t>.1</w:t>
      </w:r>
      <w:r>
        <w:rPr>
          <w:rFonts w:cs="Times New Roman" w:hAnsiTheme="minorEastAsia" w:eastAsiaTheme="minorEastAsia"/>
        </w:rPr>
        <w:t>建设环境安全风险预警体系</w:t>
      </w:r>
      <w:bookmarkEnd w:id="60"/>
      <w:bookmarkEnd w:id="61"/>
    </w:p>
    <w:p>
      <w:pPr>
        <w:ind w:firstLine="560"/>
        <w:rPr>
          <w:rFonts w:cs="Times New Roman" w:eastAsiaTheme="minorEastAsia"/>
          <w:szCs w:val="24"/>
        </w:rPr>
      </w:pPr>
      <w:r>
        <w:rPr>
          <w:rFonts w:cs="Times New Roman" w:hAnsiTheme="minorEastAsia" w:eastAsiaTheme="minorEastAsia"/>
          <w:szCs w:val="24"/>
        </w:rPr>
        <w:t>园区要针对环境安全风险建设预警体系。根据《国务院办公厅关于印发国家突发环境事件应急预案的通知》（国办函（</w:t>
      </w:r>
      <w:r>
        <w:rPr>
          <w:rFonts w:cs="Times New Roman" w:eastAsiaTheme="minorEastAsia"/>
          <w:szCs w:val="24"/>
        </w:rPr>
        <w:t>2014</w:t>
      </w:r>
      <w:r>
        <w:rPr>
          <w:rFonts w:cs="Times New Roman" w:hAnsiTheme="minorEastAsia" w:eastAsiaTheme="minorEastAsia"/>
          <w:szCs w:val="24"/>
        </w:rPr>
        <w:t>）</w:t>
      </w:r>
      <w:r>
        <w:rPr>
          <w:rFonts w:cs="Times New Roman" w:eastAsiaTheme="minorEastAsia"/>
          <w:szCs w:val="24"/>
        </w:rPr>
        <w:t>119</w:t>
      </w:r>
      <w:r>
        <w:rPr>
          <w:rFonts w:cs="Times New Roman" w:hAnsiTheme="minorEastAsia" w:eastAsiaTheme="minorEastAsia"/>
          <w:szCs w:val="24"/>
        </w:rPr>
        <w:t>号），园区环境风险预警体系包括：预警分级、预警信息发布、预警行动、预警级别调整和解除等内容。此外，园区管理机构应该组织建设有毒有害气体环境风险预警体系，建设园区环境风险防范设施。</w:t>
      </w:r>
    </w:p>
    <w:p>
      <w:pPr>
        <w:pStyle w:val="5"/>
        <w:ind w:firstLine="562"/>
        <w:rPr>
          <w:rFonts w:cs="Times New Roman" w:eastAsiaTheme="minorEastAsia"/>
        </w:rPr>
      </w:pPr>
      <w:bookmarkStart w:id="62" w:name="_Toc13086"/>
      <w:bookmarkStart w:id="63" w:name="_Toc29366"/>
      <w:r>
        <w:rPr>
          <w:rFonts w:cs="Times New Roman" w:eastAsiaTheme="minorEastAsia"/>
        </w:rPr>
        <w:t>7.</w:t>
      </w:r>
      <w:r>
        <w:rPr>
          <w:rFonts w:hint="eastAsia" w:cs="Times New Roman" w:eastAsiaTheme="minorEastAsia"/>
        </w:rPr>
        <w:t>5</w:t>
      </w:r>
      <w:r>
        <w:rPr>
          <w:rFonts w:cs="Times New Roman" w:eastAsiaTheme="minorEastAsia"/>
        </w:rPr>
        <w:t>.2</w:t>
      </w:r>
      <w:r>
        <w:rPr>
          <w:rFonts w:hint="eastAsia" w:cs="Times New Roman" w:eastAsiaTheme="minorEastAsia"/>
        </w:rPr>
        <w:t>环保</w:t>
      </w:r>
      <w:r>
        <w:rPr>
          <w:rFonts w:cs="Times New Roman" w:hAnsiTheme="minorEastAsia" w:eastAsiaTheme="minorEastAsia"/>
        </w:rPr>
        <w:t>应急机构设置</w:t>
      </w:r>
      <w:bookmarkEnd w:id="62"/>
      <w:bookmarkEnd w:id="63"/>
    </w:p>
    <w:p>
      <w:pPr>
        <w:ind w:firstLine="560"/>
        <w:rPr>
          <w:rFonts w:cs="Times New Roman" w:eastAsiaTheme="minorEastAsia"/>
          <w:szCs w:val="24"/>
        </w:rPr>
      </w:pPr>
      <w:r>
        <w:rPr>
          <w:rFonts w:cs="Times New Roman" w:hAnsiTheme="minorEastAsia" w:eastAsiaTheme="minorEastAsia"/>
          <w:szCs w:val="24"/>
        </w:rPr>
        <w:t>园区内建设应急指挥中心，以各企业监控平台、园区在线监控中心、大气自动监测预警点及地表水自动监测预警点等污染源、风险源、环境质量监控平台为基础，建立数字化、信息化的园区应急响应平台。同时建立环境应急处置队伍，包括应急指挥部、通讯联络队、侦检抢修队、医疗救护队、应急消防队、治安队、物资供应队和环境应急监测队等。</w:t>
      </w:r>
    </w:p>
    <w:p>
      <w:pPr>
        <w:pStyle w:val="5"/>
        <w:ind w:firstLine="562"/>
        <w:rPr>
          <w:rFonts w:cs="Times New Roman" w:eastAsiaTheme="minorEastAsia"/>
        </w:rPr>
      </w:pPr>
      <w:bookmarkStart w:id="64" w:name="_Toc28745"/>
      <w:bookmarkStart w:id="65" w:name="_Toc22405"/>
      <w:r>
        <w:rPr>
          <w:rFonts w:cs="Times New Roman" w:eastAsiaTheme="minorEastAsia"/>
        </w:rPr>
        <w:t>7.</w:t>
      </w:r>
      <w:r>
        <w:rPr>
          <w:rFonts w:hint="eastAsia" w:cs="Times New Roman" w:eastAsiaTheme="minorEastAsia"/>
        </w:rPr>
        <w:t>5</w:t>
      </w:r>
      <w:r>
        <w:rPr>
          <w:rFonts w:cs="Times New Roman" w:eastAsiaTheme="minorEastAsia"/>
        </w:rPr>
        <w:t>.3</w:t>
      </w:r>
      <w:r>
        <w:rPr>
          <w:rFonts w:hint="eastAsia" w:cs="Times New Roman" w:eastAsiaTheme="minorEastAsia"/>
        </w:rPr>
        <w:t>突发环境事件</w:t>
      </w:r>
      <w:r>
        <w:rPr>
          <w:rFonts w:cs="Times New Roman" w:hAnsiTheme="minorEastAsia" w:eastAsiaTheme="minorEastAsia"/>
        </w:rPr>
        <w:t>应急预案编制</w:t>
      </w:r>
      <w:bookmarkEnd w:id="64"/>
      <w:bookmarkEnd w:id="65"/>
    </w:p>
    <w:p>
      <w:pPr>
        <w:ind w:firstLine="560"/>
        <w:rPr>
          <w:rFonts w:cs="Times New Roman" w:eastAsiaTheme="minorEastAsia"/>
          <w:szCs w:val="24"/>
        </w:rPr>
      </w:pPr>
      <w:r>
        <w:rPr>
          <w:rFonts w:cs="Times New Roman" w:hAnsiTheme="minorEastAsia" w:eastAsiaTheme="minorEastAsia"/>
          <w:szCs w:val="24"/>
        </w:rPr>
        <w:t>园区管理机构应按照《企业事业单位突发环境事件应急预案管理暂行办法》（环发</w:t>
      </w:r>
      <w:r>
        <w:rPr>
          <w:rFonts w:cs="Times New Roman" w:eastAsiaTheme="minorEastAsia"/>
          <w:szCs w:val="24"/>
        </w:rPr>
        <w:t>[2015]4</w:t>
      </w:r>
      <w:r>
        <w:rPr>
          <w:rFonts w:cs="Times New Roman" w:hAnsiTheme="minorEastAsia" w:eastAsiaTheme="minorEastAsia"/>
          <w:szCs w:val="24"/>
        </w:rPr>
        <w:t>号）和《贵州省环境保护厅关于进一步加强突发环境事件应急预案管理的通知》（黔环通</w:t>
      </w:r>
      <w:r>
        <w:rPr>
          <w:rFonts w:cs="Times New Roman" w:eastAsiaTheme="minorEastAsia"/>
          <w:szCs w:val="24"/>
        </w:rPr>
        <w:t>[2018]110</w:t>
      </w:r>
      <w:r>
        <w:rPr>
          <w:rFonts w:cs="Times New Roman" w:hAnsiTheme="minorEastAsia" w:eastAsiaTheme="minorEastAsia"/>
          <w:szCs w:val="24"/>
        </w:rPr>
        <w:t>号）的要求，编制突发环境事件应急预案，并及时向市环保部门备案。园区内所有投产（含试生产）企业应开展应急预案的编制、评估、发布、备案、演练工作，并做好与园区整体应急预案的对接。</w:t>
      </w:r>
    </w:p>
    <w:p>
      <w:pPr>
        <w:pStyle w:val="5"/>
        <w:ind w:firstLine="562"/>
        <w:rPr>
          <w:rFonts w:cs="Times New Roman" w:eastAsiaTheme="minorEastAsia"/>
        </w:rPr>
      </w:pPr>
      <w:bookmarkStart w:id="66" w:name="_Toc13265"/>
      <w:bookmarkStart w:id="67" w:name="_Toc21863"/>
      <w:r>
        <w:rPr>
          <w:rFonts w:cs="Times New Roman" w:eastAsiaTheme="minorEastAsia"/>
        </w:rPr>
        <w:t>7.</w:t>
      </w:r>
      <w:r>
        <w:rPr>
          <w:rFonts w:hint="eastAsia" w:cs="Times New Roman" w:eastAsiaTheme="minorEastAsia"/>
        </w:rPr>
        <w:t>5</w:t>
      </w:r>
      <w:r>
        <w:rPr>
          <w:rFonts w:cs="Times New Roman" w:eastAsiaTheme="minorEastAsia"/>
        </w:rPr>
        <w:t>.4</w:t>
      </w:r>
      <w:r>
        <w:rPr>
          <w:rFonts w:cs="Times New Roman" w:hAnsiTheme="minorEastAsia" w:eastAsiaTheme="minorEastAsia"/>
        </w:rPr>
        <w:t>主要风险防控措施</w:t>
      </w:r>
      <w:bookmarkEnd w:id="66"/>
      <w:bookmarkEnd w:id="67"/>
    </w:p>
    <w:p>
      <w:pPr>
        <w:ind w:firstLine="560"/>
        <w:rPr>
          <w:rFonts w:cs="Times New Roman" w:eastAsiaTheme="minorEastAsia"/>
          <w:szCs w:val="24"/>
        </w:rPr>
      </w:pPr>
      <w:r>
        <w:rPr>
          <w:rFonts w:cs="Times New Roman" w:eastAsiaTheme="minorEastAsia"/>
          <w:szCs w:val="24"/>
        </w:rPr>
        <w:t>1</w:t>
      </w:r>
      <w:r>
        <w:rPr>
          <w:rFonts w:cs="Times New Roman" w:hAnsiTheme="minorEastAsia" w:eastAsiaTheme="minorEastAsia"/>
          <w:szCs w:val="24"/>
        </w:rPr>
        <w:t>、隔离</w:t>
      </w:r>
      <w:r>
        <w:rPr>
          <w:rFonts w:cs="Times New Roman" w:eastAsiaTheme="minorEastAsia"/>
          <w:szCs w:val="24"/>
        </w:rPr>
        <w:t>/</w:t>
      </w:r>
      <w:r>
        <w:rPr>
          <w:rFonts w:cs="Times New Roman" w:hAnsiTheme="minorEastAsia" w:eastAsiaTheme="minorEastAsia"/>
          <w:szCs w:val="24"/>
        </w:rPr>
        <w:t>缓冲措施</w:t>
      </w:r>
    </w:p>
    <w:p>
      <w:pPr>
        <w:ind w:firstLine="560"/>
        <w:rPr>
          <w:rFonts w:cs="Times New Roman" w:eastAsiaTheme="minorEastAsia"/>
          <w:szCs w:val="24"/>
        </w:rPr>
      </w:pPr>
      <w:r>
        <w:rPr>
          <w:rFonts w:cs="Times New Roman" w:hAnsiTheme="minorEastAsia" w:eastAsiaTheme="minorEastAsia"/>
          <w:szCs w:val="24"/>
        </w:rPr>
        <w:t>在园区规划边界外与居民区之间设置</w:t>
      </w:r>
      <w:r>
        <w:rPr>
          <w:rFonts w:cs="Times New Roman" w:eastAsiaTheme="minorEastAsia"/>
          <w:szCs w:val="24"/>
        </w:rPr>
        <w:t>“</w:t>
      </w:r>
      <w:r>
        <w:rPr>
          <w:rFonts w:cs="Times New Roman" w:hAnsiTheme="minorEastAsia" w:eastAsiaTheme="minorEastAsia"/>
          <w:szCs w:val="24"/>
        </w:rPr>
        <w:t>隔离带</w:t>
      </w:r>
      <w:r>
        <w:rPr>
          <w:rFonts w:cs="Times New Roman" w:eastAsiaTheme="minorEastAsia"/>
          <w:szCs w:val="24"/>
        </w:rPr>
        <w:t>”</w:t>
      </w:r>
      <w:r>
        <w:rPr>
          <w:rFonts w:cs="Times New Roman" w:hAnsiTheme="minorEastAsia" w:eastAsiaTheme="minorEastAsia"/>
          <w:szCs w:val="24"/>
        </w:rPr>
        <w:t>。园区建成范围和</w:t>
      </w:r>
      <w:r>
        <w:rPr>
          <w:rFonts w:cs="Times New Roman" w:eastAsiaTheme="minorEastAsia"/>
          <w:szCs w:val="24"/>
        </w:rPr>
        <w:t>“</w:t>
      </w:r>
      <w:r>
        <w:rPr>
          <w:rFonts w:cs="Times New Roman" w:hAnsiTheme="minorEastAsia" w:eastAsiaTheme="minorEastAsia"/>
          <w:szCs w:val="24"/>
        </w:rPr>
        <w:t>隔离带</w:t>
      </w:r>
      <w:r>
        <w:rPr>
          <w:rFonts w:cs="Times New Roman" w:eastAsiaTheme="minorEastAsia"/>
          <w:szCs w:val="24"/>
        </w:rPr>
        <w:t>”</w:t>
      </w:r>
      <w:r>
        <w:rPr>
          <w:rFonts w:cs="Times New Roman" w:hAnsiTheme="minorEastAsia" w:eastAsiaTheme="minorEastAsia"/>
          <w:szCs w:val="24"/>
        </w:rPr>
        <w:t>内不得规划建设学校、医院、居民住宅等环境敏感目标。并根据园区周边环境情况在隔离带内建设不少于</w:t>
      </w:r>
      <w:r>
        <w:rPr>
          <w:rFonts w:cs="Times New Roman" w:eastAsiaTheme="minorEastAsia"/>
          <w:szCs w:val="24"/>
        </w:rPr>
        <w:t>50</w:t>
      </w:r>
      <w:r>
        <w:rPr>
          <w:rFonts w:cs="Times New Roman" w:hAnsiTheme="minorEastAsia" w:eastAsiaTheme="minorEastAsia"/>
          <w:szCs w:val="24"/>
        </w:rPr>
        <w:t>米宽的绿化防护林，绿化防护林应以常绿树种为主，并考虑种植对园区特征污染物吸附能力较强的乔木、灌木等。</w:t>
      </w:r>
    </w:p>
    <w:p>
      <w:pPr>
        <w:ind w:firstLine="560"/>
        <w:rPr>
          <w:rFonts w:cs="Times New Roman" w:eastAsiaTheme="minorEastAsia"/>
          <w:szCs w:val="24"/>
        </w:rPr>
      </w:pPr>
      <w:r>
        <w:rPr>
          <w:rFonts w:cs="Times New Roman" w:eastAsiaTheme="minorEastAsia"/>
          <w:szCs w:val="24"/>
        </w:rPr>
        <w:t>2</w:t>
      </w:r>
      <w:r>
        <w:rPr>
          <w:rFonts w:cs="Times New Roman" w:hAnsiTheme="minorEastAsia" w:eastAsiaTheme="minorEastAsia"/>
          <w:szCs w:val="24"/>
        </w:rPr>
        <w:t>、水环境风险防范措施</w:t>
      </w:r>
    </w:p>
    <w:p>
      <w:pPr>
        <w:ind w:firstLine="560"/>
        <w:rPr>
          <w:rFonts w:cs="Times New Roman" w:eastAsiaTheme="minorEastAsia"/>
          <w:szCs w:val="24"/>
        </w:rPr>
      </w:pPr>
      <w:r>
        <w:rPr>
          <w:rFonts w:cs="Times New Roman" w:hAnsiTheme="minorEastAsia" w:eastAsiaTheme="minorEastAsia"/>
          <w:szCs w:val="24"/>
        </w:rPr>
        <w:t>园区发生风险事故时，如不采取及时有效的措施，会造成水环境污染。因此入区企业应做好水环境风险防范措施。</w:t>
      </w:r>
    </w:p>
    <w:p>
      <w:pPr>
        <w:ind w:firstLine="560"/>
        <w:rPr>
          <w:rFonts w:cs="Times New Roman" w:eastAsiaTheme="minorEastAsia"/>
          <w:szCs w:val="24"/>
        </w:rPr>
      </w:pPr>
      <w:r>
        <w:rPr>
          <w:rFonts w:cs="Times New Roman" w:hAnsiTheme="minorEastAsia" w:eastAsiaTheme="minorEastAsia"/>
          <w:szCs w:val="24"/>
        </w:rPr>
        <w:t>规划在园区内设立</w:t>
      </w:r>
      <w:r>
        <w:rPr>
          <w:rFonts w:cs="Times New Roman" w:eastAsiaTheme="minorEastAsia"/>
          <w:szCs w:val="24"/>
        </w:rPr>
        <w:t>“</w:t>
      </w:r>
      <w:r>
        <w:rPr>
          <w:rFonts w:cs="Times New Roman" w:hAnsiTheme="minorEastAsia" w:eastAsiaTheme="minorEastAsia"/>
          <w:szCs w:val="24"/>
        </w:rPr>
        <w:t>装置</w:t>
      </w:r>
      <w:r>
        <w:rPr>
          <w:rFonts w:cs="Times New Roman" w:eastAsiaTheme="minorEastAsia"/>
          <w:szCs w:val="24"/>
        </w:rPr>
        <w:t>—</w:t>
      </w:r>
      <w:r>
        <w:rPr>
          <w:rFonts w:cs="Times New Roman" w:hAnsiTheme="minorEastAsia" w:eastAsiaTheme="minorEastAsia"/>
          <w:szCs w:val="24"/>
        </w:rPr>
        <w:t>企业</w:t>
      </w:r>
      <w:r>
        <w:rPr>
          <w:rFonts w:cs="Times New Roman" w:eastAsiaTheme="minorEastAsia"/>
          <w:szCs w:val="24"/>
        </w:rPr>
        <w:t>—</w:t>
      </w:r>
      <w:r>
        <w:rPr>
          <w:rFonts w:cs="Times New Roman" w:hAnsiTheme="minorEastAsia" w:eastAsiaTheme="minorEastAsia"/>
          <w:szCs w:val="24"/>
        </w:rPr>
        <w:t>园区</w:t>
      </w:r>
      <w:r>
        <w:rPr>
          <w:rFonts w:cs="Times New Roman" w:eastAsiaTheme="minorEastAsia"/>
          <w:szCs w:val="24"/>
        </w:rPr>
        <w:t>”</w:t>
      </w:r>
      <w:r>
        <w:rPr>
          <w:rFonts w:cs="Times New Roman" w:hAnsiTheme="minorEastAsia" w:eastAsiaTheme="minorEastAsia"/>
          <w:szCs w:val="24"/>
        </w:rPr>
        <w:t>的三级防控体系。</w:t>
      </w:r>
    </w:p>
    <w:p>
      <w:pPr>
        <w:ind w:firstLine="560"/>
        <w:rPr>
          <w:rFonts w:cs="Times New Roman" w:eastAsiaTheme="minorEastAsia"/>
          <w:szCs w:val="24"/>
        </w:rPr>
      </w:pPr>
      <w:r>
        <w:rPr>
          <w:rFonts w:cs="Times New Roman" w:eastAsiaTheme="minorEastAsia"/>
          <w:szCs w:val="24"/>
        </w:rPr>
        <w:t>3</w:t>
      </w:r>
      <w:r>
        <w:rPr>
          <w:rFonts w:cs="Times New Roman" w:hAnsiTheme="minorEastAsia" w:eastAsiaTheme="minorEastAsia"/>
          <w:szCs w:val="24"/>
        </w:rPr>
        <w:t>、大气环境风险防范措施</w:t>
      </w:r>
    </w:p>
    <w:p>
      <w:pPr>
        <w:ind w:firstLine="560"/>
        <w:rPr>
          <w:rFonts w:cs="Times New Roman" w:eastAsiaTheme="minorEastAsia"/>
          <w:szCs w:val="24"/>
        </w:rPr>
      </w:pPr>
      <w:r>
        <w:rPr>
          <w:rFonts w:cs="Times New Roman" w:hAnsiTheme="minorEastAsia" w:eastAsiaTheme="minorEastAsia"/>
          <w:szCs w:val="24"/>
        </w:rPr>
        <w:t>园区涉及的易燃易爆、有毒有害化学品种类较多，事故状况下，有毒有害物质的挥发对周围大气环境造成污染，对人身健康造成伤害。各企业应根据项目环评要求落实各项环境风险的防控措施，采取必要的防火、防爆、防泄漏措施，建立严格的安全生产制度，大力提高操作人员的素质和水平，以最大限度地降低事故的发生率。园区在总体规划、区域开发和营运期中，应科学规划、合理布局，涉及易燃易爆、有毒有害化学品较多的企业项目应远离敏感目标。各入区企业应保证项目防护距离内无敏感点，做好大气风险防范工作，制定应急预案，预防风险事故的发生。</w:t>
      </w:r>
    </w:p>
    <w:p>
      <w:pPr>
        <w:ind w:firstLine="560"/>
        <w:rPr>
          <w:rFonts w:cs="Times New Roman" w:eastAsiaTheme="minorEastAsia"/>
          <w:szCs w:val="24"/>
        </w:rPr>
      </w:pPr>
      <w:r>
        <w:rPr>
          <w:rFonts w:cs="Times New Roman" w:eastAsiaTheme="minorEastAsia"/>
          <w:szCs w:val="24"/>
        </w:rPr>
        <w:t>4</w:t>
      </w:r>
      <w:r>
        <w:rPr>
          <w:rFonts w:cs="Times New Roman" w:hAnsiTheme="minorEastAsia" w:eastAsiaTheme="minorEastAsia"/>
          <w:szCs w:val="24"/>
        </w:rPr>
        <w:t>、地下水风险防范措施</w:t>
      </w:r>
    </w:p>
    <w:p>
      <w:pPr>
        <w:ind w:firstLine="560"/>
        <w:rPr>
          <w:rFonts w:cs="Times New Roman" w:eastAsiaTheme="minorEastAsia"/>
          <w:szCs w:val="24"/>
        </w:rPr>
      </w:pPr>
      <w:r>
        <w:rPr>
          <w:rFonts w:cs="Times New Roman" w:hAnsiTheme="minorEastAsia" w:eastAsiaTheme="minorEastAsia"/>
          <w:szCs w:val="24"/>
        </w:rPr>
        <w:t>园区建立完善的地下水监测系统，加强地下水水质监测。园区及周围范围内选取一定数量井孔作为长期观测点，每年丰、枯水期各取样一次，进行全分析，水样送有水质化验资质的实验室进行水质分析。特殊情况下（如遇到突发事故）补充取样。</w:t>
      </w:r>
    </w:p>
    <w:p>
      <w:pPr>
        <w:ind w:firstLine="560"/>
        <w:rPr>
          <w:rFonts w:cs="Times New Roman" w:eastAsiaTheme="minorEastAsia"/>
          <w:szCs w:val="24"/>
        </w:rPr>
      </w:pPr>
      <w:r>
        <w:rPr>
          <w:rFonts w:cs="Times New Roman" w:hAnsiTheme="minorEastAsia" w:eastAsiaTheme="minorEastAsia"/>
          <w:szCs w:val="24"/>
        </w:rPr>
        <w:t>为避免厂区内泄漏的污染物通过渗漏进入地下并污染地下水，各企业应按《石油化工工程防渗技术规范》（</w:t>
      </w:r>
      <w:r>
        <w:rPr>
          <w:rFonts w:cs="Times New Roman" w:eastAsiaTheme="minorEastAsia"/>
          <w:szCs w:val="24"/>
        </w:rPr>
        <w:t>GB/T 50934-2013</w:t>
      </w:r>
      <w:r>
        <w:rPr>
          <w:rFonts w:cs="Times New Roman" w:hAnsiTheme="minorEastAsia" w:eastAsiaTheme="minorEastAsia"/>
          <w:szCs w:val="24"/>
        </w:rPr>
        <w:t>）要求采取有效的防渗措施，并采取有效的地下水监控措施。园区内各企业厂区内管理，防止</w:t>
      </w:r>
      <w:r>
        <w:rPr>
          <w:rFonts w:cs="Times New Roman" w:eastAsiaTheme="minorEastAsia"/>
          <w:szCs w:val="24"/>
        </w:rPr>
        <w:t>“</w:t>
      </w:r>
      <w:r>
        <w:rPr>
          <w:rFonts w:cs="Times New Roman" w:hAnsiTheme="minorEastAsia" w:eastAsiaTheme="minorEastAsia"/>
          <w:szCs w:val="24"/>
        </w:rPr>
        <w:t>跑、冒、滴、漏</w:t>
      </w:r>
      <w:r>
        <w:rPr>
          <w:rFonts w:cs="Times New Roman" w:eastAsiaTheme="minorEastAsia"/>
          <w:szCs w:val="24"/>
        </w:rPr>
        <w:t>”</w:t>
      </w:r>
      <w:r>
        <w:rPr>
          <w:rFonts w:cs="Times New Roman" w:hAnsiTheme="minorEastAsia" w:eastAsiaTheme="minorEastAsia"/>
          <w:szCs w:val="24"/>
        </w:rPr>
        <w:t>，要有事故排放的应急措施。对损坏的管道及时修复，以防形成渗坑。</w:t>
      </w:r>
    </w:p>
    <w:p>
      <w:pPr>
        <w:ind w:firstLine="560"/>
        <w:rPr>
          <w:rFonts w:cs="Times New Roman" w:eastAsiaTheme="minorEastAsia"/>
          <w:szCs w:val="24"/>
        </w:rPr>
      </w:pPr>
      <w:r>
        <w:rPr>
          <w:rFonts w:cs="Times New Roman" w:hAnsiTheme="minorEastAsia" w:eastAsiaTheme="minorEastAsia"/>
          <w:szCs w:val="24"/>
        </w:rPr>
        <w:t>制定地下水风险事故应急响应预案，明确风险事故状态下应采取的封闭、截流等措施，提出防止受污染的地下水扩散和对受污染的地下水进行治理的具体方案。</w:t>
      </w:r>
    </w:p>
    <w:p>
      <w:pPr>
        <w:pStyle w:val="4"/>
        <w:ind w:firstLine="602"/>
        <w:rPr>
          <w:rFonts w:cs="Times New Roman" w:eastAsiaTheme="minorEastAsia"/>
        </w:rPr>
      </w:pPr>
      <w:bookmarkStart w:id="68" w:name="_Toc126591877"/>
      <w:bookmarkStart w:id="69" w:name="_Toc4485"/>
      <w:bookmarkStart w:id="70" w:name="_Toc6162"/>
      <w:r>
        <w:rPr>
          <w:rFonts w:cs="Times New Roman" w:eastAsiaTheme="minorEastAsia"/>
        </w:rPr>
        <w:t>7.</w:t>
      </w:r>
      <w:r>
        <w:rPr>
          <w:rFonts w:hint="eastAsia" w:cs="Times New Roman" w:eastAsiaTheme="minorEastAsia"/>
        </w:rPr>
        <w:t>6</w:t>
      </w:r>
      <w:r>
        <w:rPr>
          <w:rFonts w:cs="Times New Roman" w:eastAsiaTheme="minorEastAsia"/>
        </w:rPr>
        <w:t>园区生态环境保护一体化措施建议</w:t>
      </w:r>
      <w:bookmarkEnd w:id="68"/>
      <w:bookmarkEnd w:id="69"/>
      <w:bookmarkEnd w:id="70"/>
    </w:p>
    <w:p>
      <w:pPr>
        <w:ind w:firstLine="560"/>
        <w:rPr>
          <w:rFonts w:cs="Times New Roman" w:eastAsiaTheme="minorEastAsia"/>
          <w:szCs w:val="24"/>
        </w:rPr>
      </w:pPr>
      <w:r>
        <w:rPr>
          <w:rFonts w:cs="Times New Roman" w:hAnsiTheme="minorEastAsia" w:eastAsiaTheme="minorEastAsia"/>
          <w:szCs w:val="24"/>
        </w:rPr>
        <w:t>（</w:t>
      </w:r>
      <w:r>
        <w:rPr>
          <w:rFonts w:cs="Times New Roman" w:eastAsiaTheme="minorEastAsia"/>
          <w:szCs w:val="24"/>
        </w:rPr>
        <w:t>1</w:t>
      </w:r>
      <w:r>
        <w:rPr>
          <w:rFonts w:cs="Times New Roman" w:hAnsiTheme="minorEastAsia" w:eastAsiaTheme="minorEastAsia"/>
          <w:szCs w:val="24"/>
        </w:rPr>
        <w:t>）实现源头规划控制、过程清洁生产、后期末端治理的全程管控。通过区域综合治理，腾出环境容量，统筹协调重点污染物排放总量控制指标，形成园区环境保护与生态发展的和谐统一。建立环境污染公共监测预警机制，园区统筹应对突发环境事件，做好突发环境事件的风险控制、应急准备、应急处置和事后恢复等工作。</w:t>
      </w:r>
    </w:p>
    <w:p>
      <w:pPr>
        <w:ind w:firstLine="560"/>
        <w:rPr>
          <w:rFonts w:cs="Times New Roman"/>
          <w:szCs w:val="28"/>
        </w:rPr>
      </w:pPr>
      <w:r>
        <w:rPr>
          <w:rFonts w:cs="Times New Roman" w:hAnsiTheme="minorEastAsia" w:eastAsiaTheme="minorEastAsia"/>
          <w:szCs w:val="24"/>
        </w:rPr>
        <w:t>（</w:t>
      </w:r>
      <w:r>
        <w:rPr>
          <w:rFonts w:cs="Times New Roman" w:eastAsiaTheme="minorEastAsia"/>
          <w:szCs w:val="24"/>
        </w:rPr>
        <w:t>2</w:t>
      </w:r>
      <w:r>
        <w:rPr>
          <w:rFonts w:cs="Times New Roman" w:hAnsiTheme="minorEastAsia" w:eastAsiaTheme="minorEastAsia"/>
          <w:szCs w:val="24"/>
        </w:rPr>
        <w:t>）实行园区重点污染物排放总量控制。进一步明确重点污染物排放总量，将园区重点污染物控制指标和项目重点污染物控制指标作为入园项目环评审批的前置条件，确保项目建成后，园区重点污染物排放总量符合总量控制目标要求。鼓励通过技术升级、结构调整、循环经济和技术创新等措施减少园区重点污染物排放总量。通过先进技术改造提升，加快节能减排循环利用，推进</w:t>
      </w:r>
      <w:r>
        <w:rPr>
          <w:rFonts w:hint="eastAsia" w:cs="Times New Roman" w:hAnsiTheme="minorEastAsia" w:eastAsiaTheme="minorEastAsia"/>
          <w:szCs w:val="24"/>
        </w:rPr>
        <w:t>固废</w:t>
      </w:r>
      <w:r>
        <w:rPr>
          <w:rFonts w:cs="Times New Roman" w:hAnsiTheme="minorEastAsia" w:eastAsiaTheme="minorEastAsia"/>
          <w:szCs w:val="24"/>
        </w:rPr>
        <w:t>资源化利用，全面提升园区环保水平。</w:t>
      </w:r>
    </w:p>
    <w:p>
      <w:pPr>
        <w:ind w:firstLine="560"/>
        <w:rPr>
          <w:rFonts w:cs="Times New Roman" w:eastAsiaTheme="minorEastAsia"/>
          <w:szCs w:val="28"/>
        </w:rPr>
      </w:pPr>
    </w:p>
    <w:p>
      <w:pPr>
        <w:ind w:firstLine="560"/>
        <w:rPr>
          <w:rFonts w:cs="Times New Roman" w:eastAsiaTheme="minorEastAsia"/>
          <w:szCs w:val="28"/>
        </w:rPr>
      </w:pPr>
      <w:r>
        <w:rPr>
          <w:rFonts w:cs="Times New Roman" w:eastAsiaTheme="minorEastAsia"/>
          <w:szCs w:val="28"/>
        </w:rPr>
        <w:br w:type="page"/>
      </w:r>
    </w:p>
    <w:p>
      <w:pPr>
        <w:pStyle w:val="3"/>
        <w:spacing w:before="120" w:after="120"/>
        <w:ind w:firstLine="643"/>
        <w:rPr>
          <w:rFonts w:cs="Times New Roman" w:eastAsiaTheme="minorEastAsia"/>
        </w:rPr>
      </w:pPr>
      <w:bookmarkStart w:id="71" w:name="_Toc126591878"/>
      <w:r>
        <w:rPr>
          <w:rFonts w:cs="Times New Roman" w:hAnsiTheme="minorEastAsia" w:eastAsiaTheme="minorEastAsia"/>
        </w:rPr>
        <w:t>第八章安全防灾规划</w:t>
      </w:r>
      <w:bookmarkEnd w:id="71"/>
    </w:p>
    <w:p>
      <w:pPr>
        <w:pStyle w:val="4"/>
        <w:ind w:firstLine="602"/>
        <w:rPr>
          <w:rFonts w:cs="Times New Roman" w:hAnsiTheme="minorEastAsia" w:eastAsiaTheme="minorEastAsia"/>
        </w:rPr>
      </w:pPr>
      <w:bookmarkStart w:id="72" w:name="_Toc126591879"/>
      <w:bookmarkStart w:id="73" w:name="_Toc190918822"/>
      <w:bookmarkStart w:id="74" w:name="_Toc261614305"/>
      <w:bookmarkStart w:id="75" w:name="_Toc261674971"/>
      <w:bookmarkStart w:id="76" w:name="_Toc190919148"/>
      <w:bookmarkStart w:id="77" w:name="_Toc256177039"/>
      <w:bookmarkStart w:id="78" w:name="_Toc261686199"/>
      <w:bookmarkStart w:id="79" w:name="_Toc261612503"/>
      <w:bookmarkStart w:id="80" w:name="_Toc261617950"/>
      <w:bookmarkStart w:id="81" w:name="_Toc190919474"/>
      <w:r>
        <w:rPr>
          <w:rFonts w:cs="Times New Roman" w:hAnsiTheme="minorEastAsia" w:eastAsiaTheme="minorEastAsia"/>
        </w:rPr>
        <w:t>8.1消防规划</w:t>
      </w:r>
      <w:bookmarkEnd w:id="72"/>
      <w:bookmarkEnd w:id="73"/>
      <w:bookmarkEnd w:id="74"/>
      <w:bookmarkEnd w:id="75"/>
      <w:bookmarkEnd w:id="76"/>
      <w:bookmarkEnd w:id="77"/>
      <w:bookmarkEnd w:id="78"/>
      <w:bookmarkEnd w:id="79"/>
      <w:bookmarkEnd w:id="80"/>
      <w:bookmarkEnd w:id="81"/>
    </w:p>
    <w:p>
      <w:pPr>
        <w:pStyle w:val="5"/>
        <w:ind w:firstLine="562"/>
        <w:rPr>
          <w:rFonts w:cs="Times New Roman"/>
        </w:rPr>
      </w:pPr>
      <w:r>
        <w:rPr>
          <w:rFonts w:cs="Times New Roman"/>
        </w:rPr>
        <w:t>8.1.1规划目标</w:t>
      </w:r>
    </w:p>
    <w:p>
      <w:pPr>
        <w:ind w:firstLine="560"/>
        <w:rPr>
          <w:rFonts w:cs="Times New Roman" w:eastAsiaTheme="minorEastAsia"/>
          <w:szCs w:val="28"/>
        </w:rPr>
      </w:pPr>
      <w:r>
        <w:rPr>
          <w:rFonts w:cs="Times New Roman" w:hAnsiTheme="minorEastAsia" w:eastAsiaTheme="minorEastAsia"/>
          <w:szCs w:val="28"/>
        </w:rPr>
        <w:t>⑴围绕经济建设以及西部大开发战略的全面实施，建立与社会主义市场发展相适应的消防安全运行机制。</w:t>
      </w:r>
    </w:p>
    <w:p>
      <w:pPr>
        <w:ind w:firstLine="560"/>
        <w:rPr>
          <w:rFonts w:cs="Times New Roman" w:eastAsiaTheme="minorEastAsia"/>
          <w:szCs w:val="28"/>
        </w:rPr>
      </w:pPr>
      <w:r>
        <w:rPr>
          <w:rFonts w:cs="Times New Roman" w:hAnsiTheme="minorEastAsia" w:eastAsiaTheme="minorEastAsia"/>
          <w:szCs w:val="28"/>
        </w:rPr>
        <w:t>⑵建立与六枝特区城市现代化进程相配套、水平相当的消防安全系统，并使其具备较强的防御和处置灾害事故快速反应的能力。</w:t>
      </w:r>
    </w:p>
    <w:p>
      <w:pPr>
        <w:ind w:firstLine="560"/>
        <w:rPr>
          <w:rFonts w:cs="Times New Roman" w:eastAsiaTheme="minorEastAsia"/>
          <w:szCs w:val="28"/>
        </w:rPr>
      </w:pPr>
      <w:r>
        <w:rPr>
          <w:rFonts w:cs="Times New Roman" w:hAnsiTheme="minorEastAsia" w:eastAsiaTheme="minorEastAsia"/>
          <w:szCs w:val="28"/>
        </w:rPr>
        <w:t>⑶确定区内消防体系的构成、功能和发展目标，并保证其发展的可持续性。</w:t>
      </w:r>
    </w:p>
    <w:p>
      <w:pPr>
        <w:ind w:firstLine="560"/>
        <w:rPr>
          <w:rFonts w:cs="Times New Roman" w:eastAsiaTheme="minorEastAsia"/>
          <w:szCs w:val="28"/>
        </w:rPr>
      </w:pPr>
      <w:r>
        <w:rPr>
          <w:rFonts w:cs="Times New Roman" w:hAnsiTheme="minorEastAsia" w:eastAsiaTheme="minorEastAsia"/>
          <w:szCs w:val="28"/>
        </w:rPr>
        <w:t>⑷从实际出发，建立满足工业园区消防安全需要的消防体系，为消防安全布局和消防设施的建设提供合理的建设依据。</w:t>
      </w:r>
    </w:p>
    <w:p>
      <w:pPr>
        <w:pStyle w:val="5"/>
        <w:ind w:firstLine="562"/>
        <w:rPr>
          <w:rFonts w:cs="Times New Roman" w:eastAsiaTheme="minorEastAsia"/>
          <w:szCs w:val="28"/>
        </w:rPr>
      </w:pPr>
      <w:r>
        <w:rPr>
          <w:rFonts w:cs="Times New Roman" w:eastAsiaTheme="minorEastAsia"/>
          <w:szCs w:val="28"/>
        </w:rPr>
        <w:t>8.1.2</w:t>
      </w:r>
      <w:r>
        <w:rPr>
          <w:rFonts w:cs="Times New Roman" w:hAnsiTheme="minorEastAsia" w:eastAsiaTheme="minorEastAsia"/>
          <w:szCs w:val="28"/>
        </w:rPr>
        <w:t>规划依据</w:t>
      </w:r>
    </w:p>
    <w:p>
      <w:pPr>
        <w:ind w:firstLine="560"/>
        <w:rPr>
          <w:rFonts w:cs="Times New Roman" w:eastAsiaTheme="minorEastAsia"/>
          <w:szCs w:val="28"/>
        </w:rPr>
      </w:pPr>
      <w:r>
        <w:rPr>
          <w:rFonts w:cs="Times New Roman" w:hAnsiTheme="minorEastAsia" w:eastAsiaTheme="minorEastAsia"/>
          <w:szCs w:val="28"/>
        </w:rPr>
        <w:t>⑴《中华人民共和国城乡规划法》</w:t>
      </w:r>
    </w:p>
    <w:p>
      <w:pPr>
        <w:ind w:firstLine="560"/>
        <w:rPr>
          <w:rFonts w:cs="Times New Roman" w:eastAsiaTheme="minorEastAsia"/>
          <w:szCs w:val="28"/>
        </w:rPr>
      </w:pPr>
      <w:r>
        <w:rPr>
          <w:rFonts w:cs="Times New Roman" w:hAnsiTheme="minorEastAsia" w:eastAsiaTheme="minorEastAsia"/>
          <w:szCs w:val="28"/>
        </w:rPr>
        <w:t>⑵《中华人民共和国消防法》</w:t>
      </w:r>
    </w:p>
    <w:p>
      <w:pPr>
        <w:ind w:firstLine="560"/>
        <w:rPr>
          <w:rFonts w:cs="Times New Roman" w:eastAsiaTheme="minorEastAsia"/>
          <w:szCs w:val="28"/>
        </w:rPr>
      </w:pPr>
      <w:r>
        <w:rPr>
          <w:rFonts w:cs="Times New Roman" w:hAnsiTheme="minorEastAsia" w:eastAsiaTheme="minorEastAsia"/>
          <w:szCs w:val="28"/>
        </w:rPr>
        <w:t>⑶《城市消防站建设标准》</w:t>
      </w:r>
    </w:p>
    <w:p>
      <w:pPr>
        <w:ind w:firstLine="560"/>
        <w:rPr>
          <w:rFonts w:cs="Times New Roman" w:eastAsiaTheme="minorEastAsia"/>
          <w:szCs w:val="28"/>
        </w:rPr>
      </w:pPr>
      <w:r>
        <w:rPr>
          <w:rFonts w:cs="Times New Roman" w:hAnsiTheme="minorEastAsia" w:eastAsiaTheme="minorEastAsia"/>
          <w:szCs w:val="28"/>
        </w:rPr>
        <w:t>⑷有关消防的技术标准</w:t>
      </w:r>
    </w:p>
    <w:p>
      <w:pPr>
        <w:pStyle w:val="5"/>
        <w:ind w:firstLine="562"/>
        <w:rPr>
          <w:rFonts w:cs="Times New Roman" w:eastAsiaTheme="minorEastAsia"/>
          <w:szCs w:val="28"/>
        </w:rPr>
      </w:pPr>
      <w:r>
        <w:rPr>
          <w:rFonts w:cs="Times New Roman" w:eastAsiaTheme="minorEastAsia"/>
          <w:szCs w:val="28"/>
        </w:rPr>
        <w:t>8.1.3</w:t>
      </w:r>
      <w:r>
        <w:rPr>
          <w:rFonts w:cs="Times New Roman"/>
          <w:szCs w:val="28"/>
        </w:rPr>
        <w:t>消防站规划</w:t>
      </w:r>
    </w:p>
    <w:p>
      <w:pPr>
        <w:ind w:firstLine="560"/>
        <w:rPr>
          <w:rFonts w:cs="Times New Roman"/>
          <w:szCs w:val="28"/>
        </w:rPr>
      </w:pPr>
      <w:r>
        <w:rPr>
          <w:rFonts w:cs="Times New Roman"/>
          <w:szCs w:val="28"/>
        </w:rPr>
        <w:t>根据《城市消防站建设标准》（建标152-2017），消防站的布局以接到出动指令后5分钟内消防队可以到达辖区边缘为原则确定。消防站的辖区面积：设在城市的消防站，一级站不宜大于7平方公里，二级站不宜大于4平方公里，小型站不宜大于2平方公里，设在近郊区的普通站不应大于15平方公里；特勤站兼有辖区灭火救援任务的，其辖区面积同一级消防站。</w:t>
      </w:r>
    </w:p>
    <w:p>
      <w:pPr>
        <w:ind w:firstLine="560"/>
        <w:rPr>
          <w:rFonts w:cs="Times New Roman"/>
          <w:szCs w:val="28"/>
        </w:rPr>
      </w:pPr>
      <w:r>
        <w:rPr>
          <w:rFonts w:cs="Times New Roman"/>
          <w:szCs w:val="28"/>
        </w:rPr>
        <w:t>根据《石油化工企业设计防火标准》第4.2.10条规定：消防站的服务范围应按行车路程计，行车路程不宜大于2.5公里，并且接火警后消防车到达火场的时间不宜超过5分钟，对丁、戊类的局部场所，消防站的服务范围可加大到4公里。</w:t>
      </w:r>
    </w:p>
    <w:p>
      <w:pPr>
        <w:ind w:firstLine="560"/>
        <w:rPr>
          <w:rFonts w:cs="Times New Roman"/>
          <w:szCs w:val="28"/>
        </w:rPr>
      </w:pPr>
      <w:r>
        <w:rPr>
          <w:rFonts w:cs="Times New Roman"/>
          <w:szCs w:val="28"/>
        </w:rPr>
        <w:t>规划按照“全面覆盖、重点保护”的原则，消防站服务范围按照接到火警后消防车到达火场的时间不超过5分钟，行车路程不宜大于2.5公里确定，同时消防站服务范围不大于7平方公里。</w:t>
      </w:r>
    </w:p>
    <w:p>
      <w:pPr>
        <w:ind w:firstLine="560"/>
        <w:rPr>
          <w:rFonts w:cs="Times New Roman"/>
          <w:szCs w:val="28"/>
        </w:rPr>
      </w:pPr>
      <w:r>
        <w:rPr>
          <w:rFonts w:cs="Times New Roman"/>
          <w:szCs w:val="28"/>
        </w:rPr>
        <w:t>按照上述标准规范要求，结合规划区产业性质、所在地理位置及周边协作条件，规划在</w:t>
      </w:r>
      <w:r>
        <w:rPr>
          <w:rFonts w:hint="eastAsia" w:cs="Times New Roman"/>
          <w:szCs w:val="28"/>
        </w:rPr>
        <w:t>园区附近</w:t>
      </w:r>
      <w:r>
        <w:rPr>
          <w:rFonts w:cs="Times New Roman"/>
          <w:szCs w:val="28"/>
        </w:rPr>
        <w:t>建设1座消防站。根据《化工园区安全风险排查治理导则（试行）》要求，消防站应参照不低于《城市消防站建设标准》中特勤消防站的标准进行设置。园区应急物资储备库结合消防站建设。</w:t>
      </w:r>
    </w:p>
    <w:p>
      <w:pPr>
        <w:pStyle w:val="5"/>
        <w:ind w:firstLine="562"/>
        <w:rPr>
          <w:rFonts w:cs="Times New Roman" w:eastAsiaTheme="minorEastAsia"/>
          <w:szCs w:val="28"/>
        </w:rPr>
      </w:pPr>
      <w:r>
        <w:rPr>
          <w:rFonts w:cs="Times New Roman" w:eastAsiaTheme="minorEastAsia"/>
          <w:szCs w:val="28"/>
        </w:rPr>
        <w:t>8.1.4</w:t>
      </w:r>
      <w:r>
        <w:rPr>
          <w:rFonts w:cs="Times New Roman"/>
          <w:szCs w:val="28"/>
        </w:rPr>
        <w:t>消防设施规划</w:t>
      </w:r>
    </w:p>
    <w:p>
      <w:pPr>
        <w:ind w:firstLine="560"/>
        <w:rPr>
          <w:rFonts w:cs="Times New Roman"/>
          <w:szCs w:val="28"/>
        </w:rPr>
      </w:pPr>
      <w:r>
        <w:rPr>
          <w:rFonts w:cs="Times New Roman"/>
          <w:szCs w:val="28"/>
        </w:rPr>
        <w:t>1、消防通道</w:t>
      </w:r>
    </w:p>
    <w:p>
      <w:pPr>
        <w:ind w:firstLine="560"/>
        <w:rPr>
          <w:rFonts w:cs="Times New Roman"/>
          <w:szCs w:val="28"/>
        </w:rPr>
      </w:pPr>
      <w:r>
        <w:rPr>
          <w:rFonts w:cs="Times New Roman"/>
          <w:szCs w:val="28"/>
        </w:rPr>
        <w:t>消防通道是指可供消防车行驶，净宽度不小于6米、净空高度不小于5米的道路，消防车通道依靠园区道路网系统，停车场应设置在疏散条件较好处，并加强园内交通道路管理，坚持取缔各种违章占道行为；</w:t>
      </w:r>
    </w:p>
    <w:p>
      <w:pPr>
        <w:ind w:firstLine="560"/>
        <w:rPr>
          <w:rFonts w:cs="Times New Roman"/>
          <w:szCs w:val="28"/>
        </w:rPr>
      </w:pPr>
      <w:r>
        <w:rPr>
          <w:rFonts w:cs="Times New Roman"/>
          <w:szCs w:val="28"/>
        </w:rPr>
        <w:t>道路建设标准（宽度、负载、净空高度、转弯半径）须保证火灾时各种消防车辆能够快速行驶，及时赶到火灾现场，为灭火救援赢得时间；</w:t>
      </w:r>
    </w:p>
    <w:p>
      <w:pPr>
        <w:ind w:firstLine="560"/>
        <w:rPr>
          <w:rFonts w:cs="Times New Roman"/>
          <w:szCs w:val="28"/>
        </w:rPr>
      </w:pPr>
      <w:r>
        <w:rPr>
          <w:rFonts w:cs="Times New Roman"/>
          <w:szCs w:val="28"/>
        </w:rPr>
        <w:t>消防道路不得设置路障或影响道路通行的其它设施；</w:t>
      </w:r>
    </w:p>
    <w:p>
      <w:pPr>
        <w:ind w:firstLine="560"/>
        <w:rPr>
          <w:rFonts w:cs="Times New Roman"/>
          <w:szCs w:val="28"/>
        </w:rPr>
      </w:pPr>
      <w:r>
        <w:rPr>
          <w:rFonts w:cs="Times New Roman"/>
          <w:szCs w:val="28"/>
        </w:rPr>
        <w:t>化学危险品运输须实现人货分流、专道运输；</w:t>
      </w:r>
    </w:p>
    <w:p>
      <w:pPr>
        <w:ind w:firstLine="560"/>
        <w:rPr>
          <w:rFonts w:cs="Times New Roman"/>
          <w:szCs w:val="28"/>
        </w:rPr>
      </w:pPr>
      <w:r>
        <w:rPr>
          <w:rFonts w:cs="Times New Roman"/>
          <w:szCs w:val="28"/>
        </w:rPr>
        <w:t>园区消防道路的建设应与装置建设同步。</w:t>
      </w:r>
    </w:p>
    <w:p>
      <w:pPr>
        <w:ind w:firstLine="560"/>
        <w:rPr>
          <w:rFonts w:cs="Times New Roman"/>
          <w:szCs w:val="28"/>
        </w:rPr>
      </w:pPr>
      <w:r>
        <w:rPr>
          <w:rFonts w:cs="Times New Roman"/>
          <w:szCs w:val="28"/>
        </w:rPr>
        <w:t>2、消防给水及消火栓系统</w:t>
      </w:r>
    </w:p>
    <w:p>
      <w:pPr>
        <w:ind w:firstLine="560"/>
        <w:rPr>
          <w:rFonts w:cs="Times New Roman"/>
          <w:szCs w:val="28"/>
        </w:rPr>
      </w:pPr>
      <w:r>
        <w:rPr>
          <w:rFonts w:cs="Times New Roman"/>
          <w:szCs w:val="28"/>
        </w:rPr>
        <w:t>（1）园区配备完善的水消防设施，包括消防管网、消防栓等。</w:t>
      </w:r>
    </w:p>
    <w:p>
      <w:pPr>
        <w:ind w:firstLine="560"/>
        <w:rPr>
          <w:rFonts w:cs="Times New Roman"/>
          <w:szCs w:val="28"/>
        </w:rPr>
      </w:pPr>
      <w:r>
        <w:rPr>
          <w:rFonts w:cs="Times New Roman"/>
          <w:szCs w:val="28"/>
        </w:rPr>
        <w:t>（2）按照规范要求配置室外消火栓。按照《城市消防站建设标准》的要求，园区内各主次干道的消火栓间距严格按照120~150米要求布置，各厂区的消火栓的保护半径不应超过120米，并且在园区给水中保证消防用水。消火栓尽量靠近十字路口。辅助生活和办公区内消火栓间距一般不得大于120米，保护半径不超过150米，宽度在60米以上的道路应在两侧均设置消火栓。无市政消火栓、无消防车通道建筑密集区应修建消防蓄水池。</w:t>
      </w:r>
    </w:p>
    <w:p>
      <w:pPr>
        <w:ind w:firstLine="560"/>
        <w:rPr>
          <w:rFonts w:cs="Times New Roman"/>
          <w:szCs w:val="28"/>
        </w:rPr>
      </w:pPr>
      <w:r>
        <w:rPr>
          <w:rFonts w:cs="Times New Roman"/>
          <w:szCs w:val="28"/>
        </w:rPr>
        <w:t>（3）根据《消防给水及消火栓系统技术规范》（GB 50974-2014），建筑室外消火栓的数量应根据室外消火栓设计流量和保护半径经计算确定，保护半径不应大于150米，每个室外消火栓的出流量宜按10~15升/秒计算。工艺装置区等采用高压或临时高压消防给水系统的场所，其周围应设置室外消火栓，数量应根据设计流量经计算确定，且间距不应大于60米。当工艺装置区宽度大于120米时，宜在该装置区内的路边设置室外消火栓。甲、乙、丙类液体储罐区等构筑物的室外消火栓，应设在防火堤或防护墙外，数量应根据每个罐的设计流量经计算确定，但距罐壁15米范围内的消火栓，不应计算在该罐可使用的数量内。</w:t>
      </w:r>
    </w:p>
    <w:p>
      <w:pPr>
        <w:ind w:firstLine="560"/>
        <w:rPr>
          <w:rFonts w:cs="Times New Roman"/>
          <w:szCs w:val="28"/>
        </w:rPr>
      </w:pPr>
      <w:r>
        <w:rPr>
          <w:rFonts w:cs="Times New Roman"/>
          <w:szCs w:val="28"/>
        </w:rPr>
        <w:t>（4）在园区内消防水管网设计成环状，并形成低压消防和局部高压结合的消防水系统。稳高压消防水环状管网的供水压力维持在0.7-1.2兆帕，低压消防水系统可以利用生产水供水系统。</w:t>
      </w:r>
    </w:p>
    <w:p>
      <w:pPr>
        <w:ind w:firstLine="560"/>
        <w:rPr>
          <w:rFonts w:cs="Times New Roman"/>
          <w:szCs w:val="28"/>
        </w:rPr>
      </w:pPr>
      <w:r>
        <w:rPr>
          <w:rFonts w:cs="Times New Roman"/>
          <w:szCs w:val="28"/>
        </w:rPr>
        <w:t>（5）可燃气体、可燃液体量大的甲、乙类设备的高大框架和设备群宜设置水炮保护，设置位置距保护对象不宜小于15米。</w:t>
      </w:r>
    </w:p>
    <w:p>
      <w:pPr>
        <w:ind w:firstLine="560"/>
        <w:rPr>
          <w:rFonts w:cs="Times New Roman"/>
          <w:szCs w:val="28"/>
        </w:rPr>
      </w:pPr>
      <w:r>
        <w:rPr>
          <w:rFonts w:cs="Times New Roman"/>
          <w:szCs w:val="28"/>
        </w:rPr>
        <w:t>（6）在罐区设固定式喷淋冷却水系统，以满足工业区内消防要求。</w:t>
      </w:r>
    </w:p>
    <w:p>
      <w:pPr>
        <w:ind w:firstLine="560"/>
        <w:rPr>
          <w:rFonts w:cs="Times New Roman"/>
          <w:szCs w:val="28"/>
        </w:rPr>
      </w:pPr>
      <w:r>
        <w:rPr>
          <w:rFonts w:cs="Times New Roman"/>
          <w:szCs w:val="28"/>
        </w:rPr>
        <w:t>（7）配套建设一定数量的消防泵房等设施。每个消防水泵站宜配套设置稳高压消防水泵、消防水储罐。消防水泵房应设双动力源，当采用内燃机作为备用动力源时，内燃机的油料储备量应满足机组连续运转6小时的要求。消防泵站可以与生产或生活的水泵房合建。</w:t>
      </w:r>
    </w:p>
    <w:p>
      <w:pPr>
        <w:ind w:firstLine="560"/>
        <w:rPr>
          <w:rFonts w:cs="Times New Roman"/>
          <w:szCs w:val="28"/>
        </w:rPr>
      </w:pPr>
      <w:r>
        <w:rPr>
          <w:rFonts w:cs="Times New Roman"/>
          <w:szCs w:val="28"/>
        </w:rPr>
        <w:t>（8）消防用水采取城市给水管网供水方式。</w:t>
      </w:r>
      <w:r>
        <w:rPr>
          <w:rFonts w:hint="eastAsia" w:cs="Times New Roman"/>
          <w:szCs w:val="28"/>
        </w:rPr>
        <w:t>园</w:t>
      </w:r>
      <w:r>
        <w:rPr>
          <w:rFonts w:cs="Times New Roman"/>
          <w:szCs w:val="28"/>
        </w:rPr>
        <w:t>区由徐家桥水厂</w:t>
      </w:r>
      <w:r>
        <w:rPr>
          <w:rFonts w:hint="eastAsia" w:cs="Times New Roman"/>
          <w:szCs w:val="28"/>
        </w:rPr>
        <w:t>和那心水厂联合供水</w:t>
      </w:r>
      <w:r>
        <w:rPr>
          <w:rFonts w:cs="Times New Roman"/>
          <w:szCs w:val="28"/>
        </w:rPr>
        <w:t>，取水水源主要为旧院水库输水管来水。</w:t>
      </w:r>
    </w:p>
    <w:p>
      <w:pPr>
        <w:ind w:firstLine="560"/>
        <w:rPr>
          <w:rFonts w:cs="Times New Roman"/>
          <w:szCs w:val="28"/>
        </w:rPr>
      </w:pPr>
      <w:r>
        <w:rPr>
          <w:rFonts w:cs="Times New Roman"/>
          <w:szCs w:val="28"/>
        </w:rPr>
        <w:t>按照《建筑设计防火规范》的要求，在城市给水中应满足消防给水需要。园区消防用水主要由给水管网供给，给水管网的管径要满足生产、生活和消防用水量要求。</w:t>
      </w:r>
    </w:p>
    <w:p>
      <w:pPr>
        <w:ind w:firstLine="560"/>
        <w:rPr>
          <w:rFonts w:cs="Times New Roman"/>
          <w:szCs w:val="28"/>
        </w:rPr>
      </w:pPr>
      <w:r>
        <w:rPr>
          <w:rFonts w:hint="eastAsia" w:cs="Times New Roman"/>
          <w:szCs w:val="28"/>
        </w:rPr>
        <w:t>3、</w:t>
      </w:r>
      <w:r>
        <w:rPr>
          <w:rFonts w:cs="Times New Roman"/>
          <w:szCs w:val="28"/>
        </w:rPr>
        <w:t>消防体系</w:t>
      </w:r>
    </w:p>
    <w:p>
      <w:pPr>
        <w:ind w:firstLine="560"/>
        <w:rPr>
          <w:rFonts w:cs="Times New Roman"/>
          <w:szCs w:val="28"/>
        </w:rPr>
      </w:pPr>
      <w:r>
        <w:rPr>
          <w:rFonts w:cs="Times New Roman"/>
          <w:szCs w:val="28"/>
        </w:rPr>
        <w:t>园区消防规划应纳入上位规划与其他市政基础设施统一规划、统一设计、统一建设的要求，结合园区发展的具体情况，本着布局合理、急需先行、分期分批逐步实施的原则，建成设备、功能齐全、指挥灵活、反应迅速的消防体系，形成由区域、园区、企业三级组成的完善的消防体系。形成区域、园区和企业三级联防、联控、联消的管理机制；根据火灾事故重大性等级，影响区域范围和处理事故所涉及到的消防机构和资源进行分级，各行其责。</w:t>
      </w:r>
    </w:p>
    <w:p>
      <w:pPr>
        <w:pStyle w:val="4"/>
        <w:ind w:firstLine="602"/>
        <w:rPr>
          <w:rFonts w:cs="Times New Roman" w:hAnsiTheme="minorEastAsia" w:eastAsiaTheme="minorEastAsia"/>
        </w:rPr>
      </w:pPr>
      <w:bookmarkStart w:id="82" w:name="_Toc126591880"/>
      <w:r>
        <w:rPr>
          <w:rFonts w:cs="Times New Roman" w:hAnsiTheme="minorEastAsia" w:eastAsiaTheme="minorEastAsia"/>
        </w:rPr>
        <w:t>8.2防灾</w:t>
      </w:r>
      <w:r>
        <w:rPr>
          <w:rFonts w:hint="eastAsia" w:cs="Times New Roman" w:hAnsiTheme="minorEastAsia" w:eastAsiaTheme="minorEastAsia"/>
        </w:rPr>
        <w:t>减灾</w:t>
      </w:r>
      <w:r>
        <w:rPr>
          <w:rFonts w:cs="Times New Roman" w:hAnsiTheme="minorEastAsia" w:eastAsiaTheme="minorEastAsia"/>
        </w:rPr>
        <w:t>规划</w:t>
      </w:r>
      <w:bookmarkEnd w:id="82"/>
    </w:p>
    <w:p>
      <w:pPr>
        <w:pStyle w:val="5"/>
        <w:ind w:firstLine="562"/>
        <w:rPr>
          <w:rFonts w:cs="Times New Roman" w:eastAsiaTheme="minorEastAsia"/>
          <w:szCs w:val="28"/>
        </w:rPr>
      </w:pPr>
      <w:bookmarkStart w:id="83" w:name="_Toc10524"/>
      <w:bookmarkStart w:id="84" w:name="_Toc27068"/>
      <w:r>
        <w:rPr>
          <w:rFonts w:hint="eastAsia" w:cs="Times New Roman" w:eastAsiaTheme="minorEastAsia"/>
          <w:szCs w:val="28"/>
        </w:rPr>
        <w:t>8.2.1抗震防灾规划</w:t>
      </w:r>
    </w:p>
    <w:p>
      <w:pPr>
        <w:ind w:firstLine="560"/>
        <w:rPr>
          <w:rFonts w:cs="Times New Roman"/>
          <w:szCs w:val="28"/>
        </w:rPr>
      </w:pPr>
      <w:r>
        <w:rPr>
          <w:rFonts w:hint="eastAsia" w:cs="Times New Roman"/>
          <w:szCs w:val="28"/>
        </w:rPr>
        <w:t>8.2.1.1</w:t>
      </w:r>
      <w:r>
        <w:rPr>
          <w:rFonts w:cs="Times New Roman"/>
          <w:szCs w:val="28"/>
        </w:rPr>
        <w:t xml:space="preserve"> 抗震防灾指导思想</w:t>
      </w:r>
      <w:bookmarkEnd w:id="83"/>
      <w:bookmarkEnd w:id="84"/>
    </w:p>
    <w:p>
      <w:pPr>
        <w:ind w:firstLine="560"/>
        <w:rPr>
          <w:rFonts w:cs="Times New Roman"/>
          <w:szCs w:val="28"/>
        </w:rPr>
      </w:pPr>
      <w:r>
        <w:rPr>
          <w:rFonts w:cs="Times New Roman"/>
          <w:szCs w:val="28"/>
        </w:rPr>
        <w:t>根据六枝特区历史上地震情况，结合化工生产特点，贯彻“预防为主，防、抗、避、救相结合”的方针，结合实际，因地制宜，突出重点，制定切实可行的防震抗震措施，力求把地震灾害及次生灾害减小到最低程度。</w:t>
      </w:r>
    </w:p>
    <w:p>
      <w:pPr>
        <w:ind w:firstLine="560"/>
        <w:rPr>
          <w:rFonts w:cs="Times New Roman"/>
          <w:szCs w:val="28"/>
        </w:rPr>
      </w:pPr>
      <w:bookmarkStart w:id="85" w:name="_Toc1527"/>
      <w:bookmarkStart w:id="86" w:name="_Toc27261"/>
      <w:r>
        <w:rPr>
          <w:rFonts w:hint="eastAsia" w:cs="Times New Roman"/>
          <w:szCs w:val="28"/>
        </w:rPr>
        <w:t>8.2.1.2</w:t>
      </w:r>
      <w:r>
        <w:rPr>
          <w:rFonts w:cs="Times New Roman"/>
          <w:szCs w:val="28"/>
        </w:rPr>
        <w:t xml:space="preserve"> 抗震防灾应达到的基本目标</w:t>
      </w:r>
      <w:bookmarkEnd w:id="85"/>
      <w:bookmarkEnd w:id="86"/>
    </w:p>
    <w:p>
      <w:pPr>
        <w:ind w:firstLine="560"/>
        <w:rPr>
          <w:rFonts w:cs="Times New Roman"/>
          <w:szCs w:val="28"/>
        </w:rPr>
      </w:pPr>
      <w:r>
        <w:rPr>
          <w:rFonts w:cs="Times New Roman"/>
          <w:szCs w:val="28"/>
        </w:rPr>
        <w:t>（1）当遭受多遇地震时，园区一般功能正常；</w:t>
      </w:r>
    </w:p>
    <w:p>
      <w:pPr>
        <w:ind w:firstLine="560"/>
        <w:rPr>
          <w:rFonts w:cs="Times New Roman"/>
          <w:szCs w:val="28"/>
        </w:rPr>
      </w:pPr>
      <w:r>
        <w:rPr>
          <w:rFonts w:cs="Times New Roman"/>
          <w:szCs w:val="28"/>
        </w:rPr>
        <w:t>（2）当遭受相当于抗震设防烈度的地震时，园区一般功能及生命系统基本正常，重要企业能正常或者很快恢复生产；</w:t>
      </w:r>
    </w:p>
    <w:p>
      <w:pPr>
        <w:ind w:firstLine="560"/>
        <w:rPr>
          <w:rFonts w:cs="Times New Roman"/>
          <w:szCs w:val="28"/>
        </w:rPr>
      </w:pPr>
      <w:r>
        <w:rPr>
          <w:rFonts w:cs="Times New Roman"/>
          <w:szCs w:val="28"/>
        </w:rPr>
        <w:t>（3）当遭受罕遇地震时，园区功能不瘫痪，要害系统和生命线工程不遭受破坏，不发生严重的次生灾害。</w:t>
      </w:r>
    </w:p>
    <w:p>
      <w:pPr>
        <w:ind w:firstLine="560"/>
        <w:rPr>
          <w:rFonts w:cs="Times New Roman"/>
          <w:szCs w:val="28"/>
        </w:rPr>
      </w:pPr>
      <w:bookmarkStart w:id="87" w:name="_Toc25690"/>
      <w:bookmarkStart w:id="88" w:name="_Toc31923"/>
      <w:r>
        <w:rPr>
          <w:rFonts w:hint="eastAsia" w:cs="Times New Roman"/>
          <w:szCs w:val="28"/>
        </w:rPr>
        <w:t>8.2.1.3</w:t>
      </w:r>
      <w:r>
        <w:rPr>
          <w:rFonts w:cs="Times New Roman"/>
          <w:szCs w:val="28"/>
        </w:rPr>
        <w:t xml:space="preserve"> 抗震设防标准</w:t>
      </w:r>
      <w:bookmarkEnd w:id="87"/>
      <w:bookmarkEnd w:id="88"/>
    </w:p>
    <w:p>
      <w:pPr>
        <w:ind w:firstLine="560"/>
        <w:rPr>
          <w:rFonts w:cs="Times New Roman"/>
          <w:szCs w:val="28"/>
        </w:rPr>
      </w:pPr>
      <w:r>
        <w:rPr>
          <w:rFonts w:cs="Times New Roman"/>
          <w:szCs w:val="28"/>
        </w:rPr>
        <w:t>园区所处地区抗震设防地震烈度为6度，设计基本地震加速度值0.05g，设计地震分组为第二组。园区生命线工程、易引发次生灾害工程及重要公共设施工程应按提高一度，按7度设计。</w:t>
      </w:r>
    </w:p>
    <w:p>
      <w:pPr>
        <w:ind w:firstLine="560"/>
        <w:rPr>
          <w:rFonts w:cs="Times New Roman"/>
          <w:szCs w:val="28"/>
        </w:rPr>
      </w:pPr>
      <w:bookmarkStart w:id="89" w:name="_Toc19722"/>
      <w:bookmarkStart w:id="90" w:name="_Toc32023"/>
      <w:r>
        <w:rPr>
          <w:rFonts w:hint="eastAsia" w:cs="Times New Roman"/>
          <w:szCs w:val="28"/>
        </w:rPr>
        <w:t>8.2.1.4</w:t>
      </w:r>
      <w:r>
        <w:rPr>
          <w:rFonts w:cs="Times New Roman"/>
          <w:szCs w:val="28"/>
        </w:rPr>
        <w:t>抗震措施</w:t>
      </w:r>
      <w:bookmarkEnd w:id="89"/>
      <w:bookmarkEnd w:id="90"/>
    </w:p>
    <w:p>
      <w:pPr>
        <w:ind w:firstLine="560"/>
        <w:rPr>
          <w:rFonts w:cs="Times New Roman"/>
          <w:szCs w:val="28"/>
        </w:rPr>
      </w:pPr>
      <w:r>
        <w:rPr>
          <w:rFonts w:cs="Times New Roman"/>
          <w:szCs w:val="28"/>
        </w:rPr>
        <w:t>1、地震安全性评价</w:t>
      </w:r>
    </w:p>
    <w:p>
      <w:pPr>
        <w:ind w:firstLine="560"/>
        <w:rPr>
          <w:rFonts w:cs="Times New Roman"/>
          <w:szCs w:val="28"/>
        </w:rPr>
      </w:pPr>
      <w:r>
        <w:rPr>
          <w:rFonts w:cs="Times New Roman"/>
          <w:szCs w:val="28"/>
        </w:rPr>
        <w:t>园区内以下建设工程须按规定进行地震安全性评价：</w:t>
      </w:r>
    </w:p>
    <w:p>
      <w:pPr>
        <w:ind w:firstLine="560"/>
        <w:rPr>
          <w:rFonts w:cs="Times New Roman"/>
          <w:szCs w:val="28"/>
        </w:rPr>
      </w:pPr>
      <w:r>
        <w:rPr>
          <w:rFonts w:cs="Times New Roman"/>
          <w:szCs w:val="28"/>
        </w:rPr>
        <w:t>（1）国家重大建设工程；</w:t>
      </w:r>
    </w:p>
    <w:p>
      <w:pPr>
        <w:ind w:firstLine="560"/>
        <w:rPr>
          <w:rFonts w:cs="Times New Roman"/>
          <w:szCs w:val="28"/>
        </w:rPr>
      </w:pPr>
      <w:r>
        <w:rPr>
          <w:rFonts w:cs="Times New Roman"/>
          <w:szCs w:val="28"/>
        </w:rPr>
        <w:t>（2）受地震破坏后可能引起水灾、火灾、爆炸或者强腐蚀性物质大量泄漏或者其它严重次生灾害的建设工程，包括堤防和贮存易燃易爆、剧毒或者强腐蚀性物质的设施以及其它可能发生严重次生灾害的建设工程；</w:t>
      </w:r>
    </w:p>
    <w:p>
      <w:pPr>
        <w:ind w:firstLine="560"/>
        <w:rPr>
          <w:rFonts w:cs="Times New Roman"/>
          <w:szCs w:val="28"/>
        </w:rPr>
      </w:pPr>
      <w:r>
        <w:rPr>
          <w:rFonts w:cs="Times New Roman"/>
          <w:szCs w:val="28"/>
        </w:rPr>
        <w:t>（3）对本行政区域有重大价值或者有重大影响的其它建设工程。</w:t>
      </w:r>
    </w:p>
    <w:p>
      <w:pPr>
        <w:ind w:firstLine="560"/>
        <w:rPr>
          <w:rFonts w:cs="Times New Roman"/>
          <w:szCs w:val="28"/>
        </w:rPr>
      </w:pPr>
      <w:r>
        <w:rPr>
          <w:rFonts w:cs="Times New Roman"/>
          <w:szCs w:val="28"/>
        </w:rPr>
        <w:t>根据《地震安全性评价管理条例》第十一条第二款：受地震破坏后可能引发水灾、火灾、爆炸、剧毒或者强腐蚀性物质大量泄露或者其他严重次生灾害的建设工程，包括水库大坝、堤防和贮油、贮气、贮存易燃易爆、剧毒或者强腐蚀性物质的设施以及其他可能发生严重次生灾害的建设工程，必须进行地震安全性评价。因此建议园区应进行地震安全性评价，得出准确的工程场地地质情况，确保本区域抗震安全。</w:t>
      </w:r>
    </w:p>
    <w:p>
      <w:pPr>
        <w:ind w:firstLine="560"/>
        <w:rPr>
          <w:rFonts w:cs="Times New Roman"/>
          <w:szCs w:val="28"/>
        </w:rPr>
      </w:pPr>
      <w:r>
        <w:rPr>
          <w:rFonts w:cs="Times New Roman"/>
          <w:szCs w:val="28"/>
        </w:rPr>
        <w:t>2、抗震救援交通系统建设</w:t>
      </w:r>
    </w:p>
    <w:p>
      <w:pPr>
        <w:ind w:firstLine="560"/>
        <w:rPr>
          <w:rFonts w:cs="Times New Roman"/>
          <w:szCs w:val="28"/>
        </w:rPr>
      </w:pPr>
      <w:r>
        <w:rPr>
          <w:rFonts w:cs="Times New Roman"/>
          <w:szCs w:val="28"/>
        </w:rPr>
        <w:t>构建以区域交通干线、园区主干路为骨架的抗震救援对外交通系统。同时区域内要增加次干路和支路的密度，完善园区道路网络系统，形成完整的抗震救援交通系统。</w:t>
      </w:r>
    </w:p>
    <w:p>
      <w:pPr>
        <w:ind w:firstLine="560"/>
        <w:rPr>
          <w:rFonts w:cs="Times New Roman"/>
          <w:szCs w:val="28"/>
        </w:rPr>
      </w:pPr>
      <w:r>
        <w:rPr>
          <w:rFonts w:cs="Times New Roman"/>
          <w:szCs w:val="28"/>
        </w:rPr>
        <w:t>3、基础设施建设</w:t>
      </w:r>
    </w:p>
    <w:p>
      <w:pPr>
        <w:ind w:firstLine="560"/>
        <w:rPr>
          <w:rFonts w:cs="Times New Roman"/>
          <w:szCs w:val="28"/>
        </w:rPr>
      </w:pPr>
      <w:r>
        <w:rPr>
          <w:rFonts w:cs="Times New Roman"/>
          <w:szCs w:val="28"/>
        </w:rPr>
        <w:t>园区供水、供电、通讯、供热等基础设施是一个庞大的防护体系，应采用多水源、多电源、多线路、多套管网等手段提高区域安全可靠性。同时须建立相应抢修专业队伍，防止震灾时次生灾害蔓延。</w:t>
      </w:r>
    </w:p>
    <w:p>
      <w:pPr>
        <w:ind w:firstLine="560"/>
        <w:rPr>
          <w:rFonts w:cs="Times New Roman"/>
          <w:szCs w:val="28"/>
        </w:rPr>
      </w:pPr>
      <w:r>
        <w:rPr>
          <w:rFonts w:cs="Times New Roman"/>
          <w:szCs w:val="28"/>
        </w:rPr>
        <w:t>4、次生灾害控制</w:t>
      </w:r>
    </w:p>
    <w:p>
      <w:pPr>
        <w:ind w:firstLine="560"/>
        <w:rPr>
          <w:rFonts w:cs="Times New Roman"/>
          <w:szCs w:val="28"/>
        </w:rPr>
      </w:pPr>
      <w:r>
        <w:rPr>
          <w:rFonts w:cs="Times New Roman"/>
          <w:szCs w:val="28"/>
        </w:rPr>
        <w:t>重点保护次生灾害危险源，如生产易燃、易爆、剧毒化学品的单元和储存库等。避震疏散场所距次生灾害危险源的距离应满足国家现行重大危险源和防火的有关标准规范要求；四周有次生火灾或爆炸危险源时，应设防火隔离带或防火树林带。</w:t>
      </w:r>
    </w:p>
    <w:p>
      <w:pPr>
        <w:ind w:firstLine="560"/>
        <w:rPr>
          <w:rFonts w:cs="Times New Roman"/>
          <w:szCs w:val="28"/>
        </w:rPr>
      </w:pPr>
      <w:r>
        <w:rPr>
          <w:rFonts w:cs="Times New Roman"/>
          <w:szCs w:val="28"/>
        </w:rPr>
        <w:t>5、建设工程抗震规划</w:t>
      </w:r>
    </w:p>
    <w:p>
      <w:pPr>
        <w:ind w:firstLine="560"/>
        <w:rPr>
          <w:rFonts w:cs="Times New Roman"/>
          <w:szCs w:val="28"/>
        </w:rPr>
      </w:pPr>
      <w:r>
        <w:rPr>
          <w:rFonts w:cs="Times New Roman"/>
          <w:szCs w:val="28"/>
        </w:rPr>
        <w:t>区内重要建设工程须按规定进行地震安全性评价，并保证安全评价提出的防震措施得到贯彻。建设工程应严格按抗震要求进行设计兴建，且抗震设防要贯穿建设的全过程。生命线系统的主要设备进行抗震加固，达到抗震设防标准。</w:t>
      </w:r>
    </w:p>
    <w:p>
      <w:pPr>
        <w:ind w:firstLine="560"/>
        <w:rPr>
          <w:rFonts w:cs="Times New Roman"/>
          <w:szCs w:val="28"/>
        </w:rPr>
      </w:pPr>
      <w:r>
        <w:rPr>
          <w:rFonts w:cs="Times New Roman"/>
          <w:szCs w:val="28"/>
        </w:rPr>
        <w:t>针对化工项目“易燃、易爆、剧毒”等特点，制定相应防震抗震措施，加强建设工程抗震设防技术审查制度，力求把地震影响减少到最小程度。</w:t>
      </w:r>
    </w:p>
    <w:p>
      <w:pPr>
        <w:ind w:firstLine="560"/>
        <w:rPr>
          <w:rFonts w:cs="Times New Roman"/>
          <w:szCs w:val="28"/>
        </w:rPr>
      </w:pPr>
      <w:r>
        <w:rPr>
          <w:rFonts w:cs="Times New Roman"/>
          <w:szCs w:val="28"/>
        </w:rPr>
        <w:t>建立健全地震防灾指挥系统，统管地震预防、安全教育及救助等工作，提高对抗震防灾工作的认识。</w:t>
      </w:r>
    </w:p>
    <w:p>
      <w:pPr>
        <w:ind w:firstLine="560"/>
        <w:rPr>
          <w:rFonts w:cs="Times New Roman"/>
          <w:szCs w:val="28"/>
        </w:rPr>
      </w:pPr>
      <w:r>
        <w:rPr>
          <w:rFonts w:cs="Times New Roman"/>
          <w:szCs w:val="28"/>
        </w:rPr>
        <w:t>制定抗震防灾规划，防止次生灾害规划，震前应急准备及震后救灾规划，避震疏散计划等。</w:t>
      </w:r>
    </w:p>
    <w:p>
      <w:pPr>
        <w:pStyle w:val="5"/>
        <w:ind w:firstLine="562"/>
        <w:rPr>
          <w:rFonts w:cs="Times New Roman" w:eastAsiaTheme="minorEastAsia"/>
          <w:szCs w:val="28"/>
        </w:rPr>
      </w:pPr>
      <w:bookmarkStart w:id="91" w:name="_Toc8062"/>
      <w:bookmarkStart w:id="92" w:name="_Toc28629"/>
      <w:bookmarkStart w:id="93" w:name="_Toc26900"/>
      <w:r>
        <w:rPr>
          <w:rFonts w:hint="eastAsia" w:cs="Times New Roman" w:eastAsiaTheme="minorEastAsia"/>
          <w:szCs w:val="28"/>
        </w:rPr>
        <w:t>8.2.2</w:t>
      </w:r>
      <w:r>
        <w:rPr>
          <w:rFonts w:cs="Times New Roman" w:eastAsiaTheme="minorEastAsia"/>
          <w:szCs w:val="28"/>
        </w:rPr>
        <w:t>防洪、防涝规划</w:t>
      </w:r>
      <w:bookmarkEnd w:id="91"/>
      <w:bookmarkEnd w:id="92"/>
      <w:bookmarkEnd w:id="93"/>
    </w:p>
    <w:p>
      <w:pPr>
        <w:ind w:firstLine="560"/>
        <w:rPr>
          <w:rFonts w:cs="Times New Roman"/>
          <w:szCs w:val="28"/>
        </w:rPr>
      </w:pPr>
      <w:bookmarkStart w:id="94" w:name="_Toc12519"/>
      <w:bookmarkStart w:id="95" w:name="_Toc11704"/>
      <w:r>
        <w:rPr>
          <w:rFonts w:hint="eastAsia" w:cs="Times New Roman"/>
          <w:szCs w:val="28"/>
        </w:rPr>
        <w:t>8.2.2.1</w:t>
      </w:r>
      <w:r>
        <w:rPr>
          <w:rFonts w:cs="Times New Roman"/>
          <w:szCs w:val="28"/>
        </w:rPr>
        <w:t xml:space="preserve"> 规划目标</w:t>
      </w:r>
      <w:bookmarkEnd w:id="94"/>
      <w:bookmarkEnd w:id="95"/>
    </w:p>
    <w:p>
      <w:pPr>
        <w:ind w:firstLine="560"/>
        <w:rPr>
          <w:rFonts w:cs="Times New Roman"/>
          <w:szCs w:val="28"/>
        </w:rPr>
      </w:pPr>
      <w:r>
        <w:rPr>
          <w:rFonts w:cs="Times New Roman"/>
          <w:szCs w:val="28"/>
        </w:rPr>
        <w:t>防治洪水，防御、减轻洪涝灾害，维护职工的生命安全和企业财产安全，保障园区生产正常进行。</w:t>
      </w:r>
    </w:p>
    <w:p>
      <w:pPr>
        <w:ind w:firstLine="560"/>
        <w:rPr>
          <w:rFonts w:cs="Times New Roman"/>
          <w:szCs w:val="28"/>
        </w:rPr>
      </w:pPr>
      <w:bookmarkStart w:id="96" w:name="_Toc28986"/>
      <w:bookmarkStart w:id="97" w:name="_Toc5555"/>
      <w:r>
        <w:rPr>
          <w:rFonts w:hint="eastAsia" w:cs="Times New Roman"/>
          <w:szCs w:val="28"/>
        </w:rPr>
        <w:t>8.2.2.2</w:t>
      </w:r>
      <w:r>
        <w:rPr>
          <w:rFonts w:cs="Times New Roman"/>
          <w:szCs w:val="28"/>
        </w:rPr>
        <w:t xml:space="preserve"> 规划原则</w:t>
      </w:r>
      <w:bookmarkEnd w:id="96"/>
      <w:bookmarkEnd w:id="97"/>
    </w:p>
    <w:p>
      <w:pPr>
        <w:ind w:firstLine="560"/>
        <w:rPr>
          <w:rFonts w:cs="Times New Roman"/>
          <w:szCs w:val="28"/>
        </w:rPr>
      </w:pPr>
      <w:r>
        <w:rPr>
          <w:rFonts w:cs="Times New Roman"/>
          <w:szCs w:val="28"/>
        </w:rPr>
        <w:t>防洪工作坚持贯彻“以防为主、防排结合、坚持标准、汛期安全”的总原则。实行全面规划、统筹兼顾、预防为主、综合治理、局部利益服从全局利益的原则。确保园区不受洪水的威胁。</w:t>
      </w:r>
    </w:p>
    <w:p>
      <w:pPr>
        <w:ind w:firstLine="560"/>
        <w:rPr>
          <w:rFonts w:cs="Times New Roman"/>
          <w:szCs w:val="28"/>
        </w:rPr>
      </w:pPr>
      <w:bookmarkStart w:id="98" w:name="_Toc30553"/>
      <w:bookmarkStart w:id="99" w:name="_Toc31608"/>
      <w:r>
        <w:rPr>
          <w:rFonts w:hint="eastAsia" w:cs="Times New Roman"/>
          <w:szCs w:val="28"/>
        </w:rPr>
        <w:t>8.2.2.3</w:t>
      </w:r>
      <w:r>
        <w:rPr>
          <w:rFonts w:cs="Times New Roman"/>
          <w:szCs w:val="28"/>
        </w:rPr>
        <w:t xml:space="preserve"> 设防标准</w:t>
      </w:r>
      <w:bookmarkEnd w:id="98"/>
      <w:bookmarkEnd w:id="99"/>
    </w:p>
    <w:p>
      <w:pPr>
        <w:ind w:firstLine="560"/>
        <w:rPr>
          <w:rFonts w:cs="Times New Roman"/>
          <w:szCs w:val="28"/>
        </w:rPr>
      </w:pPr>
      <w:r>
        <w:rPr>
          <w:rFonts w:cs="Times New Roman"/>
          <w:szCs w:val="28"/>
        </w:rPr>
        <w:t>园区内企业为大中型的化工企业，当遭受洪灾害或堤防失事后，对化工企业等将造成巨大损失，影响十分严重，对环境也会造成难于恢复的影响，因此根据《防洪标准》（GB 50201-2014）规定的工矿企业防护区的等级和防洪标准，园区防洪标准为100年一遇设防。</w:t>
      </w:r>
    </w:p>
    <w:p>
      <w:pPr>
        <w:ind w:firstLine="560"/>
        <w:rPr>
          <w:rFonts w:cs="Times New Roman"/>
          <w:szCs w:val="28"/>
        </w:rPr>
      </w:pPr>
      <w:r>
        <w:rPr>
          <w:rFonts w:cs="Times New Roman"/>
          <w:szCs w:val="28"/>
        </w:rPr>
        <w:t>防涝按照10年一遇标准，防山洪按照20年一遇标准。</w:t>
      </w:r>
    </w:p>
    <w:p>
      <w:pPr>
        <w:ind w:firstLine="560"/>
        <w:rPr>
          <w:rFonts w:cs="Times New Roman"/>
          <w:szCs w:val="28"/>
        </w:rPr>
      </w:pPr>
      <w:bookmarkStart w:id="100" w:name="_Toc23211"/>
      <w:bookmarkStart w:id="101" w:name="_Toc29372"/>
      <w:r>
        <w:rPr>
          <w:rFonts w:hint="eastAsia" w:cs="Times New Roman"/>
          <w:szCs w:val="28"/>
        </w:rPr>
        <w:t>8.2.2.</w:t>
      </w:r>
      <w:r>
        <w:rPr>
          <w:rFonts w:cs="Times New Roman"/>
          <w:szCs w:val="28"/>
        </w:rPr>
        <w:t>4 防洪措施</w:t>
      </w:r>
      <w:bookmarkEnd w:id="100"/>
      <w:bookmarkEnd w:id="101"/>
    </w:p>
    <w:p>
      <w:pPr>
        <w:ind w:firstLine="560"/>
        <w:rPr>
          <w:rFonts w:cs="Times New Roman"/>
          <w:szCs w:val="28"/>
        </w:rPr>
      </w:pPr>
      <w:r>
        <w:rPr>
          <w:rFonts w:cs="Times New Roman"/>
          <w:szCs w:val="28"/>
        </w:rPr>
        <w:t>（1）沿附近临靠山体道路设置截洪沟，山洪排入截洪沟后，在标高最低点通过规划导洪沟，再排入区域内雨水排洪干管和水系。</w:t>
      </w:r>
    </w:p>
    <w:p>
      <w:pPr>
        <w:ind w:firstLine="560"/>
        <w:rPr>
          <w:rFonts w:cs="Times New Roman"/>
          <w:szCs w:val="28"/>
        </w:rPr>
      </w:pPr>
      <w:r>
        <w:rPr>
          <w:rFonts w:cs="Times New Roman"/>
          <w:szCs w:val="28"/>
        </w:rPr>
        <w:t>（2）加固原有的泄洪河道，增加排水设施，提高河岸线抗御风险的能力。“上游蓄水”：利用主行洪河道上游水库、塘坝，对其进行加固、挖深，发挥其滞洪、削峰的作用，在汛期中能够对流域内洪水进行截流，分批定时溢洪，避免在同一时间段、短时间内所有洪水同时进入主行洪河道。封山育林，合理耕种，做好水土保持工作，从根本上控制洪水径流。“下游泄洪”：应对河道进行彻底清障、清淤，对不满足要求的河道、冲沟进行拓宽、加深、加固，沿河两岸留足绿化带和防汛通道。</w:t>
      </w:r>
    </w:p>
    <w:p>
      <w:pPr>
        <w:ind w:firstLine="560"/>
        <w:rPr>
          <w:rFonts w:cs="Times New Roman"/>
          <w:szCs w:val="28"/>
        </w:rPr>
      </w:pPr>
      <w:r>
        <w:rPr>
          <w:rFonts w:cs="Times New Roman"/>
          <w:szCs w:val="28"/>
        </w:rPr>
        <w:t>（3）沿河重要地段修建安全可靠的防洪堤，植树造林，减少水土流失。</w:t>
      </w:r>
    </w:p>
    <w:p>
      <w:pPr>
        <w:ind w:firstLine="560"/>
        <w:rPr>
          <w:rFonts w:cs="Times New Roman"/>
          <w:szCs w:val="28"/>
        </w:rPr>
      </w:pPr>
      <w:r>
        <w:rPr>
          <w:rFonts w:cs="Times New Roman"/>
          <w:szCs w:val="28"/>
        </w:rPr>
        <w:t>（4）对可能发生的各种不同类型的洪水预先制定防御对策和计划安排，以备在防汛抢险中做到有计划、有准备、有措施，并在实施中，结合工情，水情变化情况，不断进行修订和完善。</w:t>
      </w:r>
    </w:p>
    <w:p>
      <w:pPr>
        <w:ind w:firstLine="560"/>
        <w:rPr>
          <w:rFonts w:cs="Times New Roman"/>
          <w:szCs w:val="28"/>
        </w:rPr>
      </w:pPr>
      <w:r>
        <w:rPr>
          <w:rFonts w:cs="Times New Roman"/>
          <w:szCs w:val="28"/>
        </w:rPr>
        <w:t>（5）建立预警预报系统，根据实时雨情信息和降雨预报过程，及时接收重要河流重点防洪地区的洪水预报。</w:t>
      </w:r>
    </w:p>
    <w:p>
      <w:pPr>
        <w:ind w:firstLine="560"/>
        <w:rPr>
          <w:rFonts w:cs="Times New Roman"/>
          <w:szCs w:val="28"/>
        </w:rPr>
      </w:pPr>
      <w:r>
        <w:rPr>
          <w:rFonts w:cs="Times New Roman"/>
          <w:szCs w:val="28"/>
        </w:rPr>
        <w:t>（6）建立决策支持系统，根据所收集的实时降雨量、内外河水位，及计算预报的洪涝流量与水位资料，结合区域防洪治涝工程情况，作出不同洪涝情况下的防洪治涝决策；对超标准洪涝制订不同的应急措施，供区域防洪治涝领导小组决策，保证决策的科学性、准确性与经济性。</w:t>
      </w:r>
    </w:p>
    <w:p>
      <w:pPr>
        <w:ind w:firstLine="560"/>
        <w:rPr>
          <w:rFonts w:cs="Times New Roman"/>
          <w:szCs w:val="28"/>
        </w:rPr>
      </w:pPr>
      <w:r>
        <w:rPr>
          <w:rFonts w:cs="Times New Roman"/>
          <w:szCs w:val="28"/>
        </w:rPr>
        <w:t>（7）防洪及治涝预案应由园区统一指挥，按六枝特区防洪预案的有关规定操作。</w:t>
      </w:r>
    </w:p>
    <w:p>
      <w:pPr>
        <w:pStyle w:val="5"/>
        <w:ind w:firstLine="562"/>
        <w:rPr>
          <w:rFonts w:cs="Times New Roman" w:eastAsiaTheme="minorEastAsia"/>
        </w:rPr>
      </w:pPr>
      <w:r>
        <w:rPr>
          <w:rFonts w:cs="Times New Roman" w:eastAsiaTheme="minorEastAsia"/>
        </w:rPr>
        <w:t>8.</w:t>
      </w:r>
      <w:r>
        <w:rPr>
          <w:rFonts w:hint="eastAsia" w:cs="Times New Roman" w:eastAsiaTheme="minorEastAsia"/>
        </w:rPr>
        <w:t>2</w:t>
      </w:r>
      <w:r>
        <w:rPr>
          <w:rFonts w:cs="Times New Roman" w:eastAsiaTheme="minorEastAsia"/>
        </w:rPr>
        <w:t>.3</w:t>
      </w:r>
      <w:r>
        <w:rPr>
          <w:rFonts w:cs="Times New Roman" w:hAnsiTheme="minorEastAsia" w:eastAsiaTheme="minorEastAsia"/>
        </w:rPr>
        <w:t>人防建设规划</w:t>
      </w:r>
    </w:p>
    <w:p>
      <w:pPr>
        <w:ind w:firstLine="560"/>
        <w:rPr>
          <w:rFonts w:cs="Times New Roman" w:eastAsiaTheme="minorEastAsia"/>
        </w:rPr>
      </w:pPr>
      <w:r>
        <w:rPr>
          <w:rFonts w:cs="Times New Roman" w:hAnsiTheme="minorEastAsia" w:eastAsiaTheme="minorEastAsia"/>
        </w:rPr>
        <w:t>人防建设应贯彻统一规划、综合开发、合理利用、依法管理的原则，在确保人防的要求下，做好地下空间的开发、利用和管理。新型大型公建、公共设施等应依国家相关规定建设人防设施。</w:t>
      </w:r>
    </w:p>
    <w:p>
      <w:pPr>
        <w:ind w:firstLine="560"/>
        <w:rPr>
          <w:rFonts w:cs="Times New Roman" w:eastAsiaTheme="minorEastAsia"/>
        </w:rPr>
      </w:pPr>
      <w:r>
        <w:rPr>
          <w:rFonts w:cs="Times New Roman" w:hAnsiTheme="minorEastAsia" w:eastAsiaTheme="minorEastAsia"/>
        </w:rPr>
        <w:t>⑴人防工程按《国家人防委（</w:t>
      </w:r>
      <w:r>
        <w:rPr>
          <w:rFonts w:cs="Times New Roman" w:eastAsiaTheme="minorEastAsia"/>
        </w:rPr>
        <w:t>1994</w:t>
      </w:r>
      <w:r>
        <w:rPr>
          <w:rFonts w:cs="Times New Roman" w:hAnsiTheme="minorEastAsia" w:eastAsiaTheme="minorEastAsia"/>
        </w:rPr>
        <w:t>）</w:t>
      </w:r>
      <w:r>
        <w:rPr>
          <w:rFonts w:cs="Times New Roman" w:eastAsiaTheme="minorEastAsia"/>
        </w:rPr>
        <w:t>9</w:t>
      </w:r>
      <w:r>
        <w:rPr>
          <w:rFonts w:cs="Times New Roman" w:hAnsiTheme="minorEastAsia" w:eastAsiaTheme="minorEastAsia"/>
        </w:rPr>
        <w:t>号》文件规定，结合民用建筑修建防空地下室，须按总建筑面积的</w:t>
      </w:r>
      <w:r>
        <w:rPr>
          <w:rFonts w:cs="Times New Roman" w:eastAsiaTheme="minorEastAsia"/>
        </w:rPr>
        <w:t>2%</w:t>
      </w:r>
      <w:r>
        <w:rPr>
          <w:rFonts w:cs="Times New Roman" w:hAnsiTheme="minorEastAsia" w:eastAsiaTheme="minorEastAsia"/>
        </w:rPr>
        <w:t>配建地下人防，人防工程建设与电力、给水、通信和行政中心等重要目标保持</w:t>
      </w:r>
      <w:r>
        <w:rPr>
          <w:rFonts w:cs="Times New Roman" w:eastAsiaTheme="minorEastAsia"/>
        </w:rPr>
        <w:t>500</w:t>
      </w:r>
      <w:r>
        <w:rPr>
          <w:rFonts w:cs="Times New Roman" w:hAnsiTheme="minorEastAsia" w:eastAsiaTheme="minorEastAsia"/>
        </w:rPr>
        <w:t>米以上的距离。</w:t>
      </w:r>
    </w:p>
    <w:p>
      <w:pPr>
        <w:ind w:firstLine="560"/>
        <w:rPr>
          <w:rFonts w:cs="Times New Roman" w:eastAsiaTheme="minorEastAsia"/>
        </w:rPr>
      </w:pPr>
      <w:r>
        <w:rPr>
          <w:rFonts w:cs="Times New Roman" w:hAnsiTheme="minorEastAsia" w:eastAsiaTheme="minorEastAsia"/>
        </w:rPr>
        <w:t>⑵人防工程相对分散，局部集中；便于开发利用，便于连通，单建式和结建式结合、地上地下统一安排，注意工程经济效益的充分发挥。</w:t>
      </w:r>
    </w:p>
    <w:p>
      <w:pPr>
        <w:ind w:firstLine="560"/>
        <w:rPr>
          <w:rFonts w:cs="Times New Roman" w:eastAsiaTheme="minorEastAsia"/>
          <w:szCs w:val="28"/>
        </w:rPr>
      </w:pPr>
      <w:r>
        <w:rPr>
          <w:rFonts w:cs="Times New Roman" w:hAnsiTheme="minorEastAsia" w:eastAsiaTheme="minorEastAsia"/>
          <w:szCs w:val="28"/>
        </w:rPr>
        <w:t>⑶合理开发地下空间，协调地上与地下、地下与地面建设的活动，从而全面提高城镇的综合防护能力，实现可持续发展。</w:t>
      </w:r>
    </w:p>
    <w:p>
      <w:pPr>
        <w:ind w:firstLine="560"/>
        <w:rPr>
          <w:rFonts w:cs="Times New Roman" w:eastAsiaTheme="minorEastAsia"/>
          <w:szCs w:val="28"/>
        </w:rPr>
      </w:pPr>
      <w:r>
        <w:rPr>
          <w:rFonts w:cs="Times New Roman" w:hAnsiTheme="minorEastAsia" w:eastAsiaTheme="minorEastAsia"/>
          <w:szCs w:val="28"/>
        </w:rPr>
        <w:t>⑷工业园区内各防空区的各类人防工程应形成相对独立的体系，人防工程建设应充分利用开发区内绿地、广场地下空间修建。暂时不能修建人防工程的绿地和广场，可作为人防工程储备项目规划。</w:t>
      </w:r>
    </w:p>
    <w:p>
      <w:pPr>
        <w:ind w:firstLine="560"/>
        <w:rPr>
          <w:rFonts w:cs="Times New Roman" w:eastAsiaTheme="minorEastAsia"/>
          <w:szCs w:val="28"/>
        </w:rPr>
      </w:pPr>
      <w:r>
        <w:rPr>
          <w:rFonts w:cs="Times New Roman" w:hAnsiTheme="minorEastAsia" w:eastAsiaTheme="minorEastAsia"/>
          <w:szCs w:val="28"/>
        </w:rPr>
        <w:t>⑸人防工程主干路原则上每</w:t>
      </w:r>
      <w:r>
        <w:rPr>
          <w:rFonts w:cs="Times New Roman" w:eastAsiaTheme="minorEastAsia"/>
          <w:szCs w:val="28"/>
        </w:rPr>
        <w:t>300</w:t>
      </w:r>
      <w:r>
        <w:rPr>
          <w:rFonts w:cs="Times New Roman" w:hAnsiTheme="minorEastAsia" w:eastAsiaTheme="minorEastAsia"/>
          <w:szCs w:val="28"/>
        </w:rPr>
        <w:t>米留设一个出入口，易设在人流多、临街显著的位置，有的也可以设在各种绿地及广场。入口部一般要求留设</w:t>
      </w:r>
      <w:r>
        <w:rPr>
          <w:rFonts w:cs="Times New Roman" w:eastAsiaTheme="minorEastAsia"/>
          <w:szCs w:val="28"/>
        </w:rPr>
        <w:t>15×15</w:t>
      </w:r>
      <w:r>
        <w:rPr>
          <w:rFonts w:cs="Times New Roman" w:hAnsiTheme="minorEastAsia" w:eastAsiaTheme="minorEastAsia"/>
          <w:szCs w:val="28"/>
        </w:rPr>
        <w:t>米的管理房位置。</w:t>
      </w:r>
    </w:p>
    <w:p>
      <w:pPr>
        <w:ind w:firstLine="560"/>
        <w:rPr>
          <w:rFonts w:cs="Times New Roman" w:eastAsiaTheme="minorEastAsia"/>
          <w:szCs w:val="28"/>
        </w:rPr>
      </w:pPr>
      <w:r>
        <w:rPr>
          <w:rFonts w:cs="Times New Roman" w:hAnsiTheme="minorEastAsia" w:eastAsiaTheme="minorEastAsia"/>
          <w:szCs w:val="28"/>
        </w:rPr>
        <w:t>⑹为减轻开发区内各类重要目标和基础设施遭攻击后的毁伤程度，在规划上采取以下防护与保障措施；特别重要的目标应在平时作好临战转入地下的准备，如各级指挥机构、通信枢纽、新闻单位等，应建立有一定抗力的地下防护措施；重要设施应形成多路供电，指挥、通信中心的地下设施应有自备应急电源和水源；各重要能源、水源、交通、工业系统都应建立本系统的抢险、抢修、保障专业队伍，负责对本系统重点设施遭攻击后抢险、抢修。</w:t>
      </w:r>
    </w:p>
    <w:p>
      <w:pPr>
        <w:ind w:firstLine="560"/>
        <w:rPr>
          <w:rFonts w:cs="Times New Roman" w:eastAsiaTheme="minorEastAsia"/>
        </w:rPr>
      </w:pPr>
      <w:r>
        <w:rPr>
          <w:rFonts w:cs="Times New Roman" w:hAnsiTheme="minorEastAsia" w:eastAsiaTheme="minorEastAsia"/>
        </w:rPr>
        <w:t>⑺城区的所有医院都作为工业园区的急救医院。当灾难发生时，急救医院需承担起对受伤人员的紧急求助。医院需配备完善的医疗器械，以及供水、供电、通信等系统。另外还需自备发电机，以防灾难发生时，供电瘫痪，从而救助困难。</w:t>
      </w:r>
    </w:p>
    <w:p>
      <w:pPr>
        <w:pStyle w:val="4"/>
        <w:ind w:firstLine="602"/>
        <w:rPr>
          <w:rFonts w:cs="Times New Roman" w:hAnsiTheme="minorEastAsia" w:eastAsiaTheme="minorEastAsia"/>
        </w:rPr>
      </w:pPr>
      <w:bookmarkStart w:id="102" w:name="_Toc68614242"/>
      <w:bookmarkStart w:id="103" w:name="_Toc278383544"/>
      <w:bookmarkStart w:id="104" w:name="_Toc151179562"/>
      <w:bookmarkStart w:id="105" w:name="_Toc534790263"/>
      <w:bookmarkStart w:id="106" w:name="_Toc151180789"/>
      <w:bookmarkStart w:id="107" w:name="_Toc368301608"/>
      <w:bookmarkStart w:id="108" w:name="_Toc151180005"/>
      <w:bookmarkStart w:id="109" w:name="_Toc126591881"/>
      <w:bookmarkStart w:id="110" w:name="_Toc135145375"/>
      <w:r>
        <w:rPr>
          <w:rFonts w:cs="Times New Roman" w:hAnsiTheme="minorEastAsia" w:eastAsiaTheme="minorEastAsia"/>
        </w:rPr>
        <w:t>8.</w:t>
      </w:r>
      <w:r>
        <w:rPr>
          <w:rFonts w:hint="eastAsia" w:cs="Times New Roman" w:hAnsiTheme="minorEastAsia" w:eastAsiaTheme="minorEastAsia"/>
        </w:rPr>
        <w:t>3</w:t>
      </w:r>
      <w:bookmarkEnd w:id="102"/>
      <w:bookmarkEnd w:id="103"/>
      <w:bookmarkEnd w:id="104"/>
      <w:bookmarkEnd w:id="105"/>
      <w:bookmarkEnd w:id="106"/>
      <w:bookmarkEnd w:id="107"/>
      <w:bookmarkEnd w:id="108"/>
      <w:r>
        <w:rPr>
          <w:rFonts w:cs="Times New Roman" w:hAnsiTheme="minorEastAsia" w:eastAsiaTheme="minorEastAsia"/>
        </w:rPr>
        <w:t>安全</w:t>
      </w:r>
      <w:r>
        <w:rPr>
          <w:rFonts w:hint="eastAsia" w:cs="Times New Roman" w:hAnsiTheme="minorEastAsia" w:eastAsiaTheme="minorEastAsia"/>
        </w:rPr>
        <w:t>生产及劳动保护规划</w:t>
      </w:r>
      <w:bookmarkEnd w:id="109"/>
    </w:p>
    <w:bookmarkEnd w:id="110"/>
    <w:p>
      <w:pPr>
        <w:pStyle w:val="13"/>
        <w:spacing w:line="360" w:lineRule="auto"/>
        <w:ind w:right="40" w:firstLine="560" w:firstLineChars="200"/>
        <w:jc w:val="both"/>
        <w:rPr>
          <w:sz w:val="28"/>
          <w:szCs w:val="28"/>
        </w:rPr>
      </w:pPr>
      <w:r>
        <w:rPr>
          <w:rFonts w:hint="eastAsia"/>
          <w:sz w:val="28"/>
          <w:szCs w:val="28"/>
        </w:rPr>
        <w:t>园区坚持“安全第一，预防为主，综合治理”的方针，加大安全治理力度，淘汰落后工艺，规范危险化学品装卸及运输，实现“生产上规模、工艺上水平、管理上档次”的目标，促进园区安全发展。</w:t>
      </w:r>
    </w:p>
    <w:p>
      <w:pPr>
        <w:pStyle w:val="5"/>
        <w:ind w:firstLine="562"/>
        <w:rPr>
          <w:rFonts w:cs="Times New Roman"/>
        </w:rPr>
      </w:pPr>
      <w:r>
        <w:rPr>
          <w:rFonts w:hint="eastAsia" w:cs="Times New Roman"/>
        </w:rPr>
        <w:t>8.3.1规划原则</w:t>
      </w:r>
    </w:p>
    <w:p>
      <w:pPr>
        <w:pStyle w:val="13"/>
        <w:spacing w:line="360" w:lineRule="auto"/>
        <w:ind w:right="40" w:firstLine="561"/>
        <w:jc w:val="both"/>
        <w:rPr>
          <w:sz w:val="28"/>
          <w:szCs w:val="28"/>
        </w:rPr>
      </w:pPr>
      <w:r>
        <w:rPr>
          <w:rFonts w:hint="eastAsia"/>
          <w:sz w:val="28"/>
          <w:szCs w:val="28"/>
        </w:rPr>
        <w:t>（1）坚持统一规划、合理布局、突出重点、兼顾一般原则。</w:t>
      </w:r>
    </w:p>
    <w:p>
      <w:pPr>
        <w:pStyle w:val="13"/>
        <w:spacing w:line="360" w:lineRule="auto"/>
        <w:ind w:right="40" w:firstLine="561"/>
        <w:jc w:val="both"/>
        <w:rPr>
          <w:sz w:val="28"/>
          <w:szCs w:val="28"/>
        </w:rPr>
      </w:pPr>
      <w:r>
        <w:rPr>
          <w:rFonts w:hint="eastAsia"/>
          <w:sz w:val="28"/>
          <w:szCs w:val="28"/>
        </w:rPr>
        <w:t>（</w:t>
      </w:r>
      <w:r>
        <w:rPr>
          <w:sz w:val="28"/>
          <w:szCs w:val="28"/>
        </w:rPr>
        <w:t>2</w:t>
      </w:r>
      <w:r>
        <w:rPr>
          <w:rFonts w:hint="eastAsia"/>
          <w:sz w:val="28"/>
          <w:szCs w:val="28"/>
        </w:rPr>
        <w:t>）坚持依靠技术进步原则，推广本质安全性生产工艺，将危险消除在生产过程中，采用先进的安全控制技术，发展经济，保障安全。</w:t>
      </w:r>
    </w:p>
    <w:p>
      <w:pPr>
        <w:pStyle w:val="13"/>
        <w:spacing w:line="360" w:lineRule="auto"/>
        <w:ind w:right="40" w:firstLine="561"/>
        <w:jc w:val="both"/>
        <w:rPr>
          <w:sz w:val="28"/>
          <w:szCs w:val="28"/>
        </w:rPr>
      </w:pPr>
      <w:r>
        <w:rPr>
          <w:rFonts w:hint="eastAsia"/>
          <w:sz w:val="28"/>
          <w:szCs w:val="28"/>
        </w:rPr>
        <w:t>（</w:t>
      </w:r>
      <w:r>
        <w:rPr>
          <w:sz w:val="28"/>
          <w:szCs w:val="28"/>
        </w:rPr>
        <w:t>3</w:t>
      </w:r>
      <w:r>
        <w:rPr>
          <w:rFonts w:hint="eastAsia"/>
          <w:sz w:val="28"/>
          <w:szCs w:val="28"/>
        </w:rPr>
        <w:t>）坚持实事求是，因地制宜的原则。从实际出发，安全目标要切实可行，规划措施具有可操作性。</w:t>
      </w:r>
    </w:p>
    <w:p>
      <w:pPr>
        <w:pStyle w:val="13"/>
        <w:spacing w:line="360" w:lineRule="auto"/>
        <w:ind w:right="40" w:firstLine="561"/>
        <w:jc w:val="both"/>
        <w:rPr>
          <w:sz w:val="28"/>
          <w:szCs w:val="28"/>
        </w:rPr>
      </w:pPr>
      <w:r>
        <w:rPr>
          <w:rFonts w:hint="eastAsia"/>
          <w:sz w:val="28"/>
          <w:szCs w:val="28"/>
        </w:rPr>
        <w:t>（</w:t>
      </w:r>
      <w:r>
        <w:rPr>
          <w:sz w:val="28"/>
          <w:szCs w:val="28"/>
        </w:rPr>
        <w:t>4</w:t>
      </w:r>
      <w:r>
        <w:rPr>
          <w:rFonts w:hint="eastAsia"/>
          <w:sz w:val="28"/>
          <w:szCs w:val="28"/>
        </w:rPr>
        <w:t>）构建“政府统一领导、部门依法监管、企业全面负责、群众监督参与、社会广泛支持”的安全生产及劳动防护工作体系。</w:t>
      </w:r>
    </w:p>
    <w:p>
      <w:pPr>
        <w:pStyle w:val="5"/>
        <w:ind w:firstLine="562"/>
        <w:rPr>
          <w:rFonts w:cs="Times New Roman"/>
        </w:rPr>
      </w:pPr>
      <w:r>
        <w:rPr>
          <w:rFonts w:hint="eastAsia" w:cs="Times New Roman"/>
        </w:rPr>
        <w:t>8.3.2安全生产监管体系</w:t>
      </w:r>
    </w:p>
    <w:p>
      <w:pPr>
        <w:pStyle w:val="13"/>
        <w:spacing w:line="360" w:lineRule="auto"/>
        <w:ind w:right="40" w:firstLine="561"/>
        <w:jc w:val="both"/>
        <w:rPr>
          <w:sz w:val="28"/>
          <w:szCs w:val="28"/>
        </w:rPr>
      </w:pPr>
      <w:r>
        <w:rPr>
          <w:rFonts w:hint="eastAsia"/>
          <w:sz w:val="28"/>
          <w:szCs w:val="28"/>
        </w:rPr>
        <w:t>（1）建立适应园区性质的管委会；同时属地政府应在园内设立安全生产监管机构或安全生产执法监察分队，安全执法监察机构或安全生产执法监察分队作为属地政府安全生产执法监察大队的派出机构，实行安全监管职责。逐步在园区内形成政府、企业及生产厂（车间）三级安全生产监管体系，确保企业安全生产工作机制的运行主体得到落实。</w:t>
      </w:r>
    </w:p>
    <w:p>
      <w:pPr>
        <w:pStyle w:val="13"/>
        <w:spacing w:line="360" w:lineRule="auto"/>
        <w:ind w:right="40" w:firstLine="561"/>
        <w:jc w:val="both"/>
        <w:rPr>
          <w:sz w:val="28"/>
          <w:szCs w:val="28"/>
        </w:rPr>
      </w:pPr>
      <w:r>
        <w:rPr>
          <w:rFonts w:hint="eastAsia"/>
          <w:sz w:val="28"/>
          <w:szCs w:val="28"/>
        </w:rPr>
        <w:t>（2）通过规章制度，把安全生产责任落实到每一个生产岗位、每一位员工身上。建立有效的监督机制、责任追究制度，特别是对负有直接或间接责任的领导的追究制度。</w:t>
      </w:r>
    </w:p>
    <w:p>
      <w:pPr>
        <w:pStyle w:val="13"/>
        <w:spacing w:line="360" w:lineRule="auto"/>
        <w:ind w:right="40" w:firstLine="561"/>
        <w:jc w:val="both"/>
        <w:rPr>
          <w:sz w:val="28"/>
          <w:szCs w:val="28"/>
        </w:rPr>
      </w:pPr>
      <w:r>
        <w:rPr>
          <w:rFonts w:hint="eastAsia"/>
          <w:sz w:val="28"/>
          <w:szCs w:val="28"/>
        </w:rPr>
        <w:t>（</w:t>
      </w:r>
      <w:r>
        <w:rPr>
          <w:sz w:val="28"/>
          <w:szCs w:val="28"/>
        </w:rPr>
        <w:t>3</w:t>
      </w:r>
      <w:r>
        <w:rPr>
          <w:rFonts w:hint="eastAsia"/>
          <w:sz w:val="28"/>
          <w:szCs w:val="28"/>
        </w:rPr>
        <w:t>）园区内建设项目中的安全卫生设施应符合国家规定的标准，必须与主体工程“同时设计、同时施工、同时投入使用”。</w:t>
      </w:r>
    </w:p>
    <w:p>
      <w:pPr>
        <w:pStyle w:val="13"/>
        <w:spacing w:line="360" w:lineRule="auto"/>
        <w:ind w:right="40" w:firstLine="561"/>
        <w:jc w:val="both"/>
        <w:rPr>
          <w:sz w:val="28"/>
          <w:szCs w:val="28"/>
        </w:rPr>
      </w:pPr>
      <w:r>
        <w:rPr>
          <w:rFonts w:hint="eastAsia"/>
          <w:sz w:val="28"/>
          <w:szCs w:val="28"/>
        </w:rPr>
        <w:t>（</w:t>
      </w:r>
      <w:r>
        <w:rPr>
          <w:sz w:val="28"/>
          <w:szCs w:val="28"/>
        </w:rPr>
        <w:t>4</w:t>
      </w:r>
      <w:r>
        <w:rPr>
          <w:rFonts w:hint="eastAsia"/>
          <w:sz w:val="28"/>
          <w:szCs w:val="28"/>
        </w:rPr>
        <w:t>）政府主管部门在园区开发建设的同时，同步建设相应的安全监管体系。</w:t>
      </w:r>
    </w:p>
    <w:p>
      <w:pPr>
        <w:pStyle w:val="13"/>
        <w:spacing w:line="360" w:lineRule="auto"/>
        <w:ind w:right="40" w:firstLine="561"/>
        <w:jc w:val="both"/>
        <w:rPr>
          <w:sz w:val="28"/>
          <w:szCs w:val="28"/>
        </w:rPr>
      </w:pPr>
      <w:r>
        <w:rPr>
          <w:rFonts w:hint="eastAsia"/>
          <w:sz w:val="28"/>
          <w:szCs w:val="28"/>
        </w:rPr>
        <w:t>（</w:t>
      </w:r>
      <w:r>
        <w:rPr>
          <w:sz w:val="28"/>
          <w:szCs w:val="28"/>
        </w:rPr>
        <w:t>5</w:t>
      </w:r>
      <w:r>
        <w:rPr>
          <w:rFonts w:hint="eastAsia"/>
          <w:sz w:val="28"/>
          <w:szCs w:val="28"/>
        </w:rPr>
        <w:t>）建设安全宣传教育及培训专业机构；建设安全生产信息化系统，包括政府安全管理信息化和企业安全管理信息化。</w:t>
      </w:r>
    </w:p>
    <w:p>
      <w:pPr>
        <w:pStyle w:val="5"/>
        <w:ind w:firstLine="562"/>
        <w:rPr>
          <w:rFonts w:cs="Times New Roman"/>
        </w:rPr>
      </w:pPr>
      <w:r>
        <w:rPr>
          <w:rFonts w:hint="eastAsia" w:cs="Times New Roman"/>
        </w:rPr>
        <w:t>8.3.3安全布局和封闭管理</w:t>
      </w:r>
    </w:p>
    <w:p>
      <w:pPr>
        <w:pStyle w:val="13"/>
        <w:spacing w:line="360" w:lineRule="auto"/>
        <w:ind w:right="40" w:firstLine="561"/>
        <w:jc w:val="both"/>
        <w:rPr>
          <w:sz w:val="28"/>
          <w:szCs w:val="28"/>
        </w:rPr>
      </w:pPr>
      <w:r>
        <w:rPr>
          <w:rFonts w:hint="eastAsia"/>
          <w:sz w:val="28"/>
          <w:szCs w:val="28"/>
        </w:rPr>
        <w:t>（1）按照“分类控制、分级管理、分步实施”要求，结合产业结构、产业链特点、安全风险类型等实际情况，分区实行封闭化管理，建立门禁系统和视频监控系统，对易燃易爆、有毒有害化学品等物料、人员、车辆进出实施全过程监管。</w:t>
      </w:r>
    </w:p>
    <w:p>
      <w:pPr>
        <w:pStyle w:val="13"/>
        <w:spacing w:line="360" w:lineRule="auto"/>
        <w:ind w:right="40" w:firstLine="561"/>
        <w:jc w:val="both"/>
        <w:rPr>
          <w:sz w:val="28"/>
          <w:szCs w:val="28"/>
        </w:rPr>
      </w:pPr>
      <w:r>
        <w:rPr>
          <w:rFonts w:hint="eastAsia"/>
          <w:sz w:val="28"/>
          <w:szCs w:val="28"/>
        </w:rPr>
        <w:t>（</w:t>
      </w:r>
      <w:r>
        <w:rPr>
          <w:sz w:val="28"/>
          <w:szCs w:val="28"/>
        </w:rPr>
        <w:t>2</w:t>
      </w:r>
      <w:r>
        <w:rPr>
          <w:rFonts w:hint="eastAsia"/>
          <w:sz w:val="28"/>
          <w:szCs w:val="28"/>
        </w:rPr>
        <w:t>）严格管控运输安全风险，实行专用道路、专用车道、限时限速行驶，并根据需要配套建设危险化学品车辆专用停车场，防止安全风险积聚。</w:t>
      </w:r>
    </w:p>
    <w:p>
      <w:pPr>
        <w:pStyle w:val="13"/>
        <w:spacing w:line="360" w:lineRule="auto"/>
        <w:ind w:right="40" w:firstLine="561"/>
        <w:jc w:val="both"/>
        <w:rPr>
          <w:sz w:val="28"/>
          <w:szCs w:val="28"/>
        </w:rPr>
      </w:pPr>
      <w:r>
        <w:rPr>
          <w:rFonts w:hint="eastAsia"/>
          <w:sz w:val="28"/>
          <w:szCs w:val="28"/>
        </w:rPr>
        <w:t>（</w:t>
      </w:r>
      <w:r>
        <w:rPr>
          <w:sz w:val="28"/>
          <w:szCs w:val="28"/>
        </w:rPr>
        <w:t>3</w:t>
      </w:r>
      <w:r>
        <w:rPr>
          <w:rFonts w:hint="eastAsia"/>
          <w:sz w:val="28"/>
          <w:szCs w:val="28"/>
        </w:rPr>
        <w:t>）按照有关规定开展园区对外危险货物运输风险论证等工作。</w:t>
      </w:r>
    </w:p>
    <w:p>
      <w:pPr>
        <w:pStyle w:val="13"/>
        <w:spacing w:line="360" w:lineRule="auto"/>
        <w:ind w:right="40" w:firstLine="561"/>
        <w:jc w:val="both"/>
        <w:rPr>
          <w:sz w:val="28"/>
          <w:szCs w:val="28"/>
        </w:rPr>
      </w:pPr>
      <w:r>
        <w:rPr>
          <w:rFonts w:hint="eastAsia"/>
          <w:sz w:val="28"/>
          <w:szCs w:val="28"/>
        </w:rPr>
        <w:t>（</w:t>
      </w:r>
      <w:r>
        <w:rPr>
          <w:sz w:val="28"/>
          <w:szCs w:val="28"/>
        </w:rPr>
        <w:t>4</w:t>
      </w:r>
      <w:r>
        <w:rPr>
          <w:rFonts w:hint="eastAsia"/>
          <w:sz w:val="28"/>
          <w:szCs w:val="28"/>
        </w:rPr>
        <w:t>）按照工业企业安全卫生防护距离的有关标准规范，根据相关项目的危险特性设置防护距离。</w:t>
      </w:r>
    </w:p>
    <w:p>
      <w:pPr>
        <w:pStyle w:val="13"/>
        <w:spacing w:line="360" w:lineRule="auto"/>
        <w:ind w:right="40" w:firstLine="561"/>
        <w:jc w:val="both"/>
        <w:rPr>
          <w:sz w:val="28"/>
          <w:szCs w:val="28"/>
        </w:rPr>
      </w:pPr>
      <w:r>
        <w:rPr>
          <w:rFonts w:hint="eastAsia"/>
          <w:sz w:val="28"/>
          <w:szCs w:val="28"/>
        </w:rPr>
        <w:t>（</w:t>
      </w:r>
      <w:r>
        <w:rPr>
          <w:sz w:val="28"/>
          <w:szCs w:val="28"/>
        </w:rPr>
        <w:t>5</w:t>
      </w:r>
      <w:r>
        <w:rPr>
          <w:rFonts w:hint="eastAsia"/>
          <w:sz w:val="28"/>
          <w:szCs w:val="28"/>
        </w:rPr>
        <w:t>）园区内各企业的布局应满足安全防护距离的要求，综合考虑主导风向、地势高低落差、园区内企业、生产装置之间的相互影响、应急救援、产品类别、生产工艺、物料互供、公用设施保障等因素，合理布置园区功能分区，满足安全防护距离的要求。</w:t>
      </w:r>
    </w:p>
    <w:p>
      <w:pPr>
        <w:pStyle w:val="13"/>
        <w:spacing w:line="360" w:lineRule="auto"/>
        <w:ind w:right="40" w:firstLine="561"/>
        <w:jc w:val="both"/>
        <w:rPr>
          <w:sz w:val="28"/>
          <w:szCs w:val="28"/>
        </w:rPr>
      </w:pPr>
      <w:r>
        <w:rPr>
          <w:rFonts w:hint="eastAsia"/>
          <w:sz w:val="28"/>
          <w:szCs w:val="28"/>
        </w:rPr>
        <w:t>（6）保障消防安全。依据国家有关消防法规的要求，建设公共消防站和企业消防站。园区内消防队伍应当定期开展消防演练，提高消防队员处理危险化学品事故的能力。</w:t>
      </w:r>
    </w:p>
    <w:p>
      <w:pPr>
        <w:pStyle w:val="13"/>
        <w:spacing w:line="360" w:lineRule="auto"/>
        <w:ind w:right="40" w:firstLine="561"/>
        <w:jc w:val="both"/>
        <w:rPr>
          <w:sz w:val="28"/>
          <w:szCs w:val="28"/>
        </w:rPr>
      </w:pPr>
      <w:r>
        <w:rPr>
          <w:rFonts w:hint="eastAsia"/>
          <w:sz w:val="28"/>
          <w:szCs w:val="28"/>
        </w:rPr>
        <w:t>（</w:t>
      </w:r>
      <w:r>
        <w:rPr>
          <w:sz w:val="28"/>
          <w:szCs w:val="28"/>
        </w:rPr>
        <w:t>7</w:t>
      </w:r>
      <w:r>
        <w:rPr>
          <w:rFonts w:hint="eastAsia"/>
          <w:sz w:val="28"/>
          <w:szCs w:val="28"/>
        </w:rPr>
        <w:t>）园区项目布局按照同类项目相对集中的原则布置；有可能带来危害的生产装置要充分利用装置所在地的地形地貌、风向、周边环境等合理布局，力求把影响减小到最低程度。</w:t>
      </w:r>
    </w:p>
    <w:p>
      <w:pPr>
        <w:pStyle w:val="13"/>
        <w:spacing w:line="360" w:lineRule="auto"/>
        <w:ind w:right="40" w:firstLine="561"/>
        <w:jc w:val="both"/>
        <w:rPr>
          <w:sz w:val="28"/>
          <w:szCs w:val="28"/>
        </w:rPr>
      </w:pPr>
      <w:r>
        <w:rPr>
          <w:rFonts w:hint="eastAsia"/>
          <w:sz w:val="28"/>
          <w:szCs w:val="28"/>
        </w:rPr>
        <w:t>（8）化工园区与城市建成区、人口密集区、重要设施等防护目标之间保持足够的安全防护距离，留有适当的缓冲带。</w:t>
      </w:r>
    </w:p>
    <w:p>
      <w:pPr>
        <w:pStyle w:val="5"/>
        <w:ind w:firstLine="562"/>
        <w:rPr>
          <w:rFonts w:cs="Times New Roman"/>
        </w:rPr>
      </w:pPr>
      <w:r>
        <w:rPr>
          <w:rFonts w:hint="eastAsia" w:cs="Times New Roman"/>
        </w:rPr>
        <w:t>8.3.4劳动安全和工业卫生</w:t>
      </w:r>
    </w:p>
    <w:p>
      <w:pPr>
        <w:pStyle w:val="13"/>
        <w:spacing w:line="360" w:lineRule="auto"/>
        <w:ind w:right="40" w:firstLine="561"/>
        <w:jc w:val="both"/>
        <w:rPr>
          <w:sz w:val="28"/>
          <w:szCs w:val="28"/>
        </w:rPr>
      </w:pPr>
      <w:r>
        <w:rPr>
          <w:rFonts w:hint="eastAsia"/>
          <w:sz w:val="28"/>
          <w:szCs w:val="28"/>
        </w:rPr>
        <w:t>（1）根据自身规模和产业结构需要，建立完善的安全生产和生态环境的监测监控和风险预警体系，相关监测监控数据应接入地方监测预警系统。</w:t>
      </w:r>
    </w:p>
    <w:p>
      <w:pPr>
        <w:ind w:firstLine="560"/>
        <w:rPr>
          <w:rFonts w:cs="Times New Roman" w:eastAsiaTheme="minorEastAsia"/>
        </w:rPr>
      </w:pPr>
      <w:r>
        <w:rPr>
          <w:rFonts w:hint="eastAsia" w:cs="Times New Roman"/>
          <w:szCs w:val="28"/>
        </w:rPr>
        <w:t>（</w:t>
      </w:r>
      <w:r>
        <w:rPr>
          <w:rFonts w:cs="Times New Roman"/>
          <w:szCs w:val="28"/>
        </w:rPr>
        <w:t>2</w:t>
      </w:r>
      <w:r>
        <w:rPr>
          <w:rFonts w:hint="eastAsia" w:cs="Times New Roman"/>
          <w:szCs w:val="28"/>
        </w:rPr>
        <w:t>）贯彻执行《中华人民共和国职业病防治法》和《工业企业设计卫生标准》的要求，体现“预防为主”的卫生工作方针，保证工业企业建设项目的设计符合卫生要求，控制生产过程产生的各类职业危害因素，改善劳动条件，以保障职工的身体健康，促进生产发展。</w:t>
      </w:r>
    </w:p>
    <w:p>
      <w:pPr>
        <w:pStyle w:val="13"/>
        <w:spacing w:line="360" w:lineRule="auto"/>
        <w:ind w:right="40" w:firstLine="561"/>
        <w:jc w:val="both"/>
        <w:rPr>
          <w:sz w:val="28"/>
          <w:szCs w:val="28"/>
        </w:rPr>
      </w:pPr>
      <w:r>
        <w:rPr>
          <w:rFonts w:hint="eastAsia"/>
          <w:sz w:val="28"/>
          <w:szCs w:val="28"/>
        </w:rPr>
        <w:t>（3）工程设计应认真贯彻“安全第一、预防为主”的方针，并严格执行《中华人民共和国劳动法》中“劳动安全卫生设施必须符合国家规定的标准。新建、改建、扩建工程的劳动安全卫生设施必须与主体工程同时设计、同时施工、同时投入生产和使用”的规定。</w:t>
      </w:r>
    </w:p>
    <w:p>
      <w:pPr>
        <w:pStyle w:val="13"/>
        <w:spacing w:line="360" w:lineRule="auto"/>
        <w:ind w:right="40" w:firstLine="561"/>
        <w:jc w:val="both"/>
        <w:rPr>
          <w:sz w:val="28"/>
          <w:szCs w:val="28"/>
        </w:rPr>
      </w:pPr>
      <w:r>
        <w:rPr>
          <w:rFonts w:hint="eastAsia"/>
          <w:sz w:val="28"/>
          <w:szCs w:val="28"/>
        </w:rPr>
        <w:t>（</w:t>
      </w:r>
      <w:r>
        <w:rPr>
          <w:sz w:val="28"/>
          <w:szCs w:val="28"/>
        </w:rPr>
        <w:t>4</w:t>
      </w:r>
      <w:r>
        <w:rPr>
          <w:rFonts w:hint="eastAsia"/>
          <w:sz w:val="28"/>
          <w:szCs w:val="28"/>
        </w:rPr>
        <w:t>）劳动安全和工业卫生的防护设施，必须贯彻在各专业设计中，做到安全可靠，保障劳动者在劳动过程中的安全和健康。劳动安全和工业卫生的工程设计，应符合现行的有关国家标准和行业标准的规定。在工业企业建设项目的设计时，应积极采取行之有效的综合防护措施，防止有害因素对工作场所的污染，对于生产过程中尚不能完全消除的有害因素，亦应采取综合预防、治理措施，使设计符合国家标准的有关规定。</w:t>
      </w:r>
    </w:p>
    <w:p>
      <w:pPr>
        <w:widowControl/>
        <w:ind w:firstLine="560"/>
        <w:jc w:val="left"/>
        <w:rPr>
          <w:rFonts w:cs="Times New Roman"/>
          <w:szCs w:val="28"/>
        </w:rPr>
      </w:pPr>
      <w:r>
        <w:rPr>
          <w:rFonts w:hint="eastAsia" w:cs="Times New Roman"/>
          <w:szCs w:val="28"/>
        </w:rPr>
        <w:t>（</w:t>
      </w:r>
      <w:r>
        <w:rPr>
          <w:rFonts w:cs="Times New Roman"/>
          <w:szCs w:val="28"/>
        </w:rPr>
        <w:t>5</w:t>
      </w:r>
      <w:r>
        <w:rPr>
          <w:rFonts w:hint="eastAsia" w:cs="Times New Roman"/>
          <w:szCs w:val="28"/>
        </w:rPr>
        <w:t>）为保障和促进职工健康，厂址选择需依据我国现行的卫生、环境保护、国土空间规划等法规、标准和拟建工业企业建设项目生产过程的卫生特征、有害因素危害状况，结合建设地点的规划与现状，水文、地质、气象等因素进行综合分析确定。厂址宜位于邻近城镇或生活区的全年最小频率风向的上风侧。厂区同城镇生活区之间宜设置安全、卫生防护距离。</w:t>
      </w:r>
    </w:p>
    <w:p>
      <w:pPr>
        <w:widowControl/>
        <w:ind w:firstLine="560"/>
        <w:jc w:val="left"/>
        <w:rPr>
          <w:rFonts w:cs="Times New Roman"/>
          <w:szCs w:val="28"/>
        </w:rPr>
      </w:pPr>
      <w:r>
        <w:rPr>
          <w:rFonts w:hint="eastAsia" w:cs="Times New Roman"/>
          <w:szCs w:val="28"/>
        </w:rPr>
        <w:t>（</w:t>
      </w:r>
      <w:r>
        <w:rPr>
          <w:rFonts w:cs="Times New Roman"/>
          <w:szCs w:val="28"/>
        </w:rPr>
        <w:t>6</w:t>
      </w:r>
      <w:r>
        <w:rPr>
          <w:rFonts w:hint="eastAsia" w:cs="Times New Roman"/>
          <w:szCs w:val="28"/>
        </w:rPr>
        <w:t>）企业的生产区、生活区、生活饮用水源、工业废水和生活污水排放点、废渣堆放场和废水处理场，以及各类卫生防护、辅助用室等工程用地，应根据工业企业的性质、规模、生产流程、交通运输、环境保护等要求，结合场地自然条件，经技术经济比较后合理布局。</w:t>
      </w:r>
    </w:p>
    <w:p>
      <w:pPr>
        <w:widowControl/>
        <w:ind w:firstLine="560"/>
        <w:jc w:val="left"/>
        <w:rPr>
          <w:rFonts w:cs="Times New Roman"/>
          <w:szCs w:val="28"/>
        </w:rPr>
      </w:pPr>
      <w:r>
        <w:rPr>
          <w:rFonts w:hint="eastAsia" w:cs="Times New Roman"/>
          <w:szCs w:val="28"/>
        </w:rPr>
        <w:t>（7）企业总平面的功能分区应按照厂前区内设置行政办公用房、生产区内布置生产车间和辅助用房的原则确定。产生有害物质的工业企业，在生产区内除值班室、更衣室、盥洗室外，不得设置非生产用房。</w:t>
      </w:r>
    </w:p>
    <w:p>
      <w:pPr>
        <w:ind w:firstLine="560"/>
        <w:rPr>
          <w:rFonts w:cs="Times New Roman"/>
          <w:szCs w:val="28"/>
        </w:rPr>
      </w:pPr>
      <w:r>
        <w:rPr>
          <w:rFonts w:hint="eastAsia" w:cs="Times New Roman"/>
          <w:szCs w:val="28"/>
        </w:rPr>
        <w:t>（8）企业的总平面布置，在满足主体工程需要的前提下，应将污染危害严重的设施远离非污染设施；产生高噪声的车间与低噪声的车间分开；热加工车间与加工车间分开；产生粉尘的车间与产生毒物的车间分开，并在产生职业危害的车间与其他车间及人员密集区之间设有一定的卫生防护绿化带。</w:t>
      </w:r>
    </w:p>
    <w:p>
      <w:pPr>
        <w:pStyle w:val="5"/>
        <w:ind w:firstLine="562"/>
        <w:rPr>
          <w:rFonts w:cs="Times New Roman"/>
        </w:rPr>
      </w:pPr>
      <w:r>
        <w:rPr>
          <w:rFonts w:hint="eastAsia" w:cs="Times New Roman"/>
        </w:rPr>
        <w:t>8.3.5安全应急救援</w:t>
      </w:r>
    </w:p>
    <w:p>
      <w:pPr>
        <w:pStyle w:val="5"/>
        <w:ind w:firstLine="560"/>
        <w:rPr>
          <w:rFonts w:cs="Times New Roman"/>
          <w:b w:val="0"/>
          <w:szCs w:val="28"/>
        </w:rPr>
      </w:pPr>
      <w:r>
        <w:rPr>
          <w:rFonts w:hint="eastAsia" w:cs="Times New Roman"/>
          <w:b w:val="0"/>
          <w:szCs w:val="28"/>
        </w:rPr>
        <w:t>8.3.5.1安全应急体制</w:t>
      </w:r>
    </w:p>
    <w:p>
      <w:pPr>
        <w:pStyle w:val="13"/>
        <w:spacing w:line="360" w:lineRule="auto"/>
        <w:ind w:right="40" w:firstLine="561"/>
        <w:jc w:val="both"/>
        <w:rPr>
          <w:sz w:val="28"/>
          <w:szCs w:val="28"/>
        </w:rPr>
      </w:pPr>
      <w:r>
        <w:rPr>
          <w:rFonts w:hint="eastAsia"/>
          <w:sz w:val="28"/>
          <w:szCs w:val="28"/>
        </w:rPr>
        <w:t>化工园区应设置应急指挥机构，统一领导化工园区突发事件的应急处置、事故抢险、社会救援等工作；协调相关镇街、相关单位或部门应急处置机构的关系，指挥应急处置机构成员单位按照各自职责开展应急救援工作。</w:t>
      </w:r>
    </w:p>
    <w:p>
      <w:pPr>
        <w:pStyle w:val="13"/>
        <w:spacing w:line="360" w:lineRule="auto"/>
        <w:ind w:right="40" w:firstLine="561"/>
        <w:jc w:val="both"/>
        <w:rPr>
          <w:sz w:val="28"/>
          <w:szCs w:val="28"/>
        </w:rPr>
      </w:pPr>
      <w:r>
        <w:rPr>
          <w:rFonts w:hint="eastAsia"/>
          <w:sz w:val="28"/>
          <w:szCs w:val="28"/>
        </w:rPr>
        <w:t>化工园区应急指挥机构主要履行以下职责：</w:t>
      </w:r>
    </w:p>
    <w:p>
      <w:pPr>
        <w:pStyle w:val="13"/>
        <w:spacing w:line="360" w:lineRule="auto"/>
        <w:ind w:right="40" w:firstLine="561"/>
        <w:jc w:val="both"/>
        <w:rPr>
          <w:sz w:val="28"/>
          <w:szCs w:val="28"/>
        </w:rPr>
      </w:pPr>
      <w:r>
        <w:rPr>
          <w:rFonts w:hint="eastAsia"/>
          <w:sz w:val="28"/>
          <w:szCs w:val="28"/>
        </w:rPr>
        <w:t>（1）落实化工园区应急指挥机构工作部署。</w:t>
      </w:r>
    </w:p>
    <w:p>
      <w:pPr>
        <w:pStyle w:val="13"/>
        <w:spacing w:line="360" w:lineRule="auto"/>
        <w:ind w:right="40" w:firstLine="561"/>
        <w:jc w:val="both"/>
        <w:rPr>
          <w:sz w:val="28"/>
          <w:szCs w:val="28"/>
        </w:rPr>
      </w:pPr>
      <w:r>
        <w:rPr>
          <w:rFonts w:hint="eastAsia"/>
          <w:sz w:val="28"/>
          <w:szCs w:val="28"/>
        </w:rPr>
        <w:t>（</w:t>
      </w:r>
      <w:r>
        <w:rPr>
          <w:sz w:val="28"/>
          <w:szCs w:val="28"/>
        </w:rPr>
        <w:t>2</w:t>
      </w:r>
      <w:r>
        <w:rPr>
          <w:rFonts w:hint="eastAsia"/>
          <w:sz w:val="28"/>
          <w:szCs w:val="28"/>
        </w:rPr>
        <w:t>）协调现场的应急救援工作，组织公安、消防、卫健、气象、生态、专家等相关单位进行先期处置，及时向应急指挥机构报告事态变化情况，传达应急救援指令。</w:t>
      </w:r>
    </w:p>
    <w:p>
      <w:pPr>
        <w:pStyle w:val="13"/>
        <w:spacing w:line="360" w:lineRule="auto"/>
        <w:ind w:right="40" w:firstLine="561"/>
        <w:jc w:val="both"/>
        <w:rPr>
          <w:sz w:val="28"/>
          <w:szCs w:val="28"/>
        </w:rPr>
      </w:pPr>
      <w:r>
        <w:rPr>
          <w:rFonts w:hint="eastAsia"/>
          <w:sz w:val="28"/>
          <w:szCs w:val="28"/>
        </w:rPr>
        <w:t>（</w:t>
      </w:r>
      <w:r>
        <w:rPr>
          <w:sz w:val="28"/>
          <w:szCs w:val="28"/>
        </w:rPr>
        <w:t>3</w:t>
      </w:r>
      <w:r>
        <w:rPr>
          <w:rFonts w:hint="eastAsia"/>
          <w:sz w:val="28"/>
          <w:szCs w:val="28"/>
        </w:rPr>
        <w:t>）协调指挥有关单位按照职责参与处置工作，包括组织营救、伤员救治、疏散撤离、安置人员、上报事故情况等。</w:t>
      </w:r>
    </w:p>
    <w:p>
      <w:pPr>
        <w:ind w:firstLine="560"/>
      </w:pPr>
      <w:r>
        <w:rPr>
          <w:rFonts w:hint="eastAsia"/>
        </w:rPr>
        <w:t>（</w:t>
      </w:r>
      <w:r>
        <w:t>4</w:t>
      </w:r>
      <w:r>
        <w:rPr>
          <w:rFonts w:hint="eastAsia"/>
        </w:rPr>
        <w:t>）必要时，组织划定危险化学品事故现场的警戒范围，实施必要的群众疏散、交通管制及其他强制性措施。</w:t>
      </w:r>
    </w:p>
    <w:p>
      <w:pPr>
        <w:ind w:firstLine="560"/>
      </w:pPr>
      <w:r>
        <w:rPr>
          <w:rFonts w:hint="eastAsia"/>
        </w:rPr>
        <w:t>（5）根据相关规范、导则要求，组织编制园区安全应急预案，并开展应急演练；园区安全应急预案应包括综合应急预案和专项应急预案，并及时向应急管理部门备案。</w:t>
      </w:r>
    </w:p>
    <w:p>
      <w:pPr>
        <w:pStyle w:val="13"/>
        <w:spacing w:line="360" w:lineRule="auto"/>
        <w:ind w:right="40" w:firstLine="561"/>
        <w:jc w:val="both"/>
        <w:rPr>
          <w:sz w:val="28"/>
          <w:szCs w:val="28"/>
        </w:rPr>
      </w:pPr>
      <w:r>
        <w:rPr>
          <w:rFonts w:hint="eastAsia"/>
          <w:sz w:val="28"/>
          <w:szCs w:val="28"/>
        </w:rPr>
        <w:t>8.3.5.2应急救援队伍</w:t>
      </w:r>
    </w:p>
    <w:p>
      <w:pPr>
        <w:ind w:firstLine="560"/>
      </w:pPr>
      <w:r>
        <w:rPr>
          <w:rFonts w:hint="eastAsia"/>
        </w:rPr>
        <w:t>根据总体规划、功能分区和主要产品特性，建立满足突发生产安全事故、突发环境事件等情形下应急处置需求的体系、预案、平台和专职应急救援队伍，配备符合相关国家标准、行业标准要求的人员和装备。</w:t>
      </w:r>
    </w:p>
    <w:p>
      <w:pPr>
        <w:widowControl/>
        <w:ind w:firstLine="560"/>
        <w:jc w:val="left"/>
      </w:pPr>
      <w:r>
        <w:rPr>
          <w:rFonts w:hint="eastAsia" w:cs="Times New Roman"/>
          <w:szCs w:val="28"/>
        </w:rPr>
        <w:t>建立化工园区应急救援队伍，逐步形成以消防应急队伍、应急管理队伍、应急专业队伍、应急专家队伍、医疗救护队伍和社会应急力量相结合的综合应急救援队伍。进一步加强企业应急救援队伍建设，逐步形成专、兼职队伍相结合的突发事件应急救援队伍。没有专职救援队伍的中、小型危险化学品企业，应根据企业可能发生事故的特点，采用共建的方式，与化工园区专职救援队伍签订应急联动协议，建立应急联动机制，提高应急救援能力。</w:t>
      </w:r>
    </w:p>
    <w:p>
      <w:pPr>
        <w:pStyle w:val="13"/>
        <w:spacing w:line="360" w:lineRule="auto"/>
        <w:ind w:right="40" w:firstLine="561"/>
        <w:jc w:val="both"/>
        <w:rPr>
          <w:sz w:val="28"/>
          <w:szCs w:val="28"/>
        </w:rPr>
      </w:pPr>
      <w:r>
        <w:rPr>
          <w:rFonts w:hint="eastAsia"/>
          <w:sz w:val="28"/>
          <w:szCs w:val="28"/>
        </w:rPr>
        <w:t>8.3.5.3应急物资储备</w:t>
      </w:r>
    </w:p>
    <w:p>
      <w:pPr>
        <w:widowControl/>
        <w:ind w:firstLine="560"/>
        <w:jc w:val="left"/>
        <w:rPr>
          <w:rFonts w:cs="Times New Roman"/>
          <w:szCs w:val="28"/>
        </w:rPr>
      </w:pPr>
      <w:r>
        <w:rPr>
          <w:rFonts w:hint="eastAsia" w:cs="Times New Roman"/>
          <w:szCs w:val="28"/>
        </w:rPr>
        <w:t>按照国家标准和园区应急预案的要求，配备应急物资，主要有卫生药品及医疗器械类、防汛抗旱类、消防救援类、危化防护类、通讯保障类、工程机械类、应急监测类、抢险抢修类等。重点配备化工园区应对重特大、复杂事故救援任务所需要的救援车辆、抢险救援装备、监测侦检设备、通信指挥设备、个人防护装备、后勤保障设备等装备器材。</w:t>
      </w:r>
    </w:p>
    <w:p>
      <w:pPr>
        <w:widowControl/>
        <w:ind w:firstLine="560"/>
        <w:jc w:val="left"/>
        <w:rPr>
          <w:rFonts w:cs="Times New Roman"/>
          <w:szCs w:val="28"/>
        </w:rPr>
      </w:pPr>
      <w:r>
        <w:rPr>
          <w:rFonts w:hint="eastAsia" w:cs="Times New Roman"/>
          <w:szCs w:val="28"/>
        </w:rPr>
        <w:t>科学制定应急物资储备计划，按照政府储备与企业储备、实物储备与能力储备、通用物质社会储备与特种物质定点储备相结合的储备模式，合理布局应急救援物资。建立应急物资库信息管理系统，实现对化工园区内各类应急资源统计、查询、数据维护以及紧急情况的快速查询和调用。</w:t>
      </w:r>
    </w:p>
    <w:p>
      <w:pPr>
        <w:pStyle w:val="5"/>
        <w:ind w:firstLine="562"/>
        <w:rPr>
          <w:rFonts w:cs="Times New Roman"/>
        </w:rPr>
      </w:pPr>
      <w:r>
        <w:rPr>
          <w:rFonts w:hint="eastAsia" w:cs="Times New Roman"/>
        </w:rPr>
        <w:t>8.3.6气防站</w:t>
      </w:r>
    </w:p>
    <w:p>
      <w:pPr>
        <w:widowControl/>
        <w:ind w:firstLine="560"/>
        <w:jc w:val="left"/>
        <w:rPr>
          <w:rFonts w:cs="Times New Roman"/>
          <w:b/>
          <w:szCs w:val="28"/>
        </w:rPr>
      </w:pPr>
      <w:r>
        <w:rPr>
          <w:rFonts w:hint="eastAsia" w:cs="Times New Roman"/>
          <w:szCs w:val="28"/>
        </w:rPr>
        <w:t>园区应根据国家相关的政策及规范设立气防站，气防站的建设规模、建设标准、设计规范、设备设施内容应按照相关标准的规定。</w:t>
      </w:r>
    </w:p>
    <w:p>
      <w:pPr>
        <w:pStyle w:val="5"/>
        <w:ind w:firstLine="562"/>
        <w:rPr>
          <w:rFonts w:cs="Times New Roman"/>
        </w:rPr>
      </w:pPr>
      <w:r>
        <w:rPr>
          <w:rFonts w:hint="eastAsia" w:cs="Times New Roman"/>
        </w:rPr>
        <w:t>8.3.7实训基地</w:t>
      </w:r>
    </w:p>
    <w:p>
      <w:pPr>
        <w:widowControl/>
        <w:ind w:firstLine="560"/>
        <w:jc w:val="left"/>
        <w:rPr>
          <w:rFonts w:cs="Times New Roman"/>
          <w:szCs w:val="28"/>
        </w:rPr>
      </w:pPr>
      <w:r>
        <w:rPr>
          <w:rFonts w:hint="eastAsia" w:cs="Times New Roman"/>
          <w:szCs w:val="28"/>
        </w:rPr>
        <w:t>化工安全技能实训基地对标应急管理部《化工安全技能实训基地建设指南（试行）》相关要求，完善化工实训设施、加大培训教材开发、共享专业师资和数字资源，进一步加大对新《安全生产法》和化工安全相关法律、法规、规范、标准等内容的培训，提升参训人员的理论修养和法律意识。园区管理委员会每年定期召开研讨会，根据培训反馈，更好地、适时地调整合作的各项事宜，稳步推进基地建设。</w:t>
      </w:r>
    </w:p>
    <w:p>
      <w:pPr>
        <w:ind w:firstLine="560"/>
        <w:rPr>
          <w:rFonts w:cs="Times New Roman" w:eastAsiaTheme="minorEastAsia"/>
        </w:rPr>
      </w:pPr>
      <w:r>
        <w:rPr>
          <w:rFonts w:cs="Times New Roman" w:eastAsiaTheme="minorEastAsia"/>
        </w:rPr>
        <w:br w:type="page"/>
      </w:r>
    </w:p>
    <w:p>
      <w:pPr>
        <w:pStyle w:val="3"/>
        <w:spacing w:before="120" w:after="120"/>
        <w:rPr>
          <w:rFonts w:cs="Times New Roman"/>
        </w:rPr>
      </w:pPr>
      <w:bookmarkStart w:id="111" w:name="_Toc588"/>
      <w:bookmarkStart w:id="112" w:name="_Toc126591882"/>
      <w:bookmarkStart w:id="113" w:name="_Toc16113"/>
      <w:bookmarkStart w:id="114" w:name="_Toc19409"/>
      <w:bookmarkStart w:id="115" w:name="_Toc22585"/>
      <w:bookmarkStart w:id="116" w:name="_Toc12588"/>
      <w:bookmarkStart w:id="117" w:name="_Toc9349"/>
      <w:bookmarkStart w:id="118" w:name="_Toc156275840"/>
      <w:bookmarkStart w:id="119" w:name="_Toc3917"/>
      <w:bookmarkStart w:id="120" w:name="_Toc24950"/>
      <w:bookmarkStart w:id="121" w:name="_Toc314210244"/>
      <w:bookmarkStart w:id="122" w:name="_Toc307064394"/>
      <w:bookmarkStart w:id="123" w:name="_Toc309399773"/>
      <w:bookmarkStart w:id="124" w:name="_Toc302677881"/>
      <w:r>
        <w:rPr>
          <w:rFonts w:hint="eastAsia"/>
        </w:rPr>
        <w:t>第</w:t>
      </w:r>
      <w:r>
        <w:t xml:space="preserve">九章 </w:t>
      </w:r>
      <w:r>
        <w:rPr>
          <w:rFonts w:hint="eastAsia"/>
        </w:rPr>
        <w:t>公用工程规划</w:t>
      </w:r>
      <w:bookmarkEnd w:id="111"/>
      <w:bookmarkEnd w:id="112"/>
      <w:bookmarkEnd w:id="113"/>
      <w:bookmarkEnd w:id="114"/>
      <w:bookmarkEnd w:id="115"/>
      <w:bookmarkEnd w:id="116"/>
      <w:bookmarkEnd w:id="117"/>
    </w:p>
    <w:p>
      <w:pPr>
        <w:pStyle w:val="4"/>
        <w:spacing w:before="140" w:after="140"/>
        <w:ind w:firstLine="0" w:firstLineChars="0"/>
        <w:rPr>
          <w:rFonts w:cs="Times New Roman"/>
          <w:sz w:val="28"/>
          <w:szCs w:val="28"/>
        </w:rPr>
      </w:pPr>
      <w:bookmarkStart w:id="125" w:name="_Toc126591883"/>
      <w:bookmarkStart w:id="126" w:name="_Toc13836"/>
      <w:bookmarkStart w:id="127" w:name="_Toc28386"/>
      <w:bookmarkStart w:id="128" w:name="_Toc32597"/>
      <w:bookmarkStart w:id="129" w:name="_Toc7422"/>
      <w:bookmarkStart w:id="130" w:name="_Toc24873"/>
      <w:bookmarkStart w:id="131" w:name="_Toc6004"/>
      <w:bookmarkStart w:id="132" w:name="_Toc27841"/>
      <w:r>
        <w:rPr>
          <w:rFonts w:cs="Times New Roman"/>
          <w:sz w:val="28"/>
          <w:szCs w:val="28"/>
        </w:rPr>
        <w:t xml:space="preserve">9.1 </w:t>
      </w:r>
      <w:r>
        <w:rPr>
          <w:rFonts w:hint="eastAsia"/>
          <w:sz w:val="28"/>
          <w:szCs w:val="28"/>
        </w:rPr>
        <w:t>给水工程规划</w:t>
      </w:r>
      <w:bookmarkEnd w:id="125"/>
      <w:bookmarkEnd w:id="126"/>
      <w:bookmarkEnd w:id="127"/>
      <w:bookmarkEnd w:id="128"/>
      <w:bookmarkEnd w:id="129"/>
      <w:bookmarkEnd w:id="130"/>
      <w:bookmarkEnd w:id="131"/>
      <w:bookmarkEnd w:id="132"/>
    </w:p>
    <w:p>
      <w:pPr>
        <w:ind w:firstLine="0" w:firstLineChars="0"/>
        <w:outlineLvl w:val="2"/>
        <w:rPr>
          <w:rFonts w:cs="Times New Roman"/>
          <w:b/>
          <w:bCs/>
          <w:sz w:val="24"/>
          <w:szCs w:val="24"/>
        </w:rPr>
      </w:pPr>
      <w:bookmarkStart w:id="133" w:name="_Toc25561"/>
      <w:bookmarkStart w:id="134" w:name="_Toc21272"/>
      <w:bookmarkStart w:id="135" w:name="_Toc7764"/>
      <w:bookmarkStart w:id="136" w:name="_Toc14820"/>
      <w:bookmarkStart w:id="137" w:name="_Toc26628"/>
      <w:bookmarkStart w:id="138" w:name="_Toc9293"/>
      <w:r>
        <w:rPr>
          <w:b/>
          <w:bCs/>
          <w:szCs w:val="24"/>
        </w:rPr>
        <w:t>9.1.1</w:t>
      </w:r>
      <w:r>
        <w:rPr>
          <w:rFonts w:hint="eastAsia"/>
          <w:b/>
          <w:bCs/>
          <w:szCs w:val="24"/>
        </w:rPr>
        <w:t>规划依据</w:t>
      </w:r>
      <w:bookmarkEnd w:id="133"/>
      <w:bookmarkEnd w:id="134"/>
      <w:bookmarkEnd w:id="135"/>
      <w:bookmarkEnd w:id="136"/>
      <w:bookmarkEnd w:id="137"/>
      <w:bookmarkEnd w:id="138"/>
    </w:p>
    <w:p>
      <w:pPr>
        <w:ind w:firstLine="560"/>
        <w:rPr>
          <w:szCs w:val="24"/>
        </w:rPr>
      </w:pPr>
      <w:r>
        <w:rPr>
          <w:rFonts w:hint="eastAsia"/>
          <w:szCs w:val="24"/>
        </w:rPr>
        <w:t>（</w:t>
      </w:r>
      <w:r>
        <w:rPr>
          <w:szCs w:val="24"/>
        </w:rPr>
        <w:t>1</w:t>
      </w:r>
      <w:r>
        <w:rPr>
          <w:rFonts w:hint="eastAsia"/>
          <w:szCs w:val="24"/>
        </w:rPr>
        <w:t>）《城市给水工程规划规范》（</w:t>
      </w:r>
      <w:r>
        <w:rPr>
          <w:szCs w:val="24"/>
        </w:rPr>
        <w:t>GB 50282-2016</w:t>
      </w:r>
      <w:r>
        <w:rPr>
          <w:rFonts w:hint="eastAsia"/>
          <w:szCs w:val="24"/>
        </w:rPr>
        <w:t>）。</w:t>
      </w:r>
    </w:p>
    <w:p>
      <w:pPr>
        <w:ind w:firstLine="560"/>
        <w:rPr>
          <w:szCs w:val="24"/>
        </w:rPr>
      </w:pPr>
      <w:r>
        <w:rPr>
          <w:rFonts w:hint="eastAsia"/>
          <w:szCs w:val="24"/>
        </w:rPr>
        <w:t>（</w:t>
      </w:r>
      <w:r>
        <w:rPr>
          <w:szCs w:val="24"/>
        </w:rPr>
        <w:t>2</w:t>
      </w:r>
      <w:r>
        <w:rPr>
          <w:rFonts w:hint="eastAsia"/>
          <w:szCs w:val="24"/>
        </w:rPr>
        <w:t>）《室外给水设计标准》（</w:t>
      </w:r>
      <w:r>
        <w:rPr>
          <w:szCs w:val="24"/>
        </w:rPr>
        <w:t>GB 50013-2018</w:t>
      </w:r>
      <w:r>
        <w:rPr>
          <w:rFonts w:hint="eastAsia"/>
          <w:szCs w:val="24"/>
        </w:rPr>
        <w:t>）。</w:t>
      </w:r>
    </w:p>
    <w:p>
      <w:pPr>
        <w:ind w:firstLine="560"/>
        <w:rPr>
          <w:szCs w:val="24"/>
        </w:rPr>
      </w:pPr>
      <w:r>
        <w:rPr>
          <w:rFonts w:hint="eastAsia"/>
          <w:szCs w:val="24"/>
        </w:rPr>
        <w:t>（</w:t>
      </w:r>
      <w:r>
        <w:rPr>
          <w:szCs w:val="24"/>
        </w:rPr>
        <w:t>3</w:t>
      </w:r>
      <w:r>
        <w:rPr>
          <w:rFonts w:hint="eastAsia"/>
          <w:szCs w:val="24"/>
        </w:rPr>
        <w:t>）《石油化工企业给水排水系统设计规范》（</w:t>
      </w:r>
      <w:r>
        <w:rPr>
          <w:szCs w:val="24"/>
        </w:rPr>
        <w:t>SH/T 3015-2019</w:t>
      </w:r>
      <w:r>
        <w:rPr>
          <w:rFonts w:hint="eastAsia"/>
          <w:szCs w:val="24"/>
        </w:rPr>
        <w:t>）。</w:t>
      </w:r>
    </w:p>
    <w:p>
      <w:pPr>
        <w:ind w:firstLine="560"/>
        <w:rPr>
          <w:szCs w:val="24"/>
        </w:rPr>
      </w:pPr>
      <w:r>
        <w:rPr>
          <w:rFonts w:hint="eastAsia"/>
          <w:szCs w:val="24"/>
        </w:rPr>
        <w:t>（</w:t>
      </w:r>
      <w:r>
        <w:rPr>
          <w:szCs w:val="24"/>
        </w:rPr>
        <w:t>4</w:t>
      </w:r>
      <w:r>
        <w:rPr>
          <w:rFonts w:hint="eastAsia"/>
          <w:szCs w:val="24"/>
        </w:rPr>
        <w:t>）《石油化工企业设计防火标准》（</w:t>
      </w:r>
      <w:r>
        <w:rPr>
          <w:szCs w:val="24"/>
        </w:rPr>
        <w:t>GB 50160-2008</w:t>
      </w:r>
      <w:r>
        <w:rPr>
          <w:rFonts w:hint="eastAsia"/>
          <w:szCs w:val="24"/>
        </w:rPr>
        <w:t>）（</w:t>
      </w:r>
      <w:r>
        <w:rPr>
          <w:szCs w:val="24"/>
        </w:rPr>
        <w:t>2018</w:t>
      </w:r>
      <w:r>
        <w:rPr>
          <w:rFonts w:hint="eastAsia"/>
          <w:szCs w:val="24"/>
        </w:rPr>
        <w:t>年版）。</w:t>
      </w:r>
    </w:p>
    <w:p>
      <w:pPr>
        <w:ind w:firstLine="560"/>
        <w:rPr>
          <w:szCs w:val="24"/>
        </w:rPr>
      </w:pPr>
      <w:r>
        <w:rPr>
          <w:rFonts w:hint="eastAsia"/>
          <w:szCs w:val="24"/>
        </w:rPr>
        <w:t>（</w:t>
      </w:r>
      <w:r>
        <w:rPr>
          <w:szCs w:val="24"/>
        </w:rPr>
        <w:t>5</w:t>
      </w:r>
      <w:r>
        <w:rPr>
          <w:rFonts w:hint="eastAsia"/>
          <w:szCs w:val="24"/>
        </w:rPr>
        <w:t>）《消防给水及消火栓系统技术规范》（</w:t>
      </w:r>
      <w:r>
        <w:rPr>
          <w:szCs w:val="24"/>
        </w:rPr>
        <w:t>GB 50974-2014</w:t>
      </w:r>
      <w:r>
        <w:rPr>
          <w:rFonts w:hint="eastAsia"/>
          <w:szCs w:val="24"/>
        </w:rPr>
        <w:t>）。</w:t>
      </w:r>
    </w:p>
    <w:p>
      <w:pPr>
        <w:ind w:firstLine="560"/>
        <w:rPr>
          <w:szCs w:val="20"/>
        </w:rPr>
      </w:pPr>
      <w:r>
        <w:rPr>
          <w:rFonts w:hint="eastAsia"/>
        </w:rPr>
        <w:t>（</w:t>
      </w:r>
      <w:r>
        <w:t>6</w:t>
      </w:r>
      <w:r>
        <w:rPr>
          <w:rFonts w:hint="eastAsia"/>
        </w:rPr>
        <w:t>）《用水定额》（</w:t>
      </w:r>
      <w:r>
        <w:t>DB52/T 725-2019</w:t>
      </w:r>
      <w:r>
        <w:rPr>
          <w:rFonts w:hint="eastAsia"/>
        </w:rPr>
        <w:t>）。</w:t>
      </w:r>
    </w:p>
    <w:p>
      <w:pPr>
        <w:ind w:firstLine="560"/>
        <w:rPr>
          <w:szCs w:val="24"/>
        </w:rPr>
      </w:pPr>
      <w:r>
        <w:rPr>
          <w:rFonts w:hint="eastAsia"/>
          <w:szCs w:val="24"/>
        </w:rPr>
        <w:t>（</w:t>
      </w:r>
      <w:r>
        <w:rPr>
          <w:szCs w:val="24"/>
        </w:rPr>
        <w:t>7</w:t>
      </w:r>
      <w:r>
        <w:rPr>
          <w:rFonts w:hint="eastAsia"/>
          <w:szCs w:val="24"/>
        </w:rPr>
        <w:t>）项目委托方提供的相关资料。</w:t>
      </w:r>
    </w:p>
    <w:p>
      <w:pPr>
        <w:ind w:firstLine="0" w:firstLineChars="0"/>
        <w:outlineLvl w:val="2"/>
        <w:rPr>
          <w:b/>
          <w:bCs/>
          <w:szCs w:val="24"/>
        </w:rPr>
      </w:pPr>
      <w:bookmarkStart w:id="139" w:name="_Toc9550"/>
      <w:bookmarkStart w:id="140" w:name="_Toc32689"/>
      <w:bookmarkStart w:id="141" w:name="_Toc11262"/>
      <w:bookmarkStart w:id="142" w:name="_Toc22615"/>
      <w:bookmarkStart w:id="143" w:name="_Toc755"/>
      <w:bookmarkStart w:id="144" w:name="_Toc25927"/>
      <w:r>
        <w:rPr>
          <w:b/>
          <w:bCs/>
          <w:szCs w:val="24"/>
        </w:rPr>
        <w:t>9.1.2</w:t>
      </w:r>
      <w:r>
        <w:rPr>
          <w:rFonts w:hint="eastAsia"/>
          <w:b/>
          <w:bCs/>
          <w:szCs w:val="24"/>
        </w:rPr>
        <w:t>规划原则</w:t>
      </w:r>
      <w:bookmarkEnd w:id="139"/>
      <w:bookmarkEnd w:id="140"/>
      <w:bookmarkEnd w:id="141"/>
      <w:bookmarkEnd w:id="142"/>
      <w:bookmarkEnd w:id="143"/>
      <w:bookmarkEnd w:id="144"/>
      <w:r>
        <w:rPr>
          <w:b/>
          <w:bCs/>
          <w:szCs w:val="24"/>
        </w:rPr>
        <w:t xml:space="preserve"> </w:t>
      </w:r>
    </w:p>
    <w:p>
      <w:pPr>
        <w:ind w:firstLine="560"/>
        <w:rPr>
          <w:szCs w:val="24"/>
        </w:rPr>
      </w:pPr>
      <w:r>
        <w:rPr>
          <w:rFonts w:hint="eastAsia"/>
          <w:szCs w:val="24"/>
        </w:rPr>
        <w:t>（</w:t>
      </w:r>
      <w:r>
        <w:rPr>
          <w:szCs w:val="24"/>
        </w:rPr>
        <w:t>1</w:t>
      </w:r>
      <w:r>
        <w:rPr>
          <w:rFonts w:hint="eastAsia"/>
          <w:szCs w:val="24"/>
        </w:rPr>
        <w:t>）园区实施集中供水，给水工程要兼顾现状和未来发展，统筹规划，分期建设，保证给水工程的经济性、安全性和可靠性；</w:t>
      </w:r>
    </w:p>
    <w:p>
      <w:pPr>
        <w:ind w:firstLine="560"/>
        <w:rPr>
          <w:szCs w:val="24"/>
        </w:rPr>
      </w:pPr>
      <w:r>
        <w:rPr>
          <w:rFonts w:hint="eastAsia"/>
          <w:szCs w:val="24"/>
        </w:rPr>
        <w:t>（</w:t>
      </w:r>
      <w:r>
        <w:rPr>
          <w:szCs w:val="24"/>
        </w:rPr>
        <w:t>2</w:t>
      </w:r>
      <w:r>
        <w:rPr>
          <w:rFonts w:hint="eastAsia"/>
          <w:szCs w:val="24"/>
        </w:rPr>
        <w:t>）合理配置水资源，以水定产，推行以计划用水和定额管理相结合的严格节水管理制度；</w:t>
      </w:r>
    </w:p>
    <w:p>
      <w:pPr>
        <w:ind w:firstLine="560"/>
        <w:rPr>
          <w:szCs w:val="24"/>
        </w:rPr>
      </w:pPr>
      <w:r>
        <w:rPr>
          <w:rFonts w:hint="eastAsia"/>
          <w:szCs w:val="24"/>
        </w:rPr>
        <w:t>（</w:t>
      </w:r>
      <w:r>
        <w:rPr>
          <w:szCs w:val="24"/>
        </w:rPr>
        <w:t>3</w:t>
      </w:r>
      <w:r>
        <w:rPr>
          <w:rFonts w:hint="eastAsia"/>
          <w:szCs w:val="24"/>
        </w:rPr>
        <w:t>）园区设置项目入园准入门槛，要引进技术先进、节水降耗的清洁生产项目，严禁高耗水项目进入园区。挖掘工业节水潜力，采用节水型工艺、设备、建立节水型企业。最终，建立节水型园区。</w:t>
      </w:r>
    </w:p>
    <w:p>
      <w:pPr>
        <w:ind w:firstLine="560"/>
        <w:rPr>
          <w:szCs w:val="24"/>
        </w:rPr>
      </w:pPr>
      <w:r>
        <w:rPr>
          <w:rFonts w:hint="eastAsia"/>
          <w:szCs w:val="24"/>
        </w:rPr>
        <w:t>（</w:t>
      </w:r>
      <w:r>
        <w:rPr>
          <w:szCs w:val="24"/>
        </w:rPr>
        <w:t>4</w:t>
      </w:r>
      <w:r>
        <w:rPr>
          <w:rFonts w:hint="eastAsia"/>
          <w:szCs w:val="24"/>
        </w:rPr>
        <w:t>）坚持</w:t>
      </w:r>
      <w:r>
        <w:rPr>
          <w:szCs w:val="24"/>
        </w:rPr>
        <w:t>“</w:t>
      </w:r>
      <w:r>
        <w:rPr>
          <w:rFonts w:hint="eastAsia"/>
          <w:szCs w:val="24"/>
        </w:rPr>
        <w:t>节流优先，治污为本，提高用水效率</w:t>
      </w:r>
      <w:r>
        <w:rPr>
          <w:szCs w:val="24"/>
        </w:rPr>
        <w:t>”</w:t>
      </w:r>
      <w:r>
        <w:rPr>
          <w:rFonts w:hint="eastAsia"/>
          <w:szCs w:val="24"/>
        </w:rPr>
        <w:t>的工业节水方针，加强水资源的高效利用。遵循分质供水、优水优用原则，坚持一水多用、再生水回用，提高水的重复利用率。</w:t>
      </w:r>
    </w:p>
    <w:p>
      <w:pPr>
        <w:ind w:firstLine="560"/>
        <w:rPr>
          <w:szCs w:val="24"/>
        </w:rPr>
      </w:pPr>
      <w:r>
        <w:rPr>
          <w:rFonts w:hint="eastAsia"/>
          <w:szCs w:val="24"/>
        </w:rPr>
        <w:t>规上工业用水重复利用率达到</w:t>
      </w:r>
      <w:r>
        <w:rPr>
          <w:szCs w:val="24"/>
        </w:rPr>
        <w:t>94%</w:t>
      </w:r>
      <w:r>
        <w:rPr>
          <w:rFonts w:hint="eastAsia"/>
          <w:szCs w:val="24"/>
        </w:rPr>
        <w:t>以上。</w:t>
      </w:r>
    </w:p>
    <w:p>
      <w:pPr>
        <w:ind w:firstLine="560"/>
        <w:rPr>
          <w:szCs w:val="24"/>
        </w:rPr>
      </w:pPr>
      <w:r>
        <w:rPr>
          <w:rFonts w:hint="eastAsia"/>
          <w:szCs w:val="24"/>
        </w:rPr>
        <w:t>循环冷却水系统浓缩倍数控制</w:t>
      </w:r>
      <w:r>
        <w:rPr>
          <w:szCs w:val="24"/>
        </w:rPr>
        <w:t>N≥5</w:t>
      </w:r>
      <w:r>
        <w:rPr>
          <w:rFonts w:hint="eastAsia"/>
          <w:szCs w:val="24"/>
        </w:rPr>
        <w:t>。</w:t>
      </w:r>
    </w:p>
    <w:p>
      <w:pPr>
        <w:ind w:firstLine="0" w:firstLineChars="0"/>
        <w:outlineLvl w:val="2"/>
        <w:rPr>
          <w:b/>
          <w:bCs/>
          <w:szCs w:val="24"/>
        </w:rPr>
      </w:pPr>
      <w:bookmarkStart w:id="145" w:name="_Toc3066"/>
      <w:bookmarkStart w:id="146" w:name="_Toc24706"/>
      <w:bookmarkStart w:id="147" w:name="_Toc15847"/>
      <w:bookmarkStart w:id="148" w:name="_Toc8670"/>
      <w:r>
        <w:rPr>
          <w:b/>
          <w:bCs/>
          <w:szCs w:val="24"/>
        </w:rPr>
        <w:t xml:space="preserve">9.1.3 </w:t>
      </w:r>
      <w:r>
        <w:rPr>
          <w:rFonts w:hint="eastAsia"/>
          <w:b/>
          <w:bCs/>
          <w:szCs w:val="24"/>
        </w:rPr>
        <w:t>水源概况、用水量预测</w:t>
      </w:r>
      <w:bookmarkEnd w:id="145"/>
      <w:bookmarkEnd w:id="146"/>
      <w:bookmarkEnd w:id="147"/>
      <w:bookmarkEnd w:id="148"/>
    </w:p>
    <w:p>
      <w:pPr>
        <w:ind w:firstLine="560"/>
        <w:rPr>
          <w:szCs w:val="24"/>
        </w:rPr>
      </w:pPr>
      <w:r>
        <w:rPr>
          <w:szCs w:val="24"/>
        </w:rPr>
        <w:t>1</w:t>
      </w:r>
      <w:r>
        <w:rPr>
          <w:rFonts w:hint="eastAsia"/>
          <w:szCs w:val="24"/>
        </w:rPr>
        <w:t>、水源现状</w:t>
      </w:r>
    </w:p>
    <w:p>
      <w:pPr>
        <w:ind w:firstLine="560"/>
        <w:rPr>
          <w:szCs w:val="24"/>
        </w:rPr>
      </w:pPr>
      <w:r>
        <w:rPr>
          <w:rFonts w:hint="eastAsia"/>
          <w:szCs w:val="24"/>
        </w:rPr>
        <w:t>园区及周边居民现状生活用水为徐家桥水厂供水，徐家桥水厂取水水源主要为旧院水库输水管来水，设计净水能力达到</w:t>
      </w:r>
      <w:r>
        <w:rPr>
          <w:szCs w:val="24"/>
        </w:rPr>
        <w:t>7</w:t>
      </w:r>
      <w:r>
        <w:rPr>
          <w:rFonts w:hint="eastAsia"/>
          <w:szCs w:val="24"/>
        </w:rPr>
        <w:t>万</w:t>
      </w:r>
      <w:r>
        <w:rPr>
          <w:szCs w:val="24"/>
        </w:rPr>
        <w:t>m</w:t>
      </w:r>
      <w:r>
        <w:rPr>
          <w:szCs w:val="24"/>
          <w:vertAlign w:val="superscript"/>
        </w:rPr>
        <w:t>3</w:t>
      </w:r>
      <w:r>
        <w:rPr>
          <w:szCs w:val="24"/>
        </w:rPr>
        <w:t>/</w:t>
      </w:r>
      <w:r>
        <w:rPr>
          <w:rFonts w:hint="eastAsia"/>
          <w:szCs w:val="24"/>
        </w:rPr>
        <w:t>日。此外，路喜片区工业用水为六枝特区河头上水库提供，由于目前园区内企业多未正式投产，河头上水库工业用水供水暂未启用。</w:t>
      </w:r>
    </w:p>
    <w:p>
      <w:pPr>
        <w:ind w:firstLine="560"/>
        <w:rPr>
          <w:szCs w:val="24"/>
        </w:rPr>
      </w:pPr>
      <w:r>
        <w:rPr>
          <w:rFonts w:hint="eastAsia"/>
          <w:szCs w:val="24"/>
        </w:rPr>
        <w:t>六枝特区旧院水库位于六枝特区新场乡旧院村，六枝特区旧院水库为</w:t>
      </w:r>
      <w:r>
        <w:rPr>
          <w:szCs w:val="24"/>
        </w:rPr>
        <w:t>III</w:t>
      </w:r>
      <w:r>
        <w:rPr>
          <w:rFonts w:hint="eastAsia"/>
          <w:szCs w:val="24"/>
        </w:rPr>
        <w:t>等中型工程，水库正常蓄水位</w:t>
      </w:r>
      <w:r>
        <w:rPr>
          <w:szCs w:val="24"/>
        </w:rPr>
        <w:t>1451.00m</w:t>
      </w:r>
      <w:r>
        <w:rPr>
          <w:rFonts w:hint="eastAsia"/>
          <w:szCs w:val="24"/>
        </w:rPr>
        <w:t>，死水位</w:t>
      </w:r>
      <w:r>
        <w:rPr>
          <w:szCs w:val="24"/>
        </w:rPr>
        <w:t>1428.00m</w:t>
      </w:r>
      <w:r>
        <w:rPr>
          <w:rFonts w:hint="eastAsia"/>
          <w:szCs w:val="24"/>
        </w:rPr>
        <w:t>，水库总库容</w:t>
      </w:r>
      <w:r>
        <w:rPr>
          <w:szCs w:val="24"/>
        </w:rPr>
        <w:t>1458</w:t>
      </w:r>
      <w:r>
        <w:rPr>
          <w:rFonts w:hint="eastAsia"/>
          <w:szCs w:val="24"/>
        </w:rPr>
        <w:t>万</w:t>
      </w:r>
      <w:r>
        <w:rPr>
          <w:szCs w:val="24"/>
        </w:rPr>
        <w:t>m</w:t>
      </w:r>
      <w:r>
        <w:rPr>
          <w:szCs w:val="24"/>
          <w:vertAlign w:val="superscript"/>
        </w:rPr>
        <w:t>3</w:t>
      </w:r>
      <w:r>
        <w:rPr>
          <w:rFonts w:hint="eastAsia"/>
          <w:szCs w:val="24"/>
        </w:rPr>
        <w:t>，死库容</w:t>
      </w:r>
      <w:r>
        <w:rPr>
          <w:szCs w:val="24"/>
        </w:rPr>
        <w:t>183</w:t>
      </w:r>
      <w:r>
        <w:rPr>
          <w:rFonts w:hint="eastAsia"/>
          <w:szCs w:val="24"/>
        </w:rPr>
        <w:t>万</w:t>
      </w:r>
      <w:r>
        <w:rPr>
          <w:szCs w:val="24"/>
        </w:rPr>
        <w:t>m</w:t>
      </w:r>
      <w:r>
        <w:rPr>
          <w:szCs w:val="24"/>
          <w:vertAlign w:val="superscript"/>
        </w:rPr>
        <w:t>3</w:t>
      </w:r>
      <w:r>
        <w:rPr>
          <w:rFonts w:hint="eastAsia"/>
          <w:szCs w:val="24"/>
        </w:rPr>
        <w:t>。水库多年平均供水量为</w:t>
      </w:r>
      <w:r>
        <w:rPr>
          <w:szCs w:val="24"/>
        </w:rPr>
        <w:t>2573.7</w:t>
      </w:r>
      <w:r>
        <w:rPr>
          <w:rFonts w:hint="eastAsia"/>
          <w:szCs w:val="24"/>
        </w:rPr>
        <w:t>万</w:t>
      </w:r>
      <w:r>
        <w:rPr>
          <w:szCs w:val="24"/>
        </w:rPr>
        <w:t>m</w:t>
      </w:r>
      <w:r>
        <w:rPr>
          <w:szCs w:val="24"/>
          <w:vertAlign w:val="superscript"/>
        </w:rPr>
        <w:t>3</w:t>
      </w:r>
      <w:r>
        <w:rPr>
          <w:rFonts w:hint="eastAsia"/>
          <w:szCs w:val="24"/>
        </w:rPr>
        <w:t>，其中城市生活供水为</w:t>
      </w:r>
      <w:r>
        <w:rPr>
          <w:szCs w:val="24"/>
        </w:rPr>
        <w:t>1306.7</w:t>
      </w:r>
      <w:r>
        <w:rPr>
          <w:rFonts w:hint="eastAsia"/>
          <w:szCs w:val="24"/>
        </w:rPr>
        <w:t>万</w:t>
      </w:r>
      <w:r>
        <w:rPr>
          <w:szCs w:val="24"/>
        </w:rPr>
        <w:t>m</w:t>
      </w:r>
      <w:r>
        <w:rPr>
          <w:szCs w:val="24"/>
          <w:vertAlign w:val="superscript"/>
        </w:rPr>
        <w:t>3</w:t>
      </w:r>
      <w:r>
        <w:rPr>
          <w:rFonts w:hint="eastAsia"/>
          <w:szCs w:val="24"/>
        </w:rPr>
        <w:t>，农业灌溉供水量为</w:t>
      </w:r>
      <w:r>
        <w:rPr>
          <w:szCs w:val="24"/>
        </w:rPr>
        <w:t>1267</w:t>
      </w:r>
      <w:r>
        <w:rPr>
          <w:rFonts w:hint="eastAsia"/>
          <w:szCs w:val="24"/>
        </w:rPr>
        <w:t>万</w:t>
      </w:r>
      <w:r>
        <w:rPr>
          <w:szCs w:val="24"/>
        </w:rPr>
        <w:t>m</w:t>
      </w:r>
      <w:r>
        <w:rPr>
          <w:szCs w:val="24"/>
          <w:vertAlign w:val="superscript"/>
        </w:rPr>
        <w:t>3</w:t>
      </w:r>
      <w:r>
        <w:rPr>
          <w:rFonts w:hint="eastAsia"/>
          <w:szCs w:val="24"/>
        </w:rPr>
        <w:t>。</w:t>
      </w:r>
    </w:p>
    <w:p>
      <w:pPr>
        <w:ind w:firstLine="560"/>
        <w:rPr>
          <w:szCs w:val="24"/>
        </w:rPr>
      </w:pPr>
      <w:r>
        <w:rPr>
          <w:rFonts w:hint="eastAsia"/>
          <w:szCs w:val="24"/>
        </w:rPr>
        <w:t>六枝特区河头上水库位于六枝特区岩脚镇西北侧的岩脚河上，六枝特区河头上水库的任务是工业供水，向路喜园区供水量为</w:t>
      </w:r>
      <w:r>
        <w:rPr>
          <w:szCs w:val="24"/>
        </w:rPr>
        <w:t>2148</w:t>
      </w:r>
      <w:r>
        <w:rPr>
          <w:rFonts w:hint="eastAsia"/>
          <w:szCs w:val="24"/>
        </w:rPr>
        <w:t>万</w:t>
      </w:r>
      <w:r>
        <w:rPr>
          <w:szCs w:val="24"/>
        </w:rPr>
        <w:t>m</w:t>
      </w:r>
      <w:r>
        <w:rPr>
          <w:szCs w:val="24"/>
          <w:vertAlign w:val="superscript"/>
        </w:rPr>
        <w:t>3</w:t>
      </w:r>
      <w:r>
        <w:rPr>
          <w:szCs w:val="24"/>
        </w:rPr>
        <w:t>/a</w:t>
      </w:r>
      <w:r>
        <w:rPr>
          <w:rFonts w:hint="eastAsia"/>
          <w:szCs w:val="24"/>
        </w:rPr>
        <w:t>（</w:t>
      </w:r>
      <w:r>
        <w:rPr>
          <w:szCs w:val="24"/>
        </w:rPr>
        <w:t>P=95%</w:t>
      </w:r>
      <w:r>
        <w:rPr>
          <w:rFonts w:hint="eastAsia"/>
          <w:szCs w:val="24"/>
        </w:rPr>
        <w:t>）。河头上水库正常蓄水位</w:t>
      </w:r>
      <w:r>
        <w:rPr>
          <w:szCs w:val="24"/>
        </w:rPr>
        <w:t>1254.0m</w:t>
      </w:r>
      <w:r>
        <w:rPr>
          <w:rFonts w:hint="eastAsia"/>
          <w:szCs w:val="24"/>
        </w:rPr>
        <w:t>，死水位</w:t>
      </w:r>
      <w:r>
        <w:rPr>
          <w:szCs w:val="24"/>
        </w:rPr>
        <w:t>1228.0m</w:t>
      </w:r>
      <w:r>
        <w:rPr>
          <w:rFonts w:hint="eastAsia"/>
          <w:szCs w:val="24"/>
        </w:rPr>
        <w:t>，水库库容</w:t>
      </w:r>
      <w:r>
        <w:rPr>
          <w:szCs w:val="24"/>
        </w:rPr>
        <w:t>1602</w:t>
      </w:r>
      <w:r>
        <w:rPr>
          <w:rFonts w:hint="eastAsia"/>
          <w:szCs w:val="24"/>
        </w:rPr>
        <w:t>万</w:t>
      </w:r>
      <w:r>
        <w:rPr>
          <w:szCs w:val="24"/>
        </w:rPr>
        <w:t>m</w:t>
      </w:r>
      <w:r>
        <w:rPr>
          <w:szCs w:val="24"/>
          <w:vertAlign w:val="superscript"/>
        </w:rPr>
        <w:t>3</w:t>
      </w:r>
      <w:r>
        <w:rPr>
          <w:rFonts w:hint="eastAsia"/>
          <w:szCs w:val="24"/>
        </w:rPr>
        <w:t>。</w:t>
      </w:r>
    </w:p>
    <w:p>
      <w:pPr>
        <w:ind w:firstLine="560"/>
        <w:rPr>
          <w:szCs w:val="24"/>
        </w:rPr>
      </w:pPr>
      <w:r>
        <w:rPr>
          <w:szCs w:val="24"/>
        </w:rPr>
        <w:t>2</w:t>
      </w:r>
      <w:r>
        <w:rPr>
          <w:rFonts w:hint="eastAsia"/>
          <w:szCs w:val="24"/>
        </w:rPr>
        <w:t>、用水量预测</w:t>
      </w:r>
    </w:p>
    <w:p>
      <w:pPr>
        <w:ind w:firstLine="560"/>
        <w:rPr>
          <w:szCs w:val="24"/>
        </w:rPr>
      </w:pPr>
      <w:r>
        <w:rPr>
          <w:rFonts w:hint="eastAsia"/>
          <w:szCs w:val="24"/>
        </w:rPr>
        <w:t>以工业项目为主的区域用水量预测有两种方法：单位用地指标法和分类加和法。单位用地指标法是确定建设用地用水量指标后，根据规划用地规模推算用水量；分类加和法是根据产业规划确定的产业链及项目，结合同类项目用水量资料计算得出。实际规划工作中，工业项目由于所属产业类别、清洁生产水平等差异，用水量相差很大。园区作为化工产业集聚发展区域，产业类别及规划方案较为具体，根据产业规划方案应用分类加和法预测针对性强，能够更加真实的反映出园区实际用水需求。</w:t>
      </w:r>
    </w:p>
    <w:p>
      <w:pPr>
        <w:ind w:firstLine="560"/>
        <w:rPr>
          <w:szCs w:val="24"/>
        </w:rPr>
      </w:pPr>
      <w:r>
        <w:rPr>
          <w:szCs w:val="24"/>
        </w:rPr>
        <w:t>1</w:t>
      </w:r>
      <w:r>
        <w:rPr>
          <w:rFonts w:hint="eastAsia"/>
          <w:szCs w:val="24"/>
        </w:rPr>
        <w:t>、规划的产业项目，参照国内、国际类似先进工艺用水量指标预测。同时考虑规划弹性，按类似化工园区统计值校核。</w:t>
      </w:r>
    </w:p>
    <w:p>
      <w:pPr>
        <w:ind w:firstLine="560"/>
        <w:rPr>
          <w:szCs w:val="24"/>
        </w:rPr>
      </w:pPr>
      <w:r>
        <w:rPr>
          <w:szCs w:val="24"/>
        </w:rPr>
        <w:t>2</w:t>
      </w:r>
      <w:r>
        <w:rPr>
          <w:rFonts w:hint="eastAsia"/>
          <w:szCs w:val="24"/>
        </w:rPr>
        <w:t>、其它地块按性质测算，执行《城市给水工程规划规范》（</w:t>
      </w:r>
      <w:r>
        <w:rPr>
          <w:szCs w:val="24"/>
        </w:rPr>
        <w:t>GB 50282-2016</w:t>
      </w:r>
      <w:r>
        <w:rPr>
          <w:rFonts w:hint="eastAsia"/>
          <w:szCs w:val="24"/>
        </w:rPr>
        <w:t>）的规定，结合园区实际情况确定。</w:t>
      </w:r>
    </w:p>
    <w:p>
      <w:pPr>
        <w:ind w:firstLine="560"/>
        <w:rPr>
          <w:szCs w:val="24"/>
        </w:rPr>
      </w:pPr>
      <w:r>
        <w:rPr>
          <w:szCs w:val="24"/>
        </w:rPr>
        <w:t>3</w:t>
      </w:r>
      <w:r>
        <w:rPr>
          <w:rFonts w:hint="eastAsia"/>
          <w:szCs w:val="24"/>
        </w:rPr>
        <w:t>、生活用水</w:t>
      </w:r>
    </w:p>
    <w:p>
      <w:pPr>
        <w:ind w:firstLine="560"/>
        <w:rPr>
          <w:szCs w:val="24"/>
        </w:rPr>
      </w:pPr>
      <w:r>
        <w:rPr>
          <w:rFonts w:hint="eastAsia"/>
          <w:szCs w:val="24"/>
        </w:rPr>
        <w:t>生活用水指标采用</w:t>
      </w:r>
      <w:r>
        <w:rPr>
          <w:szCs w:val="24"/>
        </w:rPr>
        <w:t>150</w:t>
      </w:r>
      <w:r>
        <w:rPr>
          <w:rFonts w:hint="eastAsia"/>
          <w:szCs w:val="24"/>
        </w:rPr>
        <w:t>升</w:t>
      </w:r>
      <w:r>
        <w:rPr>
          <w:szCs w:val="24"/>
        </w:rPr>
        <w:t>/</w:t>
      </w:r>
      <w:r>
        <w:rPr>
          <w:rFonts w:hint="eastAsia"/>
          <w:szCs w:val="24"/>
        </w:rPr>
        <w:t>人</w:t>
      </w:r>
      <w:r>
        <w:rPr>
          <w:szCs w:val="24"/>
        </w:rPr>
        <w:t>•</w:t>
      </w:r>
      <w:r>
        <w:rPr>
          <w:rFonts w:hint="eastAsia"/>
          <w:szCs w:val="24"/>
        </w:rPr>
        <w:t>天。</w:t>
      </w:r>
    </w:p>
    <w:p>
      <w:pPr>
        <w:ind w:firstLine="560"/>
        <w:rPr>
          <w:szCs w:val="24"/>
        </w:rPr>
      </w:pPr>
      <w:r>
        <w:rPr>
          <w:rFonts w:hint="eastAsia"/>
          <w:szCs w:val="24"/>
        </w:rPr>
        <w:t>经预测，规划期末园区需新鲜水量为</w:t>
      </w:r>
      <w:r>
        <w:rPr>
          <w:szCs w:val="24"/>
        </w:rPr>
        <w:t>27342</w:t>
      </w:r>
      <w:r>
        <w:rPr>
          <w:rFonts w:hint="eastAsia"/>
          <w:szCs w:val="24"/>
        </w:rPr>
        <w:t>立方米</w:t>
      </w:r>
      <w:r>
        <w:rPr>
          <w:szCs w:val="24"/>
        </w:rPr>
        <w:t>/</w:t>
      </w:r>
      <w:r>
        <w:rPr>
          <w:rFonts w:hint="eastAsia"/>
          <w:szCs w:val="24"/>
        </w:rPr>
        <w:t>天（需原水量为</w:t>
      </w:r>
      <w:r>
        <w:rPr>
          <w:szCs w:val="24"/>
        </w:rPr>
        <w:t>886.28</w:t>
      </w:r>
      <w:r>
        <w:rPr>
          <w:rFonts w:hint="eastAsia"/>
          <w:szCs w:val="24"/>
        </w:rPr>
        <w:t>万立方米</w:t>
      </w:r>
      <w:r>
        <w:rPr>
          <w:szCs w:val="24"/>
        </w:rPr>
        <w:t>/</w:t>
      </w:r>
      <w:r>
        <w:rPr>
          <w:rFonts w:hint="eastAsia"/>
          <w:szCs w:val="24"/>
        </w:rPr>
        <w:t>年）；考虑再生水回用后，需新鲜水量为</w:t>
      </w:r>
      <w:r>
        <w:rPr>
          <w:szCs w:val="24"/>
        </w:rPr>
        <w:t>10936.8</w:t>
      </w:r>
      <w:r>
        <w:rPr>
          <w:rFonts w:hint="eastAsia"/>
          <w:szCs w:val="24"/>
        </w:rPr>
        <w:t>立方米</w:t>
      </w:r>
      <w:r>
        <w:rPr>
          <w:szCs w:val="24"/>
        </w:rPr>
        <w:t>/</w:t>
      </w:r>
      <w:r>
        <w:rPr>
          <w:rFonts w:hint="eastAsia"/>
          <w:szCs w:val="24"/>
        </w:rPr>
        <w:t>天（需原水量为</w:t>
      </w:r>
      <w:r>
        <w:rPr>
          <w:szCs w:val="24"/>
        </w:rPr>
        <w:t>354.51</w:t>
      </w:r>
      <w:r>
        <w:rPr>
          <w:rFonts w:hint="eastAsia"/>
          <w:szCs w:val="24"/>
        </w:rPr>
        <w:t>万立方米</w:t>
      </w:r>
      <w:r>
        <w:rPr>
          <w:szCs w:val="24"/>
        </w:rPr>
        <w:t>/</w:t>
      </w:r>
      <w:r>
        <w:rPr>
          <w:rFonts w:hint="eastAsia"/>
          <w:szCs w:val="24"/>
        </w:rPr>
        <w:t>年），具体如下表所示。</w:t>
      </w:r>
    </w:p>
    <w:p>
      <w:pPr>
        <w:ind w:firstLine="422"/>
        <w:jc w:val="center"/>
        <w:rPr>
          <w:b/>
          <w:bCs/>
          <w:sz w:val="21"/>
          <w:highlight w:val="yellow"/>
        </w:rPr>
      </w:pPr>
      <w:r>
        <w:rPr>
          <w:rFonts w:hint="eastAsia"/>
          <w:b/>
          <w:bCs/>
          <w:sz w:val="21"/>
        </w:rPr>
        <w:t>表</w:t>
      </w:r>
      <w:r>
        <w:rPr>
          <w:b/>
          <w:bCs/>
          <w:sz w:val="21"/>
        </w:rPr>
        <w:t xml:space="preserve">9.1-1  </w:t>
      </w:r>
      <w:r>
        <w:rPr>
          <w:rFonts w:hint="eastAsia"/>
          <w:b/>
          <w:bCs/>
          <w:sz w:val="21"/>
        </w:rPr>
        <w:t>用水量预测表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40"/>
        <w:gridCol w:w="3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40"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用地分类</w:t>
            </w:r>
          </w:p>
        </w:tc>
        <w:tc>
          <w:tcPr>
            <w:tcW w:w="3191"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需水总量（立方米</w:t>
            </w:r>
            <w:r>
              <w:rPr>
                <w:sz w:val="21"/>
              </w:rPr>
              <w:t>/</w:t>
            </w:r>
            <w:r>
              <w:rPr>
                <w:rFonts w:hint="eastAsia"/>
                <w:sz w:val="21"/>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40"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现代煤化工产业用地</w:t>
            </w:r>
          </w:p>
        </w:tc>
        <w:tc>
          <w:tcPr>
            <w:tcW w:w="3191"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19806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40"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精细化工产业用地</w:t>
            </w:r>
          </w:p>
        </w:tc>
        <w:tc>
          <w:tcPr>
            <w:tcW w:w="3191"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6497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40"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道路及交通设施用地</w:t>
            </w:r>
          </w:p>
        </w:tc>
        <w:tc>
          <w:tcPr>
            <w:tcW w:w="3191"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296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40"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绿地与广场用地</w:t>
            </w:r>
          </w:p>
        </w:tc>
        <w:tc>
          <w:tcPr>
            <w:tcW w:w="3191"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159.5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40"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生活用水</w:t>
            </w:r>
          </w:p>
        </w:tc>
        <w:tc>
          <w:tcPr>
            <w:tcW w:w="3191"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583.5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40"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合计</w:t>
            </w:r>
          </w:p>
        </w:tc>
        <w:tc>
          <w:tcPr>
            <w:tcW w:w="3191"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27342</w:t>
            </w:r>
          </w:p>
        </w:tc>
      </w:tr>
    </w:tbl>
    <w:p>
      <w:pPr>
        <w:ind w:firstLine="0" w:firstLineChars="0"/>
        <w:outlineLvl w:val="2"/>
        <w:rPr>
          <w:rFonts w:cs="Times New Roman"/>
          <w:b/>
          <w:bCs/>
          <w:sz w:val="24"/>
          <w:szCs w:val="24"/>
        </w:rPr>
      </w:pPr>
      <w:bookmarkStart w:id="149" w:name="_Toc31641"/>
      <w:bookmarkStart w:id="150" w:name="_Toc17767"/>
      <w:bookmarkStart w:id="151" w:name="_Toc5082"/>
      <w:bookmarkStart w:id="152" w:name="_Toc25958"/>
      <w:bookmarkStart w:id="153" w:name="_Toc18219"/>
      <w:bookmarkStart w:id="154" w:name="_Toc32581"/>
      <w:r>
        <w:rPr>
          <w:b/>
          <w:bCs/>
          <w:szCs w:val="24"/>
        </w:rPr>
        <w:t xml:space="preserve">9.1.4 </w:t>
      </w:r>
      <w:r>
        <w:rPr>
          <w:rFonts w:hint="eastAsia"/>
          <w:b/>
          <w:bCs/>
          <w:szCs w:val="24"/>
        </w:rPr>
        <w:t>水源规划</w:t>
      </w:r>
      <w:bookmarkEnd w:id="149"/>
      <w:bookmarkEnd w:id="150"/>
      <w:bookmarkEnd w:id="151"/>
      <w:bookmarkEnd w:id="152"/>
      <w:bookmarkEnd w:id="153"/>
      <w:bookmarkEnd w:id="154"/>
    </w:p>
    <w:p>
      <w:pPr>
        <w:ind w:firstLine="560"/>
        <w:rPr>
          <w:szCs w:val="24"/>
        </w:rPr>
      </w:pPr>
      <w:r>
        <w:rPr>
          <w:rFonts w:hint="eastAsia"/>
          <w:szCs w:val="24"/>
        </w:rPr>
        <w:t>六枝特区现代化工产业园每年需原水量为</w:t>
      </w:r>
      <w:r>
        <w:rPr>
          <w:szCs w:val="24"/>
        </w:rPr>
        <w:t>886.28</w:t>
      </w:r>
      <w:r>
        <w:rPr>
          <w:rFonts w:hint="eastAsia"/>
          <w:szCs w:val="24"/>
        </w:rPr>
        <w:t>万立方米。根据对园区周边供水水源分布及近几年供水水源供水状况，以旧院水库和河头上水库作为园区主要供水水源是有保障的。规划建议园区合理开发配置地表水源，充分利用再生水、雨水等非常规水资源，加强节约用水，保障供水安全，形成</w:t>
      </w:r>
      <w:r>
        <w:rPr>
          <w:szCs w:val="24"/>
        </w:rPr>
        <w:t>“</w:t>
      </w:r>
      <w:r>
        <w:rPr>
          <w:rFonts w:hint="eastAsia"/>
          <w:szCs w:val="24"/>
        </w:rPr>
        <w:t>多水源供水、丰枯相济、余缺互补</w:t>
      </w:r>
      <w:r>
        <w:rPr>
          <w:szCs w:val="24"/>
        </w:rPr>
        <w:t>”</w:t>
      </w:r>
      <w:r>
        <w:rPr>
          <w:rFonts w:hint="eastAsia"/>
          <w:szCs w:val="24"/>
        </w:rPr>
        <w:t>的水资源优化配置格局。</w:t>
      </w:r>
    </w:p>
    <w:p>
      <w:pPr>
        <w:ind w:firstLine="0" w:firstLineChars="0"/>
        <w:outlineLvl w:val="2"/>
        <w:rPr>
          <w:b/>
          <w:bCs/>
          <w:szCs w:val="24"/>
        </w:rPr>
      </w:pPr>
      <w:bookmarkStart w:id="155" w:name="_Toc2378"/>
      <w:bookmarkStart w:id="156" w:name="_Toc11152"/>
      <w:bookmarkStart w:id="157" w:name="_Toc28659"/>
      <w:bookmarkStart w:id="158" w:name="_Toc9910"/>
      <w:bookmarkStart w:id="159" w:name="_Toc12186"/>
      <w:bookmarkStart w:id="160" w:name="_Toc6922"/>
      <w:r>
        <w:rPr>
          <w:b/>
          <w:bCs/>
          <w:szCs w:val="24"/>
        </w:rPr>
        <w:t xml:space="preserve">9.1.5 </w:t>
      </w:r>
      <w:r>
        <w:rPr>
          <w:rFonts w:hint="eastAsia"/>
          <w:b/>
          <w:bCs/>
          <w:szCs w:val="24"/>
        </w:rPr>
        <w:t>给水厂及给水管网规划</w:t>
      </w:r>
      <w:bookmarkEnd w:id="155"/>
      <w:bookmarkEnd w:id="156"/>
      <w:bookmarkEnd w:id="157"/>
      <w:bookmarkEnd w:id="158"/>
      <w:bookmarkEnd w:id="159"/>
      <w:bookmarkEnd w:id="160"/>
    </w:p>
    <w:p>
      <w:pPr>
        <w:ind w:firstLine="560"/>
        <w:rPr>
          <w:szCs w:val="24"/>
        </w:rPr>
      </w:pPr>
      <w:r>
        <w:rPr>
          <w:szCs w:val="24"/>
        </w:rPr>
        <w:t xml:space="preserve">9.5.1.1 </w:t>
      </w:r>
      <w:r>
        <w:rPr>
          <w:rFonts w:hint="eastAsia"/>
          <w:szCs w:val="24"/>
        </w:rPr>
        <w:t>给水厂规划</w:t>
      </w:r>
    </w:p>
    <w:p>
      <w:pPr>
        <w:ind w:firstLine="560"/>
        <w:rPr>
          <w:szCs w:val="24"/>
        </w:rPr>
      </w:pPr>
      <w:r>
        <w:rPr>
          <w:rFonts w:hint="eastAsia"/>
          <w:szCs w:val="24"/>
        </w:rPr>
        <w:t>根据用水量测算及园区现状供水情况，工业用水现有设施能满足规划远期的供水需求，不需要再规划给水厂。园区由徐家桥水厂与那心水厂联合供水，供水水源为旧院水库和河头上水库。</w:t>
      </w:r>
    </w:p>
    <w:p>
      <w:pPr>
        <w:ind w:firstLine="560"/>
        <w:rPr>
          <w:szCs w:val="24"/>
        </w:rPr>
      </w:pPr>
      <w:r>
        <w:rPr>
          <w:szCs w:val="24"/>
        </w:rPr>
        <w:t>9.5.1.2</w:t>
      </w:r>
      <w:r>
        <w:rPr>
          <w:rFonts w:hint="eastAsia"/>
          <w:szCs w:val="24"/>
        </w:rPr>
        <w:t>给水管网规划</w:t>
      </w:r>
    </w:p>
    <w:p>
      <w:pPr>
        <w:ind w:firstLine="560"/>
        <w:rPr>
          <w:szCs w:val="24"/>
        </w:rPr>
      </w:pPr>
      <w:r>
        <w:rPr>
          <w:rFonts w:hint="eastAsia"/>
          <w:szCs w:val="24"/>
        </w:rPr>
        <w:t>园区给水系统遵循分质供水原则，规划生活给水系统、生产</w:t>
      </w:r>
      <w:r>
        <w:rPr>
          <w:szCs w:val="24"/>
        </w:rPr>
        <w:t>-</w:t>
      </w:r>
      <w:r>
        <w:rPr>
          <w:rFonts w:hint="eastAsia"/>
          <w:szCs w:val="24"/>
        </w:rPr>
        <w:t>低压消防给水系统、循环冷却水系统，中水回用系统。</w:t>
      </w:r>
    </w:p>
    <w:p>
      <w:pPr>
        <w:ind w:firstLine="560"/>
        <w:rPr>
          <w:szCs w:val="24"/>
        </w:rPr>
      </w:pPr>
      <w:r>
        <w:rPr>
          <w:rFonts w:hint="eastAsia"/>
          <w:szCs w:val="24"/>
        </w:rPr>
        <w:t>（</w:t>
      </w:r>
      <w:r>
        <w:rPr>
          <w:szCs w:val="24"/>
        </w:rPr>
        <w:t>1</w:t>
      </w:r>
      <w:r>
        <w:rPr>
          <w:rFonts w:hint="eastAsia"/>
          <w:szCs w:val="24"/>
        </w:rPr>
        <w:t>）生活水给水系统</w:t>
      </w:r>
    </w:p>
    <w:p>
      <w:pPr>
        <w:ind w:firstLine="560"/>
        <w:rPr>
          <w:szCs w:val="24"/>
        </w:rPr>
      </w:pPr>
      <w:r>
        <w:rPr>
          <w:rFonts w:hint="eastAsia"/>
          <w:szCs w:val="24"/>
        </w:rPr>
        <w:t>生活给水系统应为入园项目提供所需生活用水，主要包括办公室、化验室、浴室等生活及安全淋浴用水、洗眼器用水、化验用水等。给水规格如下：</w:t>
      </w:r>
    </w:p>
    <w:p>
      <w:pPr>
        <w:ind w:firstLine="560"/>
        <w:rPr>
          <w:szCs w:val="24"/>
        </w:rPr>
      </w:pPr>
      <w:r>
        <w:rPr>
          <w:rFonts w:hint="eastAsia"/>
          <w:szCs w:val="24"/>
        </w:rPr>
        <w:t>水质：符合《生活饮用水卫生标准》（</w:t>
      </w:r>
      <w:r>
        <w:rPr>
          <w:szCs w:val="24"/>
        </w:rPr>
        <w:t>GB 5749-2006</w:t>
      </w:r>
      <w:r>
        <w:rPr>
          <w:rFonts w:hint="eastAsia"/>
          <w:szCs w:val="24"/>
        </w:rPr>
        <w:t>）。</w:t>
      </w:r>
    </w:p>
    <w:p>
      <w:pPr>
        <w:ind w:firstLine="560"/>
        <w:rPr>
          <w:szCs w:val="24"/>
        </w:rPr>
      </w:pPr>
      <w:r>
        <w:rPr>
          <w:rFonts w:hint="eastAsia"/>
          <w:szCs w:val="24"/>
        </w:rPr>
        <w:t>水压：应根据最高时用水量及最不利点所需压力计算，通常</w:t>
      </w:r>
      <w:r>
        <w:rPr>
          <w:szCs w:val="24"/>
        </w:rPr>
        <w:t>≥0.28</w:t>
      </w:r>
      <w:r>
        <w:rPr>
          <w:rFonts w:hint="eastAsia"/>
          <w:szCs w:val="24"/>
        </w:rPr>
        <w:t>兆帕。</w:t>
      </w:r>
    </w:p>
    <w:p>
      <w:pPr>
        <w:ind w:firstLine="560"/>
        <w:rPr>
          <w:szCs w:val="24"/>
        </w:rPr>
      </w:pPr>
      <w:r>
        <w:rPr>
          <w:rFonts w:hint="eastAsia"/>
          <w:szCs w:val="24"/>
        </w:rPr>
        <w:t>水温：常温。</w:t>
      </w:r>
    </w:p>
    <w:p>
      <w:pPr>
        <w:ind w:firstLine="560"/>
        <w:rPr>
          <w:szCs w:val="24"/>
        </w:rPr>
      </w:pPr>
      <w:r>
        <w:rPr>
          <w:rFonts w:hint="eastAsia"/>
          <w:szCs w:val="24"/>
        </w:rPr>
        <w:t>（</w:t>
      </w:r>
      <w:r>
        <w:rPr>
          <w:szCs w:val="24"/>
        </w:rPr>
        <w:t>2</w:t>
      </w:r>
      <w:r>
        <w:rPr>
          <w:rFonts w:hint="eastAsia"/>
          <w:szCs w:val="24"/>
        </w:rPr>
        <w:t>）生产</w:t>
      </w:r>
      <w:r>
        <w:rPr>
          <w:szCs w:val="24"/>
        </w:rPr>
        <w:t>-</w:t>
      </w:r>
      <w:r>
        <w:rPr>
          <w:rFonts w:hint="eastAsia"/>
          <w:szCs w:val="24"/>
        </w:rPr>
        <w:t>低压消防给水系统</w:t>
      </w:r>
    </w:p>
    <w:p>
      <w:pPr>
        <w:ind w:firstLine="560"/>
        <w:rPr>
          <w:szCs w:val="24"/>
        </w:rPr>
      </w:pPr>
      <w:r>
        <w:rPr>
          <w:rFonts w:hint="eastAsia"/>
          <w:szCs w:val="24"/>
        </w:rPr>
        <w:t>生产用水应为各项目生产装置及辅助设施提供生产用水，主要包括各生产装置用水、循环冷却水系统补充水、脱盐水系统补充水、地面冲洗水、低压消防用水及场地用水等。由于生产给水管网同时承担低压消防供水任务，火灾消防时的节点压力应不小于</w:t>
      </w:r>
      <w:r>
        <w:rPr>
          <w:szCs w:val="24"/>
        </w:rPr>
        <w:t>0.15</w:t>
      </w:r>
      <w:r>
        <w:rPr>
          <w:rFonts w:hint="eastAsia"/>
          <w:szCs w:val="24"/>
        </w:rPr>
        <w:t>兆帕。给水规格如下：</w:t>
      </w:r>
    </w:p>
    <w:p>
      <w:pPr>
        <w:ind w:firstLine="560"/>
        <w:rPr>
          <w:szCs w:val="24"/>
        </w:rPr>
      </w:pPr>
      <w:r>
        <w:rPr>
          <w:rFonts w:hint="eastAsia"/>
          <w:szCs w:val="24"/>
        </w:rPr>
        <w:t>水质：符合《石油化工给水排水水质标准》（</w:t>
      </w:r>
      <w:r>
        <w:rPr>
          <w:szCs w:val="24"/>
        </w:rPr>
        <w:t>SH/T 3099-2021</w:t>
      </w:r>
      <w:r>
        <w:rPr>
          <w:rFonts w:hint="eastAsia"/>
          <w:szCs w:val="24"/>
        </w:rPr>
        <w:t>）。</w:t>
      </w:r>
    </w:p>
    <w:p>
      <w:pPr>
        <w:ind w:firstLine="560"/>
        <w:rPr>
          <w:szCs w:val="24"/>
        </w:rPr>
      </w:pPr>
      <w:r>
        <w:rPr>
          <w:rFonts w:hint="eastAsia"/>
          <w:szCs w:val="24"/>
        </w:rPr>
        <w:t>水压：</w:t>
      </w:r>
      <w:r>
        <w:rPr>
          <w:szCs w:val="24"/>
        </w:rPr>
        <w:t>≥0.28</w:t>
      </w:r>
      <w:r>
        <w:rPr>
          <w:rFonts w:hint="eastAsia"/>
          <w:szCs w:val="24"/>
        </w:rPr>
        <w:t>兆帕（自地面算起）。</w:t>
      </w:r>
    </w:p>
    <w:p>
      <w:pPr>
        <w:ind w:firstLine="560"/>
        <w:rPr>
          <w:szCs w:val="24"/>
        </w:rPr>
      </w:pPr>
      <w:r>
        <w:rPr>
          <w:rFonts w:hint="eastAsia"/>
          <w:szCs w:val="24"/>
        </w:rPr>
        <w:t>水温：常温。</w:t>
      </w:r>
    </w:p>
    <w:p>
      <w:pPr>
        <w:ind w:firstLine="560"/>
        <w:rPr>
          <w:szCs w:val="24"/>
        </w:rPr>
      </w:pPr>
      <w:r>
        <w:rPr>
          <w:rFonts w:hint="eastAsia"/>
          <w:szCs w:val="24"/>
        </w:rPr>
        <w:t>（</w:t>
      </w:r>
      <w:r>
        <w:rPr>
          <w:szCs w:val="24"/>
        </w:rPr>
        <w:t>3</w:t>
      </w:r>
      <w:r>
        <w:rPr>
          <w:rFonts w:hint="eastAsia"/>
          <w:szCs w:val="24"/>
        </w:rPr>
        <w:t>）循环冷却水系统</w:t>
      </w:r>
    </w:p>
    <w:p>
      <w:pPr>
        <w:ind w:firstLine="560"/>
        <w:rPr>
          <w:szCs w:val="24"/>
        </w:rPr>
      </w:pPr>
      <w:r>
        <w:rPr>
          <w:rFonts w:hint="eastAsia"/>
          <w:szCs w:val="24"/>
        </w:rPr>
        <w:t>循环冷却水系统宜向压缩机、冷凝器、冷却器、机泵以及需要直接冷却的物料供给冷却水。</w:t>
      </w:r>
    </w:p>
    <w:p>
      <w:pPr>
        <w:ind w:firstLine="560"/>
        <w:rPr>
          <w:szCs w:val="24"/>
        </w:rPr>
      </w:pPr>
      <w:r>
        <w:rPr>
          <w:rFonts w:hint="eastAsia"/>
          <w:szCs w:val="24"/>
        </w:rPr>
        <w:t>循环冷却水系统布置应满足以下要求：</w:t>
      </w:r>
    </w:p>
    <w:p>
      <w:pPr>
        <w:ind w:firstLine="560"/>
        <w:rPr>
          <w:szCs w:val="24"/>
        </w:rPr>
      </w:pPr>
      <w:r>
        <w:rPr>
          <w:rFonts w:hint="eastAsia"/>
          <w:szCs w:val="24"/>
        </w:rPr>
        <w:t>循环冷却水浓缩倍数不小于5。</w:t>
      </w:r>
    </w:p>
    <w:p>
      <w:pPr>
        <w:ind w:firstLine="560"/>
        <w:rPr>
          <w:szCs w:val="24"/>
        </w:rPr>
      </w:pPr>
      <w:r>
        <w:rPr>
          <w:rFonts w:hint="eastAsia"/>
          <w:szCs w:val="24"/>
        </w:rPr>
        <w:t>循环冷却水按照生产装置布局情况，按照集约、安全、节能的要求相对集中布置。</w:t>
      </w:r>
    </w:p>
    <w:p>
      <w:pPr>
        <w:ind w:firstLine="560"/>
        <w:rPr>
          <w:szCs w:val="24"/>
        </w:rPr>
      </w:pPr>
      <w:r>
        <w:rPr>
          <w:rFonts w:hint="eastAsia"/>
          <w:szCs w:val="24"/>
        </w:rPr>
        <w:t>循环冷却水优先由再生水补充，不足的部分由新鲜水补充。</w:t>
      </w:r>
    </w:p>
    <w:p>
      <w:pPr>
        <w:ind w:firstLine="560"/>
        <w:rPr>
          <w:szCs w:val="24"/>
        </w:rPr>
      </w:pPr>
      <w:r>
        <w:rPr>
          <w:rFonts w:hint="eastAsia"/>
          <w:szCs w:val="24"/>
        </w:rPr>
        <w:t>循环冷却水排水监测合格后集中排放。</w:t>
      </w:r>
    </w:p>
    <w:p>
      <w:pPr>
        <w:ind w:firstLine="560"/>
        <w:rPr>
          <w:szCs w:val="24"/>
        </w:rPr>
      </w:pPr>
      <w:r>
        <w:rPr>
          <w:rFonts w:hint="eastAsia"/>
          <w:szCs w:val="24"/>
        </w:rPr>
        <w:t>（</w:t>
      </w:r>
      <w:r>
        <w:rPr>
          <w:szCs w:val="24"/>
        </w:rPr>
        <w:t>4</w:t>
      </w:r>
      <w:r>
        <w:rPr>
          <w:rFonts w:hint="eastAsia"/>
          <w:szCs w:val="24"/>
        </w:rPr>
        <w:t>）再生水给水系统</w:t>
      </w:r>
    </w:p>
    <w:p>
      <w:pPr>
        <w:ind w:firstLine="560"/>
        <w:rPr>
          <w:szCs w:val="24"/>
        </w:rPr>
      </w:pPr>
      <w:r>
        <w:rPr>
          <w:rFonts w:hint="eastAsia"/>
          <w:szCs w:val="24"/>
        </w:rPr>
        <w:t>再生水给水系统应为各项目生产装置提供合格的中水，根据规划项目主要用水特点，通常作为循环冷却水系统补充水。给水规格如下：</w:t>
      </w:r>
    </w:p>
    <w:p>
      <w:pPr>
        <w:ind w:firstLine="560"/>
        <w:rPr>
          <w:szCs w:val="24"/>
        </w:rPr>
      </w:pPr>
      <w:r>
        <w:rPr>
          <w:rFonts w:hint="eastAsia"/>
          <w:szCs w:val="24"/>
        </w:rPr>
        <w:t>水质：按《工业循环冷却水处理设计规范》（</w:t>
      </w:r>
      <w:r>
        <w:rPr>
          <w:szCs w:val="24"/>
        </w:rPr>
        <w:t>GB 50050-2017</w:t>
      </w:r>
      <w:r>
        <w:rPr>
          <w:rFonts w:hint="eastAsia"/>
          <w:szCs w:val="24"/>
        </w:rPr>
        <w:t>）规定的再生水用作为循环冷却水补充水指标进行控制。</w:t>
      </w:r>
    </w:p>
    <w:p>
      <w:pPr>
        <w:ind w:firstLine="560"/>
        <w:rPr>
          <w:szCs w:val="24"/>
        </w:rPr>
      </w:pPr>
      <w:r>
        <w:rPr>
          <w:rFonts w:hint="eastAsia"/>
          <w:szCs w:val="24"/>
        </w:rPr>
        <w:t>水压：</w:t>
      </w:r>
      <w:r>
        <w:rPr>
          <w:szCs w:val="24"/>
        </w:rPr>
        <w:t>≥0.25</w:t>
      </w:r>
      <w:r>
        <w:rPr>
          <w:rFonts w:hint="eastAsia"/>
          <w:szCs w:val="24"/>
        </w:rPr>
        <w:t>兆帕（项目界区外接管水压）。</w:t>
      </w:r>
    </w:p>
    <w:p>
      <w:pPr>
        <w:ind w:firstLine="560"/>
        <w:rPr>
          <w:szCs w:val="24"/>
        </w:rPr>
      </w:pPr>
      <w:r>
        <w:rPr>
          <w:rFonts w:hint="eastAsia"/>
          <w:szCs w:val="24"/>
        </w:rPr>
        <w:t>水温：常温。</w:t>
      </w:r>
    </w:p>
    <w:p>
      <w:pPr>
        <w:ind w:firstLine="560"/>
        <w:rPr>
          <w:szCs w:val="24"/>
        </w:rPr>
      </w:pPr>
      <w:r>
        <w:rPr>
          <w:rFonts w:hint="eastAsia"/>
          <w:szCs w:val="24"/>
        </w:rPr>
        <w:t>（</w:t>
      </w:r>
      <w:r>
        <w:rPr>
          <w:szCs w:val="24"/>
        </w:rPr>
        <w:t>5</w:t>
      </w:r>
      <w:r>
        <w:rPr>
          <w:rFonts w:hint="eastAsia"/>
          <w:szCs w:val="24"/>
        </w:rPr>
        <w:t>）给水管网规划</w:t>
      </w:r>
    </w:p>
    <w:p>
      <w:pPr>
        <w:ind w:firstLine="560"/>
        <w:rPr>
          <w:szCs w:val="24"/>
        </w:rPr>
      </w:pPr>
      <w:r>
        <w:rPr>
          <w:rFonts w:hint="eastAsia"/>
          <w:szCs w:val="24"/>
        </w:rPr>
        <w:t>生活给水管网、生产给水管网、再生水给水管网分别敷设。生活给水管网和再生水给水管网枝状与环状相结合，生产给水管网环状布置。考虑园区地形、占地面积、管网造价和净水成本等因素，规划将生活给水管网和生产给水管网分别布置。</w:t>
      </w:r>
    </w:p>
    <w:p>
      <w:pPr>
        <w:ind w:firstLine="560"/>
        <w:rPr>
          <w:szCs w:val="24"/>
        </w:rPr>
      </w:pPr>
      <w:r>
        <w:rPr>
          <w:rFonts w:hint="eastAsia"/>
          <w:szCs w:val="24"/>
        </w:rPr>
        <w:t>园区管网布设详见《给水工程规划图》。</w:t>
      </w:r>
    </w:p>
    <w:p>
      <w:pPr>
        <w:pStyle w:val="4"/>
        <w:spacing w:before="140" w:after="140"/>
        <w:ind w:firstLine="0" w:firstLineChars="0"/>
        <w:rPr>
          <w:rFonts w:cs="Times New Roman"/>
          <w:sz w:val="28"/>
          <w:szCs w:val="28"/>
        </w:rPr>
      </w:pPr>
      <w:bookmarkStart w:id="161" w:name="_Toc17348"/>
      <w:bookmarkStart w:id="162" w:name="_Toc126591884"/>
      <w:bookmarkStart w:id="163" w:name="_Toc31225"/>
      <w:bookmarkStart w:id="164" w:name="_Toc11303"/>
      <w:bookmarkStart w:id="165" w:name="_Toc32099"/>
      <w:bookmarkStart w:id="166" w:name="_Toc28113"/>
      <w:bookmarkStart w:id="167" w:name="_Toc8171"/>
      <w:bookmarkStart w:id="168" w:name="_Toc21391"/>
      <w:r>
        <w:rPr>
          <w:rFonts w:cs="Times New Roman"/>
          <w:sz w:val="28"/>
          <w:szCs w:val="28"/>
        </w:rPr>
        <w:t xml:space="preserve">9.2 </w:t>
      </w:r>
      <w:r>
        <w:rPr>
          <w:rFonts w:hint="eastAsia"/>
          <w:sz w:val="28"/>
          <w:szCs w:val="28"/>
        </w:rPr>
        <w:t>排水工程规划</w:t>
      </w:r>
      <w:bookmarkEnd w:id="161"/>
      <w:bookmarkEnd w:id="162"/>
      <w:bookmarkEnd w:id="163"/>
      <w:bookmarkEnd w:id="164"/>
      <w:bookmarkEnd w:id="165"/>
      <w:bookmarkEnd w:id="166"/>
      <w:bookmarkEnd w:id="167"/>
      <w:bookmarkEnd w:id="168"/>
    </w:p>
    <w:p>
      <w:pPr>
        <w:ind w:firstLine="0" w:firstLineChars="0"/>
        <w:outlineLvl w:val="2"/>
        <w:rPr>
          <w:rFonts w:cs="Times New Roman"/>
          <w:b/>
          <w:bCs/>
          <w:sz w:val="24"/>
          <w:szCs w:val="24"/>
        </w:rPr>
      </w:pPr>
      <w:bookmarkStart w:id="169" w:name="_Toc14791"/>
      <w:bookmarkStart w:id="170" w:name="_Toc24444"/>
      <w:bookmarkStart w:id="171" w:name="_Toc17453"/>
      <w:bookmarkStart w:id="172" w:name="_Toc29306"/>
      <w:bookmarkStart w:id="173" w:name="_Toc6103"/>
      <w:bookmarkStart w:id="174" w:name="_Toc16895"/>
      <w:r>
        <w:rPr>
          <w:b/>
          <w:bCs/>
          <w:szCs w:val="24"/>
        </w:rPr>
        <w:t xml:space="preserve">9.2.1 </w:t>
      </w:r>
      <w:r>
        <w:rPr>
          <w:rFonts w:hint="eastAsia"/>
          <w:b/>
          <w:bCs/>
          <w:szCs w:val="24"/>
        </w:rPr>
        <w:t>规划依据</w:t>
      </w:r>
      <w:bookmarkEnd w:id="169"/>
      <w:bookmarkEnd w:id="170"/>
      <w:bookmarkEnd w:id="171"/>
      <w:bookmarkEnd w:id="172"/>
      <w:bookmarkEnd w:id="173"/>
      <w:bookmarkEnd w:id="174"/>
    </w:p>
    <w:p>
      <w:pPr>
        <w:ind w:firstLine="560"/>
        <w:rPr>
          <w:szCs w:val="24"/>
        </w:rPr>
      </w:pPr>
      <w:r>
        <w:rPr>
          <w:rFonts w:hint="eastAsia"/>
          <w:szCs w:val="24"/>
        </w:rPr>
        <w:t>（</w:t>
      </w:r>
      <w:r>
        <w:rPr>
          <w:szCs w:val="24"/>
        </w:rPr>
        <w:t>1</w:t>
      </w:r>
      <w:r>
        <w:rPr>
          <w:rFonts w:hint="eastAsia"/>
          <w:szCs w:val="24"/>
        </w:rPr>
        <w:t>）《城市排水工程规划规范》（</w:t>
      </w:r>
      <w:r>
        <w:rPr>
          <w:szCs w:val="24"/>
        </w:rPr>
        <w:t>GB 50318-2017</w:t>
      </w:r>
      <w:r>
        <w:rPr>
          <w:rFonts w:hint="eastAsia"/>
          <w:szCs w:val="24"/>
        </w:rPr>
        <w:t>）。</w:t>
      </w:r>
    </w:p>
    <w:p>
      <w:pPr>
        <w:ind w:firstLine="560"/>
        <w:rPr>
          <w:szCs w:val="24"/>
        </w:rPr>
      </w:pPr>
      <w:r>
        <w:rPr>
          <w:rFonts w:hint="eastAsia"/>
          <w:szCs w:val="24"/>
        </w:rPr>
        <w:t>（</w:t>
      </w:r>
      <w:r>
        <w:rPr>
          <w:szCs w:val="24"/>
        </w:rPr>
        <w:t>2</w:t>
      </w:r>
      <w:r>
        <w:rPr>
          <w:rFonts w:hint="eastAsia"/>
          <w:szCs w:val="24"/>
        </w:rPr>
        <w:t>）《室外排水设计标准》（</w:t>
      </w:r>
      <w:r>
        <w:rPr>
          <w:szCs w:val="24"/>
        </w:rPr>
        <w:t>GB 50014-2021</w:t>
      </w:r>
      <w:r>
        <w:rPr>
          <w:rFonts w:hint="eastAsia"/>
          <w:szCs w:val="24"/>
        </w:rPr>
        <w:t>）。</w:t>
      </w:r>
    </w:p>
    <w:p>
      <w:pPr>
        <w:ind w:firstLine="560"/>
        <w:rPr>
          <w:szCs w:val="24"/>
        </w:rPr>
      </w:pPr>
      <w:r>
        <w:rPr>
          <w:rFonts w:hint="eastAsia"/>
          <w:szCs w:val="24"/>
        </w:rPr>
        <w:t>（</w:t>
      </w:r>
      <w:r>
        <w:rPr>
          <w:szCs w:val="24"/>
        </w:rPr>
        <w:t>3</w:t>
      </w:r>
      <w:r>
        <w:rPr>
          <w:rFonts w:hint="eastAsia"/>
          <w:szCs w:val="24"/>
        </w:rPr>
        <w:t>）《石油化工企业给水排水系统设计规范》（</w:t>
      </w:r>
      <w:r>
        <w:rPr>
          <w:szCs w:val="24"/>
        </w:rPr>
        <w:t>SH/T 3015-2019</w:t>
      </w:r>
      <w:r>
        <w:rPr>
          <w:rFonts w:hint="eastAsia"/>
          <w:szCs w:val="24"/>
        </w:rPr>
        <w:t>）。</w:t>
      </w:r>
    </w:p>
    <w:p>
      <w:pPr>
        <w:ind w:firstLine="0" w:firstLineChars="0"/>
        <w:outlineLvl w:val="2"/>
        <w:rPr>
          <w:b/>
          <w:bCs/>
          <w:szCs w:val="24"/>
        </w:rPr>
      </w:pPr>
      <w:bookmarkStart w:id="175" w:name="_Toc15016"/>
      <w:bookmarkStart w:id="176" w:name="_Toc13009"/>
      <w:bookmarkStart w:id="177" w:name="_Toc22140"/>
      <w:bookmarkStart w:id="178" w:name="_Toc27254"/>
      <w:bookmarkStart w:id="179" w:name="_Toc28490"/>
      <w:bookmarkStart w:id="180" w:name="_Toc31812"/>
      <w:r>
        <w:rPr>
          <w:b/>
          <w:bCs/>
          <w:szCs w:val="24"/>
        </w:rPr>
        <w:t xml:space="preserve">9.2.2 </w:t>
      </w:r>
      <w:r>
        <w:rPr>
          <w:rFonts w:hint="eastAsia"/>
          <w:b/>
          <w:bCs/>
          <w:szCs w:val="24"/>
        </w:rPr>
        <w:t>规划原则</w:t>
      </w:r>
      <w:bookmarkEnd w:id="175"/>
      <w:bookmarkEnd w:id="176"/>
      <w:bookmarkEnd w:id="177"/>
      <w:bookmarkEnd w:id="178"/>
      <w:bookmarkEnd w:id="179"/>
      <w:bookmarkEnd w:id="180"/>
    </w:p>
    <w:p>
      <w:pPr>
        <w:ind w:firstLine="560"/>
        <w:rPr>
          <w:szCs w:val="24"/>
        </w:rPr>
      </w:pPr>
      <w:r>
        <w:rPr>
          <w:rFonts w:hint="eastAsia"/>
          <w:szCs w:val="24"/>
        </w:rPr>
        <w:t>（</w:t>
      </w:r>
      <w:r>
        <w:rPr>
          <w:szCs w:val="24"/>
        </w:rPr>
        <w:t>1</w:t>
      </w:r>
      <w:r>
        <w:rPr>
          <w:rFonts w:hint="eastAsia"/>
          <w:szCs w:val="24"/>
        </w:rPr>
        <w:t>）园区实行雨污分流的排水体制。</w:t>
      </w:r>
    </w:p>
    <w:p>
      <w:pPr>
        <w:ind w:firstLine="560"/>
        <w:rPr>
          <w:szCs w:val="24"/>
        </w:rPr>
      </w:pPr>
      <w:r>
        <w:rPr>
          <w:rFonts w:hint="eastAsia"/>
          <w:szCs w:val="24"/>
        </w:rPr>
        <w:t>（</w:t>
      </w:r>
      <w:r>
        <w:rPr>
          <w:szCs w:val="24"/>
        </w:rPr>
        <w:t>2</w:t>
      </w:r>
      <w:r>
        <w:rPr>
          <w:rFonts w:hint="eastAsia"/>
          <w:szCs w:val="24"/>
        </w:rPr>
        <w:t>）园区排水实现清污分流，分质处理，按照不同产业类别污水性质的差异采用差别化预处理措施。</w:t>
      </w:r>
    </w:p>
    <w:p>
      <w:pPr>
        <w:ind w:firstLine="560"/>
        <w:rPr>
          <w:szCs w:val="24"/>
        </w:rPr>
      </w:pPr>
      <w:r>
        <w:rPr>
          <w:rFonts w:hint="eastAsia"/>
          <w:szCs w:val="24"/>
        </w:rPr>
        <w:t>（</w:t>
      </w:r>
      <w:r>
        <w:rPr>
          <w:szCs w:val="24"/>
        </w:rPr>
        <w:t>3</w:t>
      </w:r>
      <w:r>
        <w:rPr>
          <w:rFonts w:hint="eastAsia"/>
          <w:szCs w:val="24"/>
        </w:rPr>
        <w:t>）推进清洁生产，采用先进技术，从源头减少污水产生量，鼓励企业最大限度污水回用，提高水重复利用率。</w:t>
      </w:r>
    </w:p>
    <w:p>
      <w:pPr>
        <w:ind w:firstLine="560"/>
        <w:rPr>
          <w:szCs w:val="24"/>
        </w:rPr>
      </w:pPr>
      <w:r>
        <w:rPr>
          <w:rFonts w:hint="eastAsia"/>
          <w:szCs w:val="24"/>
        </w:rPr>
        <w:t>（</w:t>
      </w:r>
      <w:r>
        <w:rPr>
          <w:szCs w:val="24"/>
        </w:rPr>
        <w:t>4</w:t>
      </w:r>
      <w:r>
        <w:rPr>
          <w:rFonts w:hint="eastAsia"/>
          <w:szCs w:val="24"/>
        </w:rPr>
        <w:t>）加强水污染应急体系建设，建立完善的</w:t>
      </w:r>
      <w:r>
        <w:rPr>
          <w:szCs w:val="24"/>
        </w:rPr>
        <w:t>“</w:t>
      </w:r>
      <w:r>
        <w:rPr>
          <w:rFonts w:hint="eastAsia"/>
          <w:szCs w:val="24"/>
        </w:rPr>
        <w:t>三级防控</w:t>
      </w:r>
      <w:r>
        <w:rPr>
          <w:szCs w:val="24"/>
        </w:rPr>
        <w:t>”</w:t>
      </w:r>
      <w:r>
        <w:rPr>
          <w:rFonts w:hint="eastAsia"/>
          <w:szCs w:val="24"/>
        </w:rPr>
        <w:t>应急体制，防止事故状态下污水外流。</w:t>
      </w:r>
    </w:p>
    <w:p>
      <w:pPr>
        <w:ind w:firstLine="0" w:firstLineChars="0"/>
        <w:outlineLvl w:val="2"/>
        <w:rPr>
          <w:b/>
          <w:bCs/>
          <w:szCs w:val="24"/>
        </w:rPr>
      </w:pPr>
      <w:bookmarkStart w:id="181" w:name="_Toc4959"/>
      <w:bookmarkStart w:id="182" w:name="_Toc15456"/>
      <w:bookmarkStart w:id="183" w:name="_Toc30712"/>
      <w:bookmarkStart w:id="184" w:name="_Toc6916"/>
      <w:bookmarkStart w:id="185" w:name="_Toc22040"/>
      <w:bookmarkStart w:id="186" w:name="_Toc10599"/>
      <w:r>
        <w:rPr>
          <w:b/>
          <w:bCs/>
          <w:szCs w:val="24"/>
        </w:rPr>
        <w:t xml:space="preserve">9.2.3 </w:t>
      </w:r>
      <w:r>
        <w:rPr>
          <w:rFonts w:hint="eastAsia"/>
          <w:b/>
          <w:bCs/>
          <w:szCs w:val="24"/>
        </w:rPr>
        <w:t>污水处理厂现状、污水量预测</w:t>
      </w:r>
      <w:bookmarkEnd w:id="181"/>
      <w:bookmarkEnd w:id="182"/>
      <w:bookmarkEnd w:id="183"/>
      <w:bookmarkEnd w:id="184"/>
      <w:bookmarkEnd w:id="185"/>
      <w:bookmarkEnd w:id="186"/>
      <w:r>
        <w:rPr>
          <w:b/>
          <w:bCs/>
          <w:szCs w:val="24"/>
        </w:rPr>
        <w:t xml:space="preserve"> </w:t>
      </w:r>
    </w:p>
    <w:p>
      <w:pPr>
        <w:ind w:firstLine="560"/>
        <w:rPr>
          <w:szCs w:val="24"/>
        </w:rPr>
      </w:pPr>
      <w:r>
        <w:rPr>
          <w:szCs w:val="24"/>
        </w:rPr>
        <w:t>1</w:t>
      </w:r>
      <w:r>
        <w:rPr>
          <w:rFonts w:hint="eastAsia"/>
          <w:szCs w:val="24"/>
        </w:rPr>
        <w:t>、污水处理厂现状</w:t>
      </w:r>
    </w:p>
    <w:p>
      <w:pPr>
        <w:ind w:firstLine="560"/>
        <w:rPr>
          <w:szCs w:val="24"/>
        </w:rPr>
      </w:pPr>
      <w:r>
        <w:rPr>
          <w:rFonts w:hint="eastAsia"/>
          <w:szCs w:val="24"/>
        </w:rPr>
        <w:t>规划区目前未建设集中污水处理厂，未敷设污水管线。</w:t>
      </w:r>
    </w:p>
    <w:p>
      <w:pPr>
        <w:ind w:firstLine="560"/>
        <w:rPr>
          <w:szCs w:val="24"/>
        </w:rPr>
      </w:pPr>
      <w:r>
        <w:rPr>
          <w:szCs w:val="24"/>
        </w:rPr>
        <w:t>2</w:t>
      </w:r>
      <w:r>
        <w:rPr>
          <w:rFonts w:hint="eastAsia"/>
          <w:szCs w:val="24"/>
        </w:rPr>
        <w:t>、污水量预测</w:t>
      </w:r>
    </w:p>
    <w:p>
      <w:pPr>
        <w:ind w:firstLine="560"/>
        <w:rPr>
          <w:szCs w:val="24"/>
        </w:rPr>
      </w:pPr>
      <w:r>
        <w:rPr>
          <w:rFonts w:hint="eastAsia"/>
          <w:szCs w:val="24"/>
        </w:rPr>
        <w:t>规划区新增项目污水量根据规划项目生产工艺和生产规模进行加和统计，其他地块根据用地性质选取污水排放系数进行污水量预测，具体如下表所示：</w:t>
      </w:r>
    </w:p>
    <w:p>
      <w:pPr>
        <w:ind w:firstLine="422"/>
        <w:jc w:val="center"/>
        <w:rPr>
          <w:b/>
          <w:bCs/>
          <w:sz w:val="21"/>
        </w:rPr>
      </w:pPr>
      <w:r>
        <w:rPr>
          <w:rFonts w:hint="eastAsia"/>
          <w:b/>
          <w:bCs/>
          <w:sz w:val="21"/>
        </w:rPr>
        <w:t>表</w:t>
      </w:r>
      <w:r>
        <w:rPr>
          <w:b/>
          <w:bCs/>
          <w:sz w:val="21"/>
        </w:rPr>
        <w:t xml:space="preserve">9.2-1  </w:t>
      </w:r>
      <w:r>
        <w:rPr>
          <w:rFonts w:hint="eastAsia"/>
          <w:b/>
          <w:bCs/>
          <w:sz w:val="21"/>
        </w:rPr>
        <w:t>园区新增污水量预测表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97"/>
        <w:gridCol w:w="3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9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用地分类</w:t>
            </w:r>
          </w:p>
        </w:tc>
        <w:tc>
          <w:tcPr>
            <w:tcW w:w="342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排污量（立方米</w:t>
            </w:r>
            <w:r>
              <w:rPr>
                <w:sz w:val="21"/>
              </w:rPr>
              <w:t>/</w:t>
            </w:r>
            <w:r>
              <w:rPr>
                <w:rFonts w:hint="eastAsia"/>
                <w:sz w:val="21"/>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9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现代煤化工产业用地</w:t>
            </w:r>
          </w:p>
        </w:tc>
        <w:tc>
          <w:tcPr>
            <w:tcW w:w="342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9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精细化工产业用地</w:t>
            </w:r>
          </w:p>
        </w:tc>
        <w:tc>
          <w:tcPr>
            <w:tcW w:w="342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2598.8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9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道路及交通设施用地</w:t>
            </w:r>
          </w:p>
        </w:tc>
        <w:tc>
          <w:tcPr>
            <w:tcW w:w="342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118.4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9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绿地与广场用地</w:t>
            </w:r>
          </w:p>
        </w:tc>
        <w:tc>
          <w:tcPr>
            <w:tcW w:w="342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63.8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9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生活用水</w:t>
            </w:r>
          </w:p>
        </w:tc>
        <w:tc>
          <w:tcPr>
            <w:tcW w:w="342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233.4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9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合计</w:t>
            </w:r>
          </w:p>
        </w:tc>
        <w:tc>
          <w:tcPr>
            <w:tcW w:w="342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3554.4</w:t>
            </w:r>
          </w:p>
        </w:tc>
      </w:tr>
    </w:tbl>
    <w:p>
      <w:pPr>
        <w:spacing w:line="240" w:lineRule="auto"/>
        <w:ind w:firstLine="632" w:firstLineChars="300"/>
        <w:rPr>
          <w:rFonts w:cs="Times New Roman"/>
          <w:b/>
          <w:bCs/>
          <w:sz w:val="21"/>
        </w:rPr>
      </w:pPr>
      <w:r>
        <w:rPr>
          <w:rFonts w:hint="eastAsia"/>
          <w:b/>
          <w:bCs/>
          <w:sz w:val="21"/>
        </w:rPr>
        <w:t>注：煤焦化项目废水回用率按</w:t>
      </w:r>
      <w:r>
        <w:rPr>
          <w:b/>
          <w:bCs/>
          <w:sz w:val="21"/>
        </w:rPr>
        <w:t>100%</w:t>
      </w:r>
      <w:r>
        <w:rPr>
          <w:rFonts w:hint="eastAsia"/>
          <w:b/>
          <w:bCs/>
          <w:sz w:val="21"/>
        </w:rPr>
        <w:t>计，其它废水回用率按</w:t>
      </w:r>
      <w:r>
        <w:rPr>
          <w:b/>
          <w:bCs/>
          <w:sz w:val="21"/>
        </w:rPr>
        <w:t>60%</w:t>
      </w:r>
      <w:r>
        <w:rPr>
          <w:rFonts w:hint="eastAsia"/>
          <w:b/>
          <w:bCs/>
          <w:sz w:val="21"/>
        </w:rPr>
        <w:t>计。</w:t>
      </w:r>
    </w:p>
    <w:p>
      <w:pPr>
        <w:ind w:firstLine="0" w:firstLineChars="0"/>
        <w:outlineLvl w:val="2"/>
        <w:rPr>
          <w:b/>
          <w:bCs/>
          <w:sz w:val="24"/>
          <w:szCs w:val="24"/>
        </w:rPr>
      </w:pPr>
      <w:bookmarkStart w:id="187" w:name="_Toc9024"/>
      <w:bookmarkStart w:id="188" w:name="_Toc24895"/>
      <w:bookmarkStart w:id="189" w:name="_Toc27121"/>
      <w:bookmarkStart w:id="190" w:name="_Toc22945"/>
      <w:bookmarkStart w:id="191" w:name="_Toc2164"/>
      <w:bookmarkStart w:id="192" w:name="_Toc30591"/>
      <w:r>
        <w:rPr>
          <w:b/>
          <w:bCs/>
          <w:szCs w:val="24"/>
        </w:rPr>
        <w:t xml:space="preserve">9.2.4 </w:t>
      </w:r>
      <w:r>
        <w:rPr>
          <w:rFonts w:hint="eastAsia"/>
          <w:b/>
          <w:bCs/>
          <w:szCs w:val="24"/>
        </w:rPr>
        <w:t>污水处理规划</w:t>
      </w:r>
      <w:bookmarkEnd w:id="187"/>
      <w:bookmarkEnd w:id="188"/>
      <w:bookmarkEnd w:id="189"/>
      <w:bookmarkEnd w:id="190"/>
      <w:bookmarkEnd w:id="191"/>
      <w:bookmarkEnd w:id="192"/>
    </w:p>
    <w:p>
      <w:pPr>
        <w:ind w:firstLine="560"/>
        <w:rPr>
          <w:szCs w:val="24"/>
        </w:rPr>
      </w:pPr>
      <w:r>
        <w:rPr>
          <w:rFonts w:hint="eastAsia"/>
          <w:szCs w:val="24"/>
        </w:rPr>
        <w:t>根据《化工园区建设标准和认定管理办法（试行）》（工信部联原〔</w:t>
      </w:r>
      <w:r>
        <w:rPr>
          <w:szCs w:val="24"/>
        </w:rPr>
        <w:t>2021</w:t>
      </w:r>
      <w:r>
        <w:rPr>
          <w:rFonts w:hint="eastAsia"/>
          <w:szCs w:val="24"/>
        </w:rPr>
        <w:t>〕</w:t>
      </w:r>
      <w:r>
        <w:rPr>
          <w:szCs w:val="24"/>
        </w:rPr>
        <w:t>220</w:t>
      </w:r>
      <w:r>
        <w:rPr>
          <w:rFonts w:hint="eastAsia"/>
          <w:szCs w:val="24"/>
        </w:rPr>
        <w:t>号）等政策标准要求，化工园区应按照分类收集、分质处理的要求，配备专业化工生产废水集中处理设施（独立建设或依托骨干企业）及专管输送的配套管网，园区内废水做到应纳尽纳、集中处理和达标排放。</w:t>
      </w:r>
    </w:p>
    <w:p>
      <w:pPr>
        <w:ind w:firstLine="560"/>
        <w:rPr>
          <w:szCs w:val="24"/>
        </w:rPr>
      </w:pPr>
      <w:r>
        <w:rPr>
          <w:rFonts w:hint="eastAsia"/>
          <w:szCs w:val="24"/>
        </w:rPr>
        <w:t>（</w:t>
      </w:r>
      <w:r>
        <w:rPr>
          <w:szCs w:val="24"/>
        </w:rPr>
        <w:t>1</w:t>
      </w:r>
      <w:r>
        <w:rPr>
          <w:rFonts w:hint="eastAsia"/>
          <w:szCs w:val="24"/>
        </w:rPr>
        <w:t>）污水处理模式</w:t>
      </w:r>
    </w:p>
    <w:p>
      <w:pPr>
        <w:ind w:firstLine="560"/>
        <w:rPr>
          <w:szCs w:val="24"/>
        </w:rPr>
      </w:pPr>
      <w:r>
        <w:rPr>
          <w:rFonts w:hint="eastAsia"/>
          <w:szCs w:val="24"/>
        </w:rPr>
        <w:t>本次规划依据产业特点及企业排污规模拟采用污水处理一体化的模式。园区污废水经厂区预处理达接管标准后进入工业污水处理厂进行深度处理后回用，回用不完的达标尾水通过管道排放至岱翁河。</w:t>
      </w:r>
    </w:p>
    <w:p>
      <w:pPr>
        <w:ind w:firstLine="560"/>
        <w:rPr>
          <w:szCs w:val="24"/>
        </w:rPr>
      </w:pPr>
      <w:r>
        <w:rPr>
          <w:rFonts w:hint="eastAsia"/>
          <w:szCs w:val="24"/>
        </w:rPr>
        <w:t>园区规划设置</w:t>
      </w:r>
      <w:r>
        <w:rPr>
          <w:szCs w:val="24"/>
        </w:rPr>
        <w:t xml:space="preserve">1 </w:t>
      </w:r>
      <w:r>
        <w:rPr>
          <w:rFonts w:hint="eastAsia"/>
          <w:szCs w:val="24"/>
        </w:rPr>
        <w:t>座工业污水处理厂，设计处理规模为</w:t>
      </w:r>
      <w:r>
        <w:rPr>
          <w:szCs w:val="24"/>
        </w:rPr>
        <w:t xml:space="preserve"> 1.5</w:t>
      </w:r>
      <w:r>
        <w:rPr>
          <w:rFonts w:hint="eastAsia"/>
          <w:szCs w:val="24"/>
        </w:rPr>
        <w:t>万立方米</w:t>
      </w:r>
      <w:r>
        <w:rPr>
          <w:szCs w:val="24"/>
        </w:rPr>
        <w:t>/</w:t>
      </w:r>
      <w:r>
        <w:rPr>
          <w:rFonts w:hint="eastAsia"/>
          <w:szCs w:val="24"/>
        </w:rPr>
        <w:t>天（含美锦华宇新能源有限公司项目污水处理），分期建设，分步实施，主要收集经项目厂区预处理后达接管标准的污废水，回用后达标尾水外排。排污口的设置应经过专家论证并经生态环境主管部门批复。</w:t>
      </w:r>
    </w:p>
    <w:p>
      <w:pPr>
        <w:ind w:firstLine="560"/>
        <w:rPr>
          <w:szCs w:val="24"/>
        </w:rPr>
      </w:pPr>
      <w:r>
        <w:rPr>
          <w:rFonts w:hint="eastAsia"/>
          <w:szCs w:val="24"/>
        </w:rPr>
        <w:t>（</w:t>
      </w:r>
      <w:r>
        <w:rPr>
          <w:szCs w:val="24"/>
        </w:rPr>
        <w:t>2</w:t>
      </w:r>
      <w:r>
        <w:rPr>
          <w:rFonts w:hint="eastAsia"/>
          <w:szCs w:val="24"/>
        </w:rPr>
        <w:t>）接管标准</w:t>
      </w:r>
    </w:p>
    <w:p>
      <w:pPr>
        <w:ind w:firstLine="560"/>
        <w:rPr>
          <w:szCs w:val="24"/>
        </w:rPr>
      </w:pPr>
      <w:r>
        <w:rPr>
          <w:rFonts w:hint="eastAsia"/>
          <w:szCs w:val="24"/>
        </w:rPr>
        <w:t>园区接管标准可参考《污水排入城镇下水道水质标准》（</w:t>
      </w:r>
      <w:r>
        <w:rPr>
          <w:szCs w:val="24"/>
        </w:rPr>
        <w:t>GB/T 31962-2015</w:t>
      </w:r>
      <w:r>
        <w:rPr>
          <w:rFonts w:hint="eastAsia"/>
          <w:szCs w:val="24"/>
        </w:rPr>
        <w:t>）中</w:t>
      </w:r>
      <w:r>
        <w:rPr>
          <w:szCs w:val="24"/>
        </w:rPr>
        <w:t>B</w:t>
      </w:r>
      <w:r>
        <w:rPr>
          <w:rFonts w:hint="eastAsia"/>
          <w:szCs w:val="24"/>
        </w:rPr>
        <w:t>等级标准商定。可参考下表：</w:t>
      </w:r>
    </w:p>
    <w:p>
      <w:pPr>
        <w:ind w:firstLine="422"/>
        <w:jc w:val="center"/>
        <w:rPr>
          <w:b/>
          <w:bCs/>
          <w:sz w:val="21"/>
        </w:rPr>
      </w:pPr>
      <w:r>
        <w:rPr>
          <w:rFonts w:hint="eastAsia"/>
          <w:b/>
          <w:bCs/>
          <w:sz w:val="21"/>
        </w:rPr>
        <w:t>表</w:t>
      </w:r>
      <w:r>
        <w:rPr>
          <w:b/>
          <w:bCs/>
          <w:sz w:val="21"/>
        </w:rPr>
        <w:t xml:space="preserve">9.2-2  </w:t>
      </w:r>
      <w:r>
        <w:rPr>
          <w:rFonts w:hint="eastAsia"/>
          <w:b/>
          <w:bCs/>
          <w:sz w:val="21"/>
        </w:rPr>
        <w:t>设计接管标准一览表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7"/>
        <w:gridCol w:w="1184"/>
        <w:gridCol w:w="1177"/>
        <w:gridCol w:w="1180"/>
        <w:gridCol w:w="1176"/>
        <w:gridCol w:w="1172"/>
        <w:gridCol w:w="1173"/>
        <w:gridCol w:w="1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96" w:type="dxa"/>
            <w:tcBorders>
              <w:top w:val="single" w:color="auto" w:sz="4" w:space="0"/>
              <w:left w:val="single" w:color="auto" w:sz="4" w:space="0"/>
              <w:bottom w:val="single" w:color="auto" w:sz="4" w:space="0"/>
              <w:right w:val="single" w:color="auto" w:sz="4" w:space="0"/>
            </w:tcBorders>
            <w:vAlign w:val="center"/>
          </w:tcPr>
          <w:p>
            <w:pPr>
              <w:pStyle w:val="38"/>
            </w:pPr>
            <w:r>
              <w:rPr>
                <w:rFonts w:hint="eastAsia"/>
              </w:rPr>
              <w:t>项目</w:t>
            </w:r>
          </w:p>
        </w:tc>
        <w:tc>
          <w:tcPr>
            <w:tcW w:w="1196" w:type="dxa"/>
            <w:tcBorders>
              <w:top w:val="single" w:color="auto" w:sz="4" w:space="0"/>
              <w:left w:val="single" w:color="auto" w:sz="4" w:space="0"/>
              <w:bottom w:val="single" w:color="auto" w:sz="4" w:space="0"/>
              <w:right w:val="single" w:color="auto" w:sz="4" w:space="0"/>
            </w:tcBorders>
            <w:vAlign w:val="center"/>
          </w:tcPr>
          <w:p>
            <w:pPr>
              <w:pStyle w:val="38"/>
            </w:pPr>
            <w:r>
              <w:t>pH</w:t>
            </w:r>
          </w:p>
        </w:tc>
        <w:tc>
          <w:tcPr>
            <w:tcW w:w="1196" w:type="dxa"/>
            <w:tcBorders>
              <w:top w:val="single" w:color="auto" w:sz="4" w:space="0"/>
              <w:left w:val="single" w:color="auto" w:sz="4" w:space="0"/>
              <w:bottom w:val="single" w:color="auto" w:sz="4" w:space="0"/>
              <w:right w:val="single" w:color="auto" w:sz="4" w:space="0"/>
            </w:tcBorders>
            <w:vAlign w:val="center"/>
          </w:tcPr>
          <w:p>
            <w:pPr>
              <w:pStyle w:val="38"/>
            </w:pPr>
            <w:r>
              <w:t>COD</w:t>
            </w:r>
          </w:p>
        </w:tc>
        <w:tc>
          <w:tcPr>
            <w:tcW w:w="1196" w:type="dxa"/>
            <w:tcBorders>
              <w:top w:val="single" w:color="auto" w:sz="4" w:space="0"/>
              <w:left w:val="single" w:color="auto" w:sz="4" w:space="0"/>
              <w:bottom w:val="single" w:color="auto" w:sz="4" w:space="0"/>
              <w:right w:val="single" w:color="auto" w:sz="4" w:space="0"/>
            </w:tcBorders>
            <w:vAlign w:val="center"/>
          </w:tcPr>
          <w:p>
            <w:pPr>
              <w:pStyle w:val="38"/>
            </w:pPr>
            <w:r>
              <w:t>BOD5</w:t>
            </w:r>
          </w:p>
        </w:tc>
        <w:tc>
          <w:tcPr>
            <w:tcW w:w="1196" w:type="dxa"/>
            <w:tcBorders>
              <w:top w:val="single" w:color="auto" w:sz="4" w:space="0"/>
              <w:left w:val="single" w:color="auto" w:sz="4" w:space="0"/>
              <w:bottom w:val="single" w:color="auto" w:sz="4" w:space="0"/>
              <w:right w:val="single" w:color="auto" w:sz="4" w:space="0"/>
            </w:tcBorders>
            <w:vAlign w:val="center"/>
          </w:tcPr>
          <w:p>
            <w:pPr>
              <w:pStyle w:val="38"/>
            </w:pPr>
            <w:r>
              <w:t>SS</w:t>
            </w:r>
          </w:p>
        </w:tc>
        <w:tc>
          <w:tcPr>
            <w:tcW w:w="1197" w:type="dxa"/>
            <w:tcBorders>
              <w:top w:val="single" w:color="auto" w:sz="4" w:space="0"/>
              <w:left w:val="single" w:color="auto" w:sz="4" w:space="0"/>
              <w:bottom w:val="single" w:color="auto" w:sz="4" w:space="0"/>
              <w:right w:val="single" w:color="auto" w:sz="4" w:space="0"/>
            </w:tcBorders>
            <w:vAlign w:val="center"/>
          </w:tcPr>
          <w:p>
            <w:pPr>
              <w:pStyle w:val="38"/>
            </w:pPr>
            <w:r>
              <w:t>TN</w:t>
            </w:r>
          </w:p>
        </w:tc>
        <w:tc>
          <w:tcPr>
            <w:tcW w:w="1197" w:type="dxa"/>
            <w:tcBorders>
              <w:top w:val="single" w:color="auto" w:sz="4" w:space="0"/>
              <w:left w:val="single" w:color="auto" w:sz="4" w:space="0"/>
              <w:bottom w:val="single" w:color="auto" w:sz="4" w:space="0"/>
              <w:right w:val="single" w:color="auto" w:sz="4" w:space="0"/>
            </w:tcBorders>
            <w:vAlign w:val="center"/>
          </w:tcPr>
          <w:p>
            <w:pPr>
              <w:pStyle w:val="38"/>
            </w:pPr>
            <w:r>
              <w:rPr>
                <w:rFonts w:hint="eastAsia"/>
              </w:rPr>
              <w:t>氨氮</w:t>
            </w:r>
          </w:p>
        </w:tc>
        <w:tc>
          <w:tcPr>
            <w:tcW w:w="1197" w:type="dxa"/>
            <w:tcBorders>
              <w:top w:val="single" w:color="auto" w:sz="4" w:space="0"/>
              <w:left w:val="single" w:color="auto" w:sz="4" w:space="0"/>
              <w:bottom w:val="single" w:color="auto" w:sz="4" w:space="0"/>
              <w:right w:val="single" w:color="auto" w:sz="4" w:space="0"/>
            </w:tcBorders>
            <w:vAlign w:val="center"/>
          </w:tcPr>
          <w:p>
            <w:pPr>
              <w:pStyle w:val="38"/>
            </w:pPr>
            <w:r>
              <w:rPr>
                <w:rFonts w:hint="eastAsia"/>
              </w:rPr>
              <w:t>总磷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96" w:type="dxa"/>
            <w:tcBorders>
              <w:top w:val="single" w:color="auto" w:sz="4" w:space="0"/>
              <w:left w:val="single" w:color="auto" w:sz="4" w:space="0"/>
              <w:bottom w:val="single" w:color="auto" w:sz="4" w:space="0"/>
              <w:right w:val="single" w:color="auto" w:sz="4" w:space="0"/>
            </w:tcBorders>
            <w:vAlign w:val="center"/>
          </w:tcPr>
          <w:p>
            <w:pPr>
              <w:pStyle w:val="38"/>
            </w:pPr>
            <w:r>
              <w:rPr>
                <w:rFonts w:hint="eastAsia"/>
              </w:rPr>
              <w:t>进水</w:t>
            </w:r>
          </w:p>
        </w:tc>
        <w:tc>
          <w:tcPr>
            <w:tcW w:w="1196" w:type="dxa"/>
            <w:tcBorders>
              <w:top w:val="single" w:color="auto" w:sz="4" w:space="0"/>
              <w:left w:val="single" w:color="auto" w:sz="4" w:space="0"/>
              <w:bottom w:val="single" w:color="auto" w:sz="4" w:space="0"/>
              <w:right w:val="single" w:color="auto" w:sz="4" w:space="0"/>
            </w:tcBorders>
            <w:vAlign w:val="center"/>
          </w:tcPr>
          <w:p>
            <w:pPr>
              <w:pStyle w:val="38"/>
            </w:pPr>
            <w:r>
              <w:t>6.5~9.5</w:t>
            </w:r>
          </w:p>
        </w:tc>
        <w:tc>
          <w:tcPr>
            <w:tcW w:w="1196" w:type="dxa"/>
            <w:tcBorders>
              <w:top w:val="single" w:color="auto" w:sz="4" w:space="0"/>
              <w:left w:val="single" w:color="auto" w:sz="4" w:space="0"/>
              <w:bottom w:val="single" w:color="auto" w:sz="4" w:space="0"/>
              <w:right w:val="single" w:color="auto" w:sz="4" w:space="0"/>
            </w:tcBorders>
            <w:vAlign w:val="center"/>
          </w:tcPr>
          <w:p>
            <w:pPr>
              <w:pStyle w:val="38"/>
            </w:pPr>
            <w:r>
              <w:t>≤500</w:t>
            </w:r>
          </w:p>
        </w:tc>
        <w:tc>
          <w:tcPr>
            <w:tcW w:w="1196" w:type="dxa"/>
            <w:tcBorders>
              <w:top w:val="single" w:color="auto" w:sz="4" w:space="0"/>
              <w:left w:val="single" w:color="auto" w:sz="4" w:space="0"/>
              <w:bottom w:val="single" w:color="auto" w:sz="4" w:space="0"/>
              <w:right w:val="single" w:color="auto" w:sz="4" w:space="0"/>
            </w:tcBorders>
            <w:vAlign w:val="center"/>
          </w:tcPr>
          <w:p>
            <w:pPr>
              <w:pStyle w:val="38"/>
            </w:pPr>
            <w:r>
              <w:t>≤250</w:t>
            </w:r>
          </w:p>
        </w:tc>
        <w:tc>
          <w:tcPr>
            <w:tcW w:w="1196" w:type="dxa"/>
            <w:tcBorders>
              <w:top w:val="single" w:color="auto" w:sz="4" w:space="0"/>
              <w:left w:val="single" w:color="auto" w:sz="4" w:space="0"/>
              <w:bottom w:val="single" w:color="auto" w:sz="4" w:space="0"/>
              <w:right w:val="single" w:color="auto" w:sz="4" w:space="0"/>
            </w:tcBorders>
            <w:vAlign w:val="center"/>
          </w:tcPr>
          <w:p>
            <w:pPr>
              <w:pStyle w:val="38"/>
            </w:pPr>
            <w:r>
              <w:t>≤250</w:t>
            </w:r>
          </w:p>
        </w:tc>
        <w:tc>
          <w:tcPr>
            <w:tcW w:w="1197" w:type="dxa"/>
            <w:tcBorders>
              <w:top w:val="single" w:color="auto" w:sz="4" w:space="0"/>
              <w:left w:val="single" w:color="auto" w:sz="4" w:space="0"/>
              <w:bottom w:val="single" w:color="auto" w:sz="4" w:space="0"/>
              <w:right w:val="single" w:color="auto" w:sz="4" w:space="0"/>
            </w:tcBorders>
            <w:vAlign w:val="center"/>
          </w:tcPr>
          <w:p>
            <w:pPr>
              <w:pStyle w:val="38"/>
            </w:pPr>
            <w:r>
              <w:t>45</w:t>
            </w:r>
          </w:p>
        </w:tc>
        <w:tc>
          <w:tcPr>
            <w:tcW w:w="1197" w:type="dxa"/>
            <w:tcBorders>
              <w:top w:val="single" w:color="auto" w:sz="4" w:space="0"/>
              <w:left w:val="single" w:color="auto" w:sz="4" w:space="0"/>
              <w:bottom w:val="single" w:color="auto" w:sz="4" w:space="0"/>
              <w:right w:val="single" w:color="auto" w:sz="4" w:space="0"/>
            </w:tcBorders>
            <w:vAlign w:val="center"/>
          </w:tcPr>
          <w:p>
            <w:pPr>
              <w:pStyle w:val="38"/>
            </w:pPr>
            <w:r>
              <w:t>≤30</w:t>
            </w:r>
          </w:p>
        </w:tc>
        <w:tc>
          <w:tcPr>
            <w:tcW w:w="1197" w:type="dxa"/>
            <w:tcBorders>
              <w:top w:val="single" w:color="auto" w:sz="4" w:space="0"/>
              <w:left w:val="single" w:color="auto" w:sz="4" w:space="0"/>
              <w:bottom w:val="single" w:color="auto" w:sz="4" w:space="0"/>
              <w:right w:val="single" w:color="auto" w:sz="4" w:space="0"/>
            </w:tcBorders>
            <w:vAlign w:val="center"/>
          </w:tcPr>
          <w:p>
            <w:pPr>
              <w:pStyle w:val="38"/>
            </w:pPr>
            <w:r>
              <w:t>1.5</w:t>
            </w:r>
          </w:p>
        </w:tc>
      </w:tr>
    </w:tbl>
    <w:p>
      <w:pPr>
        <w:ind w:firstLine="560"/>
        <w:rPr>
          <w:rFonts w:cs="Times New Roman"/>
          <w:sz w:val="24"/>
          <w:szCs w:val="24"/>
        </w:rPr>
      </w:pPr>
      <w:r>
        <w:rPr>
          <w:rFonts w:hint="eastAsia"/>
          <w:szCs w:val="24"/>
        </w:rPr>
        <w:t>（</w:t>
      </w:r>
      <w:r>
        <w:rPr>
          <w:szCs w:val="24"/>
        </w:rPr>
        <w:t>3</w:t>
      </w:r>
      <w:r>
        <w:rPr>
          <w:rFonts w:hint="eastAsia"/>
          <w:szCs w:val="24"/>
        </w:rPr>
        <w:t>）出水水质</w:t>
      </w:r>
    </w:p>
    <w:p>
      <w:pPr>
        <w:ind w:firstLine="560"/>
        <w:rPr>
          <w:szCs w:val="24"/>
        </w:rPr>
      </w:pPr>
      <w:r>
        <w:rPr>
          <w:rFonts w:hint="eastAsia"/>
          <w:szCs w:val="24"/>
        </w:rPr>
        <w:t>污水处理厂未回用的尾水（以及经反渗透浓缩后的含盐废水）和清净下水出水水质达到《城镇污水处理厂污染物排放标准》（</w:t>
      </w:r>
      <w:r>
        <w:rPr>
          <w:szCs w:val="24"/>
        </w:rPr>
        <w:t>GB 18918-2002</w:t>
      </w:r>
      <w:r>
        <w:rPr>
          <w:rFonts w:hint="eastAsia"/>
          <w:szCs w:val="24"/>
        </w:rPr>
        <w:t>）中一级</w:t>
      </w:r>
      <w:r>
        <w:rPr>
          <w:szCs w:val="24"/>
        </w:rPr>
        <w:t>A</w:t>
      </w:r>
      <w:r>
        <w:rPr>
          <w:rFonts w:hint="eastAsia"/>
          <w:szCs w:val="24"/>
        </w:rPr>
        <w:t>标准，通过主管部门行政审批的污水总排口外排。</w:t>
      </w:r>
    </w:p>
    <w:p>
      <w:pPr>
        <w:ind w:firstLine="0" w:firstLineChars="0"/>
        <w:outlineLvl w:val="2"/>
        <w:rPr>
          <w:b/>
          <w:bCs/>
          <w:szCs w:val="24"/>
        </w:rPr>
      </w:pPr>
      <w:bookmarkStart w:id="193" w:name="_Toc28803"/>
      <w:bookmarkStart w:id="194" w:name="_Toc7986"/>
      <w:bookmarkStart w:id="195" w:name="_Toc10993"/>
      <w:bookmarkStart w:id="196" w:name="_Toc17999"/>
      <w:bookmarkStart w:id="197" w:name="_Toc22902"/>
      <w:bookmarkStart w:id="198" w:name="_Toc19123"/>
      <w:r>
        <w:rPr>
          <w:b/>
          <w:bCs/>
          <w:szCs w:val="24"/>
        </w:rPr>
        <w:t xml:space="preserve">9.2.5 </w:t>
      </w:r>
      <w:r>
        <w:rPr>
          <w:rFonts w:hint="eastAsia"/>
          <w:b/>
          <w:bCs/>
          <w:szCs w:val="24"/>
        </w:rPr>
        <w:t>再生水回用</w:t>
      </w:r>
      <w:bookmarkEnd w:id="193"/>
      <w:bookmarkEnd w:id="194"/>
      <w:bookmarkEnd w:id="195"/>
      <w:bookmarkEnd w:id="196"/>
      <w:bookmarkEnd w:id="197"/>
      <w:bookmarkEnd w:id="198"/>
    </w:p>
    <w:p>
      <w:pPr>
        <w:ind w:firstLine="560"/>
        <w:rPr>
          <w:szCs w:val="24"/>
        </w:rPr>
      </w:pPr>
      <w:r>
        <w:rPr>
          <w:rFonts w:hint="eastAsia"/>
          <w:szCs w:val="24"/>
        </w:rPr>
        <w:t>污水处理厂建议污水回用率按</w:t>
      </w:r>
      <w:r>
        <w:rPr>
          <w:szCs w:val="24"/>
        </w:rPr>
        <w:t>60%</w:t>
      </w:r>
      <w:r>
        <w:rPr>
          <w:rFonts w:hint="eastAsia"/>
          <w:szCs w:val="24"/>
        </w:rPr>
        <w:t>计，新建的工业污水处理厂配套建设再生水回用设施，园区设计规模为</w:t>
      </w:r>
      <w:r>
        <w:rPr>
          <w:szCs w:val="24"/>
        </w:rPr>
        <w:t>300</w:t>
      </w:r>
      <w:r>
        <w:rPr>
          <w:rFonts w:hint="eastAsia"/>
          <w:szCs w:val="24"/>
        </w:rPr>
        <w:t>立方米</w:t>
      </w:r>
      <w:r>
        <w:rPr>
          <w:szCs w:val="24"/>
        </w:rPr>
        <w:t>/</w:t>
      </w:r>
      <w:r>
        <w:rPr>
          <w:rFonts w:hint="eastAsia"/>
          <w:szCs w:val="24"/>
        </w:rPr>
        <w:t>小时（按回用量计），建议分期建设，分步实施。</w:t>
      </w:r>
    </w:p>
    <w:p>
      <w:pPr>
        <w:ind w:firstLine="560"/>
        <w:rPr>
          <w:szCs w:val="24"/>
        </w:rPr>
      </w:pPr>
      <w:r>
        <w:rPr>
          <w:rFonts w:hint="eastAsia"/>
          <w:szCs w:val="24"/>
        </w:rPr>
        <w:t>为鼓励和指导再生水作为循环冷却水系统补充水，国家先后出台多项标准，包括《城镇污水再生利用工程设计规范》（</w:t>
      </w:r>
      <w:r>
        <w:rPr>
          <w:szCs w:val="24"/>
        </w:rPr>
        <w:t>GB 50335-2016</w:t>
      </w:r>
      <w:r>
        <w:rPr>
          <w:rFonts w:hint="eastAsia"/>
          <w:szCs w:val="24"/>
        </w:rPr>
        <w:t>）、《城市污水再生利用工业用水水质》（</w:t>
      </w:r>
      <w:r>
        <w:rPr>
          <w:szCs w:val="24"/>
        </w:rPr>
        <w:t>GB/T 19923-2005</w:t>
      </w:r>
      <w:r>
        <w:rPr>
          <w:rFonts w:hint="eastAsia"/>
          <w:szCs w:val="24"/>
        </w:rPr>
        <w:t>）、《循环冷却水用再生水水质标准》（</w:t>
      </w:r>
      <w:r>
        <w:rPr>
          <w:szCs w:val="24"/>
        </w:rPr>
        <w:t>HG/T 3923-2007</w:t>
      </w:r>
      <w:r>
        <w:rPr>
          <w:rFonts w:hint="eastAsia"/>
          <w:szCs w:val="24"/>
        </w:rPr>
        <w:t>）、《工业循环冷却水处理设计规范》（</w:t>
      </w:r>
      <w:r>
        <w:rPr>
          <w:szCs w:val="24"/>
        </w:rPr>
        <w:t>GB 50050-2017</w:t>
      </w:r>
      <w:r>
        <w:rPr>
          <w:rFonts w:hint="eastAsia"/>
          <w:szCs w:val="24"/>
        </w:rPr>
        <w:t>）。但各标准对再生水水质要求不尽相同，且部分指标值相差较大。其中《工业循环冷却水处理设计规范》（</w:t>
      </w:r>
      <w:r>
        <w:rPr>
          <w:szCs w:val="24"/>
        </w:rPr>
        <w:t>GB 50050-2017</w:t>
      </w:r>
      <w:r>
        <w:rPr>
          <w:rFonts w:hint="eastAsia"/>
          <w:szCs w:val="24"/>
        </w:rPr>
        <w:t>）发布最晚，且对各项指标要求最严，建议选择该标准规定的再生水质作为再生水回用系统的出水水质。</w:t>
      </w:r>
    </w:p>
    <w:p>
      <w:pPr>
        <w:ind w:firstLine="0" w:firstLineChars="0"/>
        <w:outlineLvl w:val="2"/>
        <w:rPr>
          <w:b/>
          <w:bCs/>
          <w:szCs w:val="24"/>
        </w:rPr>
      </w:pPr>
      <w:bookmarkStart w:id="199" w:name="_Toc19756"/>
      <w:bookmarkStart w:id="200" w:name="_Toc833"/>
      <w:bookmarkStart w:id="201" w:name="_Toc15958"/>
      <w:bookmarkStart w:id="202" w:name="_Toc23397"/>
      <w:bookmarkStart w:id="203" w:name="_Toc22618"/>
      <w:r>
        <w:rPr>
          <w:b/>
          <w:bCs/>
          <w:szCs w:val="24"/>
        </w:rPr>
        <w:t xml:space="preserve">9.2.6 </w:t>
      </w:r>
      <w:r>
        <w:rPr>
          <w:rFonts w:hint="eastAsia"/>
          <w:b/>
          <w:bCs/>
          <w:szCs w:val="24"/>
        </w:rPr>
        <w:t>排水系统规划</w:t>
      </w:r>
      <w:bookmarkEnd w:id="199"/>
      <w:bookmarkEnd w:id="200"/>
      <w:bookmarkEnd w:id="201"/>
      <w:bookmarkEnd w:id="202"/>
      <w:bookmarkEnd w:id="203"/>
    </w:p>
    <w:p>
      <w:pPr>
        <w:ind w:firstLine="560"/>
        <w:rPr>
          <w:szCs w:val="24"/>
        </w:rPr>
      </w:pPr>
      <w:r>
        <w:rPr>
          <w:rFonts w:hint="eastAsia"/>
          <w:szCs w:val="24"/>
        </w:rPr>
        <w:t>园区污水系统可划分为：有机污水系统、清净下水系统、初期雨水系统、事故水系统。</w:t>
      </w:r>
    </w:p>
    <w:p>
      <w:pPr>
        <w:ind w:firstLine="560"/>
        <w:rPr>
          <w:szCs w:val="24"/>
        </w:rPr>
      </w:pPr>
      <w:r>
        <w:rPr>
          <w:rFonts w:hint="eastAsia"/>
          <w:szCs w:val="24"/>
        </w:rPr>
        <w:t>（</w:t>
      </w:r>
      <w:r>
        <w:rPr>
          <w:szCs w:val="24"/>
        </w:rPr>
        <w:t>1</w:t>
      </w:r>
      <w:r>
        <w:rPr>
          <w:rFonts w:hint="eastAsia"/>
          <w:szCs w:val="24"/>
        </w:rPr>
        <w:t>）有机污水</w:t>
      </w:r>
    </w:p>
    <w:p>
      <w:pPr>
        <w:ind w:firstLine="560"/>
        <w:rPr>
          <w:szCs w:val="24"/>
        </w:rPr>
      </w:pPr>
      <w:r>
        <w:rPr>
          <w:rFonts w:hint="eastAsia"/>
          <w:szCs w:val="24"/>
        </w:rPr>
        <w:t>收集管网按照</w:t>
      </w:r>
      <w:r>
        <w:rPr>
          <w:szCs w:val="24"/>
        </w:rPr>
        <w:t>“</w:t>
      </w:r>
      <w:r>
        <w:rPr>
          <w:rFonts w:hint="eastAsia"/>
          <w:szCs w:val="24"/>
        </w:rPr>
        <w:t>一企一管</w:t>
      </w:r>
      <w:r>
        <w:rPr>
          <w:szCs w:val="24"/>
        </w:rPr>
        <w:t>”</w:t>
      </w:r>
      <w:r>
        <w:rPr>
          <w:rFonts w:hint="eastAsia"/>
          <w:szCs w:val="24"/>
        </w:rPr>
        <w:t>的原则规划，企业污水预处理至接管标准后排入园区污水管道，通过专管敷设至园区污水处理厂。</w:t>
      </w:r>
    </w:p>
    <w:p>
      <w:pPr>
        <w:ind w:firstLine="560"/>
        <w:rPr>
          <w:szCs w:val="24"/>
        </w:rPr>
      </w:pPr>
      <w:r>
        <w:rPr>
          <w:rFonts w:hint="eastAsia"/>
          <w:szCs w:val="24"/>
        </w:rPr>
        <w:t>（</w:t>
      </w:r>
      <w:r>
        <w:rPr>
          <w:szCs w:val="24"/>
        </w:rPr>
        <w:t>2</w:t>
      </w:r>
      <w:r>
        <w:rPr>
          <w:rFonts w:hint="eastAsia"/>
          <w:szCs w:val="24"/>
        </w:rPr>
        <w:t>）清净下水</w:t>
      </w:r>
    </w:p>
    <w:p>
      <w:pPr>
        <w:ind w:firstLine="560"/>
        <w:rPr>
          <w:szCs w:val="24"/>
        </w:rPr>
      </w:pPr>
      <w:r>
        <w:rPr>
          <w:rFonts w:hint="eastAsia"/>
          <w:szCs w:val="24"/>
        </w:rPr>
        <w:t>清净下水主要包括循环冷却水系统排水、化学水站排水、锅炉排水等，企业排放的清净下水优先由企业自行处理后回用，不能回用的部分，由污水排放口集中排放，禁止随意散排。清净下水收集管可由园区集中设置，通过公共管廊敷设。</w:t>
      </w:r>
    </w:p>
    <w:p>
      <w:pPr>
        <w:ind w:firstLine="560"/>
        <w:rPr>
          <w:szCs w:val="24"/>
        </w:rPr>
      </w:pPr>
      <w:r>
        <w:rPr>
          <w:rFonts w:hint="eastAsia"/>
          <w:szCs w:val="24"/>
        </w:rPr>
        <w:t>（</w:t>
      </w:r>
      <w:r>
        <w:rPr>
          <w:szCs w:val="24"/>
        </w:rPr>
        <w:t>3</w:t>
      </w:r>
      <w:r>
        <w:rPr>
          <w:rFonts w:hint="eastAsia"/>
          <w:szCs w:val="24"/>
        </w:rPr>
        <w:t>）初期雨水</w:t>
      </w:r>
    </w:p>
    <w:p>
      <w:pPr>
        <w:ind w:firstLine="560"/>
        <w:rPr>
          <w:szCs w:val="24"/>
        </w:rPr>
      </w:pPr>
      <w:r>
        <w:rPr>
          <w:rFonts w:hint="eastAsia"/>
          <w:szCs w:val="24"/>
        </w:rPr>
        <w:t>为防止初期雨水外流造成污染，在各装置区设置初期雨水收集设施，收集的初期雨水与有机污水一并送企业污水预处理站进行处理，达标后送园区污水处理厂集中处理。初期雨水量建议按照《石油化工企业给水排水系统设计规范》（</w:t>
      </w:r>
      <w:r>
        <w:rPr>
          <w:szCs w:val="24"/>
        </w:rPr>
        <w:t>SH 3015-2019</w:t>
      </w:r>
      <w:r>
        <w:rPr>
          <w:rFonts w:hint="eastAsia"/>
          <w:szCs w:val="24"/>
        </w:rPr>
        <w:t>）规定计算。</w:t>
      </w:r>
    </w:p>
    <w:p>
      <w:pPr>
        <w:ind w:firstLine="560"/>
        <w:rPr>
          <w:szCs w:val="24"/>
        </w:rPr>
      </w:pPr>
      <w:r>
        <w:rPr>
          <w:rFonts w:hint="eastAsia"/>
          <w:szCs w:val="24"/>
        </w:rPr>
        <w:t>（</w:t>
      </w:r>
      <w:r>
        <w:rPr>
          <w:szCs w:val="24"/>
        </w:rPr>
        <w:t>4</w:t>
      </w:r>
      <w:r>
        <w:rPr>
          <w:rFonts w:hint="eastAsia"/>
          <w:szCs w:val="24"/>
        </w:rPr>
        <w:t>）事故水</w:t>
      </w:r>
    </w:p>
    <w:p>
      <w:pPr>
        <w:ind w:firstLine="560"/>
        <w:rPr>
          <w:szCs w:val="24"/>
        </w:rPr>
      </w:pPr>
      <w:r>
        <w:rPr>
          <w:rFonts w:hint="eastAsia"/>
          <w:szCs w:val="24"/>
        </w:rPr>
        <w:t>规划在园区内设立“装置</w:t>
      </w:r>
      <w:r>
        <w:rPr>
          <w:szCs w:val="24"/>
        </w:rPr>
        <w:t>—</w:t>
      </w:r>
      <w:r>
        <w:rPr>
          <w:rFonts w:hint="eastAsia"/>
          <w:szCs w:val="24"/>
        </w:rPr>
        <w:t>企业</w:t>
      </w:r>
      <w:r>
        <w:rPr>
          <w:szCs w:val="24"/>
        </w:rPr>
        <w:t>—</w:t>
      </w:r>
      <w:r>
        <w:rPr>
          <w:rFonts w:hint="eastAsia"/>
          <w:szCs w:val="24"/>
        </w:rPr>
        <w:t>园区”的三级防控体系，首先在各装置界区内采取有效的防范措施（包括防火堤、围堰及初期雨水收集池等），组成第一级防控体系；企业内部建设雨水监控池、事故水池及事故水收集系统，组成第二级防控体系；园区内雨水管网排放口、达标污水排放口设置截止阀等应急截断设施，构成第三级防控体系。在靠近污水处理厂，且地势较低处设置应急事故水池，收集超负荷污水和事故污水；且在雨水管道进入受纳水体（如河道、沟渠、洼地等）之前。事故应急水池的规模应根据各企业事故源的设备容量、事故时消防水量、可能进入应急储存设施的降雨量等因素综合确定。按园区各企业同一时间只发生</w:t>
      </w:r>
      <w:r>
        <w:rPr>
          <w:szCs w:val="24"/>
        </w:rPr>
        <w:t>1</w:t>
      </w:r>
      <w:r>
        <w:rPr>
          <w:rFonts w:hint="eastAsia"/>
          <w:szCs w:val="24"/>
        </w:rPr>
        <w:t>次突发环境事件的原则考虑，其容积不宜小于最大的一个事故源企业超出其防控能力可能排放到园区的事故水量；园区与周边环境敏感区有水利联系的，宜考虑增加一处不利事故源的量。应急事故水池规模的具体计算方法参考《化工园区事故应急设施（池）建设标准》（</w:t>
      </w:r>
      <w:r>
        <w:rPr>
          <w:szCs w:val="24"/>
        </w:rPr>
        <w:t>T/CPCIF 0049-2020</w:t>
      </w:r>
      <w:r>
        <w:rPr>
          <w:rFonts w:hint="eastAsia"/>
          <w:szCs w:val="24"/>
        </w:rPr>
        <w:t>）。</w:t>
      </w:r>
    </w:p>
    <w:p>
      <w:pPr>
        <w:ind w:firstLine="560"/>
        <w:rPr>
          <w:szCs w:val="24"/>
        </w:rPr>
      </w:pPr>
      <w:r>
        <w:rPr>
          <w:rFonts w:hint="eastAsia"/>
          <w:szCs w:val="24"/>
        </w:rPr>
        <w:t>本次规划在园区设置公共应急事故水池，公共应急事故水池均建在污水处理厂内部，设计规模分别为</w:t>
      </w:r>
      <w:r>
        <w:rPr>
          <w:szCs w:val="24"/>
        </w:rPr>
        <w:t>5000</w:t>
      </w:r>
      <w:r>
        <w:rPr>
          <w:rFonts w:hint="eastAsia"/>
          <w:szCs w:val="24"/>
        </w:rPr>
        <w:t>立方米。</w:t>
      </w:r>
    </w:p>
    <w:p>
      <w:pPr>
        <w:ind w:firstLine="0" w:firstLineChars="0"/>
        <w:outlineLvl w:val="2"/>
        <w:rPr>
          <w:b/>
          <w:bCs/>
          <w:szCs w:val="24"/>
        </w:rPr>
      </w:pPr>
      <w:bookmarkStart w:id="204" w:name="_Toc23045"/>
      <w:bookmarkStart w:id="205" w:name="_Toc10897"/>
      <w:bookmarkStart w:id="206" w:name="_Toc11274"/>
      <w:bookmarkStart w:id="207" w:name="_Toc21071"/>
      <w:bookmarkStart w:id="208" w:name="_Toc20846"/>
      <w:bookmarkStart w:id="209" w:name="_Toc21349"/>
      <w:r>
        <w:rPr>
          <w:b/>
          <w:bCs/>
          <w:szCs w:val="24"/>
        </w:rPr>
        <w:t xml:space="preserve">9.2.7 </w:t>
      </w:r>
      <w:r>
        <w:rPr>
          <w:rFonts w:hint="eastAsia"/>
          <w:b/>
          <w:bCs/>
          <w:szCs w:val="24"/>
        </w:rPr>
        <w:t>污水管网规划</w:t>
      </w:r>
      <w:bookmarkEnd w:id="204"/>
      <w:bookmarkEnd w:id="205"/>
      <w:bookmarkEnd w:id="206"/>
      <w:bookmarkEnd w:id="207"/>
      <w:bookmarkEnd w:id="208"/>
      <w:bookmarkEnd w:id="209"/>
    </w:p>
    <w:p>
      <w:pPr>
        <w:ind w:firstLine="560"/>
        <w:rPr>
          <w:szCs w:val="24"/>
        </w:rPr>
      </w:pPr>
      <w:r>
        <w:rPr>
          <w:rFonts w:hint="eastAsia"/>
          <w:szCs w:val="24"/>
        </w:rPr>
        <w:t>污水管网规划应遵循</w:t>
      </w:r>
      <w:r>
        <w:rPr>
          <w:szCs w:val="24"/>
        </w:rPr>
        <w:t>“</w:t>
      </w:r>
      <w:r>
        <w:rPr>
          <w:rFonts w:hint="eastAsia"/>
          <w:szCs w:val="24"/>
        </w:rPr>
        <w:t>一企一管</w:t>
      </w:r>
      <w:r>
        <w:rPr>
          <w:szCs w:val="24"/>
        </w:rPr>
        <w:t>”</w:t>
      </w:r>
      <w:r>
        <w:rPr>
          <w:rFonts w:hint="eastAsia"/>
          <w:szCs w:val="24"/>
        </w:rPr>
        <w:t>原则，压力流明管输送；经由综合管廊，沿最短路线输送至园区污水处理厂。具体管网走向见《污水管网规划图》。</w:t>
      </w:r>
    </w:p>
    <w:p>
      <w:pPr>
        <w:ind w:firstLine="560"/>
        <w:rPr>
          <w:szCs w:val="24"/>
        </w:rPr>
      </w:pPr>
      <w:r>
        <w:rPr>
          <w:rFonts w:hint="eastAsia"/>
          <w:szCs w:val="24"/>
        </w:rPr>
        <w:t>管道建议采用玻璃钢管、</w:t>
      </w:r>
      <w:r>
        <w:rPr>
          <w:szCs w:val="24"/>
        </w:rPr>
        <w:t>PE</w:t>
      </w:r>
      <w:r>
        <w:rPr>
          <w:rFonts w:hint="eastAsia"/>
          <w:szCs w:val="24"/>
        </w:rPr>
        <w:t>管、</w:t>
      </w:r>
      <w:r>
        <w:rPr>
          <w:szCs w:val="24"/>
        </w:rPr>
        <w:t>PVC</w:t>
      </w:r>
      <w:r>
        <w:rPr>
          <w:rFonts w:hint="eastAsia"/>
          <w:szCs w:val="24"/>
        </w:rPr>
        <w:t>管等耐腐蚀管材，采用钢管等非耐腐蚀管材的应依据《石油化工设备和管道涂料防腐设计规范》、《工业设备、管道防腐蚀工程施工及验收规范》中的要求进行防腐处理。</w:t>
      </w:r>
    </w:p>
    <w:p>
      <w:pPr>
        <w:pStyle w:val="4"/>
        <w:spacing w:before="140" w:after="140"/>
        <w:ind w:firstLine="0" w:firstLineChars="0"/>
        <w:rPr>
          <w:rFonts w:cs="Times New Roman"/>
          <w:sz w:val="28"/>
          <w:szCs w:val="28"/>
        </w:rPr>
      </w:pPr>
      <w:bookmarkStart w:id="210" w:name="_Toc31535"/>
      <w:bookmarkStart w:id="211" w:name="_Toc25252"/>
      <w:bookmarkStart w:id="212" w:name="_Toc19976"/>
      <w:bookmarkStart w:id="213" w:name="_Toc23855"/>
      <w:bookmarkStart w:id="214" w:name="_Toc12563"/>
      <w:bookmarkStart w:id="215" w:name="_Toc15206"/>
      <w:bookmarkStart w:id="216" w:name="_Toc8038"/>
      <w:bookmarkStart w:id="217" w:name="_Toc126591885"/>
      <w:r>
        <w:rPr>
          <w:rFonts w:cs="Times New Roman"/>
          <w:sz w:val="28"/>
          <w:szCs w:val="28"/>
        </w:rPr>
        <w:t xml:space="preserve">9.3 </w:t>
      </w:r>
      <w:r>
        <w:rPr>
          <w:rFonts w:hint="eastAsia"/>
          <w:sz w:val="28"/>
          <w:szCs w:val="28"/>
        </w:rPr>
        <w:t>雨水工程规划</w:t>
      </w:r>
      <w:bookmarkEnd w:id="210"/>
      <w:bookmarkEnd w:id="211"/>
      <w:bookmarkEnd w:id="212"/>
      <w:bookmarkEnd w:id="213"/>
      <w:bookmarkEnd w:id="214"/>
      <w:bookmarkEnd w:id="215"/>
      <w:bookmarkEnd w:id="216"/>
      <w:bookmarkEnd w:id="217"/>
      <w:r>
        <w:rPr>
          <w:rFonts w:cs="Times New Roman"/>
          <w:sz w:val="28"/>
          <w:szCs w:val="28"/>
        </w:rPr>
        <w:t xml:space="preserve"> </w:t>
      </w:r>
    </w:p>
    <w:p>
      <w:pPr>
        <w:ind w:firstLine="0" w:firstLineChars="0"/>
        <w:outlineLvl w:val="2"/>
        <w:rPr>
          <w:rFonts w:cs="Times New Roman"/>
          <w:b/>
          <w:bCs/>
          <w:sz w:val="24"/>
          <w:szCs w:val="24"/>
        </w:rPr>
      </w:pPr>
      <w:bookmarkStart w:id="218" w:name="_Toc5338"/>
      <w:bookmarkStart w:id="219" w:name="_Toc17805"/>
      <w:bookmarkStart w:id="220" w:name="_Toc224"/>
      <w:bookmarkStart w:id="221" w:name="_Toc413"/>
      <w:bookmarkStart w:id="222" w:name="_Toc5497"/>
      <w:bookmarkStart w:id="223" w:name="_Toc3481"/>
      <w:r>
        <w:rPr>
          <w:b/>
          <w:bCs/>
          <w:szCs w:val="24"/>
        </w:rPr>
        <w:t xml:space="preserve">9.3.1 </w:t>
      </w:r>
      <w:r>
        <w:rPr>
          <w:rFonts w:hint="eastAsia"/>
          <w:b/>
          <w:bCs/>
          <w:szCs w:val="24"/>
        </w:rPr>
        <w:t>规划原则</w:t>
      </w:r>
      <w:bookmarkEnd w:id="218"/>
      <w:bookmarkEnd w:id="219"/>
      <w:bookmarkEnd w:id="220"/>
      <w:bookmarkEnd w:id="221"/>
      <w:bookmarkEnd w:id="222"/>
      <w:bookmarkEnd w:id="223"/>
      <w:r>
        <w:rPr>
          <w:b/>
          <w:bCs/>
          <w:szCs w:val="24"/>
        </w:rPr>
        <w:t xml:space="preserve"> </w:t>
      </w:r>
    </w:p>
    <w:p>
      <w:pPr>
        <w:ind w:firstLine="560"/>
        <w:rPr>
          <w:szCs w:val="24"/>
        </w:rPr>
      </w:pPr>
      <w:r>
        <w:rPr>
          <w:rFonts w:hint="eastAsia"/>
          <w:szCs w:val="24"/>
        </w:rPr>
        <w:t>（</w:t>
      </w:r>
      <w:r>
        <w:rPr>
          <w:szCs w:val="24"/>
        </w:rPr>
        <w:t>1</w:t>
      </w:r>
      <w:r>
        <w:rPr>
          <w:rFonts w:hint="eastAsia"/>
          <w:szCs w:val="24"/>
        </w:rPr>
        <w:t>）《治涝标准》（</w:t>
      </w:r>
      <w:r>
        <w:rPr>
          <w:szCs w:val="24"/>
        </w:rPr>
        <w:t>SL 723-2016</w:t>
      </w:r>
      <w:r>
        <w:rPr>
          <w:rFonts w:hint="eastAsia"/>
          <w:szCs w:val="24"/>
        </w:rPr>
        <w:t>）。</w:t>
      </w:r>
    </w:p>
    <w:p>
      <w:pPr>
        <w:ind w:firstLine="560"/>
        <w:rPr>
          <w:szCs w:val="24"/>
        </w:rPr>
      </w:pPr>
      <w:r>
        <w:rPr>
          <w:rFonts w:hint="eastAsia"/>
          <w:szCs w:val="24"/>
        </w:rPr>
        <w:t>（</w:t>
      </w:r>
      <w:r>
        <w:rPr>
          <w:szCs w:val="24"/>
        </w:rPr>
        <w:t>2</w:t>
      </w:r>
      <w:r>
        <w:rPr>
          <w:rFonts w:hint="eastAsia"/>
          <w:szCs w:val="24"/>
        </w:rPr>
        <w:t>）《城市排水工程规划规范》（</w:t>
      </w:r>
      <w:r>
        <w:rPr>
          <w:szCs w:val="24"/>
        </w:rPr>
        <w:t>GB 50318-2017</w:t>
      </w:r>
      <w:r>
        <w:rPr>
          <w:rFonts w:hint="eastAsia"/>
          <w:szCs w:val="24"/>
        </w:rPr>
        <w:t>）。</w:t>
      </w:r>
    </w:p>
    <w:p>
      <w:pPr>
        <w:ind w:firstLine="560"/>
        <w:rPr>
          <w:szCs w:val="24"/>
        </w:rPr>
      </w:pPr>
      <w:r>
        <w:rPr>
          <w:rFonts w:hint="eastAsia"/>
          <w:szCs w:val="24"/>
        </w:rPr>
        <w:t>（</w:t>
      </w:r>
      <w:r>
        <w:rPr>
          <w:szCs w:val="24"/>
        </w:rPr>
        <w:t>3</w:t>
      </w:r>
      <w:r>
        <w:rPr>
          <w:rFonts w:hint="eastAsia"/>
          <w:szCs w:val="24"/>
        </w:rPr>
        <w:t>）《室外排水设计标准》（</w:t>
      </w:r>
      <w:r>
        <w:rPr>
          <w:szCs w:val="24"/>
        </w:rPr>
        <w:t>GB 50014-2021</w:t>
      </w:r>
      <w:r>
        <w:rPr>
          <w:rFonts w:hint="eastAsia"/>
          <w:szCs w:val="24"/>
        </w:rPr>
        <w:t>）。</w:t>
      </w:r>
    </w:p>
    <w:p>
      <w:pPr>
        <w:ind w:firstLine="0" w:firstLineChars="0"/>
        <w:outlineLvl w:val="2"/>
        <w:rPr>
          <w:b/>
          <w:bCs/>
          <w:szCs w:val="24"/>
        </w:rPr>
      </w:pPr>
      <w:bookmarkStart w:id="224" w:name="_Toc13890"/>
      <w:bookmarkStart w:id="225" w:name="_Toc19118"/>
      <w:bookmarkStart w:id="226" w:name="_Toc16085"/>
      <w:bookmarkStart w:id="227" w:name="_Toc23363"/>
      <w:bookmarkStart w:id="228" w:name="_Toc2747"/>
      <w:bookmarkStart w:id="229" w:name="_Toc1885"/>
      <w:r>
        <w:rPr>
          <w:b/>
          <w:bCs/>
          <w:szCs w:val="24"/>
        </w:rPr>
        <w:t xml:space="preserve">9.3.2 </w:t>
      </w:r>
      <w:r>
        <w:rPr>
          <w:rFonts w:hint="eastAsia"/>
          <w:b/>
          <w:bCs/>
          <w:szCs w:val="24"/>
        </w:rPr>
        <w:t>雨水量预测</w:t>
      </w:r>
      <w:bookmarkEnd w:id="224"/>
      <w:bookmarkEnd w:id="225"/>
      <w:bookmarkEnd w:id="226"/>
      <w:bookmarkEnd w:id="227"/>
      <w:bookmarkEnd w:id="228"/>
      <w:bookmarkEnd w:id="229"/>
    </w:p>
    <w:p>
      <w:pPr>
        <w:ind w:firstLine="560"/>
        <w:rPr>
          <w:szCs w:val="24"/>
        </w:rPr>
      </w:pPr>
      <w:r>
        <w:rPr>
          <w:rFonts w:hint="eastAsia"/>
          <w:szCs w:val="24"/>
        </w:rPr>
        <w:t>（</w:t>
      </w:r>
      <w:r>
        <w:rPr>
          <w:szCs w:val="24"/>
        </w:rPr>
        <w:t>1</w:t>
      </w:r>
      <w:r>
        <w:rPr>
          <w:rFonts w:hint="eastAsia"/>
          <w:szCs w:val="24"/>
        </w:rPr>
        <w:t>）应根据园区的地形条件，以及河流水系分布等情况，按照高水高排，低水低排的原则布置雨水管网。雨水分区排放，采用短距离、多出口、分散就近排入河道水系；充分发挥现有河道的排泄能力。</w:t>
      </w:r>
    </w:p>
    <w:p>
      <w:pPr>
        <w:ind w:firstLine="560"/>
        <w:rPr>
          <w:szCs w:val="24"/>
        </w:rPr>
      </w:pPr>
      <w:r>
        <w:rPr>
          <w:rFonts w:hint="eastAsia"/>
          <w:szCs w:val="24"/>
        </w:rPr>
        <w:t>（</w:t>
      </w:r>
      <w:r>
        <w:rPr>
          <w:szCs w:val="24"/>
        </w:rPr>
        <w:t>2</w:t>
      </w:r>
      <w:r>
        <w:rPr>
          <w:rFonts w:hint="eastAsia"/>
          <w:szCs w:val="24"/>
        </w:rPr>
        <w:t>）应充分利用现有雨水管道和排水设施，以节约投资。</w:t>
      </w:r>
    </w:p>
    <w:p>
      <w:pPr>
        <w:ind w:firstLine="560"/>
        <w:rPr>
          <w:szCs w:val="24"/>
        </w:rPr>
      </w:pPr>
      <w:r>
        <w:rPr>
          <w:rFonts w:hint="eastAsia"/>
          <w:szCs w:val="24"/>
        </w:rPr>
        <w:t>（</w:t>
      </w:r>
      <w:r>
        <w:rPr>
          <w:szCs w:val="24"/>
        </w:rPr>
        <w:t>3</w:t>
      </w:r>
      <w:r>
        <w:rPr>
          <w:rFonts w:hint="eastAsia"/>
          <w:szCs w:val="24"/>
        </w:rPr>
        <w:t>）必要时采用雨水管道</w:t>
      </w:r>
      <w:r>
        <w:rPr>
          <w:szCs w:val="24"/>
        </w:rPr>
        <w:t>+</w:t>
      </w:r>
      <w:r>
        <w:rPr>
          <w:rFonts w:hint="eastAsia"/>
          <w:szCs w:val="24"/>
        </w:rPr>
        <w:t>排洪渠道结合的方式排除雨水。</w:t>
      </w:r>
    </w:p>
    <w:p>
      <w:pPr>
        <w:ind w:firstLine="560"/>
        <w:rPr>
          <w:szCs w:val="24"/>
        </w:rPr>
      </w:pPr>
      <w:r>
        <w:rPr>
          <w:rFonts w:hint="eastAsia"/>
          <w:szCs w:val="24"/>
        </w:rPr>
        <w:t>（</w:t>
      </w:r>
      <w:r>
        <w:rPr>
          <w:szCs w:val="24"/>
        </w:rPr>
        <w:t>4</w:t>
      </w:r>
      <w:r>
        <w:rPr>
          <w:rFonts w:hint="eastAsia"/>
          <w:szCs w:val="24"/>
        </w:rPr>
        <w:t>）尽量缩短管线的长度，尽量沿现有的或规划道路敷设。</w:t>
      </w:r>
    </w:p>
    <w:p>
      <w:pPr>
        <w:ind w:firstLine="560"/>
        <w:rPr>
          <w:szCs w:val="24"/>
        </w:rPr>
      </w:pPr>
      <w:r>
        <w:rPr>
          <w:rFonts w:hint="eastAsia"/>
          <w:szCs w:val="24"/>
        </w:rPr>
        <w:t>（</w:t>
      </w:r>
      <w:r>
        <w:rPr>
          <w:szCs w:val="24"/>
        </w:rPr>
        <w:t>5</w:t>
      </w:r>
      <w:r>
        <w:rPr>
          <w:rFonts w:hint="eastAsia"/>
          <w:szCs w:val="24"/>
        </w:rPr>
        <w:t>）道路宽度大于</w:t>
      </w:r>
      <w:r>
        <w:rPr>
          <w:szCs w:val="24"/>
        </w:rPr>
        <w:t>40m</w:t>
      </w:r>
      <w:r>
        <w:rPr>
          <w:rFonts w:hint="eastAsia"/>
          <w:szCs w:val="24"/>
        </w:rPr>
        <w:t>，设置双排雨水管道。</w:t>
      </w:r>
    </w:p>
    <w:p>
      <w:pPr>
        <w:ind w:firstLine="560"/>
        <w:rPr>
          <w:szCs w:val="24"/>
        </w:rPr>
      </w:pPr>
      <w:r>
        <w:rPr>
          <w:rFonts w:hint="eastAsia"/>
          <w:szCs w:val="24"/>
        </w:rPr>
        <w:t>（</w:t>
      </w:r>
      <w:r>
        <w:rPr>
          <w:szCs w:val="24"/>
        </w:rPr>
        <w:t>6</w:t>
      </w:r>
      <w:r>
        <w:rPr>
          <w:rFonts w:hint="eastAsia"/>
          <w:szCs w:val="24"/>
        </w:rPr>
        <w:t>）管道路由尽量设置在非车行道下。</w:t>
      </w:r>
    </w:p>
    <w:p>
      <w:pPr>
        <w:ind w:firstLine="0" w:firstLineChars="0"/>
        <w:outlineLvl w:val="2"/>
        <w:rPr>
          <w:b/>
          <w:bCs/>
          <w:szCs w:val="24"/>
        </w:rPr>
      </w:pPr>
      <w:bookmarkStart w:id="230" w:name="_Toc3482"/>
      <w:bookmarkStart w:id="231" w:name="_Toc6210"/>
      <w:bookmarkStart w:id="232" w:name="_Toc1357"/>
      <w:bookmarkStart w:id="233" w:name="_Toc20738"/>
      <w:bookmarkStart w:id="234" w:name="_Toc18290"/>
      <w:bookmarkStart w:id="235" w:name="_Toc22609"/>
      <w:r>
        <w:rPr>
          <w:b/>
          <w:bCs/>
          <w:szCs w:val="24"/>
        </w:rPr>
        <w:t xml:space="preserve">9.3.3 </w:t>
      </w:r>
      <w:r>
        <w:rPr>
          <w:rFonts w:hint="eastAsia"/>
          <w:b/>
          <w:bCs/>
          <w:szCs w:val="24"/>
        </w:rPr>
        <w:t>雨水排放模式规划</w:t>
      </w:r>
      <w:bookmarkEnd w:id="230"/>
      <w:bookmarkEnd w:id="231"/>
      <w:bookmarkEnd w:id="232"/>
      <w:bookmarkEnd w:id="233"/>
      <w:bookmarkEnd w:id="234"/>
      <w:bookmarkEnd w:id="235"/>
    </w:p>
    <w:p>
      <w:pPr>
        <w:ind w:firstLine="560"/>
        <w:rPr>
          <w:szCs w:val="24"/>
        </w:rPr>
      </w:pPr>
      <w:r>
        <w:rPr>
          <w:rFonts w:hint="eastAsia"/>
          <w:szCs w:val="24"/>
        </w:rPr>
        <w:t>雨水量按下式计算确定：</w:t>
      </w:r>
    </w:p>
    <w:p>
      <w:pPr>
        <w:ind w:firstLine="560"/>
        <w:rPr>
          <w:szCs w:val="24"/>
        </w:rPr>
      </w:pPr>
      <w:r>
        <w:rPr>
          <w:szCs w:val="24"/>
        </w:rPr>
        <w:t>Q=q•Ψ•F</w:t>
      </w:r>
    </w:p>
    <w:p>
      <w:pPr>
        <w:ind w:firstLine="560"/>
        <w:rPr>
          <w:szCs w:val="24"/>
        </w:rPr>
      </w:pPr>
      <w:r>
        <w:rPr>
          <w:rFonts w:hint="eastAsia"/>
          <w:szCs w:val="24"/>
        </w:rPr>
        <w:t>其中：</w:t>
      </w:r>
    </w:p>
    <w:p>
      <w:pPr>
        <w:ind w:firstLine="560"/>
        <w:rPr>
          <w:szCs w:val="24"/>
        </w:rPr>
      </w:pPr>
      <w:r>
        <w:rPr>
          <w:szCs w:val="24"/>
        </w:rPr>
        <w:t>Q——</w:t>
      </w:r>
      <w:r>
        <w:rPr>
          <w:rFonts w:hint="eastAsia"/>
          <w:szCs w:val="24"/>
        </w:rPr>
        <w:t>雨水量（</w:t>
      </w:r>
      <w:r>
        <w:rPr>
          <w:szCs w:val="24"/>
        </w:rPr>
        <w:t>L/s</w:t>
      </w:r>
      <w:r>
        <w:rPr>
          <w:rFonts w:hint="eastAsia"/>
          <w:szCs w:val="24"/>
        </w:rPr>
        <w:t>）；</w:t>
      </w:r>
    </w:p>
    <w:p>
      <w:pPr>
        <w:ind w:firstLine="560"/>
        <w:rPr>
          <w:szCs w:val="24"/>
        </w:rPr>
      </w:pPr>
      <w:r>
        <w:rPr>
          <w:szCs w:val="24"/>
        </w:rPr>
        <w:t>q——</w:t>
      </w:r>
      <w:r>
        <w:rPr>
          <w:rFonts w:hint="eastAsia"/>
          <w:szCs w:val="24"/>
        </w:rPr>
        <w:t>暴雨强度（</w:t>
      </w:r>
      <w:r>
        <w:rPr>
          <w:szCs w:val="24"/>
        </w:rPr>
        <w:t>L/s·ha</w:t>
      </w:r>
      <w:r>
        <w:rPr>
          <w:rFonts w:hint="eastAsia"/>
          <w:szCs w:val="24"/>
        </w:rPr>
        <w:t>）；</w:t>
      </w:r>
    </w:p>
    <w:p>
      <w:pPr>
        <w:ind w:firstLine="560"/>
        <w:rPr>
          <w:szCs w:val="24"/>
        </w:rPr>
      </w:pPr>
      <w:r>
        <w:rPr>
          <w:szCs w:val="24"/>
        </w:rPr>
        <w:t>Ψ——</w:t>
      </w:r>
      <w:r>
        <w:rPr>
          <w:rFonts w:hint="eastAsia"/>
          <w:szCs w:val="24"/>
        </w:rPr>
        <w:t>综合径流系数，经加权平均法计算取</w:t>
      </w:r>
      <w:r>
        <w:rPr>
          <w:szCs w:val="24"/>
        </w:rPr>
        <w:t>0.6</w:t>
      </w:r>
      <w:r>
        <w:rPr>
          <w:rFonts w:hint="eastAsia"/>
          <w:szCs w:val="24"/>
        </w:rPr>
        <w:t>；</w:t>
      </w:r>
    </w:p>
    <w:p>
      <w:pPr>
        <w:ind w:firstLine="560"/>
        <w:rPr>
          <w:szCs w:val="24"/>
        </w:rPr>
      </w:pPr>
      <w:r>
        <w:rPr>
          <w:szCs w:val="24"/>
        </w:rPr>
        <w:t>F——</w:t>
      </w:r>
      <w:r>
        <w:rPr>
          <w:rFonts w:hint="eastAsia"/>
          <w:szCs w:val="24"/>
        </w:rPr>
        <w:t>汇水面积（</w:t>
      </w:r>
      <w:r>
        <w:rPr>
          <w:szCs w:val="24"/>
        </w:rPr>
        <w:t>ha</w:t>
      </w:r>
      <w:r>
        <w:rPr>
          <w:rFonts w:hint="eastAsia"/>
          <w:szCs w:val="24"/>
        </w:rPr>
        <w:t>）；</w:t>
      </w:r>
    </w:p>
    <w:p>
      <w:pPr>
        <w:ind w:firstLine="560"/>
        <w:rPr>
          <w:szCs w:val="24"/>
        </w:rPr>
      </w:pPr>
      <w:r>
        <w:rPr>
          <w:rFonts w:hint="eastAsia"/>
          <w:szCs w:val="24"/>
        </w:rPr>
        <w:t>设计暴雨重现期Ｐ取</w:t>
      </w:r>
      <w:r>
        <w:rPr>
          <w:szCs w:val="24"/>
        </w:rPr>
        <w:t>3</w:t>
      </w:r>
      <w:r>
        <w:rPr>
          <w:rFonts w:hint="eastAsia"/>
          <w:szCs w:val="24"/>
        </w:rPr>
        <w:t>年。</w:t>
      </w:r>
    </w:p>
    <w:p>
      <w:pPr>
        <w:ind w:firstLine="560"/>
        <w:rPr>
          <w:szCs w:val="24"/>
        </w:rPr>
      </w:pPr>
      <w:r>
        <w:rPr>
          <w:rFonts w:hint="eastAsia"/>
          <w:szCs w:val="24"/>
        </w:rPr>
        <w:t>暴雨强度公式如下：</w:t>
      </w:r>
    </w:p>
    <w:p>
      <w:pPr>
        <w:ind w:firstLine="560"/>
        <w:rPr>
          <w:szCs w:val="24"/>
        </w:rPr>
      </w:pPr>
      <w:r>
        <w:rPr>
          <w:szCs w:val="24"/>
        </w:rPr>
        <w:t>q=167×</w:t>
      </w:r>
      <w:r>
        <w:rPr>
          <w:rFonts w:hint="eastAsia"/>
          <w:szCs w:val="24"/>
        </w:rPr>
        <w:t>（</w:t>
      </w:r>
      <w:r>
        <w:rPr>
          <w:szCs w:val="24"/>
        </w:rPr>
        <w:t>42.25+62.60×logP</w:t>
      </w:r>
      <w:r>
        <w:rPr>
          <w:rFonts w:hint="eastAsia"/>
          <w:szCs w:val="24"/>
        </w:rPr>
        <w:t>）</w:t>
      </w:r>
      <w:r>
        <w:rPr>
          <w:szCs w:val="24"/>
        </w:rPr>
        <w:t>/</w:t>
      </w:r>
      <w:r>
        <w:rPr>
          <w:rFonts w:hint="eastAsia"/>
          <w:szCs w:val="24"/>
        </w:rPr>
        <w:t>（</w:t>
      </w:r>
      <w:r>
        <w:rPr>
          <w:szCs w:val="24"/>
        </w:rPr>
        <w:t>t+35</w:t>
      </w:r>
      <w:r>
        <w:rPr>
          <w:rFonts w:hint="eastAsia"/>
          <w:szCs w:val="24"/>
        </w:rPr>
        <w:t>）</w:t>
      </w:r>
    </w:p>
    <w:p>
      <w:pPr>
        <w:ind w:firstLine="560"/>
        <w:rPr>
          <w:szCs w:val="24"/>
        </w:rPr>
      </w:pPr>
      <w:r>
        <w:rPr>
          <w:szCs w:val="24"/>
        </w:rPr>
        <w:t>q——</w:t>
      </w:r>
      <w:r>
        <w:rPr>
          <w:rFonts w:hint="eastAsia"/>
          <w:szCs w:val="24"/>
        </w:rPr>
        <w:t>降雨强度（</w:t>
      </w:r>
      <w:r>
        <w:rPr>
          <w:szCs w:val="24"/>
        </w:rPr>
        <w:t>L/s·ha</w:t>
      </w:r>
      <w:r>
        <w:rPr>
          <w:rFonts w:hint="eastAsia"/>
          <w:szCs w:val="24"/>
        </w:rPr>
        <w:t>）</w:t>
      </w:r>
    </w:p>
    <w:p>
      <w:pPr>
        <w:ind w:firstLine="560"/>
        <w:rPr>
          <w:szCs w:val="24"/>
        </w:rPr>
      </w:pPr>
      <w:r>
        <w:rPr>
          <w:szCs w:val="24"/>
        </w:rPr>
        <w:t>P——</w:t>
      </w:r>
      <w:r>
        <w:rPr>
          <w:rFonts w:hint="eastAsia"/>
          <w:szCs w:val="24"/>
        </w:rPr>
        <w:t>设计重现期，本区取</w:t>
      </w:r>
      <w:r>
        <w:rPr>
          <w:szCs w:val="24"/>
        </w:rPr>
        <w:t>P=3</w:t>
      </w:r>
      <w:r>
        <w:rPr>
          <w:rFonts w:hint="eastAsia"/>
          <w:szCs w:val="24"/>
        </w:rPr>
        <w:t>年</w:t>
      </w:r>
    </w:p>
    <w:p>
      <w:pPr>
        <w:ind w:firstLine="560"/>
        <w:rPr>
          <w:szCs w:val="24"/>
        </w:rPr>
      </w:pPr>
      <w:r>
        <w:rPr>
          <w:szCs w:val="24"/>
        </w:rPr>
        <w:t>t=t1+t2</w:t>
      </w:r>
    </w:p>
    <w:p>
      <w:pPr>
        <w:ind w:firstLine="560"/>
        <w:rPr>
          <w:szCs w:val="24"/>
        </w:rPr>
      </w:pPr>
      <w:r>
        <w:rPr>
          <w:rFonts w:hint="eastAsia"/>
          <w:szCs w:val="24"/>
        </w:rPr>
        <w:t>式中：</w:t>
      </w:r>
      <w:r>
        <w:rPr>
          <w:szCs w:val="24"/>
        </w:rPr>
        <w:t>t——</w:t>
      </w:r>
      <w:r>
        <w:rPr>
          <w:rFonts w:hint="eastAsia"/>
          <w:szCs w:val="24"/>
        </w:rPr>
        <w:t>降雨历时（</w:t>
      </w:r>
      <w:r>
        <w:rPr>
          <w:szCs w:val="24"/>
        </w:rPr>
        <w:t>min</w:t>
      </w:r>
      <w:r>
        <w:rPr>
          <w:rFonts w:hint="eastAsia"/>
          <w:szCs w:val="24"/>
        </w:rPr>
        <w:t>）；</w:t>
      </w:r>
    </w:p>
    <w:p>
      <w:pPr>
        <w:ind w:firstLine="560"/>
        <w:rPr>
          <w:szCs w:val="24"/>
        </w:rPr>
      </w:pPr>
      <w:r>
        <w:rPr>
          <w:szCs w:val="24"/>
        </w:rPr>
        <w:t>t1——</w:t>
      </w:r>
      <w:r>
        <w:rPr>
          <w:rFonts w:hint="eastAsia"/>
          <w:szCs w:val="24"/>
        </w:rPr>
        <w:t>地面集水时间（</w:t>
      </w:r>
      <w:r>
        <w:rPr>
          <w:szCs w:val="24"/>
        </w:rPr>
        <w:t>min</w:t>
      </w:r>
      <w:r>
        <w:rPr>
          <w:rFonts w:hint="eastAsia"/>
          <w:szCs w:val="24"/>
        </w:rPr>
        <w:t>），取地面集水时间为</w:t>
      </w:r>
      <w:r>
        <w:rPr>
          <w:szCs w:val="24"/>
        </w:rPr>
        <w:t>10min</w:t>
      </w:r>
      <w:r>
        <w:rPr>
          <w:rFonts w:hint="eastAsia"/>
          <w:szCs w:val="24"/>
        </w:rPr>
        <w:t>；</w:t>
      </w:r>
    </w:p>
    <w:p>
      <w:pPr>
        <w:ind w:firstLine="560"/>
        <w:rPr>
          <w:szCs w:val="24"/>
        </w:rPr>
      </w:pPr>
      <w:r>
        <w:rPr>
          <w:szCs w:val="24"/>
        </w:rPr>
        <w:t>t2——</w:t>
      </w:r>
      <w:r>
        <w:rPr>
          <w:rFonts w:hint="eastAsia"/>
          <w:szCs w:val="24"/>
        </w:rPr>
        <w:t>管渠内雨水流行时间（</w:t>
      </w:r>
      <w:r>
        <w:rPr>
          <w:szCs w:val="24"/>
        </w:rPr>
        <w:t>min</w:t>
      </w:r>
      <w:r>
        <w:rPr>
          <w:rFonts w:hint="eastAsia"/>
          <w:szCs w:val="24"/>
        </w:rPr>
        <w:t>）；</w:t>
      </w:r>
    </w:p>
    <w:p>
      <w:pPr>
        <w:ind w:firstLine="560"/>
        <w:rPr>
          <w:szCs w:val="24"/>
        </w:rPr>
      </w:pPr>
      <w:r>
        <w:rPr>
          <w:rFonts w:hint="eastAsia"/>
          <w:szCs w:val="24"/>
        </w:rPr>
        <w:t>雨水管渠水力计算，均按满管流计算，即设计充满度</w:t>
      </w:r>
      <w:r>
        <w:rPr>
          <w:szCs w:val="24"/>
        </w:rPr>
        <w:t>h/D</w:t>
      </w:r>
      <w:r>
        <w:rPr>
          <w:rFonts w:hint="eastAsia"/>
          <w:szCs w:val="24"/>
        </w:rPr>
        <w:t>采用</w:t>
      </w:r>
      <w:r>
        <w:rPr>
          <w:szCs w:val="24"/>
        </w:rPr>
        <w:t>1.0</w:t>
      </w:r>
      <w:r>
        <w:rPr>
          <w:rFonts w:hint="eastAsia"/>
          <w:szCs w:val="24"/>
        </w:rPr>
        <w:t>。</w:t>
      </w:r>
    </w:p>
    <w:p>
      <w:pPr>
        <w:ind w:firstLine="0" w:firstLineChars="0"/>
        <w:outlineLvl w:val="2"/>
        <w:rPr>
          <w:b/>
          <w:bCs/>
          <w:szCs w:val="24"/>
        </w:rPr>
      </w:pPr>
      <w:bookmarkStart w:id="236" w:name="_Toc13813"/>
      <w:bookmarkStart w:id="237" w:name="_Toc30856"/>
      <w:bookmarkStart w:id="238" w:name="_Toc32396"/>
      <w:bookmarkStart w:id="239" w:name="_Toc7196"/>
      <w:bookmarkStart w:id="240" w:name="_Toc6062"/>
      <w:bookmarkStart w:id="241" w:name="_Toc31886"/>
      <w:r>
        <w:rPr>
          <w:b/>
          <w:bCs/>
          <w:szCs w:val="24"/>
        </w:rPr>
        <w:t xml:space="preserve">9.3.4 </w:t>
      </w:r>
      <w:r>
        <w:rPr>
          <w:rFonts w:hint="eastAsia"/>
          <w:b/>
          <w:bCs/>
          <w:szCs w:val="24"/>
        </w:rPr>
        <w:t>雨水管网规划</w:t>
      </w:r>
      <w:bookmarkEnd w:id="236"/>
      <w:bookmarkEnd w:id="237"/>
      <w:bookmarkEnd w:id="238"/>
      <w:bookmarkEnd w:id="239"/>
      <w:bookmarkEnd w:id="240"/>
      <w:bookmarkEnd w:id="241"/>
    </w:p>
    <w:p>
      <w:pPr>
        <w:ind w:firstLine="560"/>
        <w:rPr>
          <w:szCs w:val="24"/>
        </w:rPr>
      </w:pPr>
      <w:r>
        <w:rPr>
          <w:rFonts w:hint="eastAsia"/>
          <w:szCs w:val="24"/>
        </w:rPr>
        <w:t>园区雨水管网可采用暗管、暗沟或明渠等形式，应充分考虑地形因素及周边受纳水体，结合地面坡度沿道路敷设，重力流排放。雨水管道采用钢筋混凝土圆管，超过</w:t>
      </w:r>
      <w:r>
        <w:rPr>
          <w:szCs w:val="24"/>
        </w:rPr>
        <w:t>Φ2000</w:t>
      </w:r>
      <w:r>
        <w:rPr>
          <w:rFonts w:hint="eastAsia"/>
          <w:szCs w:val="24"/>
        </w:rPr>
        <w:t>的管道采用矩形暗沟。在干管每隔</w:t>
      </w:r>
      <w:r>
        <w:rPr>
          <w:szCs w:val="24"/>
        </w:rPr>
        <w:t>200-300</w:t>
      </w:r>
      <w:r>
        <w:rPr>
          <w:rFonts w:hint="eastAsia"/>
          <w:szCs w:val="24"/>
        </w:rPr>
        <w:t>米处设一支管甩头，以便日后园区内企业雨水管线接入。园区内没有污染的雨水通过园区内的雨水收集管道排入河中。</w:t>
      </w:r>
    </w:p>
    <w:p>
      <w:pPr>
        <w:ind w:firstLine="560"/>
        <w:rPr>
          <w:szCs w:val="24"/>
        </w:rPr>
      </w:pPr>
      <w:r>
        <w:rPr>
          <w:rFonts w:hint="eastAsia"/>
          <w:szCs w:val="24"/>
        </w:rPr>
        <w:t>雨水管网采用暗管排水时，覆土深度应尽量控制在</w:t>
      </w:r>
      <w:r>
        <w:rPr>
          <w:szCs w:val="24"/>
        </w:rPr>
        <w:t>0.7</w:t>
      </w:r>
      <w:r>
        <w:rPr>
          <w:rFonts w:hint="eastAsia"/>
          <w:szCs w:val="24"/>
        </w:rPr>
        <w:t>米</w:t>
      </w:r>
      <w:r>
        <w:rPr>
          <w:szCs w:val="24"/>
        </w:rPr>
        <w:t>-1.5</w:t>
      </w:r>
      <w:r>
        <w:rPr>
          <w:rFonts w:hint="eastAsia"/>
          <w:szCs w:val="24"/>
        </w:rPr>
        <w:t>米左右，覆土不足</w:t>
      </w:r>
      <w:r>
        <w:rPr>
          <w:szCs w:val="24"/>
        </w:rPr>
        <w:t>0.7</w:t>
      </w:r>
      <w:r>
        <w:rPr>
          <w:rFonts w:hint="eastAsia"/>
          <w:szCs w:val="24"/>
        </w:rPr>
        <w:t>米的管段应作加固处理。雨水管材可选用钢筋混凝土管，管道接口采用钢丝网水泥砂浆抹带接口；管道基础根据管道不同的埋设深度，采用对应的混凝土基础。</w:t>
      </w:r>
    </w:p>
    <w:p>
      <w:pPr>
        <w:ind w:firstLine="560"/>
        <w:rPr>
          <w:szCs w:val="24"/>
        </w:rPr>
      </w:pPr>
      <w:r>
        <w:rPr>
          <w:rFonts w:hint="eastAsia"/>
          <w:szCs w:val="24"/>
        </w:rPr>
        <w:t>雨水管道应与其他管道协调，详见《雨水管网规划图》。</w:t>
      </w:r>
    </w:p>
    <w:p>
      <w:pPr>
        <w:pStyle w:val="4"/>
        <w:spacing w:before="140" w:after="140"/>
        <w:ind w:firstLine="0" w:firstLineChars="0"/>
        <w:rPr>
          <w:rFonts w:cs="Times New Roman"/>
          <w:sz w:val="28"/>
          <w:szCs w:val="28"/>
        </w:rPr>
      </w:pPr>
      <w:bookmarkStart w:id="242" w:name="_Toc31269"/>
      <w:bookmarkStart w:id="243" w:name="_Toc2715"/>
      <w:bookmarkStart w:id="244" w:name="_Toc22167"/>
      <w:bookmarkStart w:id="245" w:name="_Toc10255"/>
      <w:bookmarkStart w:id="246" w:name="_Toc965"/>
      <w:bookmarkStart w:id="247" w:name="_Toc31691"/>
      <w:bookmarkStart w:id="248" w:name="_Toc20141"/>
      <w:bookmarkStart w:id="249" w:name="_Toc126591886"/>
      <w:bookmarkStart w:id="250" w:name="_Toc23660"/>
      <w:r>
        <w:rPr>
          <w:rFonts w:cs="Times New Roman"/>
          <w:sz w:val="28"/>
          <w:szCs w:val="28"/>
        </w:rPr>
        <w:t xml:space="preserve">9.4 </w:t>
      </w:r>
      <w:r>
        <w:rPr>
          <w:rFonts w:hint="eastAsia"/>
          <w:sz w:val="28"/>
          <w:szCs w:val="28"/>
        </w:rPr>
        <w:t>电力工程规划</w:t>
      </w:r>
      <w:bookmarkEnd w:id="242"/>
      <w:bookmarkEnd w:id="243"/>
      <w:bookmarkEnd w:id="244"/>
      <w:bookmarkEnd w:id="245"/>
      <w:bookmarkEnd w:id="246"/>
      <w:bookmarkEnd w:id="247"/>
      <w:bookmarkEnd w:id="248"/>
      <w:bookmarkEnd w:id="249"/>
    </w:p>
    <w:p>
      <w:pPr>
        <w:ind w:firstLine="0" w:firstLineChars="0"/>
        <w:outlineLvl w:val="2"/>
        <w:rPr>
          <w:rFonts w:cs="Times New Roman"/>
          <w:b/>
          <w:bCs/>
          <w:sz w:val="24"/>
          <w:szCs w:val="24"/>
        </w:rPr>
      </w:pPr>
      <w:bookmarkStart w:id="251" w:name="_Toc22694"/>
      <w:bookmarkStart w:id="252" w:name="_Toc30047"/>
      <w:bookmarkStart w:id="253" w:name="_Toc26292"/>
      <w:bookmarkStart w:id="254" w:name="_Toc21938"/>
      <w:bookmarkStart w:id="255" w:name="_Toc8198"/>
      <w:r>
        <w:rPr>
          <w:b/>
          <w:bCs/>
          <w:szCs w:val="24"/>
        </w:rPr>
        <w:t xml:space="preserve">9.4.1 </w:t>
      </w:r>
      <w:r>
        <w:rPr>
          <w:rFonts w:hint="eastAsia"/>
          <w:b/>
          <w:bCs/>
          <w:szCs w:val="24"/>
        </w:rPr>
        <w:t>规划依据</w:t>
      </w:r>
      <w:bookmarkEnd w:id="250"/>
      <w:bookmarkEnd w:id="251"/>
      <w:bookmarkEnd w:id="252"/>
      <w:bookmarkEnd w:id="253"/>
      <w:bookmarkEnd w:id="254"/>
      <w:bookmarkEnd w:id="255"/>
    </w:p>
    <w:p>
      <w:pPr>
        <w:ind w:firstLine="560"/>
        <w:rPr>
          <w:szCs w:val="24"/>
        </w:rPr>
      </w:pPr>
      <w:r>
        <w:rPr>
          <w:rFonts w:hint="eastAsia"/>
          <w:szCs w:val="24"/>
        </w:rPr>
        <w:t>（</w:t>
      </w:r>
      <w:r>
        <w:rPr>
          <w:szCs w:val="24"/>
        </w:rPr>
        <w:t>1</w:t>
      </w:r>
      <w:r>
        <w:rPr>
          <w:rFonts w:hint="eastAsia"/>
          <w:szCs w:val="24"/>
        </w:rPr>
        <w:t>）《城市电力规划规范》（</w:t>
      </w:r>
      <w:r>
        <w:rPr>
          <w:szCs w:val="24"/>
        </w:rPr>
        <w:t>GB/T 50293-2014</w:t>
      </w:r>
      <w:r>
        <w:rPr>
          <w:rFonts w:hint="eastAsia"/>
          <w:szCs w:val="24"/>
        </w:rPr>
        <w:t>）。</w:t>
      </w:r>
    </w:p>
    <w:p>
      <w:pPr>
        <w:ind w:firstLine="560"/>
        <w:rPr>
          <w:szCs w:val="24"/>
        </w:rPr>
      </w:pPr>
      <w:r>
        <w:rPr>
          <w:rFonts w:hint="eastAsia"/>
          <w:szCs w:val="24"/>
        </w:rPr>
        <w:t>（</w:t>
      </w:r>
      <w:r>
        <w:rPr>
          <w:szCs w:val="24"/>
        </w:rPr>
        <w:t>2</w:t>
      </w:r>
      <w:r>
        <w:rPr>
          <w:rFonts w:hint="eastAsia"/>
          <w:szCs w:val="24"/>
        </w:rPr>
        <w:t>）《城市配电网规划设计规范》（</w:t>
      </w:r>
      <w:r>
        <w:rPr>
          <w:szCs w:val="24"/>
        </w:rPr>
        <w:t>GB 50613-2010</w:t>
      </w:r>
      <w:r>
        <w:rPr>
          <w:rFonts w:hint="eastAsia"/>
          <w:szCs w:val="24"/>
        </w:rPr>
        <w:t>）。</w:t>
      </w:r>
    </w:p>
    <w:p>
      <w:pPr>
        <w:ind w:firstLine="560"/>
        <w:rPr>
          <w:szCs w:val="24"/>
        </w:rPr>
      </w:pPr>
      <w:r>
        <w:rPr>
          <w:rFonts w:hint="eastAsia"/>
          <w:szCs w:val="24"/>
        </w:rPr>
        <w:t>（</w:t>
      </w:r>
      <w:r>
        <w:rPr>
          <w:szCs w:val="24"/>
        </w:rPr>
        <w:t>3</w:t>
      </w:r>
      <w:r>
        <w:rPr>
          <w:rFonts w:hint="eastAsia"/>
          <w:szCs w:val="24"/>
        </w:rPr>
        <w:t>）《城市电力网规划设计导则》（</w:t>
      </w:r>
      <w:r>
        <w:rPr>
          <w:szCs w:val="24"/>
        </w:rPr>
        <w:t>Q/GDW 156-2006</w:t>
      </w:r>
      <w:r>
        <w:rPr>
          <w:rFonts w:hint="eastAsia"/>
          <w:szCs w:val="24"/>
        </w:rPr>
        <w:t>）。</w:t>
      </w:r>
    </w:p>
    <w:p>
      <w:pPr>
        <w:ind w:firstLine="0" w:firstLineChars="0"/>
        <w:outlineLvl w:val="2"/>
        <w:rPr>
          <w:b/>
          <w:bCs/>
          <w:szCs w:val="24"/>
        </w:rPr>
      </w:pPr>
      <w:bookmarkStart w:id="256" w:name="_Toc15032"/>
      <w:bookmarkStart w:id="257" w:name="_Toc2763"/>
      <w:bookmarkStart w:id="258" w:name="_Toc17097"/>
      <w:bookmarkStart w:id="259" w:name="_Toc19721"/>
      <w:bookmarkStart w:id="260" w:name="_Toc10229"/>
      <w:bookmarkStart w:id="261" w:name="_Toc5904"/>
      <w:r>
        <w:rPr>
          <w:b/>
          <w:bCs/>
          <w:szCs w:val="24"/>
        </w:rPr>
        <w:t xml:space="preserve">9.4.2 </w:t>
      </w:r>
      <w:r>
        <w:rPr>
          <w:rFonts w:hint="eastAsia"/>
          <w:b/>
          <w:bCs/>
          <w:szCs w:val="24"/>
        </w:rPr>
        <w:t>规划原则</w:t>
      </w:r>
      <w:bookmarkEnd w:id="256"/>
      <w:bookmarkEnd w:id="257"/>
      <w:bookmarkEnd w:id="258"/>
      <w:bookmarkEnd w:id="259"/>
      <w:bookmarkEnd w:id="260"/>
      <w:bookmarkEnd w:id="261"/>
    </w:p>
    <w:p>
      <w:pPr>
        <w:ind w:firstLine="560"/>
        <w:rPr>
          <w:szCs w:val="24"/>
        </w:rPr>
      </w:pPr>
      <w:r>
        <w:rPr>
          <w:rFonts w:hint="eastAsia"/>
          <w:szCs w:val="24"/>
        </w:rPr>
        <w:t>（</w:t>
      </w:r>
      <w:r>
        <w:rPr>
          <w:szCs w:val="24"/>
        </w:rPr>
        <w:t>1</w:t>
      </w:r>
      <w:r>
        <w:rPr>
          <w:rFonts w:hint="eastAsia"/>
          <w:szCs w:val="24"/>
        </w:rPr>
        <w:t>）科学合理地进行负荷预测，为供电电源布局及网架结构规划提供依据。</w:t>
      </w:r>
    </w:p>
    <w:p>
      <w:pPr>
        <w:ind w:firstLine="560"/>
        <w:rPr>
          <w:szCs w:val="24"/>
        </w:rPr>
      </w:pPr>
      <w:r>
        <w:rPr>
          <w:rFonts w:hint="eastAsia"/>
          <w:szCs w:val="24"/>
        </w:rPr>
        <w:t>（</w:t>
      </w:r>
      <w:r>
        <w:rPr>
          <w:szCs w:val="24"/>
        </w:rPr>
        <w:t>2</w:t>
      </w:r>
      <w:r>
        <w:rPr>
          <w:rFonts w:hint="eastAsia"/>
          <w:szCs w:val="24"/>
        </w:rPr>
        <w:t>）合理规划布置变电站及其用地，适当超前预留相关设施用地。</w:t>
      </w:r>
    </w:p>
    <w:p>
      <w:pPr>
        <w:ind w:firstLine="560"/>
        <w:rPr>
          <w:szCs w:val="24"/>
        </w:rPr>
      </w:pPr>
      <w:r>
        <w:rPr>
          <w:rFonts w:hint="eastAsia"/>
          <w:szCs w:val="24"/>
        </w:rPr>
        <w:t>（</w:t>
      </w:r>
      <w:r>
        <w:rPr>
          <w:szCs w:val="24"/>
        </w:rPr>
        <w:t>3</w:t>
      </w:r>
      <w:r>
        <w:rPr>
          <w:rFonts w:hint="eastAsia"/>
          <w:szCs w:val="24"/>
        </w:rPr>
        <w:t>）合理规划变电站及电力设施的用地，充分预留高压走廊和电缆通道，处理好电力设施与规划地段建设的矛盾。</w:t>
      </w:r>
    </w:p>
    <w:p>
      <w:pPr>
        <w:ind w:firstLine="0" w:firstLineChars="0"/>
        <w:outlineLvl w:val="2"/>
        <w:rPr>
          <w:b/>
          <w:bCs/>
          <w:szCs w:val="24"/>
        </w:rPr>
      </w:pPr>
      <w:bookmarkStart w:id="262" w:name="_Toc6514"/>
      <w:bookmarkStart w:id="263" w:name="_Toc28367"/>
      <w:bookmarkStart w:id="264" w:name="_Toc24651"/>
      <w:bookmarkStart w:id="265" w:name="_Toc5742"/>
      <w:bookmarkStart w:id="266" w:name="_Toc22928"/>
      <w:bookmarkStart w:id="267" w:name="_Toc25198"/>
      <w:r>
        <w:rPr>
          <w:b/>
          <w:bCs/>
          <w:szCs w:val="24"/>
        </w:rPr>
        <w:t xml:space="preserve">9.4.3 </w:t>
      </w:r>
      <w:r>
        <w:rPr>
          <w:rFonts w:hint="eastAsia"/>
          <w:b/>
          <w:bCs/>
          <w:szCs w:val="24"/>
        </w:rPr>
        <w:t>电源概况、用电负荷预测</w:t>
      </w:r>
      <w:bookmarkEnd w:id="262"/>
      <w:bookmarkEnd w:id="263"/>
      <w:bookmarkEnd w:id="264"/>
      <w:bookmarkEnd w:id="265"/>
      <w:bookmarkEnd w:id="266"/>
      <w:bookmarkEnd w:id="267"/>
    </w:p>
    <w:p>
      <w:pPr>
        <w:ind w:firstLine="560"/>
        <w:rPr>
          <w:szCs w:val="24"/>
        </w:rPr>
      </w:pPr>
      <w:r>
        <w:rPr>
          <w:szCs w:val="24"/>
        </w:rPr>
        <w:t>1</w:t>
      </w:r>
      <w:r>
        <w:rPr>
          <w:rFonts w:hint="eastAsia"/>
          <w:szCs w:val="24"/>
        </w:rPr>
        <w:t>、电源概况</w:t>
      </w:r>
    </w:p>
    <w:p>
      <w:pPr>
        <w:ind w:firstLine="560"/>
        <w:rPr>
          <w:szCs w:val="24"/>
        </w:rPr>
      </w:pPr>
      <w:r>
        <w:rPr>
          <w:rFonts w:hint="eastAsia"/>
          <w:szCs w:val="24"/>
        </w:rPr>
        <w:t>目前六枝经开区为路喜园区供电的有</w:t>
      </w:r>
      <w:r>
        <w:rPr>
          <w:szCs w:val="24"/>
        </w:rPr>
        <w:t>110kV</w:t>
      </w:r>
      <w:r>
        <w:rPr>
          <w:rFonts w:hint="eastAsia"/>
          <w:szCs w:val="24"/>
        </w:rPr>
        <w:t>变电站（新窑变）</w:t>
      </w:r>
      <w:r>
        <w:rPr>
          <w:szCs w:val="24"/>
        </w:rPr>
        <w:t>1</w:t>
      </w:r>
      <w:r>
        <w:rPr>
          <w:rFonts w:hint="eastAsia"/>
          <w:szCs w:val="24"/>
        </w:rPr>
        <w:t>座，由</w:t>
      </w:r>
      <w:r>
        <w:rPr>
          <w:szCs w:val="24"/>
        </w:rPr>
        <w:t>220kV</w:t>
      </w:r>
      <w:r>
        <w:rPr>
          <w:rFonts w:hint="eastAsia"/>
          <w:szCs w:val="24"/>
        </w:rPr>
        <w:t>六枝变为其供电，为双主变变电站，主变容量</w:t>
      </w:r>
      <w:r>
        <w:rPr>
          <w:szCs w:val="24"/>
        </w:rPr>
        <w:t>126MVA</w:t>
      </w:r>
      <w:r>
        <w:rPr>
          <w:rFonts w:hint="eastAsia"/>
          <w:szCs w:val="24"/>
        </w:rPr>
        <w:t>，截止</w:t>
      </w:r>
      <w:r>
        <w:rPr>
          <w:szCs w:val="24"/>
        </w:rPr>
        <w:t>2021</w:t>
      </w:r>
      <w:r>
        <w:rPr>
          <w:rFonts w:hint="eastAsia"/>
          <w:szCs w:val="24"/>
        </w:rPr>
        <w:t>年底最大负荷为</w:t>
      </w:r>
      <w:r>
        <w:rPr>
          <w:szCs w:val="24"/>
        </w:rPr>
        <w:t>28.3MW</w:t>
      </w:r>
      <w:r>
        <w:rPr>
          <w:rFonts w:hint="eastAsia"/>
          <w:szCs w:val="24"/>
        </w:rPr>
        <w:t>，最大负载率为</w:t>
      </w:r>
      <w:r>
        <w:rPr>
          <w:szCs w:val="24"/>
        </w:rPr>
        <w:t>23.6%</w:t>
      </w:r>
      <w:r>
        <w:rPr>
          <w:rFonts w:hint="eastAsia"/>
          <w:szCs w:val="24"/>
        </w:rPr>
        <w:t>。</w:t>
      </w:r>
    </w:p>
    <w:p>
      <w:pPr>
        <w:ind w:firstLine="560"/>
        <w:rPr>
          <w:szCs w:val="24"/>
        </w:rPr>
      </w:pPr>
      <w:r>
        <w:rPr>
          <w:szCs w:val="24"/>
        </w:rPr>
        <w:t>2</w:t>
      </w:r>
      <w:r>
        <w:rPr>
          <w:rFonts w:hint="eastAsia"/>
          <w:szCs w:val="24"/>
        </w:rPr>
        <w:t>、用电负荷预测</w:t>
      </w:r>
    </w:p>
    <w:p>
      <w:pPr>
        <w:ind w:firstLine="560"/>
        <w:rPr>
          <w:szCs w:val="24"/>
        </w:rPr>
      </w:pPr>
      <w:r>
        <w:rPr>
          <w:rFonts w:hint="eastAsia"/>
          <w:szCs w:val="24"/>
        </w:rPr>
        <w:t>化工园区用地属于化学工业用地，总体规划包括工业用地、公用工程用地、行政办公用地、仓储用地、道路广场用地及绿化用地等，因此，电力规划属于工业区电力分区规划。</w:t>
      </w:r>
    </w:p>
    <w:p>
      <w:pPr>
        <w:ind w:firstLine="560"/>
        <w:rPr>
          <w:szCs w:val="24"/>
        </w:rPr>
      </w:pPr>
      <w:r>
        <w:rPr>
          <w:rFonts w:hint="eastAsia"/>
          <w:szCs w:val="24"/>
        </w:rPr>
        <w:t>根据《城市电力规划规范》（</w:t>
      </w:r>
      <w:r>
        <w:rPr>
          <w:szCs w:val="24"/>
        </w:rPr>
        <w:t>GB/T50293-2014</w:t>
      </w:r>
      <w:r>
        <w:rPr>
          <w:rFonts w:hint="eastAsia"/>
          <w:szCs w:val="24"/>
        </w:rPr>
        <w:t>）和工业区规划的特点，本规划采用负荷密度法和项目相结合的方法进行用电负荷预测。用电负荷预测充分考虑到石化工业用电的特征，并参考国内外现有的化工区单位建设用地用电现状水平，力求准确地预测工业区用电负荷。</w:t>
      </w:r>
    </w:p>
    <w:p>
      <w:pPr>
        <w:ind w:firstLine="560"/>
        <w:rPr>
          <w:szCs w:val="24"/>
        </w:rPr>
      </w:pPr>
      <w:r>
        <w:rPr>
          <w:rFonts w:hint="eastAsia"/>
          <w:szCs w:val="24"/>
        </w:rPr>
        <w:t>根据上述指标和方法，化工园区新增用电负荷总预测值约为</w:t>
      </w:r>
      <w:r>
        <w:rPr>
          <w:szCs w:val="24"/>
        </w:rPr>
        <w:t>67.3</w:t>
      </w:r>
      <w:r>
        <w:rPr>
          <w:rFonts w:hint="eastAsia"/>
          <w:szCs w:val="24"/>
        </w:rPr>
        <w:t>万</w:t>
      </w:r>
      <w:r>
        <w:rPr>
          <w:szCs w:val="24"/>
        </w:rPr>
        <w:t>kW</w:t>
      </w:r>
      <w:r>
        <w:rPr>
          <w:rFonts w:hint="eastAsia"/>
          <w:szCs w:val="24"/>
        </w:rPr>
        <w:t>。详见电负荷表：</w:t>
      </w:r>
    </w:p>
    <w:p>
      <w:pPr>
        <w:spacing w:before="120" w:beforeLines="50"/>
        <w:ind w:firstLine="422"/>
        <w:jc w:val="center"/>
        <w:rPr>
          <w:b/>
          <w:bCs/>
          <w:sz w:val="21"/>
        </w:rPr>
      </w:pPr>
      <w:r>
        <w:rPr>
          <w:rFonts w:hint="eastAsia"/>
          <w:b/>
          <w:bCs/>
          <w:sz w:val="21"/>
        </w:rPr>
        <w:t>表</w:t>
      </w:r>
      <w:r>
        <w:rPr>
          <w:b/>
          <w:bCs/>
          <w:sz w:val="21"/>
        </w:rPr>
        <w:t xml:space="preserve">9.4-1  </w:t>
      </w:r>
      <w:r>
        <w:rPr>
          <w:rFonts w:hint="eastAsia"/>
          <w:b/>
          <w:bCs/>
          <w:sz w:val="21"/>
        </w:rPr>
        <w:t>电负荷表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2"/>
        <w:gridCol w:w="3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2"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项目名称</w:t>
            </w:r>
          </w:p>
        </w:tc>
        <w:tc>
          <w:tcPr>
            <w:tcW w:w="3191"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用电负荷（万</w:t>
            </w:r>
            <w:r>
              <w:rPr>
                <w:sz w:val="21"/>
              </w:rPr>
              <w:t>kW</w:t>
            </w:r>
            <w:r>
              <w:rPr>
                <w:rFonts w:hint="eastAsia"/>
                <w:sz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2"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现代煤化工产业用地</w:t>
            </w:r>
          </w:p>
        </w:tc>
        <w:tc>
          <w:tcPr>
            <w:tcW w:w="3191"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9.75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2"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精细化工产业用地</w:t>
            </w:r>
          </w:p>
        </w:tc>
        <w:tc>
          <w:tcPr>
            <w:tcW w:w="3191"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57.05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2"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公用工程及其他</w:t>
            </w:r>
          </w:p>
        </w:tc>
        <w:tc>
          <w:tcPr>
            <w:tcW w:w="3191"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2"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rFonts w:hint="eastAsia"/>
                <w:sz w:val="21"/>
              </w:rPr>
              <w:t>合计</w:t>
            </w:r>
          </w:p>
        </w:tc>
        <w:tc>
          <w:tcPr>
            <w:tcW w:w="3191"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sz w:val="21"/>
              </w:rPr>
            </w:pPr>
            <w:r>
              <w:rPr>
                <w:sz w:val="21"/>
              </w:rPr>
              <w:t>67.3</w:t>
            </w:r>
          </w:p>
        </w:tc>
      </w:tr>
    </w:tbl>
    <w:p>
      <w:pPr>
        <w:ind w:firstLine="0" w:firstLineChars="0"/>
        <w:outlineLvl w:val="2"/>
        <w:rPr>
          <w:rFonts w:cs="Times New Roman"/>
          <w:b/>
          <w:bCs/>
          <w:sz w:val="24"/>
          <w:szCs w:val="24"/>
        </w:rPr>
      </w:pPr>
      <w:bookmarkStart w:id="268" w:name="_Toc10745"/>
      <w:bookmarkStart w:id="269" w:name="_Toc5144"/>
      <w:bookmarkStart w:id="270" w:name="_Toc2570"/>
      <w:bookmarkStart w:id="271" w:name="_Toc22486"/>
      <w:bookmarkStart w:id="272" w:name="_Toc23433"/>
      <w:bookmarkStart w:id="273" w:name="_Toc14541"/>
      <w:r>
        <w:rPr>
          <w:b/>
          <w:bCs/>
          <w:szCs w:val="24"/>
        </w:rPr>
        <w:t xml:space="preserve">9.4.4 </w:t>
      </w:r>
      <w:r>
        <w:rPr>
          <w:rFonts w:hint="eastAsia"/>
          <w:b/>
          <w:bCs/>
          <w:szCs w:val="24"/>
        </w:rPr>
        <w:t>供电设施规划</w:t>
      </w:r>
      <w:bookmarkEnd w:id="268"/>
      <w:bookmarkEnd w:id="269"/>
      <w:bookmarkEnd w:id="270"/>
      <w:bookmarkEnd w:id="271"/>
      <w:bookmarkEnd w:id="272"/>
      <w:bookmarkEnd w:id="273"/>
    </w:p>
    <w:p>
      <w:pPr>
        <w:ind w:firstLine="560"/>
        <w:rPr>
          <w:szCs w:val="24"/>
        </w:rPr>
      </w:pPr>
      <w:r>
        <w:rPr>
          <w:szCs w:val="24"/>
        </w:rPr>
        <w:t>1</w:t>
      </w:r>
      <w:r>
        <w:rPr>
          <w:rFonts w:hint="eastAsia"/>
          <w:szCs w:val="24"/>
        </w:rPr>
        <w:t>、供电电源选择</w:t>
      </w:r>
    </w:p>
    <w:p>
      <w:pPr>
        <w:ind w:firstLine="560"/>
        <w:rPr>
          <w:szCs w:val="24"/>
        </w:rPr>
      </w:pPr>
      <w:r>
        <w:rPr>
          <w:rFonts w:hint="eastAsia"/>
          <w:szCs w:val="24"/>
        </w:rPr>
        <w:t>根据化工园区的用电负荷和地区电力规划，从供电安全性和可靠性的角度，选择</w:t>
      </w:r>
      <w:r>
        <w:rPr>
          <w:szCs w:val="24"/>
        </w:rPr>
        <w:t>110kV</w:t>
      </w:r>
      <w:r>
        <w:rPr>
          <w:rFonts w:hint="eastAsia"/>
          <w:szCs w:val="24"/>
        </w:rPr>
        <w:t>新窑变为园区供电，从新窑变引一趟</w:t>
      </w:r>
      <w:r>
        <w:rPr>
          <w:szCs w:val="24"/>
        </w:rPr>
        <w:t>110kV</w:t>
      </w:r>
      <w:r>
        <w:rPr>
          <w:rFonts w:hint="eastAsia"/>
          <w:szCs w:val="24"/>
        </w:rPr>
        <w:t>线路和一趟</w:t>
      </w:r>
      <w:r>
        <w:rPr>
          <w:szCs w:val="24"/>
        </w:rPr>
        <w:t>10kV</w:t>
      </w:r>
      <w:r>
        <w:rPr>
          <w:rFonts w:hint="eastAsia"/>
          <w:szCs w:val="24"/>
        </w:rPr>
        <w:t>线路至企业。</w:t>
      </w:r>
    </w:p>
    <w:p>
      <w:pPr>
        <w:ind w:firstLine="560"/>
        <w:rPr>
          <w:szCs w:val="24"/>
        </w:rPr>
      </w:pPr>
      <w:r>
        <w:rPr>
          <w:szCs w:val="24"/>
        </w:rPr>
        <w:t>2</w:t>
      </w:r>
      <w:r>
        <w:rPr>
          <w:rFonts w:hint="eastAsia"/>
          <w:szCs w:val="24"/>
        </w:rPr>
        <w:t>、供电规划</w:t>
      </w:r>
    </w:p>
    <w:p>
      <w:pPr>
        <w:ind w:firstLine="560"/>
        <w:rPr>
          <w:szCs w:val="24"/>
        </w:rPr>
      </w:pPr>
      <w:r>
        <w:rPr>
          <w:rFonts w:hint="eastAsia"/>
          <w:szCs w:val="24"/>
        </w:rPr>
        <w:t>园区不新建变电站，对原有</w:t>
      </w:r>
      <w:r>
        <w:rPr>
          <w:szCs w:val="24"/>
        </w:rPr>
        <w:t>110kV</w:t>
      </w:r>
      <w:r>
        <w:rPr>
          <w:rFonts w:hint="eastAsia"/>
          <w:szCs w:val="24"/>
        </w:rPr>
        <w:t>新窑变</w:t>
      </w:r>
      <w:r>
        <w:rPr>
          <w:szCs w:val="24"/>
        </w:rPr>
        <w:t>10kV</w:t>
      </w:r>
      <w:r>
        <w:rPr>
          <w:rFonts w:hint="eastAsia"/>
          <w:szCs w:val="24"/>
        </w:rPr>
        <w:t>开关室和间隔进行扩建，同时在园区建设多座</w:t>
      </w:r>
      <w:r>
        <w:rPr>
          <w:szCs w:val="24"/>
        </w:rPr>
        <w:t>10kV</w:t>
      </w:r>
      <w:r>
        <w:rPr>
          <w:rFonts w:hint="eastAsia"/>
          <w:szCs w:val="24"/>
        </w:rPr>
        <w:t>开关站，可向园区内建设项目提供</w:t>
      </w:r>
      <w:r>
        <w:rPr>
          <w:szCs w:val="24"/>
        </w:rPr>
        <w:t>110kV</w:t>
      </w:r>
      <w:r>
        <w:rPr>
          <w:rFonts w:hint="eastAsia"/>
          <w:szCs w:val="24"/>
        </w:rPr>
        <w:t>、</w:t>
      </w:r>
      <w:r>
        <w:rPr>
          <w:szCs w:val="24"/>
        </w:rPr>
        <w:t>10kV</w:t>
      </w:r>
      <w:r>
        <w:rPr>
          <w:rFonts w:hint="eastAsia"/>
          <w:szCs w:val="24"/>
        </w:rPr>
        <w:t>等级供电线路。</w:t>
      </w:r>
    </w:p>
    <w:p>
      <w:pPr>
        <w:ind w:firstLine="560"/>
        <w:rPr>
          <w:szCs w:val="24"/>
        </w:rPr>
      </w:pPr>
      <w:r>
        <w:rPr>
          <w:rFonts w:hint="eastAsia"/>
          <w:szCs w:val="24"/>
        </w:rPr>
        <w:t>个别大型企业根据自身用电情况，可直接由国家电网的区域变电站专线供电，供电线路紧张时可考虑采用电缆线路供电。</w:t>
      </w:r>
    </w:p>
    <w:p>
      <w:pPr>
        <w:ind w:firstLine="560"/>
        <w:rPr>
          <w:szCs w:val="24"/>
        </w:rPr>
      </w:pPr>
      <w:r>
        <w:rPr>
          <w:rFonts w:hint="eastAsia"/>
          <w:szCs w:val="24"/>
        </w:rPr>
        <w:t>园区建成后，用电负荷较大且高度集中，建设变电站将使得地区的电源结构趋于合理，使得变电设施更加接近负荷中心，对于提高整个园区的供电安全性和可靠性十分必要，对于更合理地规划园区内电力线路、降低线损也十分有益。</w:t>
      </w:r>
    </w:p>
    <w:p>
      <w:pPr>
        <w:ind w:firstLine="560"/>
        <w:rPr>
          <w:szCs w:val="24"/>
        </w:rPr>
      </w:pPr>
      <w:r>
        <w:rPr>
          <w:rFonts w:hint="eastAsia"/>
          <w:szCs w:val="24"/>
        </w:rPr>
        <w:t>上述供电设施规划宜根据园区开发建设情况分期建设。</w:t>
      </w:r>
    </w:p>
    <w:p>
      <w:pPr>
        <w:ind w:firstLine="560"/>
        <w:rPr>
          <w:szCs w:val="24"/>
        </w:rPr>
      </w:pPr>
      <w:r>
        <w:rPr>
          <w:rFonts w:hint="eastAsia"/>
          <w:szCs w:val="24"/>
        </w:rPr>
        <w:t>规划供电线路沿园区规划的工业管廊架空敷设，无管廊处沿道路埋地敷设。</w:t>
      </w:r>
    </w:p>
    <w:p>
      <w:pPr>
        <w:ind w:firstLine="0" w:firstLineChars="0"/>
        <w:outlineLvl w:val="2"/>
        <w:rPr>
          <w:b/>
          <w:bCs/>
          <w:szCs w:val="24"/>
        </w:rPr>
      </w:pPr>
      <w:bookmarkStart w:id="274" w:name="_Toc22919"/>
      <w:bookmarkStart w:id="275" w:name="_Toc24322"/>
      <w:bookmarkStart w:id="276" w:name="_Toc25329"/>
      <w:bookmarkStart w:id="277" w:name="_Toc12552"/>
      <w:bookmarkStart w:id="278" w:name="_Toc7340"/>
      <w:bookmarkStart w:id="279" w:name="_Toc2197"/>
      <w:r>
        <w:rPr>
          <w:b/>
          <w:bCs/>
          <w:szCs w:val="24"/>
        </w:rPr>
        <w:t xml:space="preserve">9.4.5 </w:t>
      </w:r>
      <w:r>
        <w:rPr>
          <w:rFonts w:hint="eastAsia"/>
          <w:b/>
          <w:bCs/>
          <w:szCs w:val="24"/>
        </w:rPr>
        <w:t>化工园区区内电网规划</w:t>
      </w:r>
      <w:bookmarkEnd w:id="274"/>
      <w:bookmarkEnd w:id="275"/>
      <w:bookmarkEnd w:id="276"/>
      <w:bookmarkEnd w:id="277"/>
      <w:bookmarkEnd w:id="278"/>
      <w:bookmarkEnd w:id="279"/>
    </w:p>
    <w:p>
      <w:pPr>
        <w:ind w:firstLine="560"/>
        <w:rPr>
          <w:szCs w:val="24"/>
        </w:rPr>
      </w:pPr>
      <w:r>
        <w:rPr>
          <w:rFonts w:hint="eastAsia"/>
          <w:szCs w:val="24"/>
        </w:rPr>
        <w:t>化工园区内供电电压等级主要为</w:t>
      </w:r>
      <w:r>
        <w:rPr>
          <w:szCs w:val="24"/>
        </w:rPr>
        <w:t>110kV</w:t>
      </w:r>
      <w:r>
        <w:rPr>
          <w:rFonts w:hint="eastAsia"/>
          <w:szCs w:val="24"/>
        </w:rPr>
        <w:t>、</w:t>
      </w:r>
      <w:r>
        <w:rPr>
          <w:szCs w:val="24"/>
        </w:rPr>
        <w:t>10kV</w:t>
      </w:r>
      <w:r>
        <w:rPr>
          <w:rFonts w:hint="eastAsia"/>
          <w:szCs w:val="24"/>
        </w:rPr>
        <w:t>。</w:t>
      </w:r>
    </w:p>
    <w:p>
      <w:pPr>
        <w:ind w:firstLine="560"/>
        <w:rPr>
          <w:szCs w:val="24"/>
        </w:rPr>
      </w:pPr>
      <w:r>
        <w:rPr>
          <w:rFonts w:hint="eastAsia"/>
          <w:szCs w:val="24"/>
        </w:rPr>
        <w:t>考虑到化工生产对供电可靠性要求较高，园区内各用户均采用双回路电源供电方式。各用户根据需要分别建设</w:t>
      </w:r>
      <w:r>
        <w:rPr>
          <w:szCs w:val="24"/>
        </w:rPr>
        <w:t>110kV</w:t>
      </w:r>
      <w:r>
        <w:rPr>
          <w:rFonts w:hint="eastAsia"/>
          <w:szCs w:val="24"/>
        </w:rPr>
        <w:t>、</w:t>
      </w:r>
      <w:r>
        <w:rPr>
          <w:szCs w:val="24"/>
        </w:rPr>
        <w:t>10kV</w:t>
      </w:r>
      <w:r>
        <w:rPr>
          <w:rFonts w:hint="eastAsia"/>
          <w:szCs w:val="24"/>
        </w:rPr>
        <w:t>变电所。</w:t>
      </w:r>
    </w:p>
    <w:p>
      <w:pPr>
        <w:ind w:firstLine="0" w:firstLineChars="0"/>
        <w:outlineLvl w:val="2"/>
        <w:rPr>
          <w:b/>
          <w:bCs/>
          <w:szCs w:val="24"/>
        </w:rPr>
      </w:pPr>
      <w:bookmarkStart w:id="280" w:name="_Toc12734"/>
      <w:bookmarkStart w:id="281" w:name="_Toc416"/>
      <w:bookmarkStart w:id="282" w:name="_Toc10922"/>
      <w:bookmarkStart w:id="283" w:name="_Toc26632"/>
      <w:bookmarkStart w:id="284" w:name="_Toc14520"/>
      <w:bookmarkStart w:id="285" w:name="_Toc27555"/>
      <w:r>
        <w:rPr>
          <w:b/>
          <w:bCs/>
          <w:szCs w:val="24"/>
        </w:rPr>
        <w:t xml:space="preserve">9.4.6 </w:t>
      </w:r>
      <w:r>
        <w:rPr>
          <w:rFonts w:hint="eastAsia"/>
          <w:b/>
          <w:bCs/>
          <w:szCs w:val="24"/>
        </w:rPr>
        <w:t>高压走廊规划</w:t>
      </w:r>
      <w:bookmarkEnd w:id="280"/>
      <w:bookmarkEnd w:id="281"/>
      <w:bookmarkEnd w:id="282"/>
      <w:bookmarkEnd w:id="283"/>
      <w:bookmarkEnd w:id="284"/>
      <w:bookmarkEnd w:id="285"/>
    </w:p>
    <w:p>
      <w:pPr>
        <w:ind w:firstLine="560"/>
        <w:rPr>
          <w:szCs w:val="24"/>
        </w:rPr>
      </w:pPr>
      <w:r>
        <w:rPr>
          <w:rFonts w:hint="eastAsia"/>
          <w:szCs w:val="24"/>
        </w:rPr>
        <w:t>根据电力规划有关规范，园区</w:t>
      </w:r>
      <w:r>
        <w:rPr>
          <w:szCs w:val="24"/>
        </w:rPr>
        <w:t>110kV</w:t>
      </w:r>
      <w:r>
        <w:rPr>
          <w:rFonts w:hint="eastAsia"/>
          <w:szCs w:val="24"/>
        </w:rPr>
        <w:t>及以上高压架空线路均应设置高压保护走廊。</w:t>
      </w:r>
    </w:p>
    <w:p>
      <w:pPr>
        <w:pStyle w:val="4"/>
        <w:spacing w:before="140" w:after="140"/>
        <w:ind w:firstLine="0" w:firstLineChars="0"/>
        <w:rPr>
          <w:rFonts w:cs="Times New Roman"/>
          <w:sz w:val="28"/>
          <w:szCs w:val="28"/>
        </w:rPr>
      </w:pPr>
      <w:bookmarkStart w:id="286" w:name="_Toc18469"/>
      <w:bookmarkStart w:id="287" w:name="_Toc13283"/>
      <w:bookmarkStart w:id="288" w:name="_Toc7708"/>
      <w:bookmarkStart w:id="289" w:name="_Toc27327"/>
      <w:bookmarkStart w:id="290" w:name="_Toc26595"/>
      <w:bookmarkStart w:id="291" w:name="_Toc1508"/>
      <w:bookmarkStart w:id="292" w:name="_Toc30773"/>
      <w:bookmarkStart w:id="293" w:name="_Toc126591887"/>
      <w:r>
        <w:rPr>
          <w:rFonts w:cs="Times New Roman"/>
          <w:sz w:val="28"/>
          <w:szCs w:val="28"/>
        </w:rPr>
        <w:t xml:space="preserve">9.5 </w:t>
      </w:r>
      <w:r>
        <w:rPr>
          <w:rFonts w:hint="eastAsia"/>
          <w:sz w:val="28"/>
          <w:szCs w:val="28"/>
        </w:rPr>
        <w:t>通信工程规划</w:t>
      </w:r>
      <w:bookmarkEnd w:id="286"/>
      <w:bookmarkEnd w:id="287"/>
      <w:bookmarkEnd w:id="288"/>
      <w:bookmarkEnd w:id="289"/>
      <w:bookmarkEnd w:id="290"/>
      <w:bookmarkEnd w:id="291"/>
      <w:bookmarkEnd w:id="292"/>
      <w:bookmarkEnd w:id="293"/>
    </w:p>
    <w:p>
      <w:pPr>
        <w:ind w:firstLine="0" w:firstLineChars="0"/>
        <w:outlineLvl w:val="2"/>
        <w:rPr>
          <w:rFonts w:cs="Times New Roman"/>
          <w:b/>
          <w:bCs/>
          <w:sz w:val="24"/>
          <w:szCs w:val="24"/>
        </w:rPr>
      </w:pPr>
      <w:bookmarkStart w:id="294" w:name="_Toc27258"/>
      <w:bookmarkStart w:id="295" w:name="_Toc8752"/>
      <w:bookmarkStart w:id="296" w:name="_Toc27834"/>
      <w:bookmarkStart w:id="297" w:name="_Toc16614"/>
      <w:bookmarkStart w:id="298" w:name="_Toc5569"/>
      <w:bookmarkStart w:id="299" w:name="_Toc4095"/>
      <w:r>
        <w:rPr>
          <w:b/>
          <w:bCs/>
          <w:szCs w:val="24"/>
        </w:rPr>
        <w:t xml:space="preserve">9.5.1 </w:t>
      </w:r>
      <w:r>
        <w:rPr>
          <w:rFonts w:hint="eastAsia"/>
          <w:b/>
          <w:bCs/>
          <w:szCs w:val="24"/>
        </w:rPr>
        <w:t>现状</w:t>
      </w:r>
      <w:bookmarkEnd w:id="294"/>
      <w:bookmarkEnd w:id="295"/>
      <w:bookmarkEnd w:id="296"/>
      <w:bookmarkEnd w:id="297"/>
      <w:bookmarkEnd w:id="298"/>
      <w:bookmarkEnd w:id="299"/>
    </w:p>
    <w:p>
      <w:pPr>
        <w:ind w:firstLine="560"/>
        <w:rPr>
          <w:szCs w:val="24"/>
        </w:rPr>
      </w:pPr>
      <w:r>
        <w:rPr>
          <w:rFonts w:hint="eastAsia"/>
          <w:szCs w:val="24"/>
        </w:rPr>
        <w:t>化工园区通信建设依托地方电信公司，当地电讯设施齐全，有线电视及数字网络信号已开通。区电信局、联通公司、移动公司均已在园区周边高密度架设信号基站和设立营业机构，网络可覆盖园区，区内通讯状况良好。</w:t>
      </w:r>
    </w:p>
    <w:p>
      <w:pPr>
        <w:ind w:firstLine="0" w:firstLineChars="0"/>
        <w:outlineLvl w:val="2"/>
        <w:rPr>
          <w:b/>
          <w:bCs/>
          <w:szCs w:val="24"/>
        </w:rPr>
      </w:pPr>
      <w:bookmarkStart w:id="300" w:name="_Toc3513"/>
      <w:bookmarkStart w:id="301" w:name="_Toc31248"/>
      <w:bookmarkStart w:id="302" w:name="_Toc24619"/>
      <w:bookmarkStart w:id="303" w:name="_Toc25404"/>
      <w:bookmarkStart w:id="304" w:name="_Toc24960"/>
      <w:bookmarkStart w:id="305" w:name="_Toc14542"/>
      <w:r>
        <w:rPr>
          <w:b/>
          <w:bCs/>
          <w:szCs w:val="24"/>
        </w:rPr>
        <w:t xml:space="preserve">9.5.2 </w:t>
      </w:r>
      <w:r>
        <w:rPr>
          <w:rFonts w:hint="eastAsia"/>
          <w:b/>
          <w:bCs/>
          <w:szCs w:val="24"/>
        </w:rPr>
        <w:t>电话量预测</w:t>
      </w:r>
      <w:bookmarkEnd w:id="300"/>
      <w:bookmarkEnd w:id="301"/>
      <w:bookmarkEnd w:id="302"/>
      <w:bookmarkEnd w:id="303"/>
      <w:bookmarkEnd w:id="304"/>
      <w:bookmarkEnd w:id="305"/>
    </w:p>
    <w:p>
      <w:pPr>
        <w:ind w:firstLine="560"/>
        <w:rPr>
          <w:szCs w:val="24"/>
        </w:rPr>
      </w:pPr>
      <w:bookmarkStart w:id="306" w:name="_Toc5098"/>
      <w:bookmarkStart w:id="307" w:name="_Toc7239"/>
      <w:r>
        <w:rPr>
          <w:rFonts w:hint="eastAsia"/>
          <w:szCs w:val="24"/>
        </w:rPr>
        <w:t>园区新增总固定电话数量</w:t>
      </w:r>
      <w:r>
        <w:rPr>
          <w:szCs w:val="24"/>
        </w:rPr>
        <w:t>1945</w:t>
      </w:r>
      <w:r>
        <w:rPr>
          <w:rFonts w:hint="eastAsia"/>
          <w:szCs w:val="24"/>
        </w:rPr>
        <w:t>部，总移动电话数量为</w:t>
      </w:r>
      <w:r>
        <w:rPr>
          <w:szCs w:val="24"/>
        </w:rPr>
        <w:t>3696</w:t>
      </w:r>
      <w:r>
        <w:rPr>
          <w:rFonts w:hint="eastAsia"/>
          <w:szCs w:val="24"/>
        </w:rPr>
        <w:t>部。</w:t>
      </w:r>
    </w:p>
    <w:p>
      <w:pPr>
        <w:ind w:firstLine="0" w:firstLineChars="0"/>
        <w:outlineLvl w:val="2"/>
        <w:rPr>
          <w:b/>
          <w:bCs/>
          <w:szCs w:val="24"/>
        </w:rPr>
      </w:pPr>
      <w:bookmarkStart w:id="308" w:name="_Toc5824"/>
      <w:bookmarkStart w:id="309" w:name="_Toc25436"/>
      <w:bookmarkStart w:id="310" w:name="_Toc3785"/>
      <w:bookmarkStart w:id="311" w:name="_Toc5008"/>
      <w:r>
        <w:rPr>
          <w:b/>
          <w:bCs/>
          <w:szCs w:val="24"/>
        </w:rPr>
        <w:t xml:space="preserve">9.5.3 </w:t>
      </w:r>
      <w:r>
        <w:rPr>
          <w:rFonts w:hint="eastAsia"/>
          <w:b/>
          <w:bCs/>
          <w:szCs w:val="24"/>
        </w:rPr>
        <w:t>通信设施规划</w:t>
      </w:r>
      <w:bookmarkEnd w:id="306"/>
      <w:bookmarkEnd w:id="307"/>
      <w:bookmarkEnd w:id="308"/>
      <w:bookmarkEnd w:id="309"/>
      <w:bookmarkEnd w:id="310"/>
      <w:bookmarkEnd w:id="311"/>
    </w:p>
    <w:p>
      <w:pPr>
        <w:ind w:firstLine="560"/>
        <w:rPr>
          <w:szCs w:val="24"/>
        </w:rPr>
      </w:pPr>
      <w:bookmarkStart w:id="312" w:name="_Toc18524"/>
      <w:bookmarkStart w:id="313" w:name="_Toc14999"/>
      <w:r>
        <w:rPr>
          <w:rFonts w:hint="eastAsia"/>
          <w:szCs w:val="24"/>
        </w:rPr>
        <w:t>根据电话量预测结果及通信现状，本园区电信规划在园区管理服务中心内建设电信局，并设置程控交换机一套，作为园区的信息交换中心。</w:t>
      </w:r>
    </w:p>
    <w:p>
      <w:pPr>
        <w:ind w:firstLine="0" w:firstLineChars="0"/>
        <w:outlineLvl w:val="2"/>
        <w:rPr>
          <w:b/>
          <w:bCs/>
          <w:szCs w:val="24"/>
        </w:rPr>
      </w:pPr>
      <w:bookmarkStart w:id="314" w:name="_Toc16635"/>
      <w:bookmarkStart w:id="315" w:name="_Toc3060"/>
      <w:bookmarkStart w:id="316" w:name="_Toc15615"/>
      <w:bookmarkStart w:id="317" w:name="_Toc4520"/>
      <w:r>
        <w:rPr>
          <w:b/>
          <w:bCs/>
          <w:szCs w:val="24"/>
        </w:rPr>
        <w:t xml:space="preserve">9.5.4 </w:t>
      </w:r>
      <w:r>
        <w:rPr>
          <w:rFonts w:hint="eastAsia"/>
          <w:b/>
          <w:bCs/>
          <w:szCs w:val="24"/>
        </w:rPr>
        <w:t>数字网络规划</w:t>
      </w:r>
      <w:bookmarkEnd w:id="312"/>
      <w:bookmarkEnd w:id="313"/>
      <w:bookmarkEnd w:id="314"/>
      <w:bookmarkEnd w:id="315"/>
      <w:bookmarkEnd w:id="316"/>
      <w:bookmarkEnd w:id="317"/>
    </w:p>
    <w:p>
      <w:pPr>
        <w:ind w:firstLine="560"/>
        <w:rPr>
          <w:szCs w:val="24"/>
        </w:rPr>
      </w:pPr>
      <w:r>
        <w:rPr>
          <w:szCs w:val="24"/>
        </w:rPr>
        <w:t xml:space="preserve"> </w:t>
      </w:r>
      <w:r>
        <w:rPr>
          <w:rFonts w:hint="eastAsia"/>
          <w:szCs w:val="24"/>
        </w:rPr>
        <w:t>在园区内构建宽带网，敷设主干光纤，各部门可将其局域网或单个用户端通过光纤与主干网互联，实现图文数字传输和处理，达到资源共享、通信快捷的目的。</w:t>
      </w:r>
    </w:p>
    <w:p>
      <w:pPr>
        <w:ind w:firstLine="560"/>
        <w:rPr>
          <w:szCs w:val="24"/>
        </w:rPr>
      </w:pPr>
      <w:r>
        <w:rPr>
          <w:rFonts w:hint="eastAsia"/>
          <w:szCs w:val="24"/>
        </w:rPr>
        <w:t>上述通信设备配置将保证园区与社会通信网络乃至全球网络便捷的沟通。</w:t>
      </w:r>
    </w:p>
    <w:p>
      <w:pPr>
        <w:ind w:firstLine="0" w:firstLineChars="0"/>
        <w:outlineLvl w:val="2"/>
        <w:rPr>
          <w:b/>
          <w:bCs/>
          <w:szCs w:val="24"/>
        </w:rPr>
      </w:pPr>
      <w:bookmarkStart w:id="318" w:name="_Toc20370"/>
      <w:bookmarkStart w:id="319" w:name="_Toc25075"/>
      <w:bookmarkStart w:id="320" w:name="_Toc15122"/>
      <w:bookmarkStart w:id="321" w:name="_Toc9969"/>
      <w:bookmarkStart w:id="322" w:name="_Toc13509"/>
      <w:bookmarkStart w:id="323" w:name="_Toc230"/>
      <w:r>
        <w:rPr>
          <w:b/>
          <w:bCs/>
          <w:szCs w:val="24"/>
        </w:rPr>
        <w:t xml:space="preserve">9.5.5 </w:t>
      </w:r>
      <w:r>
        <w:rPr>
          <w:rFonts w:hint="eastAsia"/>
          <w:b/>
          <w:bCs/>
          <w:szCs w:val="24"/>
        </w:rPr>
        <w:t>通信线路规划</w:t>
      </w:r>
      <w:bookmarkEnd w:id="318"/>
      <w:bookmarkEnd w:id="319"/>
      <w:bookmarkEnd w:id="320"/>
      <w:bookmarkEnd w:id="321"/>
      <w:bookmarkEnd w:id="322"/>
      <w:bookmarkEnd w:id="323"/>
    </w:p>
    <w:p>
      <w:pPr>
        <w:ind w:firstLine="560"/>
        <w:rPr>
          <w:szCs w:val="24"/>
        </w:rPr>
      </w:pPr>
      <w:r>
        <w:rPr>
          <w:szCs w:val="24"/>
        </w:rPr>
        <w:t xml:space="preserve"> </w:t>
      </w:r>
      <w:r>
        <w:rPr>
          <w:rFonts w:hint="eastAsia"/>
          <w:szCs w:val="24"/>
        </w:rPr>
        <w:t>园区将实现光缆到路边的宽带接入，以适应用户对多媒体通信的需要，并要求各用户积极接入，建设统一、高效的信息高速公路。</w:t>
      </w:r>
    </w:p>
    <w:p>
      <w:pPr>
        <w:ind w:firstLine="560"/>
        <w:rPr>
          <w:szCs w:val="24"/>
        </w:rPr>
      </w:pPr>
      <w:r>
        <w:rPr>
          <w:rFonts w:hint="eastAsia"/>
          <w:szCs w:val="24"/>
        </w:rPr>
        <w:t>园区电话线路一律采用地下管道敷设，主干线路沿区域内干道敷设。</w:t>
      </w:r>
    </w:p>
    <w:p>
      <w:pPr>
        <w:ind w:firstLine="560"/>
        <w:rPr>
          <w:szCs w:val="24"/>
        </w:rPr>
      </w:pPr>
      <w:r>
        <w:rPr>
          <w:rFonts w:hint="eastAsia"/>
          <w:szCs w:val="24"/>
        </w:rPr>
        <w:t>规划有线电视线路与电话线路同沟敷设，占用电话管道中的一孔。通信光缆以道路网为骨架，铺设光缆排管，孔数为</w:t>
      </w:r>
      <w:r>
        <w:rPr>
          <w:szCs w:val="24"/>
        </w:rPr>
        <w:t>6-18</w:t>
      </w:r>
      <w:r>
        <w:rPr>
          <w:rFonts w:hint="eastAsia"/>
          <w:szCs w:val="24"/>
        </w:rPr>
        <w:t>孔。</w:t>
      </w:r>
    </w:p>
    <w:p>
      <w:pPr>
        <w:pStyle w:val="4"/>
        <w:spacing w:before="140" w:after="140"/>
        <w:ind w:firstLine="0" w:firstLineChars="0"/>
        <w:rPr>
          <w:rFonts w:cs="Times New Roman"/>
          <w:sz w:val="28"/>
          <w:szCs w:val="28"/>
        </w:rPr>
      </w:pPr>
      <w:bookmarkStart w:id="324" w:name="_Toc12153"/>
      <w:bookmarkStart w:id="325" w:name="_Toc19410"/>
      <w:bookmarkStart w:id="326" w:name="_Toc8800"/>
      <w:bookmarkStart w:id="327" w:name="_Toc29261"/>
      <w:bookmarkStart w:id="328" w:name="_Toc3056"/>
      <w:bookmarkStart w:id="329" w:name="_Toc30075"/>
      <w:bookmarkStart w:id="330" w:name="_Toc17356"/>
      <w:bookmarkStart w:id="331" w:name="_Toc126591888"/>
      <w:r>
        <w:rPr>
          <w:rFonts w:cs="Times New Roman"/>
          <w:sz w:val="28"/>
          <w:szCs w:val="28"/>
        </w:rPr>
        <w:t xml:space="preserve">9.6 </w:t>
      </w:r>
      <w:r>
        <w:rPr>
          <w:rFonts w:hint="eastAsia"/>
          <w:sz w:val="28"/>
          <w:szCs w:val="28"/>
        </w:rPr>
        <w:t>燃气工程规划</w:t>
      </w:r>
      <w:bookmarkEnd w:id="324"/>
      <w:bookmarkEnd w:id="325"/>
      <w:bookmarkEnd w:id="326"/>
      <w:bookmarkEnd w:id="327"/>
      <w:bookmarkEnd w:id="328"/>
      <w:bookmarkEnd w:id="329"/>
      <w:bookmarkEnd w:id="330"/>
      <w:bookmarkEnd w:id="331"/>
    </w:p>
    <w:p>
      <w:pPr>
        <w:ind w:firstLine="0" w:firstLineChars="0"/>
        <w:outlineLvl w:val="2"/>
        <w:rPr>
          <w:rFonts w:cs="Times New Roman"/>
          <w:b/>
          <w:bCs/>
          <w:sz w:val="24"/>
          <w:szCs w:val="24"/>
        </w:rPr>
      </w:pPr>
      <w:bookmarkStart w:id="332" w:name="_Toc25740"/>
      <w:bookmarkStart w:id="333" w:name="_Toc15405"/>
      <w:bookmarkStart w:id="334" w:name="_Toc1390"/>
      <w:bookmarkStart w:id="335" w:name="_Toc11426"/>
      <w:bookmarkStart w:id="336" w:name="_Toc12110"/>
      <w:bookmarkStart w:id="337" w:name="_Toc26704"/>
      <w:r>
        <w:rPr>
          <w:b/>
          <w:bCs/>
          <w:szCs w:val="24"/>
        </w:rPr>
        <w:t xml:space="preserve">9.6.1 </w:t>
      </w:r>
      <w:r>
        <w:rPr>
          <w:rFonts w:hint="eastAsia"/>
          <w:b/>
          <w:bCs/>
          <w:szCs w:val="24"/>
        </w:rPr>
        <w:t>气源规划</w:t>
      </w:r>
      <w:bookmarkEnd w:id="332"/>
      <w:bookmarkEnd w:id="333"/>
      <w:bookmarkEnd w:id="334"/>
      <w:bookmarkEnd w:id="335"/>
      <w:bookmarkEnd w:id="336"/>
      <w:bookmarkEnd w:id="337"/>
    </w:p>
    <w:p>
      <w:pPr>
        <w:ind w:firstLine="560"/>
        <w:rPr>
          <w:szCs w:val="24"/>
        </w:rPr>
      </w:pPr>
      <w:r>
        <w:rPr>
          <w:rFonts w:hint="eastAsia"/>
          <w:szCs w:val="24"/>
        </w:rPr>
        <w:t>本规划化工园区气源来自中缅天然气管道六枝分输站。中缅天然气管道全长</w:t>
      </w:r>
      <w:r>
        <w:rPr>
          <w:szCs w:val="24"/>
        </w:rPr>
        <w:t>2806km</w:t>
      </w:r>
      <w:r>
        <w:rPr>
          <w:rFonts w:hint="eastAsia"/>
          <w:szCs w:val="24"/>
        </w:rPr>
        <w:t>，设计压力为</w:t>
      </w:r>
      <w:r>
        <w:rPr>
          <w:szCs w:val="24"/>
        </w:rPr>
        <w:t>10MPa</w:t>
      </w:r>
      <w:r>
        <w:rPr>
          <w:rFonts w:hint="eastAsia"/>
          <w:szCs w:val="24"/>
        </w:rPr>
        <w:t>，管径</w:t>
      </w:r>
      <w:r>
        <w:rPr>
          <w:szCs w:val="24"/>
        </w:rPr>
        <w:t>D1016mm</w:t>
      </w:r>
      <w:r>
        <w:rPr>
          <w:rFonts w:hint="eastAsia"/>
          <w:szCs w:val="24"/>
        </w:rPr>
        <w:t>，设计输量为</w:t>
      </w:r>
      <w:r>
        <w:rPr>
          <w:szCs w:val="24"/>
        </w:rPr>
        <w:t>120×10m</w:t>
      </w:r>
      <w:r>
        <w:rPr>
          <w:szCs w:val="24"/>
          <w:vertAlign w:val="superscript"/>
        </w:rPr>
        <w:t>8</w:t>
      </w:r>
      <w:r>
        <w:rPr>
          <w:szCs w:val="24"/>
        </w:rPr>
        <w:t>/a</w:t>
      </w:r>
      <w:r>
        <w:rPr>
          <w:rFonts w:hint="eastAsia"/>
          <w:szCs w:val="24"/>
        </w:rPr>
        <w:t>。成分见表</w:t>
      </w:r>
      <w:r>
        <w:rPr>
          <w:szCs w:val="24"/>
        </w:rPr>
        <w:t>9.6.1-1</w:t>
      </w:r>
      <w:r>
        <w:rPr>
          <w:rFonts w:hint="eastAsia"/>
          <w:szCs w:val="24"/>
        </w:rPr>
        <w:t>。</w:t>
      </w:r>
    </w:p>
    <w:p>
      <w:pPr>
        <w:pStyle w:val="37"/>
      </w:pPr>
      <w:r>
        <w:rPr>
          <w:rFonts w:hint="eastAsia"/>
        </w:rPr>
        <w:t>表</w:t>
      </w:r>
      <w:r>
        <w:t xml:space="preserve">9.6.1-1  </w:t>
      </w:r>
      <w:r>
        <w:rPr>
          <w:rFonts w:hint="eastAsia"/>
        </w:rPr>
        <w:t>中缅天然气管道天然气组分一览表</w:t>
      </w:r>
    </w:p>
    <w:p>
      <w:pPr>
        <w:pStyle w:val="9"/>
        <w:jc w:val="center"/>
        <w:rPr>
          <w:szCs w:val="24"/>
        </w:rPr>
      </w:pPr>
      <w:r>
        <w:drawing>
          <wp:inline distT="0" distB="0" distL="0" distR="0">
            <wp:extent cx="5888990" cy="2449195"/>
            <wp:effectExtent l="0" t="0" r="0"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7">
                      <a:extLst>
                        <a:ext uri="{28A0092B-C50C-407E-A947-70E740481C1C}">
                          <a14:useLocalDpi xmlns:a14="http://schemas.microsoft.com/office/drawing/2010/main" val="0"/>
                        </a:ext>
                      </a:extLst>
                    </a:blip>
                    <a:srcRect l="749" b="1779"/>
                    <a:stretch>
                      <a:fillRect/>
                    </a:stretch>
                  </pic:blipFill>
                  <pic:spPr>
                    <a:xfrm>
                      <a:off x="0" y="0"/>
                      <a:ext cx="5888990" cy="2449195"/>
                    </a:xfrm>
                    <a:prstGeom prst="rect">
                      <a:avLst/>
                    </a:prstGeom>
                    <a:noFill/>
                    <a:ln>
                      <a:noFill/>
                    </a:ln>
                  </pic:spPr>
                </pic:pic>
              </a:graphicData>
            </a:graphic>
          </wp:inline>
        </w:drawing>
      </w:r>
    </w:p>
    <w:p>
      <w:pPr>
        <w:ind w:firstLine="0" w:firstLineChars="0"/>
        <w:outlineLvl w:val="2"/>
        <w:rPr>
          <w:b/>
          <w:bCs/>
          <w:szCs w:val="24"/>
        </w:rPr>
      </w:pPr>
      <w:bookmarkStart w:id="338" w:name="_Toc2444"/>
      <w:bookmarkStart w:id="339" w:name="_Toc32277"/>
      <w:bookmarkStart w:id="340" w:name="_Toc11830"/>
      <w:bookmarkStart w:id="341" w:name="_Toc23697"/>
      <w:bookmarkStart w:id="342" w:name="_Toc2597"/>
      <w:bookmarkStart w:id="343" w:name="_Toc25222"/>
      <w:r>
        <w:rPr>
          <w:b/>
          <w:bCs/>
          <w:szCs w:val="24"/>
        </w:rPr>
        <w:t xml:space="preserve">9.6.2 </w:t>
      </w:r>
      <w:r>
        <w:rPr>
          <w:rFonts w:hint="eastAsia"/>
          <w:b/>
          <w:bCs/>
          <w:szCs w:val="24"/>
        </w:rPr>
        <w:t>燃气设施规划</w:t>
      </w:r>
      <w:bookmarkEnd w:id="338"/>
      <w:bookmarkEnd w:id="339"/>
      <w:bookmarkEnd w:id="340"/>
      <w:bookmarkEnd w:id="341"/>
      <w:bookmarkEnd w:id="342"/>
      <w:bookmarkEnd w:id="343"/>
    </w:p>
    <w:p>
      <w:pPr>
        <w:ind w:firstLine="560"/>
        <w:rPr>
          <w:szCs w:val="24"/>
        </w:rPr>
      </w:pPr>
      <w:r>
        <w:rPr>
          <w:rFonts w:hint="eastAsia"/>
          <w:szCs w:val="24"/>
        </w:rPr>
        <w:t>六枝分输站，位于为贵州省六枝特区落别乡中缅管道</w:t>
      </w:r>
      <w:r>
        <w:rPr>
          <w:szCs w:val="24"/>
        </w:rPr>
        <w:t>38#</w:t>
      </w:r>
      <w:r>
        <w:rPr>
          <w:rFonts w:hint="eastAsia"/>
          <w:szCs w:val="24"/>
        </w:rPr>
        <w:t>阀室西北侧</w:t>
      </w:r>
      <w:r>
        <w:rPr>
          <w:szCs w:val="24"/>
        </w:rPr>
        <w:t>200m</w:t>
      </w:r>
      <w:r>
        <w:rPr>
          <w:rFonts w:hint="eastAsia"/>
          <w:szCs w:val="24"/>
        </w:rPr>
        <w:t>处，目前已建成六枝分输站至路喜园区</w:t>
      </w:r>
      <w:r>
        <w:rPr>
          <w:szCs w:val="24"/>
        </w:rPr>
        <w:t>DN325</w:t>
      </w:r>
      <w:r>
        <w:rPr>
          <w:rFonts w:hint="eastAsia"/>
          <w:szCs w:val="24"/>
        </w:rPr>
        <w:t>管道</w:t>
      </w:r>
      <w:r>
        <w:rPr>
          <w:szCs w:val="24"/>
        </w:rPr>
        <w:t>11.8</w:t>
      </w:r>
      <w:r>
        <w:rPr>
          <w:rFonts w:hint="eastAsia"/>
          <w:szCs w:val="24"/>
        </w:rPr>
        <w:t>㎞，设计压力</w:t>
      </w:r>
      <w:r>
        <w:rPr>
          <w:szCs w:val="24"/>
        </w:rPr>
        <w:t>1.6MPa</w:t>
      </w:r>
      <w:r>
        <w:rPr>
          <w:rFonts w:hint="eastAsia"/>
          <w:szCs w:val="24"/>
        </w:rPr>
        <w:t>，输气能力可达</w:t>
      </w:r>
      <w:r>
        <w:rPr>
          <w:szCs w:val="24"/>
        </w:rPr>
        <w:t>4.5</w:t>
      </w:r>
      <w:r>
        <w:rPr>
          <w:rFonts w:hint="eastAsia"/>
          <w:szCs w:val="24"/>
        </w:rPr>
        <w:t>万方</w:t>
      </w:r>
      <w:r>
        <w:rPr>
          <w:szCs w:val="24"/>
        </w:rPr>
        <w:t>/</w:t>
      </w:r>
      <w:r>
        <w:rPr>
          <w:rFonts w:hint="eastAsia"/>
          <w:szCs w:val="24"/>
        </w:rPr>
        <w:t>小时。</w:t>
      </w:r>
    </w:p>
    <w:p>
      <w:pPr>
        <w:ind w:firstLine="0" w:firstLineChars="0"/>
        <w:outlineLvl w:val="2"/>
        <w:rPr>
          <w:b/>
          <w:bCs/>
          <w:szCs w:val="24"/>
        </w:rPr>
      </w:pPr>
      <w:bookmarkStart w:id="344" w:name="_Toc13945"/>
      <w:bookmarkStart w:id="345" w:name="_Toc17199"/>
      <w:bookmarkStart w:id="346" w:name="_Toc19326"/>
      <w:bookmarkStart w:id="347" w:name="_Toc16575"/>
      <w:bookmarkStart w:id="348" w:name="_Toc32364"/>
      <w:bookmarkStart w:id="349" w:name="_Toc11271"/>
      <w:r>
        <w:rPr>
          <w:b/>
          <w:bCs/>
          <w:szCs w:val="24"/>
        </w:rPr>
        <w:t xml:space="preserve">9.6.3 </w:t>
      </w:r>
      <w:r>
        <w:rPr>
          <w:rFonts w:hint="eastAsia"/>
          <w:b/>
          <w:bCs/>
          <w:szCs w:val="24"/>
        </w:rPr>
        <w:t>用气量</w:t>
      </w:r>
      <w:bookmarkEnd w:id="344"/>
      <w:bookmarkEnd w:id="345"/>
      <w:bookmarkEnd w:id="346"/>
      <w:bookmarkEnd w:id="347"/>
      <w:bookmarkEnd w:id="348"/>
      <w:bookmarkEnd w:id="349"/>
    </w:p>
    <w:p>
      <w:pPr>
        <w:ind w:firstLine="560"/>
        <w:rPr>
          <w:szCs w:val="24"/>
        </w:rPr>
      </w:pPr>
      <w:r>
        <w:rPr>
          <w:rFonts w:hint="eastAsia"/>
          <w:szCs w:val="24"/>
        </w:rPr>
        <w:t>至规划期末，远期气化率达</w:t>
      </w:r>
      <w:r>
        <w:rPr>
          <w:szCs w:val="24"/>
        </w:rPr>
        <w:t xml:space="preserve"> 100%</w:t>
      </w:r>
      <w:r>
        <w:rPr>
          <w:rFonts w:hint="eastAsia"/>
          <w:szCs w:val="24"/>
        </w:rPr>
        <w:t>，用气量约</w:t>
      </w:r>
      <w:r>
        <w:rPr>
          <w:szCs w:val="24"/>
        </w:rPr>
        <w:t xml:space="preserve"> 4 .8</w:t>
      </w:r>
      <w:r>
        <w:rPr>
          <w:rFonts w:hint="eastAsia"/>
          <w:szCs w:val="24"/>
        </w:rPr>
        <w:t>万立方米</w:t>
      </w:r>
      <w:r>
        <w:rPr>
          <w:szCs w:val="24"/>
        </w:rPr>
        <w:t>/</w:t>
      </w:r>
      <w:r>
        <w:rPr>
          <w:rFonts w:hint="eastAsia"/>
          <w:szCs w:val="24"/>
        </w:rPr>
        <w:t>天。</w:t>
      </w:r>
      <w:r>
        <w:rPr>
          <w:szCs w:val="24"/>
        </w:rPr>
        <w:t xml:space="preserve"> </w:t>
      </w:r>
    </w:p>
    <w:p>
      <w:pPr>
        <w:ind w:firstLine="0" w:firstLineChars="0"/>
        <w:outlineLvl w:val="2"/>
        <w:rPr>
          <w:b/>
          <w:bCs/>
          <w:szCs w:val="24"/>
        </w:rPr>
      </w:pPr>
      <w:bookmarkStart w:id="350" w:name="_Toc15853"/>
      <w:bookmarkStart w:id="351" w:name="_Toc24473"/>
      <w:bookmarkStart w:id="352" w:name="_Toc29913"/>
      <w:bookmarkStart w:id="353" w:name="_Toc7124"/>
      <w:bookmarkStart w:id="354" w:name="_Toc5556"/>
      <w:bookmarkStart w:id="355" w:name="_Toc28614"/>
      <w:r>
        <w:rPr>
          <w:b/>
          <w:bCs/>
          <w:szCs w:val="24"/>
        </w:rPr>
        <w:t xml:space="preserve">9.6.4 </w:t>
      </w:r>
      <w:r>
        <w:rPr>
          <w:rFonts w:hint="eastAsia"/>
          <w:b/>
          <w:bCs/>
          <w:szCs w:val="24"/>
        </w:rPr>
        <w:t>燃气管网布置</w:t>
      </w:r>
      <w:bookmarkEnd w:id="350"/>
      <w:bookmarkEnd w:id="351"/>
      <w:bookmarkEnd w:id="352"/>
      <w:bookmarkEnd w:id="353"/>
      <w:bookmarkEnd w:id="354"/>
      <w:bookmarkEnd w:id="355"/>
    </w:p>
    <w:p>
      <w:pPr>
        <w:ind w:firstLine="560"/>
        <w:rPr>
          <w:szCs w:val="24"/>
        </w:rPr>
      </w:pPr>
      <w:r>
        <w:rPr>
          <w:rFonts w:hint="eastAsia"/>
          <w:szCs w:val="24"/>
        </w:rPr>
        <w:t>园区采用中压</w:t>
      </w:r>
      <w:r>
        <w:rPr>
          <w:szCs w:val="24"/>
        </w:rPr>
        <w:t>---</w:t>
      </w:r>
      <w:r>
        <w:rPr>
          <w:rFonts w:hint="eastAsia"/>
          <w:szCs w:val="24"/>
        </w:rPr>
        <w:t>低压两极输配系统进行供应，用户采用区域调压站、楼栋调压箱、专用调压站相结合的方式供气。</w:t>
      </w:r>
      <w:r>
        <w:rPr>
          <w:szCs w:val="24"/>
        </w:rPr>
        <w:t xml:space="preserve"> </w:t>
      </w:r>
    </w:p>
    <w:p>
      <w:pPr>
        <w:ind w:firstLine="560"/>
        <w:rPr>
          <w:szCs w:val="24"/>
        </w:rPr>
      </w:pPr>
      <w:r>
        <w:rPr>
          <w:rFonts w:hint="eastAsia"/>
          <w:szCs w:val="24"/>
        </w:rPr>
        <w:t>中压管网</w:t>
      </w:r>
      <w:r>
        <w:rPr>
          <w:szCs w:val="24"/>
        </w:rPr>
        <w:t xml:space="preserve"> 0.8-0.3 </w:t>
      </w:r>
      <w:r>
        <w:rPr>
          <w:rFonts w:hint="eastAsia"/>
          <w:szCs w:val="24"/>
        </w:rPr>
        <w:t>兆帕（门站</w:t>
      </w:r>
      <w:r>
        <w:rPr>
          <w:szCs w:val="24"/>
        </w:rPr>
        <w:t>-</w:t>
      </w:r>
      <w:r>
        <w:rPr>
          <w:rFonts w:hint="eastAsia"/>
          <w:szCs w:val="24"/>
        </w:rPr>
        <w:t>调压箱），低压管网</w:t>
      </w:r>
      <w:r>
        <w:rPr>
          <w:szCs w:val="24"/>
        </w:rPr>
        <w:t xml:space="preserve">0.3-0.15 </w:t>
      </w:r>
      <w:r>
        <w:rPr>
          <w:rFonts w:hint="eastAsia"/>
          <w:szCs w:val="24"/>
        </w:rPr>
        <w:t>兆帕（调压箱</w:t>
      </w:r>
      <w:r>
        <w:rPr>
          <w:szCs w:val="24"/>
        </w:rPr>
        <w:t>-</w:t>
      </w:r>
      <w:r>
        <w:rPr>
          <w:rFonts w:hint="eastAsia"/>
          <w:szCs w:val="24"/>
        </w:rPr>
        <w:t>用户）。</w:t>
      </w:r>
      <w:r>
        <w:rPr>
          <w:szCs w:val="24"/>
        </w:rPr>
        <w:t xml:space="preserve"> </w:t>
      </w:r>
    </w:p>
    <w:p>
      <w:pPr>
        <w:ind w:firstLine="560"/>
        <w:rPr>
          <w:szCs w:val="24"/>
        </w:rPr>
      </w:pPr>
      <w:r>
        <w:rPr>
          <w:rFonts w:hint="eastAsia"/>
          <w:szCs w:val="24"/>
        </w:rPr>
        <w:t>燃气管网建设按照远期需求，统一规划，分期建设。近期中压管网采用枝状布置方式供气，远期逐步将枝状管网建设成小环网供气。管道布置严格遵循《城镇燃气设计规范》，保证其安全距离。</w:t>
      </w:r>
    </w:p>
    <w:p>
      <w:pPr>
        <w:pStyle w:val="4"/>
        <w:spacing w:before="140" w:after="140"/>
        <w:ind w:firstLine="0" w:firstLineChars="0"/>
        <w:rPr>
          <w:rFonts w:cs="Times New Roman"/>
          <w:sz w:val="28"/>
          <w:szCs w:val="28"/>
        </w:rPr>
      </w:pPr>
      <w:bookmarkStart w:id="356" w:name="_Toc16744"/>
      <w:bookmarkStart w:id="357" w:name="_Toc7247"/>
      <w:bookmarkStart w:id="358" w:name="_Toc2416"/>
      <w:bookmarkStart w:id="359" w:name="_Toc16404"/>
      <w:bookmarkStart w:id="360" w:name="_Toc21606"/>
      <w:bookmarkStart w:id="361" w:name="_Toc28658"/>
      <w:bookmarkStart w:id="362" w:name="_Toc28709"/>
      <w:bookmarkStart w:id="363" w:name="_Toc126591889"/>
      <w:r>
        <w:rPr>
          <w:rFonts w:cs="Times New Roman"/>
          <w:sz w:val="28"/>
          <w:szCs w:val="28"/>
        </w:rPr>
        <w:t xml:space="preserve">9.7 </w:t>
      </w:r>
      <w:r>
        <w:rPr>
          <w:rFonts w:hint="eastAsia"/>
          <w:sz w:val="28"/>
          <w:szCs w:val="28"/>
        </w:rPr>
        <w:t>环卫工程规划</w:t>
      </w:r>
      <w:bookmarkEnd w:id="356"/>
      <w:bookmarkEnd w:id="357"/>
      <w:bookmarkEnd w:id="358"/>
      <w:bookmarkEnd w:id="359"/>
      <w:bookmarkEnd w:id="360"/>
      <w:bookmarkEnd w:id="361"/>
      <w:bookmarkEnd w:id="362"/>
      <w:bookmarkEnd w:id="363"/>
    </w:p>
    <w:p>
      <w:pPr>
        <w:ind w:firstLine="0" w:firstLineChars="0"/>
        <w:outlineLvl w:val="2"/>
        <w:rPr>
          <w:rFonts w:cs="Times New Roman"/>
          <w:b/>
          <w:bCs/>
          <w:sz w:val="24"/>
          <w:szCs w:val="24"/>
        </w:rPr>
      </w:pPr>
      <w:bookmarkStart w:id="364" w:name="_Toc31319"/>
      <w:bookmarkStart w:id="365" w:name="_Toc31450"/>
      <w:bookmarkStart w:id="366" w:name="_Toc15736"/>
      <w:bookmarkStart w:id="367" w:name="_Toc27444"/>
      <w:bookmarkStart w:id="368" w:name="_Toc29914"/>
      <w:bookmarkStart w:id="369" w:name="_Toc23185"/>
      <w:r>
        <w:rPr>
          <w:b/>
          <w:bCs/>
          <w:szCs w:val="24"/>
        </w:rPr>
        <w:t xml:space="preserve">9.7.1 </w:t>
      </w:r>
      <w:r>
        <w:rPr>
          <w:rFonts w:hint="eastAsia"/>
          <w:b/>
          <w:bCs/>
          <w:szCs w:val="24"/>
        </w:rPr>
        <w:t>规划目标</w:t>
      </w:r>
      <w:bookmarkEnd w:id="364"/>
      <w:bookmarkEnd w:id="365"/>
      <w:bookmarkEnd w:id="366"/>
      <w:bookmarkEnd w:id="367"/>
      <w:bookmarkEnd w:id="368"/>
      <w:bookmarkEnd w:id="369"/>
    </w:p>
    <w:p>
      <w:pPr>
        <w:ind w:firstLine="560"/>
        <w:rPr>
          <w:szCs w:val="24"/>
        </w:rPr>
      </w:pPr>
      <w:r>
        <w:rPr>
          <w:rFonts w:hint="eastAsia"/>
          <w:szCs w:val="24"/>
        </w:rPr>
        <w:t>通过合理的规划布局以及不同层级的环卫设施的设置，使规划区的生活垃圾、粪便以及其它混合物污染物得以有效处理以及区内的环境卫生得以有效提升和改善。</w:t>
      </w:r>
    </w:p>
    <w:p>
      <w:pPr>
        <w:ind w:firstLine="0" w:firstLineChars="0"/>
        <w:outlineLvl w:val="2"/>
        <w:rPr>
          <w:b/>
          <w:bCs/>
          <w:szCs w:val="24"/>
        </w:rPr>
      </w:pPr>
      <w:bookmarkStart w:id="370" w:name="_Toc26923"/>
      <w:bookmarkStart w:id="371" w:name="_Toc15613"/>
      <w:bookmarkStart w:id="372" w:name="_Toc11508"/>
      <w:bookmarkStart w:id="373" w:name="_Toc19310"/>
      <w:bookmarkStart w:id="374" w:name="_Toc10584"/>
      <w:bookmarkStart w:id="375" w:name="_Toc4180"/>
      <w:r>
        <w:rPr>
          <w:b/>
          <w:bCs/>
          <w:szCs w:val="24"/>
        </w:rPr>
        <w:t xml:space="preserve">9.7.2 </w:t>
      </w:r>
      <w:r>
        <w:rPr>
          <w:rFonts w:hint="eastAsia"/>
          <w:b/>
          <w:bCs/>
          <w:szCs w:val="24"/>
        </w:rPr>
        <w:t>垃圾、粪便收集清运方式</w:t>
      </w:r>
      <w:bookmarkEnd w:id="370"/>
      <w:bookmarkEnd w:id="371"/>
      <w:bookmarkEnd w:id="372"/>
      <w:bookmarkEnd w:id="373"/>
      <w:bookmarkEnd w:id="374"/>
      <w:bookmarkEnd w:id="375"/>
    </w:p>
    <w:p>
      <w:pPr>
        <w:ind w:firstLine="560"/>
        <w:rPr>
          <w:szCs w:val="24"/>
        </w:rPr>
      </w:pPr>
      <w:r>
        <w:rPr>
          <w:rFonts w:hint="eastAsia"/>
          <w:szCs w:val="24"/>
        </w:rPr>
        <w:t>垃圾采用分类收集，集中处理的方式，由现状混合垃圾逐步向分类收集过渡。垃圾由小型垃圾收运车运送至垃圾转运站，经转运站简易筛分、回收、压缩后通过大型运输车辆</w:t>
      </w:r>
      <w:r>
        <w:rPr>
          <w:szCs w:val="24"/>
        </w:rPr>
        <w:t xml:space="preserve"> </w:t>
      </w:r>
    </w:p>
    <w:p>
      <w:pPr>
        <w:ind w:firstLine="0" w:firstLineChars="0"/>
        <w:rPr>
          <w:szCs w:val="24"/>
        </w:rPr>
      </w:pPr>
      <w:r>
        <w:rPr>
          <w:rFonts w:hint="eastAsia"/>
          <w:szCs w:val="24"/>
        </w:rPr>
        <w:t>转送至城市垃圾处理厂统一处理。</w:t>
      </w:r>
      <w:r>
        <w:rPr>
          <w:szCs w:val="24"/>
        </w:rPr>
        <w:t xml:space="preserve"> </w:t>
      </w:r>
    </w:p>
    <w:p>
      <w:pPr>
        <w:ind w:firstLine="560"/>
        <w:rPr>
          <w:szCs w:val="24"/>
        </w:rPr>
      </w:pPr>
      <w:r>
        <w:rPr>
          <w:rFonts w:hint="eastAsia"/>
          <w:szCs w:val="24"/>
        </w:rPr>
        <w:t>一般性工业废弃垃圾须经专门收集，集中处理，运输过程应采用封闭式，力求垃圾存放和转运不外露。</w:t>
      </w:r>
    </w:p>
    <w:p>
      <w:pPr>
        <w:ind w:firstLine="0" w:firstLineChars="0"/>
        <w:outlineLvl w:val="2"/>
        <w:rPr>
          <w:b/>
          <w:bCs/>
          <w:szCs w:val="24"/>
        </w:rPr>
      </w:pPr>
      <w:bookmarkStart w:id="376" w:name="_Toc14687"/>
      <w:bookmarkStart w:id="377" w:name="_Toc9495"/>
      <w:bookmarkStart w:id="378" w:name="_Toc27368"/>
      <w:bookmarkStart w:id="379" w:name="_Toc19011"/>
      <w:bookmarkStart w:id="380" w:name="_Toc12798"/>
      <w:bookmarkStart w:id="381" w:name="_Toc8711"/>
      <w:r>
        <w:rPr>
          <w:b/>
          <w:bCs/>
          <w:szCs w:val="24"/>
        </w:rPr>
        <w:t>9.7.3</w:t>
      </w:r>
      <w:r>
        <w:rPr>
          <w:rFonts w:hint="eastAsia"/>
          <w:b/>
          <w:bCs/>
          <w:szCs w:val="24"/>
        </w:rPr>
        <w:t>环卫设施规划</w:t>
      </w:r>
      <w:bookmarkEnd w:id="376"/>
      <w:bookmarkEnd w:id="377"/>
      <w:bookmarkEnd w:id="378"/>
      <w:bookmarkEnd w:id="379"/>
      <w:bookmarkEnd w:id="380"/>
      <w:bookmarkEnd w:id="381"/>
    </w:p>
    <w:p>
      <w:pPr>
        <w:ind w:firstLine="560"/>
        <w:rPr>
          <w:szCs w:val="24"/>
        </w:rPr>
      </w:pPr>
      <w:r>
        <w:rPr>
          <w:szCs w:val="24"/>
        </w:rPr>
        <w:t>1</w:t>
      </w:r>
      <w:r>
        <w:rPr>
          <w:rFonts w:hint="eastAsia"/>
          <w:szCs w:val="24"/>
        </w:rPr>
        <w:t>、垃圾转运站：根据规划，规划区内布置</w:t>
      </w:r>
      <w:r>
        <w:rPr>
          <w:szCs w:val="24"/>
        </w:rPr>
        <w:t xml:space="preserve"> 1 </w:t>
      </w:r>
      <w:r>
        <w:rPr>
          <w:rFonts w:hint="eastAsia"/>
          <w:szCs w:val="24"/>
        </w:rPr>
        <w:t>座小型生活垃圾转运站，转运规模</w:t>
      </w:r>
      <w:r>
        <w:rPr>
          <w:szCs w:val="24"/>
        </w:rPr>
        <w:t xml:space="preserve"> 30 </w:t>
      </w:r>
      <w:r>
        <w:rPr>
          <w:rFonts w:hint="eastAsia"/>
          <w:szCs w:val="24"/>
        </w:rPr>
        <w:t>吨</w:t>
      </w:r>
      <w:r>
        <w:rPr>
          <w:szCs w:val="24"/>
        </w:rPr>
        <w:t>/</w:t>
      </w:r>
      <w:r>
        <w:rPr>
          <w:rFonts w:hint="eastAsia"/>
          <w:szCs w:val="24"/>
        </w:rPr>
        <w:t>日</w:t>
      </w:r>
      <w:r>
        <w:rPr>
          <w:szCs w:val="24"/>
        </w:rPr>
        <w:t xml:space="preserve">—80 </w:t>
      </w:r>
      <w:r>
        <w:rPr>
          <w:rFonts w:hint="eastAsia"/>
          <w:szCs w:val="24"/>
        </w:rPr>
        <w:t>吨</w:t>
      </w:r>
      <w:r>
        <w:rPr>
          <w:szCs w:val="24"/>
        </w:rPr>
        <w:t>/</w:t>
      </w:r>
      <w:r>
        <w:rPr>
          <w:rFonts w:hint="eastAsia"/>
          <w:szCs w:val="24"/>
        </w:rPr>
        <w:t>日，每座转运站面积一般不超过</w:t>
      </w:r>
      <w:r>
        <w:rPr>
          <w:szCs w:val="24"/>
        </w:rPr>
        <w:t xml:space="preserve"> 500 </w:t>
      </w:r>
      <w:r>
        <w:rPr>
          <w:rFonts w:hint="eastAsia"/>
          <w:szCs w:val="24"/>
        </w:rPr>
        <w:t>平方米。负责区域内垃圾收集，并转输至规划的城市生活垃圾处理场进行最终处置。垃圾中转站要求与相邻建筑物保持不小于</w:t>
      </w:r>
      <w:r>
        <w:rPr>
          <w:szCs w:val="24"/>
        </w:rPr>
        <w:t xml:space="preserve"> 15 </w:t>
      </w:r>
      <w:r>
        <w:rPr>
          <w:rFonts w:hint="eastAsia"/>
          <w:szCs w:val="24"/>
        </w:rPr>
        <w:t>米的防护距离。</w:t>
      </w:r>
      <w:r>
        <w:rPr>
          <w:szCs w:val="24"/>
        </w:rPr>
        <w:t xml:space="preserve"> </w:t>
      </w:r>
    </w:p>
    <w:p>
      <w:pPr>
        <w:ind w:firstLine="560"/>
        <w:rPr>
          <w:szCs w:val="24"/>
        </w:rPr>
      </w:pPr>
      <w:r>
        <w:rPr>
          <w:szCs w:val="24"/>
        </w:rPr>
        <w:t>2</w:t>
      </w:r>
      <w:r>
        <w:rPr>
          <w:rFonts w:hint="eastAsia"/>
          <w:szCs w:val="24"/>
        </w:rPr>
        <w:t>、公厕：在人流量大的街道和商业区，公共厕所的配置间距为</w:t>
      </w:r>
      <w:r>
        <w:rPr>
          <w:szCs w:val="24"/>
        </w:rPr>
        <w:t xml:space="preserve"> 300</w:t>
      </w:r>
      <w:r>
        <w:rPr>
          <w:rFonts w:hint="eastAsia"/>
          <w:szCs w:val="24"/>
        </w:rPr>
        <w:t>～</w:t>
      </w:r>
      <w:r>
        <w:rPr>
          <w:szCs w:val="24"/>
        </w:rPr>
        <w:t xml:space="preserve">500 </w:t>
      </w:r>
      <w:r>
        <w:rPr>
          <w:rFonts w:hint="eastAsia"/>
          <w:szCs w:val="24"/>
        </w:rPr>
        <w:t>米；一般街道上公共厕所的间距不大于</w:t>
      </w:r>
      <w:r>
        <w:rPr>
          <w:szCs w:val="24"/>
        </w:rPr>
        <w:t xml:space="preserve"> 800</w:t>
      </w:r>
      <w:r>
        <w:rPr>
          <w:rFonts w:hint="eastAsia"/>
          <w:szCs w:val="24"/>
        </w:rPr>
        <w:t>米；工业区可按间距</w:t>
      </w:r>
      <w:r>
        <w:rPr>
          <w:szCs w:val="24"/>
        </w:rPr>
        <w:t xml:space="preserve"> 800</w:t>
      </w:r>
      <w:r>
        <w:rPr>
          <w:rFonts w:hint="eastAsia"/>
          <w:szCs w:val="24"/>
        </w:rPr>
        <w:t>～</w:t>
      </w:r>
      <w:r>
        <w:rPr>
          <w:szCs w:val="24"/>
        </w:rPr>
        <w:t xml:space="preserve">1000 </w:t>
      </w:r>
      <w:r>
        <w:rPr>
          <w:rFonts w:hint="eastAsia"/>
          <w:szCs w:val="24"/>
        </w:rPr>
        <w:t>米设置。公厕主要布置在沿街两侧交通方便处。</w:t>
      </w:r>
      <w:r>
        <w:rPr>
          <w:szCs w:val="24"/>
        </w:rPr>
        <w:t xml:space="preserve"> </w:t>
      </w:r>
    </w:p>
    <w:p>
      <w:pPr>
        <w:ind w:firstLine="560"/>
        <w:rPr>
          <w:szCs w:val="24"/>
        </w:rPr>
      </w:pPr>
      <w:r>
        <w:rPr>
          <w:szCs w:val="24"/>
        </w:rPr>
        <w:t>3</w:t>
      </w:r>
      <w:r>
        <w:rPr>
          <w:rFonts w:hint="eastAsia"/>
          <w:szCs w:val="24"/>
        </w:rPr>
        <w:t>、车辆清洗站：在规划区内按《城镇环境卫生设施设置标准》的相关规定在进入城区的主要道路附近地段设置车辆清洗站，车辆清洗站宜与加油</w:t>
      </w:r>
      <w:r>
        <w:rPr>
          <w:szCs w:val="24"/>
        </w:rPr>
        <w:t>(</w:t>
      </w:r>
      <w:r>
        <w:rPr>
          <w:rFonts w:hint="eastAsia"/>
          <w:szCs w:val="24"/>
        </w:rPr>
        <w:t>气</w:t>
      </w:r>
      <w:r>
        <w:rPr>
          <w:szCs w:val="24"/>
        </w:rPr>
        <w:t>)</w:t>
      </w:r>
      <w:r>
        <w:rPr>
          <w:rFonts w:hint="eastAsia"/>
          <w:szCs w:val="24"/>
        </w:rPr>
        <w:t>站、停车场等合并设置。</w:t>
      </w:r>
      <w:r>
        <w:rPr>
          <w:szCs w:val="24"/>
        </w:rPr>
        <w:t xml:space="preserve"> </w:t>
      </w:r>
    </w:p>
    <w:p>
      <w:pPr>
        <w:ind w:firstLine="560"/>
        <w:rPr>
          <w:szCs w:val="24"/>
        </w:rPr>
      </w:pPr>
      <w:r>
        <w:rPr>
          <w:rFonts w:hint="eastAsia"/>
          <w:szCs w:val="24"/>
        </w:rPr>
        <w:t>规划共需建</w:t>
      </w:r>
      <w:r>
        <w:rPr>
          <w:szCs w:val="24"/>
        </w:rPr>
        <w:t xml:space="preserve"> 1</w:t>
      </w:r>
      <w:r>
        <w:rPr>
          <w:rFonts w:hint="eastAsia"/>
          <w:szCs w:val="24"/>
        </w:rPr>
        <w:t>座车辆清洗站。</w:t>
      </w:r>
      <w:r>
        <w:rPr>
          <w:szCs w:val="24"/>
        </w:rPr>
        <w:t xml:space="preserve"> </w:t>
      </w:r>
    </w:p>
    <w:p>
      <w:pPr>
        <w:ind w:firstLine="560"/>
        <w:rPr>
          <w:szCs w:val="24"/>
        </w:rPr>
      </w:pPr>
      <w:r>
        <w:rPr>
          <w:szCs w:val="24"/>
        </w:rPr>
        <w:t>4</w:t>
      </w:r>
      <w:r>
        <w:rPr>
          <w:rFonts w:hint="eastAsia"/>
          <w:szCs w:val="24"/>
        </w:rPr>
        <w:t>、废物箱</w:t>
      </w:r>
      <w:r>
        <w:rPr>
          <w:szCs w:val="24"/>
        </w:rPr>
        <w:t xml:space="preserve"> </w:t>
      </w:r>
    </w:p>
    <w:p>
      <w:pPr>
        <w:ind w:firstLine="560"/>
        <w:rPr>
          <w:szCs w:val="24"/>
        </w:rPr>
      </w:pPr>
      <w:r>
        <w:rPr>
          <w:rFonts w:hint="eastAsia"/>
          <w:szCs w:val="24"/>
        </w:rPr>
        <w:t>生活垃圾收集点的服务半径不宜超过</w:t>
      </w:r>
      <w:r>
        <w:rPr>
          <w:szCs w:val="24"/>
        </w:rPr>
        <w:t xml:space="preserve"> 70 </w:t>
      </w:r>
      <w:r>
        <w:rPr>
          <w:rFonts w:hint="eastAsia"/>
          <w:szCs w:val="24"/>
        </w:rPr>
        <w:t>米，市场、交通客运枢纽及其他产生生活垃圾量较大的设施附近应单独设置生活垃圾收集点。</w:t>
      </w:r>
    </w:p>
    <w:p>
      <w:pPr>
        <w:pStyle w:val="4"/>
        <w:spacing w:before="140" w:after="140"/>
        <w:ind w:firstLine="0" w:firstLineChars="0"/>
        <w:rPr>
          <w:rFonts w:cs="Times New Roman"/>
          <w:sz w:val="28"/>
          <w:szCs w:val="28"/>
        </w:rPr>
      </w:pPr>
      <w:bookmarkStart w:id="382" w:name="_Toc1598"/>
      <w:bookmarkStart w:id="383" w:name="_Toc3781"/>
      <w:bookmarkStart w:id="384" w:name="_Toc5385"/>
      <w:bookmarkStart w:id="385" w:name="_Toc1773"/>
      <w:bookmarkStart w:id="386" w:name="_Toc4979"/>
      <w:bookmarkStart w:id="387" w:name="_Toc10332"/>
      <w:bookmarkStart w:id="388" w:name="_Toc30613"/>
      <w:bookmarkStart w:id="389" w:name="_Toc126591890"/>
      <w:r>
        <w:rPr>
          <w:rFonts w:cs="Times New Roman"/>
          <w:sz w:val="28"/>
          <w:szCs w:val="28"/>
        </w:rPr>
        <w:t xml:space="preserve">9.8 </w:t>
      </w:r>
      <w:r>
        <w:rPr>
          <w:rFonts w:hint="eastAsia"/>
          <w:sz w:val="28"/>
          <w:szCs w:val="28"/>
        </w:rPr>
        <w:t>工业气体规划</w:t>
      </w:r>
      <w:bookmarkEnd w:id="382"/>
      <w:bookmarkEnd w:id="383"/>
      <w:bookmarkEnd w:id="384"/>
      <w:bookmarkEnd w:id="385"/>
      <w:bookmarkEnd w:id="386"/>
      <w:bookmarkEnd w:id="387"/>
      <w:bookmarkEnd w:id="388"/>
      <w:bookmarkEnd w:id="389"/>
    </w:p>
    <w:p>
      <w:pPr>
        <w:ind w:firstLine="0" w:firstLineChars="0"/>
        <w:outlineLvl w:val="2"/>
        <w:rPr>
          <w:rFonts w:cs="Times New Roman"/>
          <w:b/>
          <w:bCs/>
          <w:sz w:val="24"/>
          <w:szCs w:val="24"/>
        </w:rPr>
      </w:pPr>
      <w:bookmarkStart w:id="390" w:name="_Toc7833"/>
      <w:bookmarkStart w:id="391" w:name="_Toc15549"/>
      <w:bookmarkStart w:id="392" w:name="_Toc7776"/>
      <w:bookmarkStart w:id="393" w:name="_Toc25432"/>
      <w:bookmarkStart w:id="394" w:name="_Toc29456"/>
      <w:bookmarkStart w:id="395" w:name="_Toc1678"/>
      <w:r>
        <w:rPr>
          <w:b/>
          <w:bCs/>
          <w:szCs w:val="24"/>
        </w:rPr>
        <w:t>9.8.1</w:t>
      </w:r>
      <w:r>
        <w:rPr>
          <w:rFonts w:hint="eastAsia"/>
          <w:b/>
          <w:bCs/>
          <w:szCs w:val="24"/>
        </w:rPr>
        <w:t>需求预测</w:t>
      </w:r>
      <w:bookmarkEnd w:id="390"/>
      <w:bookmarkEnd w:id="391"/>
      <w:bookmarkEnd w:id="392"/>
      <w:bookmarkEnd w:id="393"/>
      <w:bookmarkEnd w:id="394"/>
      <w:bookmarkEnd w:id="395"/>
    </w:p>
    <w:p>
      <w:pPr>
        <w:ind w:firstLine="560"/>
        <w:rPr>
          <w:szCs w:val="24"/>
        </w:rPr>
      </w:pPr>
      <w:r>
        <w:rPr>
          <w:rFonts w:hint="eastAsia"/>
          <w:szCs w:val="24"/>
        </w:rPr>
        <w:t>园区需要工艺压缩空气、仪表压缩空气、氮气等。</w:t>
      </w:r>
      <w:r>
        <w:rPr>
          <w:szCs w:val="24"/>
        </w:rPr>
        <w:t xml:space="preserve"> </w:t>
      </w:r>
    </w:p>
    <w:p>
      <w:pPr>
        <w:ind w:firstLine="560"/>
        <w:rPr>
          <w:szCs w:val="24"/>
        </w:rPr>
      </w:pPr>
      <w:r>
        <w:rPr>
          <w:rFonts w:hint="eastAsia"/>
          <w:szCs w:val="24"/>
        </w:rPr>
        <w:t>园区内绝大部分生产装置均需要工艺压缩空气和仪表压缩空气。此外，部分生产装置生产过程中需要氮气供应。</w:t>
      </w:r>
    </w:p>
    <w:p>
      <w:pPr>
        <w:ind w:firstLine="0" w:firstLineChars="0"/>
        <w:outlineLvl w:val="2"/>
        <w:rPr>
          <w:b/>
          <w:bCs/>
          <w:szCs w:val="24"/>
        </w:rPr>
      </w:pPr>
      <w:bookmarkStart w:id="396" w:name="_Toc5042"/>
      <w:bookmarkStart w:id="397" w:name="_Toc26571"/>
      <w:bookmarkStart w:id="398" w:name="_Toc1769"/>
      <w:bookmarkStart w:id="399" w:name="_Toc9158"/>
      <w:bookmarkStart w:id="400" w:name="_Toc1833"/>
      <w:bookmarkStart w:id="401" w:name="_Toc17628"/>
      <w:r>
        <w:rPr>
          <w:b/>
          <w:bCs/>
          <w:szCs w:val="24"/>
        </w:rPr>
        <w:t xml:space="preserve">9.8.2 </w:t>
      </w:r>
      <w:r>
        <w:rPr>
          <w:rFonts w:hint="eastAsia"/>
          <w:b/>
          <w:bCs/>
          <w:szCs w:val="24"/>
        </w:rPr>
        <w:t>规划方案</w:t>
      </w:r>
      <w:bookmarkEnd w:id="396"/>
      <w:bookmarkEnd w:id="397"/>
      <w:bookmarkEnd w:id="398"/>
      <w:bookmarkEnd w:id="399"/>
      <w:bookmarkEnd w:id="400"/>
      <w:bookmarkEnd w:id="401"/>
    </w:p>
    <w:p>
      <w:pPr>
        <w:ind w:firstLine="560"/>
        <w:rPr>
          <w:szCs w:val="24"/>
        </w:rPr>
      </w:pPr>
      <w:r>
        <w:rPr>
          <w:rFonts w:hint="eastAsia"/>
          <w:szCs w:val="24"/>
        </w:rPr>
        <w:t>为满足需要，规划在园区内依托大项目集中建设工业气体生产装置，向园区内各生产用户供应氮气和压缩空气，相应空压空分装置的具体规模视项目的进展情况按具体需求量分期建设。</w:t>
      </w:r>
    </w:p>
    <w:p>
      <w:pPr>
        <w:pStyle w:val="4"/>
        <w:spacing w:before="140" w:after="140"/>
        <w:ind w:firstLine="0" w:firstLineChars="0"/>
        <w:rPr>
          <w:rFonts w:cs="Times New Roman"/>
          <w:sz w:val="28"/>
          <w:szCs w:val="28"/>
        </w:rPr>
      </w:pPr>
      <w:bookmarkStart w:id="402" w:name="_Toc30184"/>
      <w:bookmarkStart w:id="403" w:name="_Toc29092"/>
      <w:bookmarkStart w:id="404" w:name="_Toc19288"/>
      <w:bookmarkStart w:id="405" w:name="_Toc17233"/>
      <w:bookmarkStart w:id="406" w:name="_Toc13822"/>
      <w:bookmarkStart w:id="407" w:name="_Toc4693"/>
      <w:bookmarkStart w:id="408" w:name="_Toc18802"/>
      <w:bookmarkStart w:id="409" w:name="_Toc126591891"/>
      <w:r>
        <w:rPr>
          <w:rFonts w:cs="Times New Roman"/>
          <w:sz w:val="28"/>
          <w:szCs w:val="28"/>
        </w:rPr>
        <w:t xml:space="preserve">9.9 </w:t>
      </w:r>
      <w:r>
        <w:rPr>
          <w:rFonts w:hint="eastAsia"/>
          <w:sz w:val="28"/>
          <w:szCs w:val="28"/>
        </w:rPr>
        <w:t>公共管廊规划</w:t>
      </w:r>
      <w:bookmarkEnd w:id="402"/>
      <w:bookmarkEnd w:id="403"/>
      <w:bookmarkEnd w:id="404"/>
      <w:bookmarkEnd w:id="405"/>
      <w:bookmarkEnd w:id="406"/>
      <w:bookmarkEnd w:id="407"/>
      <w:bookmarkEnd w:id="408"/>
      <w:bookmarkEnd w:id="409"/>
    </w:p>
    <w:p>
      <w:pPr>
        <w:ind w:firstLine="0" w:firstLineChars="0"/>
        <w:outlineLvl w:val="2"/>
        <w:rPr>
          <w:rFonts w:cs="Times New Roman"/>
          <w:b/>
          <w:bCs/>
          <w:sz w:val="24"/>
          <w:szCs w:val="24"/>
        </w:rPr>
      </w:pPr>
      <w:bookmarkStart w:id="410" w:name="_Toc14070"/>
      <w:bookmarkStart w:id="411" w:name="_Toc29522"/>
      <w:r>
        <w:rPr>
          <w:b/>
          <w:bCs/>
          <w:szCs w:val="24"/>
        </w:rPr>
        <w:t xml:space="preserve">9.9.1 </w:t>
      </w:r>
      <w:r>
        <w:rPr>
          <w:rFonts w:hint="eastAsia"/>
          <w:b/>
          <w:bCs/>
          <w:szCs w:val="24"/>
        </w:rPr>
        <w:t>规划目的</w:t>
      </w:r>
      <w:bookmarkEnd w:id="410"/>
      <w:bookmarkEnd w:id="411"/>
      <w:r>
        <w:rPr>
          <w:b/>
          <w:bCs/>
          <w:szCs w:val="24"/>
        </w:rPr>
        <w:t xml:space="preserve"> </w:t>
      </w:r>
    </w:p>
    <w:p>
      <w:pPr>
        <w:ind w:firstLine="560"/>
        <w:rPr>
          <w:szCs w:val="24"/>
        </w:rPr>
      </w:pPr>
      <w:r>
        <w:rPr>
          <w:szCs w:val="24"/>
        </w:rPr>
        <w:t>1</w:t>
      </w:r>
      <w:r>
        <w:rPr>
          <w:rFonts w:hint="eastAsia"/>
          <w:szCs w:val="24"/>
        </w:rPr>
        <w:t>、为园区内各地块的建设项目提供便捷的架空管道敷设通道；</w:t>
      </w:r>
      <w:r>
        <w:rPr>
          <w:szCs w:val="24"/>
        </w:rPr>
        <w:t xml:space="preserve"> </w:t>
      </w:r>
    </w:p>
    <w:p>
      <w:pPr>
        <w:ind w:firstLine="560"/>
        <w:rPr>
          <w:szCs w:val="24"/>
        </w:rPr>
      </w:pPr>
      <w:r>
        <w:rPr>
          <w:szCs w:val="24"/>
        </w:rPr>
        <w:t>2</w:t>
      </w:r>
      <w:r>
        <w:rPr>
          <w:rFonts w:hint="eastAsia"/>
          <w:szCs w:val="24"/>
        </w:rPr>
        <w:t>、为园区提供完善的基础设施，创造良好的投资环境；</w:t>
      </w:r>
      <w:r>
        <w:rPr>
          <w:szCs w:val="24"/>
        </w:rPr>
        <w:t xml:space="preserve"> </w:t>
      </w:r>
    </w:p>
    <w:p>
      <w:pPr>
        <w:ind w:firstLine="560"/>
        <w:rPr>
          <w:szCs w:val="24"/>
        </w:rPr>
      </w:pPr>
      <w:r>
        <w:rPr>
          <w:szCs w:val="24"/>
        </w:rPr>
        <w:t>3</w:t>
      </w:r>
      <w:r>
        <w:rPr>
          <w:rFonts w:hint="eastAsia"/>
          <w:szCs w:val="24"/>
        </w:rPr>
        <w:t>、为园区提供环保基础设施，避免埋地敷设管道发生泄漏时，难以发现，对地下水和土壤</w:t>
      </w:r>
      <w:r>
        <w:rPr>
          <w:szCs w:val="24"/>
        </w:rPr>
        <w:t xml:space="preserve"> </w:t>
      </w:r>
    </w:p>
    <w:p>
      <w:pPr>
        <w:ind w:firstLine="0" w:firstLineChars="0"/>
        <w:rPr>
          <w:szCs w:val="24"/>
        </w:rPr>
      </w:pPr>
      <w:r>
        <w:rPr>
          <w:rFonts w:hint="eastAsia"/>
          <w:szCs w:val="24"/>
        </w:rPr>
        <w:t>产生污染等。</w:t>
      </w:r>
      <w:r>
        <w:rPr>
          <w:szCs w:val="24"/>
        </w:rPr>
        <w:t xml:space="preserve"> </w:t>
      </w:r>
    </w:p>
    <w:p>
      <w:pPr>
        <w:ind w:firstLine="0" w:firstLineChars="0"/>
        <w:outlineLvl w:val="2"/>
        <w:rPr>
          <w:b/>
          <w:bCs/>
          <w:szCs w:val="24"/>
        </w:rPr>
      </w:pPr>
      <w:bookmarkStart w:id="412" w:name="_Toc5529"/>
      <w:bookmarkStart w:id="413" w:name="_Toc17964"/>
      <w:r>
        <w:rPr>
          <w:b/>
          <w:bCs/>
          <w:szCs w:val="24"/>
        </w:rPr>
        <w:t xml:space="preserve">9.9.2 </w:t>
      </w:r>
      <w:r>
        <w:rPr>
          <w:rFonts w:hint="eastAsia"/>
          <w:b/>
          <w:bCs/>
          <w:szCs w:val="24"/>
        </w:rPr>
        <w:t>规划原则</w:t>
      </w:r>
      <w:bookmarkEnd w:id="412"/>
      <w:bookmarkEnd w:id="413"/>
      <w:r>
        <w:rPr>
          <w:b/>
          <w:bCs/>
          <w:szCs w:val="24"/>
        </w:rPr>
        <w:t xml:space="preserve"> </w:t>
      </w:r>
    </w:p>
    <w:p>
      <w:pPr>
        <w:ind w:firstLine="560"/>
        <w:rPr>
          <w:szCs w:val="24"/>
        </w:rPr>
      </w:pPr>
      <w:r>
        <w:rPr>
          <w:szCs w:val="24"/>
        </w:rPr>
        <w:t>1</w:t>
      </w:r>
      <w:r>
        <w:rPr>
          <w:rFonts w:hint="eastAsia"/>
          <w:szCs w:val="24"/>
        </w:rPr>
        <w:t>、公共管廊的规划严格执行现行国家标准和项目所在地有关政策和法规。</w:t>
      </w:r>
      <w:r>
        <w:rPr>
          <w:szCs w:val="24"/>
        </w:rPr>
        <w:t xml:space="preserve"> </w:t>
      </w:r>
    </w:p>
    <w:p>
      <w:pPr>
        <w:ind w:firstLine="560"/>
        <w:rPr>
          <w:szCs w:val="24"/>
        </w:rPr>
      </w:pPr>
      <w:r>
        <w:rPr>
          <w:szCs w:val="24"/>
        </w:rPr>
        <w:t>2</w:t>
      </w:r>
      <w:r>
        <w:rPr>
          <w:rFonts w:hint="eastAsia"/>
          <w:szCs w:val="24"/>
        </w:rPr>
        <w:t>、根据园区产业规划和产业布局，公共管廊的规划将以路径规划为主，确保所需地块的公</w:t>
      </w:r>
      <w:r>
        <w:rPr>
          <w:szCs w:val="24"/>
        </w:rPr>
        <w:t xml:space="preserve"> </w:t>
      </w:r>
    </w:p>
    <w:p>
      <w:pPr>
        <w:ind w:firstLine="0" w:firstLineChars="0"/>
        <w:rPr>
          <w:szCs w:val="24"/>
        </w:rPr>
      </w:pPr>
      <w:r>
        <w:rPr>
          <w:rFonts w:hint="eastAsia"/>
          <w:szCs w:val="24"/>
        </w:rPr>
        <w:t>共管廊规划到位，管廊的规模可随园区产业规划的调整和招商引资的进展情况，作适应性调整。</w:t>
      </w:r>
      <w:r>
        <w:rPr>
          <w:szCs w:val="24"/>
        </w:rPr>
        <w:t xml:space="preserve"> </w:t>
      </w:r>
    </w:p>
    <w:p>
      <w:pPr>
        <w:ind w:firstLine="560"/>
        <w:rPr>
          <w:szCs w:val="24"/>
        </w:rPr>
      </w:pPr>
      <w:r>
        <w:rPr>
          <w:szCs w:val="24"/>
        </w:rPr>
        <w:t>3</w:t>
      </w:r>
      <w:r>
        <w:rPr>
          <w:rFonts w:hint="eastAsia"/>
          <w:szCs w:val="24"/>
        </w:rPr>
        <w:t>、公共管廊的规划走向应与主要道路平行布置，减少上述设施的交叉穿越或跨越，局部地</w:t>
      </w:r>
      <w:r>
        <w:rPr>
          <w:szCs w:val="24"/>
        </w:rPr>
        <w:t xml:space="preserve"> </w:t>
      </w:r>
    </w:p>
    <w:p>
      <w:pPr>
        <w:ind w:firstLine="0" w:firstLineChars="0"/>
        <w:rPr>
          <w:szCs w:val="24"/>
        </w:rPr>
      </w:pPr>
      <w:r>
        <w:rPr>
          <w:rFonts w:hint="eastAsia"/>
          <w:szCs w:val="24"/>
        </w:rPr>
        <w:t>方必须跨越时，跨越高度符合现行规范要求的同时，尚需满足相关主管部门的要求。</w:t>
      </w:r>
      <w:r>
        <w:rPr>
          <w:szCs w:val="24"/>
        </w:rPr>
        <w:t xml:space="preserve"> </w:t>
      </w:r>
    </w:p>
    <w:p>
      <w:pPr>
        <w:ind w:firstLine="0" w:firstLineChars="0"/>
        <w:outlineLvl w:val="2"/>
        <w:rPr>
          <w:b/>
          <w:bCs/>
          <w:szCs w:val="24"/>
        </w:rPr>
      </w:pPr>
      <w:bookmarkStart w:id="414" w:name="_Toc2876"/>
      <w:bookmarkStart w:id="415" w:name="_Toc9141"/>
      <w:r>
        <w:rPr>
          <w:b/>
          <w:bCs/>
          <w:szCs w:val="24"/>
        </w:rPr>
        <w:t xml:space="preserve">9.9.3 </w:t>
      </w:r>
      <w:r>
        <w:rPr>
          <w:rFonts w:hint="eastAsia"/>
          <w:b/>
          <w:bCs/>
          <w:szCs w:val="24"/>
        </w:rPr>
        <w:t>规划内容</w:t>
      </w:r>
      <w:bookmarkEnd w:id="414"/>
      <w:bookmarkEnd w:id="415"/>
      <w:r>
        <w:rPr>
          <w:b/>
          <w:bCs/>
          <w:szCs w:val="24"/>
        </w:rPr>
        <w:t xml:space="preserve"> </w:t>
      </w:r>
    </w:p>
    <w:p>
      <w:pPr>
        <w:ind w:firstLine="560"/>
        <w:rPr>
          <w:szCs w:val="24"/>
        </w:rPr>
      </w:pPr>
      <w:r>
        <w:rPr>
          <w:szCs w:val="24"/>
        </w:rPr>
        <w:t>1</w:t>
      </w:r>
      <w:r>
        <w:rPr>
          <w:rFonts w:hint="eastAsia"/>
          <w:szCs w:val="24"/>
        </w:rPr>
        <w:t>、规划现状</w:t>
      </w:r>
      <w:r>
        <w:rPr>
          <w:szCs w:val="24"/>
        </w:rPr>
        <w:t xml:space="preserve"> </w:t>
      </w:r>
    </w:p>
    <w:p>
      <w:pPr>
        <w:ind w:firstLine="560"/>
        <w:rPr>
          <w:szCs w:val="24"/>
        </w:rPr>
      </w:pPr>
      <w:r>
        <w:rPr>
          <w:rFonts w:hint="eastAsia"/>
          <w:szCs w:val="24"/>
        </w:rPr>
        <w:t>园区现状未建设公共管廊。</w:t>
      </w:r>
      <w:r>
        <w:rPr>
          <w:szCs w:val="24"/>
        </w:rPr>
        <w:t xml:space="preserve"> </w:t>
      </w:r>
    </w:p>
    <w:p>
      <w:pPr>
        <w:ind w:firstLine="560"/>
        <w:rPr>
          <w:szCs w:val="24"/>
        </w:rPr>
      </w:pPr>
      <w:r>
        <w:rPr>
          <w:szCs w:val="24"/>
        </w:rPr>
        <w:t>2</w:t>
      </w:r>
      <w:r>
        <w:rPr>
          <w:rFonts w:hint="eastAsia"/>
          <w:szCs w:val="24"/>
        </w:rPr>
        <w:t>、规划范围</w:t>
      </w:r>
      <w:r>
        <w:rPr>
          <w:szCs w:val="24"/>
        </w:rPr>
        <w:t xml:space="preserve"> </w:t>
      </w:r>
    </w:p>
    <w:p>
      <w:pPr>
        <w:ind w:firstLine="560"/>
        <w:rPr>
          <w:szCs w:val="24"/>
        </w:rPr>
      </w:pPr>
      <w:r>
        <w:rPr>
          <w:rFonts w:hint="eastAsia"/>
          <w:szCs w:val="24"/>
        </w:rPr>
        <w:t>规划园区公共管廊用地面积为</w:t>
      </w:r>
      <w:r>
        <w:rPr>
          <w:szCs w:val="24"/>
        </w:rPr>
        <w:t xml:space="preserve"> 26.6hm</w:t>
      </w:r>
      <w:r>
        <w:rPr>
          <w:szCs w:val="24"/>
          <w:vertAlign w:val="superscript"/>
        </w:rPr>
        <w:t>2</w:t>
      </w:r>
      <w:r>
        <w:rPr>
          <w:rFonts w:hint="eastAsia"/>
          <w:szCs w:val="24"/>
        </w:rPr>
        <w:t>，沿园区主要道路一侧布置公共管廊用地，使园区</w:t>
      </w:r>
      <w:r>
        <w:rPr>
          <w:szCs w:val="24"/>
        </w:rPr>
        <w:t xml:space="preserve"> </w:t>
      </w:r>
    </w:p>
    <w:p>
      <w:pPr>
        <w:ind w:firstLine="0" w:firstLineChars="0"/>
        <w:rPr>
          <w:szCs w:val="24"/>
        </w:rPr>
      </w:pPr>
      <w:r>
        <w:rPr>
          <w:rFonts w:hint="eastAsia"/>
          <w:szCs w:val="24"/>
        </w:rPr>
        <w:t>各个用地均由公共管廊覆盖，满足管廊周边企业的使用。将园区内的污水管线、供热管线、燃</w:t>
      </w:r>
      <w:r>
        <w:rPr>
          <w:szCs w:val="24"/>
        </w:rPr>
        <w:t xml:space="preserve"> </w:t>
      </w:r>
    </w:p>
    <w:p>
      <w:pPr>
        <w:ind w:firstLine="0" w:firstLineChars="0"/>
        <w:rPr>
          <w:szCs w:val="24"/>
        </w:rPr>
      </w:pPr>
      <w:r>
        <w:rPr>
          <w:rFonts w:hint="eastAsia"/>
          <w:szCs w:val="24"/>
        </w:rPr>
        <w:t>气管线和物料管线利用公共管廊架空敷设。对于现状管廊条件不满足园区未来发展需要的，需</w:t>
      </w:r>
      <w:r>
        <w:rPr>
          <w:szCs w:val="24"/>
        </w:rPr>
        <w:t xml:space="preserve"> </w:t>
      </w:r>
    </w:p>
    <w:p>
      <w:pPr>
        <w:ind w:firstLine="0" w:firstLineChars="0"/>
        <w:rPr>
          <w:szCs w:val="24"/>
        </w:rPr>
      </w:pPr>
      <w:r>
        <w:rPr>
          <w:rFonts w:hint="eastAsia"/>
          <w:szCs w:val="24"/>
        </w:rPr>
        <w:t>要进行改建。</w:t>
      </w:r>
      <w:r>
        <w:rPr>
          <w:szCs w:val="24"/>
        </w:rPr>
        <w:t xml:space="preserve"> </w:t>
      </w:r>
    </w:p>
    <w:p>
      <w:pPr>
        <w:ind w:firstLine="560"/>
        <w:rPr>
          <w:szCs w:val="24"/>
        </w:rPr>
      </w:pPr>
      <w:r>
        <w:rPr>
          <w:szCs w:val="24"/>
        </w:rPr>
        <w:t>3</w:t>
      </w:r>
      <w:r>
        <w:rPr>
          <w:rFonts w:hint="eastAsia"/>
          <w:szCs w:val="24"/>
        </w:rPr>
        <w:t>、规划内容</w:t>
      </w:r>
      <w:r>
        <w:rPr>
          <w:szCs w:val="24"/>
        </w:rPr>
        <w:t xml:space="preserve"> </w:t>
      </w:r>
    </w:p>
    <w:p>
      <w:pPr>
        <w:ind w:firstLine="560"/>
        <w:rPr>
          <w:szCs w:val="24"/>
        </w:rPr>
      </w:pPr>
      <w:r>
        <w:rPr>
          <w:rFonts w:hint="eastAsia"/>
          <w:szCs w:val="24"/>
        </w:rPr>
        <w:t>（</w:t>
      </w:r>
      <w:r>
        <w:rPr>
          <w:szCs w:val="24"/>
        </w:rPr>
        <w:t>1</w:t>
      </w:r>
      <w:r>
        <w:rPr>
          <w:rFonts w:hint="eastAsia"/>
          <w:szCs w:val="24"/>
        </w:rPr>
        <w:t>）管廊的高度及跨越</w:t>
      </w:r>
      <w:r>
        <w:rPr>
          <w:szCs w:val="24"/>
        </w:rPr>
        <w:t xml:space="preserve"> </w:t>
      </w:r>
    </w:p>
    <w:p>
      <w:pPr>
        <w:ind w:firstLine="560"/>
        <w:rPr>
          <w:szCs w:val="24"/>
        </w:rPr>
      </w:pPr>
      <w:r>
        <w:rPr>
          <w:rFonts w:hint="eastAsia"/>
          <w:szCs w:val="24"/>
        </w:rPr>
        <w:t>公共管廊拟建高管廊为主，各地块进出口通行不受公共管廊的影响，但是由于园区内部高</w:t>
      </w:r>
      <w:r>
        <w:rPr>
          <w:szCs w:val="24"/>
        </w:rPr>
        <w:t xml:space="preserve"> </w:t>
      </w:r>
    </w:p>
    <w:p>
      <w:pPr>
        <w:ind w:firstLine="0" w:firstLineChars="0"/>
        <w:rPr>
          <w:szCs w:val="24"/>
        </w:rPr>
      </w:pPr>
      <w:r>
        <w:rPr>
          <w:rFonts w:hint="eastAsia"/>
          <w:szCs w:val="24"/>
        </w:rPr>
        <w:t>压走廊分布凌乱，在管廊与高压走廊交接处，采用低管廊建设，具体建设高度根据高压走廊实</w:t>
      </w:r>
      <w:r>
        <w:rPr>
          <w:szCs w:val="24"/>
        </w:rPr>
        <w:t xml:space="preserve"> </w:t>
      </w:r>
    </w:p>
    <w:p>
      <w:pPr>
        <w:ind w:firstLine="0" w:firstLineChars="0"/>
        <w:rPr>
          <w:szCs w:val="24"/>
        </w:rPr>
      </w:pPr>
      <w:r>
        <w:rPr>
          <w:rFonts w:hint="eastAsia"/>
          <w:szCs w:val="24"/>
        </w:rPr>
        <w:t>际情况进行考虑，避免管廊与高压走廊相冲突。在管廊跨越园区内主要运输道路时，净空高度不小于</w:t>
      </w:r>
      <w:r>
        <w:rPr>
          <w:szCs w:val="24"/>
        </w:rPr>
        <w:t xml:space="preserve"> 6m</w:t>
      </w:r>
      <w:r>
        <w:rPr>
          <w:rFonts w:hint="eastAsia"/>
          <w:szCs w:val="24"/>
        </w:rPr>
        <w:t>；公共管廊经过道路时应采用跨越通过方式，跨越高度和宽度应满足规范和相关单位要求。</w:t>
      </w:r>
      <w:r>
        <w:rPr>
          <w:szCs w:val="24"/>
        </w:rPr>
        <w:t xml:space="preserve"> </w:t>
      </w:r>
    </w:p>
    <w:p>
      <w:pPr>
        <w:ind w:firstLine="560"/>
        <w:rPr>
          <w:szCs w:val="24"/>
        </w:rPr>
      </w:pPr>
      <w:r>
        <w:rPr>
          <w:rFonts w:hint="eastAsia"/>
          <w:szCs w:val="24"/>
        </w:rPr>
        <w:t>（</w:t>
      </w:r>
      <w:r>
        <w:rPr>
          <w:szCs w:val="24"/>
        </w:rPr>
        <w:t>2</w:t>
      </w:r>
      <w:r>
        <w:rPr>
          <w:rFonts w:hint="eastAsia"/>
          <w:szCs w:val="24"/>
        </w:rPr>
        <w:t>）管廊规模</w:t>
      </w:r>
      <w:r>
        <w:rPr>
          <w:szCs w:val="24"/>
        </w:rPr>
        <w:t xml:space="preserve"> </w:t>
      </w:r>
    </w:p>
    <w:p>
      <w:pPr>
        <w:ind w:firstLine="560"/>
        <w:rPr>
          <w:szCs w:val="24"/>
        </w:rPr>
      </w:pPr>
      <w:r>
        <w:rPr>
          <w:rFonts w:hint="eastAsia"/>
          <w:szCs w:val="24"/>
        </w:rPr>
        <w:t>根据园区产业布局，结合路网设计，规划公共管廊路径。规划管廊带用地宽度为</w:t>
      </w:r>
      <w:r>
        <w:rPr>
          <w:szCs w:val="24"/>
        </w:rPr>
        <w:t xml:space="preserve"> 10m</w:t>
      </w:r>
      <w:r>
        <w:rPr>
          <w:rFonts w:hint="eastAsia"/>
          <w:szCs w:val="24"/>
        </w:rPr>
        <w:t>，其中，检修通道不小于</w:t>
      </w:r>
      <w:r>
        <w:rPr>
          <w:szCs w:val="24"/>
        </w:rPr>
        <w:t xml:space="preserve"> 4m</w:t>
      </w:r>
      <w:r>
        <w:rPr>
          <w:rFonts w:hint="eastAsia"/>
          <w:szCs w:val="24"/>
        </w:rPr>
        <w:t>，管廊宽度及管廊层数根据管线需求按需设置；临街管廊可利用管廊周边道路做为检修通道。</w:t>
      </w:r>
      <w:r>
        <w:rPr>
          <w:szCs w:val="24"/>
        </w:rPr>
        <w:t xml:space="preserve"> </w:t>
      </w:r>
    </w:p>
    <w:p>
      <w:pPr>
        <w:ind w:firstLine="560"/>
        <w:rPr>
          <w:szCs w:val="24"/>
        </w:rPr>
      </w:pPr>
      <w:r>
        <w:rPr>
          <w:rFonts w:hint="eastAsia"/>
          <w:szCs w:val="24"/>
        </w:rPr>
        <w:t>专用管廊：宽度和层数根据地块内项目按需设置。其中专用管廊是为单一用户或地块设置的专用管廊，其位于用户界区外，多利用园区绿地进行布置，具体位置、规模、结构形式等，需与用户界区内的装置同步建设。</w:t>
      </w:r>
      <w:r>
        <w:rPr>
          <w:szCs w:val="24"/>
        </w:rPr>
        <w:t xml:space="preserve"> </w:t>
      </w:r>
    </w:p>
    <w:p>
      <w:pPr>
        <w:ind w:firstLine="560"/>
        <w:rPr>
          <w:szCs w:val="24"/>
        </w:rPr>
      </w:pPr>
      <w:r>
        <w:rPr>
          <w:rFonts w:hint="eastAsia"/>
          <w:szCs w:val="24"/>
        </w:rPr>
        <w:t>公共管廊的建设周期，可根据沿途地块内项目的落地情况，分阶段实施，管廊的层数可在结构详细设计时考虑分层实施功能，即设置公共管廊的预留层，以利节约并合理使用工程建设投资。</w:t>
      </w:r>
      <w:r>
        <w:rPr>
          <w:szCs w:val="24"/>
        </w:rPr>
        <w:t xml:space="preserve"> </w:t>
      </w:r>
    </w:p>
    <w:p>
      <w:pPr>
        <w:ind w:firstLine="0" w:firstLineChars="0"/>
        <w:outlineLvl w:val="2"/>
        <w:rPr>
          <w:b/>
          <w:bCs/>
          <w:szCs w:val="24"/>
        </w:rPr>
      </w:pPr>
      <w:bookmarkStart w:id="416" w:name="_Toc20572"/>
      <w:bookmarkStart w:id="417" w:name="_Toc30434"/>
      <w:r>
        <w:rPr>
          <w:b/>
          <w:bCs/>
          <w:szCs w:val="24"/>
        </w:rPr>
        <w:t xml:space="preserve">9.9.4 </w:t>
      </w:r>
      <w:r>
        <w:rPr>
          <w:rFonts w:hint="eastAsia"/>
          <w:b/>
          <w:bCs/>
          <w:szCs w:val="24"/>
        </w:rPr>
        <w:t>实施建议</w:t>
      </w:r>
      <w:bookmarkEnd w:id="416"/>
      <w:bookmarkEnd w:id="417"/>
      <w:r>
        <w:rPr>
          <w:b/>
          <w:bCs/>
          <w:szCs w:val="24"/>
        </w:rPr>
        <w:t xml:space="preserve"> </w:t>
      </w:r>
    </w:p>
    <w:p>
      <w:pPr>
        <w:ind w:firstLine="560"/>
        <w:rPr>
          <w:szCs w:val="24"/>
        </w:rPr>
      </w:pPr>
      <w:r>
        <w:rPr>
          <w:rFonts w:hint="eastAsia"/>
          <w:szCs w:val="24"/>
        </w:rPr>
        <w:t>园区内企业随着国家政策和经济形势的走向，将逐步淘汰、更新置换新项目，园区建设将是滚动开发的过程，因此在尽可能降低管廊工程建设投资的前提下，管廊规模及走向应充分考虑未定项目地块开发时管廊衔接的灵活性，为园区的可持续发展打下良好的基础。</w:t>
      </w:r>
      <w:r>
        <w:rPr>
          <w:szCs w:val="24"/>
        </w:rPr>
        <w:t xml:space="preserve"> </w:t>
      </w:r>
    </w:p>
    <w:p>
      <w:pPr>
        <w:ind w:firstLine="560"/>
        <w:rPr>
          <w:szCs w:val="24"/>
        </w:rPr>
      </w:pPr>
      <w:r>
        <w:rPr>
          <w:rFonts w:hint="eastAsia"/>
          <w:szCs w:val="24"/>
        </w:rPr>
        <w:t>考虑到园区现状建设的实际情况，管廊带建设用地比较有限，规划建议在未来园区发展过程中，根据园区的实际建设情况，分期分区域实施公共管廊的建设。</w:t>
      </w:r>
      <w:r>
        <w:rPr>
          <w:szCs w:val="24"/>
        </w:rPr>
        <w:t xml:space="preserve"> </w:t>
      </w:r>
    </w:p>
    <w:p>
      <w:pPr>
        <w:ind w:firstLine="560"/>
        <w:rPr>
          <w:szCs w:val="24"/>
        </w:rPr>
      </w:pPr>
      <w:r>
        <w:rPr>
          <w:rFonts w:hint="eastAsia"/>
          <w:szCs w:val="24"/>
        </w:rPr>
        <w:t>公共管廊工程作为园区基础设施，其规划路径及规模应尽可能结合园区现行规划和未来发展的需要。因此，公共管廊需根据园区产业规划的落实情况和项目招商引资的进程作适应性调整，以满足园区各预留地块项目开发与实施的需要。使公共管廊规划更趋完善，管廊布置的路径更加合理，管廊的规模更为经济实用。</w:t>
      </w:r>
      <w:r>
        <w:rPr>
          <w:szCs w:val="24"/>
        </w:rPr>
        <w:t xml:space="preserve"> </w:t>
      </w:r>
    </w:p>
    <w:p>
      <w:pPr>
        <w:ind w:firstLine="560"/>
        <w:rPr>
          <w:szCs w:val="24"/>
        </w:rPr>
      </w:pPr>
      <w:r>
        <w:rPr>
          <w:rFonts w:hint="eastAsia"/>
          <w:szCs w:val="24"/>
        </w:rPr>
        <w:t>园区可以委托具有资质的单位进行园区公共管廊专项论证报告，论证园区是否需要建设公共管廊。</w:t>
      </w:r>
    </w:p>
    <w:p>
      <w:pPr>
        <w:pStyle w:val="4"/>
        <w:spacing w:before="140" w:after="140"/>
        <w:ind w:firstLine="0" w:firstLineChars="0"/>
        <w:rPr>
          <w:rFonts w:cs="Times New Roman"/>
          <w:sz w:val="28"/>
          <w:szCs w:val="28"/>
        </w:rPr>
      </w:pPr>
      <w:bookmarkStart w:id="418" w:name="_Toc28845"/>
      <w:bookmarkStart w:id="419" w:name="_Toc18629"/>
      <w:bookmarkStart w:id="420" w:name="_Toc19526"/>
      <w:bookmarkStart w:id="421" w:name="_Toc7249"/>
      <w:bookmarkStart w:id="422" w:name="_Toc23841"/>
      <w:bookmarkStart w:id="423" w:name="_Toc7317"/>
      <w:bookmarkStart w:id="424" w:name="_Toc30308"/>
      <w:bookmarkStart w:id="425" w:name="_Toc126591892"/>
      <w:r>
        <w:rPr>
          <w:rFonts w:cs="Times New Roman"/>
          <w:sz w:val="28"/>
          <w:szCs w:val="28"/>
        </w:rPr>
        <w:t xml:space="preserve">9.10 </w:t>
      </w:r>
      <w:r>
        <w:rPr>
          <w:rFonts w:hint="eastAsia"/>
          <w:sz w:val="28"/>
          <w:szCs w:val="28"/>
        </w:rPr>
        <w:t>维修规划</w:t>
      </w:r>
      <w:bookmarkEnd w:id="418"/>
      <w:bookmarkEnd w:id="419"/>
      <w:bookmarkEnd w:id="420"/>
      <w:bookmarkEnd w:id="421"/>
      <w:bookmarkEnd w:id="422"/>
      <w:bookmarkEnd w:id="423"/>
      <w:bookmarkEnd w:id="424"/>
      <w:bookmarkEnd w:id="425"/>
    </w:p>
    <w:p>
      <w:pPr>
        <w:ind w:firstLine="560"/>
        <w:rPr>
          <w:rFonts w:cs="Times New Roman"/>
          <w:sz w:val="24"/>
          <w:szCs w:val="24"/>
        </w:rPr>
      </w:pPr>
      <w:r>
        <w:rPr>
          <w:rFonts w:hint="eastAsia"/>
          <w:szCs w:val="24"/>
        </w:rPr>
        <w:t>园区内企业的大中型维修实行社会化服务。</w:t>
      </w:r>
      <w:r>
        <w:rPr>
          <w:szCs w:val="24"/>
        </w:rPr>
        <w:t xml:space="preserve"> </w:t>
      </w:r>
    </w:p>
    <w:p>
      <w:pPr>
        <w:ind w:firstLine="560"/>
        <w:rPr>
          <w:szCs w:val="24"/>
        </w:rPr>
      </w:pPr>
      <w:r>
        <w:rPr>
          <w:rFonts w:hint="eastAsia"/>
          <w:szCs w:val="24"/>
        </w:rPr>
        <w:t>园区内企业按照承担小型维修任务和特殊需要设置维修车间，并配备相应的机修、电修、仪修的设备和技术人员，各生产装置配备日常巡检人员，承担巡检任务。</w:t>
      </w:r>
    </w:p>
    <w:p>
      <w:pPr>
        <w:pStyle w:val="4"/>
        <w:spacing w:before="140" w:after="140"/>
        <w:ind w:firstLine="0" w:firstLineChars="0"/>
        <w:rPr>
          <w:rFonts w:cs="Times New Roman"/>
          <w:sz w:val="28"/>
          <w:szCs w:val="28"/>
        </w:rPr>
      </w:pPr>
      <w:bookmarkStart w:id="426" w:name="_Toc126591893"/>
      <w:bookmarkStart w:id="427" w:name="_Toc31757"/>
      <w:bookmarkStart w:id="428" w:name="_Toc27403"/>
      <w:r>
        <w:rPr>
          <w:rFonts w:cs="Times New Roman"/>
          <w:sz w:val="28"/>
          <w:szCs w:val="28"/>
        </w:rPr>
        <w:t xml:space="preserve">9.11 </w:t>
      </w:r>
      <w:r>
        <w:rPr>
          <w:rFonts w:hint="eastAsia"/>
          <w:sz w:val="28"/>
          <w:szCs w:val="28"/>
        </w:rPr>
        <w:t>化工园区安全风险智能化管控平台建设</w:t>
      </w:r>
      <w:bookmarkEnd w:id="426"/>
      <w:bookmarkEnd w:id="427"/>
      <w:bookmarkEnd w:id="428"/>
    </w:p>
    <w:p>
      <w:pPr>
        <w:pStyle w:val="13"/>
        <w:spacing w:before="120" w:beforeLines="50" w:after="120" w:afterLines="50" w:line="480" w:lineRule="exact"/>
        <w:ind w:firstLine="480" w:firstLineChars="200"/>
        <w:jc w:val="both"/>
        <w:rPr>
          <w:sz w:val="24"/>
          <w:szCs w:val="24"/>
        </w:rPr>
      </w:pPr>
      <w:r>
        <w:rPr>
          <w:rFonts w:hint="eastAsia"/>
          <w:sz w:val="24"/>
          <w:szCs w:val="24"/>
        </w:rPr>
        <w:t>化工园区智能化管控平台建设坚持以有效防范化解重大安全风险为目标，突出安全基础管理、重大危险源安全管理、安全风险分级管控和隐患排查治理双重预防机制、特殊作业管理、封闭化管理和敏捷应急等基本功能，强化感知、网络、安全等基础设施建设，推进信息共享、上下贯通，推动科技创新、工业互联网产业生态、安全生产在园区内外的渗透及融合发展，实现不同企业、不同部门、不同层级之间的协同联动，助力化工园区安全发展高质量发展。</w:t>
      </w:r>
    </w:p>
    <w:p>
      <w:pPr>
        <w:pStyle w:val="13"/>
        <w:spacing w:before="120" w:beforeLines="50" w:after="120" w:afterLines="50" w:line="480" w:lineRule="exact"/>
        <w:ind w:firstLine="480" w:firstLineChars="200"/>
        <w:jc w:val="both"/>
        <w:rPr>
          <w:sz w:val="24"/>
          <w:szCs w:val="24"/>
        </w:rPr>
      </w:pPr>
      <w:r>
        <w:rPr>
          <w:rFonts w:hint="eastAsia"/>
          <w:sz w:val="24"/>
          <w:szCs w:val="24"/>
        </w:rPr>
        <w:t>本园区指挥中心设在消防站内，重点建设大屏显示系统，主要由三大子系统构成：信号源子系统、控制子系统、</w:t>
      </w:r>
      <w:r>
        <w:rPr>
          <w:sz w:val="24"/>
          <w:szCs w:val="24"/>
        </w:rPr>
        <w:t>LED</w:t>
      </w:r>
      <w:r>
        <w:rPr>
          <w:rFonts w:hint="eastAsia"/>
          <w:sz w:val="24"/>
          <w:szCs w:val="24"/>
        </w:rPr>
        <w:t>显示屏子系统。除了三大子系统以外，根据具体应用情况还包括配电子系统、通讯传输子系统、视频编辑子系统等。</w:t>
      </w:r>
    </w:p>
    <w:p>
      <w:pPr>
        <w:ind w:firstLine="0" w:firstLineChars="0"/>
        <w:outlineLvl w:val="2"/>
        <w:rPr>
          <w:b/>
          <w:bCs/>
          <w:sz w:val="24"/>
          <w:szCs w:val="24"/>
        </w:rPr>
      </w:pPr>
      <w:bookmarkStart w:id="429" w:name="_Toc3175"/>
      <w:bookmarkStart w:id="430" w:name="_Toc7810"/>
      <w:r>
        <w:rPr>
          <w:b/>
          <w:bCs/>
          <w:szCs w:val="24"/>
        </w:rPr>
        <w:t>9.11.1</w:t>
      </w:r>
      <w:r>
        <w:rPr>
          <w:rFonts w:hint="eastAsia"/>
          <w:b/>
          <w:bCs/>
          <w:szCs w:val="24"/>
        </w:rPr>
        <w:t>系统架构设计</w:t>
      </w:r>
      <w:bookmarkEnd w:id="429"/>
      <w:bookmarkEnd w:id="430"/>
    </w:p>
    <w:p>
      <w:pPr>
        <w:pStyle w:val="13"/>
        <w:spacing w:before="120" w:beforeLines="50" w:after="120" w:afterLines="50" w:line="480" w:lineRule="exact"/>
        <w:ind w:firstLine="480" w:firstLineChars="200"/>
        <w:jc w:val="both"/>
        <w:rPr>
          <w:sz w:val="24"/>
          <w:szCs w:val="24"/>
        </w:rPr>
      </w:pPr>
      <w:r>
        <w:rPr>
          <w:rFonts w:hint="eastAsia"/>
          <w:sz w:val="24"/>
          <w:szCs w:val="24"/>
        </w:rPr>
        <w:t>（</w:t>
      </w:r>
      <w:r>
        <w:rPr>
          <w:sz w:val="24"/>
          <w:szCs w:val="24"/>
        </w:rPr>
        <w:t>1</w:t>
      </w:r>
      <w:r>
        <w:rPr>
          <w:rFonts w:hint="eastAsia"/>
          <w:sz w:val="24"/>
          <w:szCs w:val="24"/>
        </w:rPr>
        <w:t>）总体架构</w:t>
      </w:r>
      <w:r>
        <w:rPr>
          <w:sz w:val="24"/>
          <w:szCs w:val="24"/>
        </w:rPr>
        <w:t xml:space="preserve"> </w:t>
      </w:r>
    </w:p>
    <w:p>
      <w:pPr>
        <w:ind w:firstLine="560"/>
        <w:rPr>
          <w:sz w:val="24"/>
          <w:szCs w:val="24"/>
        </w:rPr>
      </w:pPr>
      <w:r>
        <w:rPr>
          <w:rFonts w:hint="eastAsia"/>
          <w:szCs w:val="24"/>
        </w:rPr>
        <w:t>平台整体架构由边缘计算层，云端平台层，业务应用层三层组成。</w:t>
      </w:r>
      <w:r>
        <w:rPr>
          <w:szCs w:val="24"/>
        </w:rPr>
        <w:t xml:space="preserve"> </w:t>
      </w:r>
    </w:p>
    <w:p>
      <w:pPr>
        <w:ind w:firstLine="560"/>
        <w:rPr>
          <w:szCs w:val="24"/>
        </w:rPr>
      </w:pPr>
      <w:r>
        <w:rPr>
          <w:rFonts w:hint="eastAsia"/>
          <w:szCs w:val="24"/>
        </w:rPr>
        <w:t>边缘计算主要接入企业对接所有设备数据、视频等非结构化数据，实现现场各类工业协议的解耦，支持数十种标准工业协议和公约，边缘层能够从数据源采集、解析、转换、预处理数据，然后将数据转发中心平台，满足存储、计算以及业务计算需要。</w:t>
      </w:r>
      <w:r>
        <w:rPr>
          <w:szCs w:val="24"/>
        </w:rPr>
        <w:t xml:space="preserve"> </w:t>
      </w:r>
    </w:p>
    <w:p>
      <w:pPr>
        <w:ind w:firstLine="560"/>
        <w:rPr>
          <w:szCs w:val="24"/>
        </w:rPr>
      </w:pPr>
      <w:r>
        <w:rPr>
          <w:rFonts w:hint="eastAsia"/>
          <w:szCs w:val="24"/>
        </w:rPr>
        <w:t>云端平台包含</w:t>
      </w:r>
      <w:r>
        <w:rPr>
          <w:szCs w:val="24"/>
        </w:rPr>
        <w:t>“</w:t>
      </w:r>
      <w:r>
        <w:rPr>
          <w:rFonts w:hint="eastAsia"/>
          <w:szCs w:val="24"/>
        </w:rPr>
        <w:t>应用平台</w:t>
      </w:r>
      <w:r>
        <w:rPr>
          <w:szCs w:val="24"/>
        </w:rPr>
        <w:t>”</w:t>
      </w:r>
      <w:r>
        <w:rPr>
          <w:rFonts w:hint="eastAsia"/>
          <w:szCs w:val="24"/>
        </w:rPr>
        <w:t>、</w:t>
      </w:r>
      <w:r>
        <w:rPr>
          <w:szCs w:val="24"/>
        </w:rPr>
        <w:t>“</w:t>
      </w:r>
      <w:r>
        <w:rPr>
          <w:rFonts w:hint="eastAsia"/>
          <w:szCs w:val="24"/>
        </w:rPr>
        <w:t>开放平台</w:t>
      </w:r>
      <w:r>
        <w:rPr>
          <w:szCs w:val="24"/>
        </w:rPr>
        <w:t>”</w:t>
      </w:r>
      <w:r>
        <w:rPr>
          <w:rFonts w:hint="eastAsia"/>
          <w:szCs w:val="24"/>
        </w:rPr>
        <w:t>、</w:t>
      </w:r>
      <w:r>
        <w:rPr>
          <w:szCs w:val="24"/>
        </w:rPr>
        <w:t>“</w:t>
      </w:r>
      <w:r>
        <w:rPr>
          <w:rFonts w:hint="eastAsia"/>
          <w:szCs w:val="24"/>
        </w:rPr>
        <w:t>使能平台</w:t>
      </w:r>
      <w:r>
        <w:rPr>
          <w:szCs w:val="24"/>
        </w:rPr>
        <w:t>”</w:t>
      </w:r>
      <w:r>
        <w:rPr>
          <w:rFonts w:hint="eastAsia"/>
          <w:szCs w:val="24"/>
        </w:rPr>
        <w:t>、</w:t>
      </w:r>
      <w:r>
        <w:rPr>
          <w:szCs w:val="24"/>
        </w:rPr>
        <w:t>“</w:t>
      </w:r>
      <w:r>
        <w:rPr>
          <w:rFonts w:hint="eastAsia"/>
          <w:szCs w:val="24"/>
        </w:rPr>
        <w:t>云设施平台</w:t>
      </w:r>
      <w:r>
        <w:rPr>
          <w:szCs w:val="24"/>
        </w:rPr>
        <w:t>”</w:t>
      </w:r>
      <w:r>
        <w:rPr>
          <w:rFonts w:hint="eastAsia"/>
          <w:szCs w:val="24"/>
        </w:rPr>
        <w:t>、</w:t>
      </w:r>
      <w:r>
        <w:rPr>
          <w:szCs w:val="24"/>
        </w:rPr>
        <w:t>“</w:t>
      </w:r>
      <w:r>
        <w:rPr>
          <w:rFonts w:hint="eastAsia"/>
          <w:szCs w:val="24"/>
        </w:rPr>
        <w:t>运维平台</w:t>
      </w:r>
      <w:r>
        <w:rPr>
          <w:szCs w:val="24"/>
        </w:rPr>
        <w:t>”</w:t>
      </w:r>
      <w:r>
        <w:rPr>
          <w:rFonts w:hint="eastAsia"/>
          <w:szCs w:val="24"/>
        </w:rPr>
        <w:t>、</w:t>
      </w:r>
      <w:r>
        <w:rPr>
          <w:szCs w:val="24"/>
        </w:rPr>
        <w:t>“</w:t>
      </w:r>
      <w:r>
        <w:rPr>
          <w:rFonts w:hint="eastAsia"/>
          <w:szCs w:val="24"/>
        </w:rPr>
        <w:t>运营平台</w:t>
      </w:r>
      <w:r>
        <w:rPr>
          <w:szCs w:val="24"/>
        </w:rPr>
        <w:t>”</w:t>
      </w:r>
      <w:r>
        <w:rPr>
          <w:rFonts w:hint="eastAsia"/>
          <w:szCs w:val="24"/>
        </w:rPr>
        <w:t>等六大子平台。</w:t>
      </w:r>
      <w:r>
        <w:rPr>
          <w:szCs w:val="24"/>
        </w:rPr>
        <w:t xml:space="preserve"> </w:t>
      </w:r>
    </w:p>
    <w:p>
      <w:pPr>
        <w:widowControl/>
        <w:ind w:firstLine="560"/>
        <w:jc w:val="left"/>
        <w:rPr>
          <w:szCs w:val="24"/>
        </w:rPr>
      </w:pPr>
      <w:r>
        <w:rPr>
          <w:rFonts w:hint="eastAsia"/>
          <w:szCs w:val="24"/>
        </w:rPr>
        <w:t>应用平台：为业务专家提供了可视化、无门槛、拖拽应用构建模式，为开发者提供了集开发工具、开发流程为一体的一站式扩展开发模式，两者之间可以相互融合，同时无论是可视化配置还是代码开发都可以调用底层平台提供技术能力、业务接口、前端组件，帮助用户敏捷、高效地实现复杂业务应用。</w:t>
      </w:r>
    </w:p>
    <w:p>
      <w:pPr>
        <w:widowControl/>
        <w:ind w:firstLine="560"/>
        <w:jc w:val="left"/>
        <w:rPr>
          <w:szCs w:val="24"/>
        </w:rPr>
      </w:pPr>
      <w:r>
        <w:rPr>
          <w:rFonts w:hint="eastAsia"/>
          <w:szCs w:val="24"/>
          <w:lang w:bidi="ar"/>
        </w:rPr>
        <w:t>开放平台：提供完整的体系化浸入式云端开发能力，进而可敏捷化调用平台内置的底层技术能力，实现对包含研发、测试、部署、上线在内的全生命周期有效管控，实现各类应用的快速扩展开发。</w:t>
      </w:r>
      <w:r>
        <w:rPr>
          <w:szCs w:val="24"/>
          <w:lang w:bidi="ar"/>
        </w:rPr>
        <w:t xml:space="preserve"> </w:t>
      </w:r>
    </w:p>
    <w:p>
      <w:pPr>
        <w:widowControl/>
        <w:ind w:firstLine="560"/>
        <w:jc w:val="left"/>
        <w:rPr>
          <w:szCs w:val="24"/>
          <w:lang w:bidi="ar"/>
        </w:rPr>
      </w:pPr>
      <w:r>
        <w:rPr>
          <w:rFonts w:hint="eastAsia"/>
          <w:szCs w:val="24"/>
          <w:lang w:bidi="ar"/>
        </w:rPr>
        <w:t>使能平台：面向上层应用，对包含物联网、大数据、人工智能等能力体系在内的基础性技术能力进行了统一封装，并按照统一规范向上层应用提供支撑，从而在确保应用级平台在领先性技术体系支撑下稳健运行的同时，为新业务开展、现有业务及技术升级构建了标准化载体，有效辅助客户业务及技术持续迭代。</w:t>
      </w:r>
      <w:r>
        <w:rPr>
          <w:szCs w:val="24"/>
          <w:lang w:bidi="ar"/>
        </w:rPr>
        <w:t xml:space="preserve"> </w:t>
      </w:r>
    </w:p>
    <w:p>
      <w:pPr>
        <w:widowControl/>
        <w:ind w:firstLine="480" w:firstLineChars="0"/>
        <w:jc w:val="left"/>
        <w:rPr>
          <w:szCs w:val="24"/>
          <w:lang w:bidi="ar"/>
        </w:rPr>
      </w:pPr>
      <w:r>
        <w:rPr>
          <w:rFonts w:hint="eastAsia"/>
          <w:szCs w:val="24"/>
          <w:lang w:bidi="ar"/>
        </w:rPr>
        <w:t>物联网平台由边缘计算平台和物联网云平台两大部分组成。边缘端实现各类工业协议接入，支持数据清洗、计算、边缘模型处理等边缘计算能力，提供边缘端运维管理、扩展开发，云边协同功能。云端实现海量的数据接入、存储和解析，提供设备率生、设备行业模型能力，提供云组态设计器和</w:t>
      </w:r>
      <w:r>
        <w:rPr>
          <w:szCs w:val="24"/>
          <w:lang w:bidi="ar"/>
        </w:rPr>
        <w:t>IoT</w:t>
      </w:r>
      <w:r>
        <w:rPr>
          <w:rFonts w:hint="eastAsia"/>
          <w:szCs w:val="24"/>
          <w:lang w:bidi="ar"/>
        </w:rPr>
        <w:t>组件，为应用开发提供有效支撑，大大降低定制化开发工作。</w:t>
      </w:r>
      <w:r>
        <w:rPr>
          <w:szCs w:val="24"/>
          <w:lang w:bidi="ar"/>
        </w:rPr>
        <w:t xml:space="preserve"> </w:t>
      </w:r>
    </w:p>
    <w:p>
      <w:pPr>
        <w:widowControl/>
        <w:ind w:firstLine="560"/>
        <w:jc w:val="left"/>
        <w:rPr>
          <w:szCs w:val="24"/>
          <w:lang w:bidi="ar"/>
        </w:rPr>
      </w:pPr>
      <w:r>
        <w:rPr>
          <w:rFonts w:hint="eastAsia"/>
          <w:szCs w:val="24"/>
          <w:lang w:bidi="ar"/>
        </w:rPr>
        <w:t>大数据平台支持多种异构数据源（数据库、消息、</w:t>
      </w:r>
      <w:r>
        <w:rPr>
          <w:szCs w:val="24"/>
          <w:lang w:bidi="ar"/>
        </w:rPr>
        <w:t>API</w:t>
      </w:r>
      <w:r>
        <w:rPr>
          <w:rFonts w:hint="eastAsia"/>
          <w:szCs w:val="24"/>
          <w:lang w:bidi="ar"/>
        </w:rPr>
        <w:t>等）之间的灵活、快速、无侵入式的数据交换，打破数据孤岛。提供丰富的可视化组件，包括常用的数据图表、图形、控件等，支持拖拽即可完成组件自由配置与布局、所见即所得，帮助用户轻松搭建可视化数据分析报表和大屏。</w:t>
      </w:r>
      <w:r>
        <w:rPr>
          <w:szCs w:val="24"/>
          <w:lang w:bidi="ar"/>
        </w:rPr>
        <w:t xml:space="preserve"> </w:t>
      </w:r>
    </w:p>
    <w:p>
      <w:pPr>
        <w:widowControl/>
        <w:ind w:firstLine="560"/>
        <w:rPr>
          <w:szCs w:val="24"/>
          <w:lang w:bidi="ar"/>
        </w:rPr>
      </w:pPr>
      <w:r>
        <w:rPr>
          <w:rFonts w:hint="eastAsia"/>
          <w:szCs w:val="24"/>
          <w:lang w:bidi="ar"/>
        </w:rPr>
        <w:t>人工智能平台提供多样成熟的算法服务，包括图像识别、人脸识别、自然语言处理、数据挖掘、知识图谱、遥感影像分析、视频分析、</w:t>
      </w:r>
      <w:r>
        <w:rPr>
          <w:szCs w:val="24"/>
          <w:lang w:bidi="ar"/>
        </w:rPr>
        <w:t xml:space="preserve"> </w:t>
      </w:r>
      <w:r>
        <w:rPr>
          <w:rFonts w:hint="eastAsia"/>
          <w:szCs w:val="24"/>
          <w:lang w:bidi="ar"/>
        </w:rPr>
        <w:t>模型训练等多个领域的算法服务和产品，覆盖多领域</w:t>
      </w:r>
      <w:r>
        <w:rPr>
          <w:szCs w:val="24"/>
          <w:lang w:bidi="ar"/>
        </w:rPr>
        <w:t>AI</w:t>
      </w:r>
      <w:r>
        <w:rPr>
          <w:rFonts w:hint="eastAsia"/>
          <w:szCs w:val="24"/>
          <w:lang w:bidi="ar"/>
        </w:rPr>
        <w:t>能力，满足各种业务场景需求。</w:t>
      </w:r>
    </w:p>
    <w:p>
      <w:pPr>
        <w:widowControl/>
        <w:ind w:firstLine="560"/>
        <w:rPr>
          <w:szCs w:val="24"/>
          <w:lang w:bidi="ar"/>
        </w:rPr>
      </w:pPr>
      <w:r>
        <w:rPr>
          <w:rFonts w:hint="eastAsia"/>
          <w:szCs w:val="24"/>
          <w:lang w:bidi="ar"/>
        </w:rPr>
        <w:t>云设施平台：根据业务及技术规则实现基于资源的业务功能微服务化封装及分布式调度，提供基于</w:t>
      </w:r>
      <w:r>
        <w:rPr>
          <w:szCs w:val="24"/>
          <w:lang w:bidi="ar"/>
        </w:rPr>
        <w:t>DevOps</w:t>
      </w:r>
      <w:r>
        <w:rPr>
          <w:rFonts w:hint="eastAsia"/>
          <w:szCs w:val="24"/>
          <w:lang w:bidi="ar"/>
        </w:rPr>
        <w:t>的</w:t>
      </w:r>
      <w:r>
        <w:rPr>
          <w:szCs w:val="24"/>
          <w:lang w:bidi="ar"/>
        </w:rPr>
        <w:t xml:space="preserve">CI/CD </w:t>
      </w:r>
      <w:r>
        <w:rPr>
          <w:rFonts w:hint="eastAsia"/>
          <w:szCs w:val="24"/>
          <w:lang w:bidi="ar"/>
        </w:rPr>
        <w:t>（持续集成</w:t>
      </w:r>
      <w:r>
        <w:rPr>
          <w:szCs w:val="24"/>
          <w:lang w:bidi="ar"/>
        </w:rPr>
        <w:t>/</w:t>
      </w:r>
      <w:r>
        <w:rPr>
          <w:rFonts w:hint="eastAsia"/>
          <w:szCs w:val="24"/>
          <w:lang w:bidi="ar"/>
        </w:rPr>
        <w:t>持续部署）策略，以辅助客户实现业务动态调整、动态发布及持续迭代，满足智慧化工园区业务的持续性迭代要求。</w:t>
      </w:r>
      <w:r>
        <w:rPr>
          <w:szCs w:val="24"/>
          <w:lang w:bidi="ar"/>
        </w:rPr>
        <w:t xml:space="preserve"> </w:t>
      </w:r>
    </w:p>
    <w:p>
      <w:pPr>
        <w:widowControl/>
        <w:ind w:firstLine="560"/>
        <w:rPr>
          <w:szCs w:val="24"/>
          <w:lang w:bidi="ar"/>
        </w:rPr>
      </w:pPr>
      <w:r>
        <w:rPr>
          <w:rFonts w:hint="eastAsia"/>
          <w:szCs w:val="24"/>
          <w:lang w:bidi="ar"/>
        </w:rPr>
        <w:t>运维平台：为客户提供</w:t>
      </w:r>
      <w:r>
        <w:rPr>
          <w:szCs w:val="24"/>
          <w:lang w:bidi="ar"/>
        </w:rPr>
        <w:t>IT</w:t>
      </w:r>
      <w:r>
        <w:rPr>
          <w:rFonts w:hint="eastAsia"/>
          <w:szCs w:val="24"/>
          <w:lang w:bidi="ar"/>
        </w:rPr>
        <w:t>访问安全、后台作业跟踪、配置管理数据库及</w:t>
      </w:r>
      <w:r>
        <w:rPr>
          <w:szCs w:val="24"/>
          <w:lang w:bidi="ar"/>
        </w:rPr>
        <w:t>IT</w:t>
      </w:r>
      <w:r>
        <w:rPr>
          <w:rFonts w:hint="eastAsia"/>
          <w:szCs w:val="24"/>
          <w:lang w:bidi="ar"/>
        </w:rPr>
        <w:t>服务管理能力，辅助客户及第三方运维团队基于该平台实时跟踪系统运转状况，并根据数据及时作出运维决策。</w:t>
      </w:r>
      <w:r>
        <w:rPr>
          <w:szCs w:val="24"/>
          <w:lang w:bidi="ar"/>
        </w:rPr>
        <w:t xml:space="preserve"> </w:t>
      </w:r>
    </w:p>
    <w:p>
      <w:pPr>
        <w:widowControl/>
        <w:ind w:firstLine="560"/>
        <w:rPr>
          <w:szCs w:val="24"/>
          <w:lang w:bidi="ar"/>
        </w:rPr>
      </w:pPr>
      <w:r>
        <w:rPr>
          <w:rFonts w:hint="eastAsia"/>
          <w:szCs w:val="24"/>
          <w:lang w:bidi="ar"/>
        </w:rPr>
        <w:t>运营平台：面向封闭管理运营单位，综合考量标准化及个性化要求，运营平台将运营过程所涉及的干系人、系统应用、管控方法及指标纳入统一管控，并提供个性化配置工具，辅助运营团队在科学化运营理念指导下，针对实际情况对系统进行个性化管理及服务。</w:t>
      </w:r>
      <w:r>
        <w:rPr>
          <w:szCs w:val="24"/>
          <w:lang w:bidi="ar"/>
        </w:rPr>
        <w:t xml:space="preserve"> </w:t>
      </w:r>
    </w:p>
    <w:p>
      <w:pPr>
        <w:widowControl/>
        <w:ind w:firstLine="0" w:firstLineChars="0"/>
        <w:jc w:val="left"/>
        <w:outlineLvl w:val="2"/>
        <w:rPr>
          <w:b/>
          <w:bCs/>
          <w:szCs w:val="24"/>
          <w:lang w:bidi="ar"/>
        </w:rPr>
      </w:pPr>
      <w:bookmarkStart w:id="431" w:name="_Toc7559"/>
      <w:bookmarkStart w:id="432" w:name="_Toc3333"/>
      <w:r>
        <w:rPr>
          <w:b/>
          <w:bCs/>
          <w:szCs w:val="24"/>
          <w:lang w:bidi="ar"/>
        </w:rPr>
        <w:t>9.11.2</w:t>
      </w:r>
      <w:r>
        <w:rPr>
          <w:rFonts w:hint="eastAsia"/>
          <w:b/>
          <w:bCs/>
          <w:szCs w:val="24"/>
          <w:lang w:bidi="ar"/>
        </w:rPr>
        <w:t>平台功能要求</w:t>
      </w:r>
      <w:bookmarkEnd w:id="431"/>
      <w:bookmarkEnd w:id="432"/>
      <w:r>
        <w:rPr>
          <w:b/>
          <w:bCs/>
          <w:szCs w:val="24"/>
          <w:lang w:bidi="ar"/>
        </w:rPr>
        <w:t xml:space="preserve"> </w:t>
      </w:r>
    </w:p>
    <w:p>
      <w:pPr>
        <w:widowControl/>
        <w:ind w:firstLine="480" w:firstLineChars="0"/>
        <w:rPr>
          <w:szCs w:val="24"/>
          <w:lang w:bidi="ar"/>
        </w:rPr>
      </w:pPr>
      <w:r>
        <w:rPr>
          <w:rFonts w:hint="eastAsia"/>
          <w:szCs w:val="24"/>
          <w:lang w:bidi="ar"/>
        </w:rPr>
        <w:t>（</w:t>
      </w:r>
      <w:r>
        <w:rPr>
          <w:szCs w:val="24"/>
          <w:lang w:bidi="ar"/>
        </w:rPr>
        <w:t>1</w:t>
      </w:r>
      <w:r>
        <w:rPr>
          <w:rFonts w:hint="eastAsia"/>
          <w:szCs w:val="24"/>
          <w:lang w:bidi="ar"/>
        </w:rPr>
        <w:t>）智慧安全</w:t>
      </w:r>
      <w:r>
        <w:rPr>
          <w:szCs w:val="24"/>
          <w:lang w:bidi="ar"/>
        </w:rPr>
        <w:t xml:space="preserve"> </w:t>
      </w:r>
    </w:p>
    <w:p>
      <w:pPr>
        <w:widowControl/>
        <w:ind w:firstLine="480" w:firstLineChars="0"/>
        <w:rPr>
          <w:szCs w:val="24"/>
          <w:lang w:bidi="ar"/>
        </w:rPr>
      </w:pPr>
      <w:r>
        <w:rPr>
          <w:rFonts w:hint="eastAsia" w:ascii="宋体" w:hAnsi="宋体" w:cs="宋体"/>
          <w:szCs w:val="24"/>
          <w:lang w:bidi="ar"/>
        </w:rPr>
        <w:t>①</w:t>
      </w:r>
      <w:r>
        <w:rPr>
          <w:rFonts w:hint="eastAsia"/>
          <w:szCs w:val="24"/>
          <w:lang w:bidi="ar"/>
        </w:rPr>
        <w:t>安全基础管理</w:t>
      </w:r>
      <w:r>
        <w:rPr>
          <w:szCs w:val="24"/>
          <w:lang w:bidi="ar"/>
        </w:rPr>
        <w:t xml:space="preserve"> </w:t>
      </w:r>
    </w:p>
    <w:p>
      <w:pPr>
        <w:widowControl/>
        <w:ind w:firstLine="480" w:firstLineChars="0"/>
        <w:rPr>
          <w:szCs w:val="24"/>
          <w:lang w:bidi="ar"/>
        </w:rPr>
      </w:pPr>
      <w:r>
        <w:rPr>
          <w:rFonts w:hint="eastAsia"/>
          <w:szCs w:val="24"/>
          <w:lang w:bidi="ar"/>
        </w:rPr>
        <w:t>园区基础信息管理：建立园区基础信息库，包含但不限于园区规划、园区安全管理体系、</w:t>
      </w:r>
      <w:r>
        <w:rPr>
          <w:szCs w:val="24"/>
          <w:lang w:bidi="ar"/>
        </w:rPr>
        <w:t>“</w:t>
      </w:r>
      <w:r>
        <w:rPr>
          <w:rFonts w:hint="eastAsia"/>
          <w:szCs w:val="24"/>
          <w:lang w:bidi="ar"/>
        </w:rPr>
        <w:t>禁限控</w:t>
      </w:r>
      <w:r>
        <w:rPr>
          <w:szCs w:val="24"/>
          <w:lang w:bidi="ar"/>
        </w:rPr>
        <w:t>”</w:t>
      </w:r>
      <w:r>
        <w:rPr>
          <w:rFonts w:hint="eastAsia"/>
          <w:szCs w:val="24"/>
          <w:lang w:bidi="ar"/>
        </w:rPr>
        <w:t>目录、园区内化工企业基本情况以及</w:t>
      </w:r>
      <w:r>
        <w:rPr>
          <w:szCs w:val="24"/>
          <w:lang w:bidi="ar"/>
        </w:rPr>
        <w:t>“</w:t>
      </w:r>
      <w:r>
        <w:rPr>
          <w:rFonts w:hint="eastAsia"/>
          <w:szCs w:val="24"/>
          <w:lang w:bidi="ar"/>
        </w:rPr>
        <w:t>两重点一重大</w:t>
      </w:r>
      <w:r>
        <w:rPr>
          <w:szCs w:val="24"/>
          <w:lang w:bidi="ar"/>
        </w:rPr>
        <w:t>”</w:t>
      </w:r>
      <w:r>
        <w:rPr>
          <w:rFonts w:hint="eastAsia"/>
          <w:szCs w:val="24"/>
          <w:lang w:bidi="ar"/>
        </w:rPr>
        <w:t>、从业人员、值班值守、企业事故事件等信息。</w:t>
      </w:r>
      <w:r>
        <w:rPr>
          <w:szCs w:val="24"/>
          <w:lang w:bidi="ar"/>
        </w:rPr>
        <w:t xml:space="preserve"> </w:t>
      </w:r>
    </w:p>
    <w:p>
      <w:pPr>
        <w:widowControl/>
        <w:ind w:firstLine="480" w:firstLineChars="0"/>
        <w:rPr>
          <w:szCs w:val="24"/>
          <w:lang w:bidi="ar"/>
        </w:rPr>
      </w:pPr>
      <w:r>
        <w:rPr>
          <w:rFonts w:hint="eastAsia"/>
          <w:szCs w:val="24"/>
          <w:lang w:bidi="ar"/>
        </w:rPr>
        <w:t>装置开停车和大检修管理：实现园区内企业装置设施（含重大危险源）开停车和大检修线上备案。备案内容包含装置开停车方案和时间、大检修方案和时间。支持备案信息维护、查询，以及开停车、大检修数据等多维度统计分析和可视化展示。</w:t>
      </w:r>
      <w:r>
        <w:rPr>
          <w:szCs w:val="24"/>
          <w:lang w:bidi="ar"/>
        </w:rPr>
        <w:t xml:space="preserve"> </w:t>
      </w:r>
    </w:p>
    <w:p>
      <w:pPr>
        <w:widowControl/>
        <w:ind w:firstLine="480" w:firstLineChars="0"/>
        <w:rPr>
          <w:szCs w:val="24"/>
          <w:lang w:bidi="ar"/>
        </w:rPr>
      </w:pPr>
      <w:r>
        <w:rPr>
          <w:rFonts w:hint="eastAsia"/>
          <w:szCs w:val="24"/>
          <w:lang w:bidi="ar"/>
        </w:rPr>
        <w:t>第三方单位管理：建立入园</w:t>
      </w:r>
      <w:r>
        <w:rPr>
          <w:szCs w:val="24"/>
          <w:lang w:bidi="ar"/>
        </w:rPr>
        <w:t>/</w:t>
      </w:r>
      <w:r>
        <w:rPr>
          <w:rFonts w:hint="eastAsia"/>
          <w:szCs w:val="24"/>
          <w:lang w:bidi="ar"/>
        </w:rPr>
        <w:t>驻园第三方单位信息库，包括但不限于第三方单位基本信息、资质、安全教育培训记录、服务记录、违规记录等，实现第三方单位诚信管理。支持信息维护、核验，诚信评价规则的在线配置，以及园区企业对有关信息的自主填报。</w:t>
      </w:r>
      <w:r>
        <w:rPr>
          <w:szCs w:val="24"/>
          <w:lang w:bidi="ar"/>
        </w:rPr>
        <w:t xml:space="preserve"> </w:t>
      </w:r>
    </w:p>
    <w:p>
      <w:pPr>
        <w:widowControl/>
        <w:ind w:firstLine="480" w:firstLineChars="0"/>
        <w:rPr>
          <w:szCs w:val="24"/>
          <w:lang w:bidi="ar"/>
        </w:rPr>
      </w:pPr>
      <w:r>
        <w:rPr>
          <w:rFonts w:hint="eastAsia" w:ascii="宋体" w:hAnsi="宋体" w:cs="宋体"/>
          <w:szCs w:val="24"/>
          <w:lang w:bidi="ar"/>
        </w:rPr>
        <w:t>②</w:t>
      </w:r>
      <w:r>
        <w:rPr>
          <w:rFonts w:hint="eastAsia"/>
          <w:szCs w:val="24"/>
          <w:lang w:bidi="ar"/>
        </w:rPr>
        <w:t>重大危险源安全管理</w:t>
      </w:r>
      <w:r>
        <w:rPr>
          <w:szCs w:val="24"/>
          <w:lang w:bidi="ar"/>
        </w:rPr>
        <w:t xml:space="preserve"> </w:t>
      </w:r>
    </w:p>
    <w:p>
      <w:pPr>
        <w:widowControl/>
        <w:ind w:firstLine="480" w:firstLineChars="0"/>
        <w:rPr>
          <w:szCs w:val="24"/>
          <w:lang w:bidi="ar"/>
        </w:rPr>
      </w:pPr>
      <w:r>
        <w:rPr>
          <w:rFonts w:hint="eastAsia"/>
          <w:szCs w:val="24"/>
          <w:lang w:bidi="ar"/>
        </w:rPr>
        <w:t>重大危险源安全包保责任落实监督：实现重大危险源安全包保履职记录电子化、条目化，管理企业每一处重大危险源包保责任落实情况，支持重大危险源主要负责人、技术负责人和操作负责人信息维护，三级包保责任人安全包保履职情况记录检查，以及信息查询、多维度统计分析功能。</w:t>
      </w:r>
      <w:r>
        <w:rPr>
          <w:szCs w:val="24"/>
          <w:lang w:bidi="ar"/>
        </w:rPr>
        <w:t xml:space="preserve"> </w:t>
      </w:r>
    </w:p>
    <w:p>
      <w:pPr>
        <w:widowControl/>
        <w:ind w:firstLine="480" w:firstLineChars="0"/>
        <w:rPr>
          <w:szCs w:val="24"/>
          <w:lang w:bidi="ar"/>
        </w:rPr>
      </w:pPr>
      <w:r>
        <w:rPr>
          <w:rFonts w:hint="eastAsia"/>
          <w:szCs w:val="24"/>
          <w:lang w:bidi="ar"/>
        </w:rPr>
        <w:t>在线监测预警：汇聚现有重大危险源监测监控数据，实现对重大危险源安全在线抽查，支持基于</w:t>
      </w:r>
      <w:r>
        <w:rPr>
          <w:szCs w:val="24"/>
          <w:lang w:bidi="ar"/>
        </w:rPr>
        <w:t>GIS</w:t>
      </w:r>
      <w:r>
        <w:rPr>
          <w:rFonts w:hint="eastAsia"/>
          <w:szCs w:val="24"/>
          <w:lang w:bidi="ar"/>
        </w:rPr>
        <w:t>地图的重大危险源浏览，查看储罐、装置、危化品库等处的液位、温度、压力和可燃有毒气体浓度的实时监测数据、报警数据，查询历史数据和对比分析。</w:t>
      </w:r>
      <w:r>
        <w:rPr>
          <w:szCs w:val="24"/>
          <w:lang w:bidi="ar"/>
        </w:rPr>
        <w:t xml:space="preserve"> </w:t>
      </w:r>
    </w:p>
    <w:p>
      <w:pPr>
        <w:widowControl/>
        <w:ind w:firstLine="480" w:firstLineChars="0"/>
        <w:rPr>
          <w:szCs w:val="24"/>
          <w:lang w:bidi="ar"/>
        </w:rPr>
      </w:pPr>
      <w:r>
        <w:rPr>
          <w:rFonts w:hint="eastAsia"/>
          <w:szCs w:val="24"/>
          <w:lang w:bidi="ar"/>
        </w:rPr>
        <w:t>重大风险管控：基于风险预警模型，分为重大风险（红）、较大风险（橙）、一般风险（黄）、低风险（蓝）四个级别，实现重大危险源安全风险的实时评估分析和展示，支持根据预警级别，按照《危险化学品安全生产风险监测预警系统预警信息处置管理办法（试行）》，即时自动完成预警信息的发送、核查、反馈和督办。</w:t>
      </w:r>
      <w:r>
        <w:rPr>
          <w:szCs w:val="24"/>
          <w:lang w:bidi="ar"/>
        </w:rPr>
        <w:t xml:space="preserve"> </w:t>
      </w:r>
    </w:p>
    <w:p>
      <w:pPr>
        <w:widowControl/>
        <w:ind w:firstLine="480" w:firstLineChars="0"/>
        <w:rPr>
          <w:szCs w:val="24"/>
          <w:lang w:bidi="ar"/>
        </w:rPr>
      </w:pPr>
      <w:r>
        <w:rPr>
          <w:rFonts w:hint="eastAsia"/>
          <w:szCs w:val="24"/>
          <w:lang w:bidi="ar"/>
        </w:rPr>
        <w:t>评价</w:t>
      </w:r>
      <w:r>
        <w:rPr>
          <w:szCs w:val="24"/>
          <w:lang w:bidi="ar"/>
        </w:rPr>
        <w:t>/</w:t>
      </w:r>
      <w:r>
        <w:rPr>
          <w:rFonts w:hint="eastAsia"/>
          <w:szCs w:val="24"/>
          <w:lang w:bidi="ar"/>
        </w:rPr>
        <w:t>评估报告及隐患管理：汇聚重大危险源的安全评价报告、</w:t>
      </w:r>
      <w:r>
        <w:rPr>
          <w:szCs w:val="24"/>
          <w:lang w:bidi="ar"/>
        </w:rPr>
        <w:t>SIL</w:t>
      </w:r>
      <w:r>
        <w:rPr>
          <w:rFonts w:hint="eastAsia"/>
          <w:szCs w:val="24"/>
          <w:lang w:bidi="ar"/>
        </w:rPr>
        <w:t>等级评估报告和重大危险源专项督导检查问题隐患相关数据，实现重大危险源的安全评价报告电子化备案、查阅和问题隐患</w:t>
      </w:r>
      <w:r>
        <w:rPr>
          <w:szCs w:val="24"/>
          <w:lang w:bidi="ar"/>
        </w:rPr>
        <w:t>“</w:t>
      </w:r>
      <w:r>
        <w:rPr>
          <w:rFonts w:hint="eastAsia"/>
          <w:szCs w:val="24"/>
          <w:lang w:bidi="ar"/>
        </w:rPr>
        <w:t>三录入</w:t>
      </w:r>
      <w:r>
        <w:rPr>
          <w:szCs w:val="24"/>
          <w:lang w:bidi="ar"/>
        </w:rPr>
        <w:t>”</w:t>
      </w:r>
      <w:r>
        <w:rPr>
          <w:rFonts w:hint="eastAsia"/>
          <w:szCs w:val="24"/>
          <w:lang w:bidi="ar"/>
        </w:rPr>
        <w:t>、</w:t>
      </w:r>
      <w:r>
        <w:rPr>
          <w:szCs w:val="24"/>
          <w:lang w:bidi="ar"/>
        </w:rPr>
        <w:t xml:space="preserve"> </w:t>
      </w:r>
      <w:r>
        <w:rPr>
          <w:rFonts w:hint="eastAsia"/>
          <w:szCs w:val="24"/>
          <w:lang w:bidi="ar"/>
        </w:rPr>
        <w:t>整改反馈，支持精确和模糊查询、多维度统计分析及可视化展示。</w:t>
      </w:r>
      <w:r>
        <w:rPr>
          <w:szCs w:val="24"/>
          <w:lang w:bidi="ar"/>
        </w:rPr>
        <w:t xml:space="preserve"> </w:t>
      </w:r>
    </w:p>
    <w:p>
      <w:pPr>
        <w:widowControl/>
        <w:ind w:firstLine="480" w:firstLineChars="0"/>
        <w:rPr>
          <w:szCs w:val="24"/>
          <w:lang w:bidi="ar"/>
        </w:rPr>
      </w:pPr>
      <w:r>
        <w:rPr>
          <w:rFonts w:hint="eastAsia"/>
          <w:szCs w:val="24"/>
          <w:lang w:bidi="ar"/>
        </w:rPr>
        <w:t>重大危险源企业分类监管：贯通安全承诺公告、实时监测数据、安全包保责任人履职、</w:t>
      </w:r>
      <w:r>
        <w:rPr>
          <w:szCs w:val="24"/>
          <w:lang w:bidi="ar"/>
        </w:rPr>
        <w:t>“</w:t>
      </w:r>
      <w:r>
        <w:rPr>
          <w:rFonts w:hint="eastAsia"/>
          <w:szCs w:val="24"/>
          <w:lang w:bidi="ar"/>
        </w:rPr>
        <w:t>三录入</w:t>
      </w:r>
      <w:r>
        <w:rPr>
          <w:szCs w:val="24"/>
          <w:lang w:bidi="ar"/>
        </w:rPr>
        <w:t>”</w:t>
      </w:r>
      <w:r>
        <w:rPr>
          <w:rFonts w:hint="eastAsia"/>
          <w:szCs w:val="24"/>
          <w:lang w:bidi="ar"/>
        </w:rPr>
        <w:t>、评价</w:t>
      </w:r>
      <w:r>
        <w:rPr>
          <w:szCs w:val="24"/>
          <w:lang w:bidi="ar"/>
        </w:rPr>
        <w:t>/</w:t>
      </w:r>
      <w:r>
        <w:rPr>
          <w:rFonts w:hint="eastAsia"/>
          <w:szCs w:val="24"/>
          <w:lang w:bidi="ar"/>
        </w:rPr>
        <w:t>评估报告，基于危险化学品重大危险源企业安全管理现状综合评价体系，分为特别管控、重点关注和一般监管三类，实现对危险化学品重大危险源企业分类精准监管，支持基于</w:t>
      </w:r>
      <w:r>
        <w:rPr>
          <w:szCs w:val="24"/>
          <w:lang w:bidi="ar"/>
        </w:rPr>
        <w:t>GIS</w:t>
      </w:r>
      <w:r>
        <w:rPr>
          <w:rFonts w:hint="eastAsia"/>
          <w:szCs w:val="24"/>
          <w:lang w:bidi="ar"/>
        </w:rPr>
        <w:t>地图分类标注、多维度统计分析及可视化展示。</w:t>
      </w:r>
      <w:r>
        <w:rPr>
          <w:szCs w:val="24"/>
          <w:lang w:bidi="ar"/>
        </w:rPr>
        <w:t xml:space="preserve"> </w:t>
      </w:r>
    </w:p>
    <w:p>
      <w:pPr>
        <w:widowControl/>
        <w:ind w:firstLine="480" w:firstLineChars="0"/>
        <w:rPr>
          <w:szCs w:val="24"/>
          <w:lang w:bidi="ar"/>
        </w:rPr>
      </w:pPr>
      <w:r>
        <w:rPr>
          <w:rFonts w:hint="eastAsia" w:ascii="宋体" w:hAnsi="宋体" w:cs="宋体"/>
          <w:szCs w:val="24"/>
          <w:lang w:bidi="ar"/>
        </w:rPr>
        <w:t>③</w:t>
      </w:r>
      <w:r>
        <w:rPr>
          <w:rFonts w:hint="eastAsia"/>
          <w:szCs w:val="24"/>
          <w:lang w:bidi="ar"/>
        </w:rPr>
        <w:t>双重预防机制</w:t>
      </w:r>
      <w:r>
        <w:rPr>
          <w:szCs w:val="24"/>
          <w:lang w:bidi="ar"/>
        </w:rPr>
        <w:t xml:space="preserve"> </w:t>
      </w:r>
    </w:p>
    <w:p>
      <w:pPr>
        <w:widowControl/>
        <w:ind w:firstLine="480" w:firstLineChars="0"/>
        <w:rPr>
          <w:szCs w:val="24"/>
          <w:lang w:bidi="ar"/>
        </w:rPr>
      </w:pPr>
      <w:r>
        <w:rPr>
          <w:rFonts w:hint="eastAsia"/>
          <w:szCs w:val="24"/>
          <w:lang w:bidi="ar"/>
        </w:rPr>
        <w:t>风险分级管控：安全风险分级，加强对红色、橙色安全风险的分析、评估、预警。</w:t>
      </w:r>
      <w:r>
        <w:rPr>
          <w:szCs w:val="24"/>
          <w:lang w:bidi="ar"/>
        </w:rPr>
        <w:t xml:space="preserve"> </w:t>
      </w:r>
    </w:p>
    <w:p>
      <w:pPr>
        <w:widowControl/>
        <w:ind w:firstLine="480" w:firstLineChars="0"/>
        <w:rPr>
          <w:szCs w:val="24"/>
          <w:lang w:bidi="ar"/>
        </w:rPr>
      </w:pPr>
      <w:r>
        <w:rPr>
          <w:rFonts w:hint="eastAsia"/>
          <w:szCs w:val="24"/>
          <w:lang w:bidi="ar"/>
        </w:rPr>
        <w:t>隐患排查治理：实现隐患治理痕迹化管理，主要包括一般隐患治理、重大隐患治理、风险推送隐患治理以及企业员工举报隐患治理等内容，通过流程设计，实现各类隐患的闭环管理。</w:t>
      </w:r>
      <w:r>
        <w:rPr>
          <w:szCs w:val="24"/>
          <w:lang w:bidi="ar"/>
        </w:rPr>
        <w:t xml:space="preserve"> </w:t>
      </w:r>
    </w:p>
    <w:p>
      <w:pPr>
        <w:widowControl/>
        <w:ind w:firstLine="480" w:firstLineChars="0"/>
        <w:rPr>
          <w:szCs w:val="24"/>
          <w:lang w:bidi="ar"/>
        </w:rPr>
      </w:pPr>
      <w:r>
        <w:rPr>
          <w:rFonts w:hint="eastAsia"/>
          <w:szCs w:val="24"/>
          <w:lang w:bidi="ar"/>
        </w:rPr>
        <w:t>企业双重预防机制信息系统对接：支持层层穿透到企业端双重预防机制信息系统，查看企业生产装置</w:t>
      </w:r>
      <w:r>
        <w:rPr>
          <w:szCs w:val="24"/>
          <w:lang w:bidi="ar"/>
        </w:rPr>
        <w:t>/</w:t>
      </w:r>
      <w:r>
        <w:rPr>
          <w:rFonts w:hint="eastAsia"/>
          <w:szCs w:val="24"/>
          <w:lang w:bidi="ar"/>
        </w:rPr>
        <w:t>罐区、风险事件数量、隐患数量等基本信息，并可查询企业风险分级管控清单和隐患排查清单。</w:t>
      </w:r>
      <w:r>
        <w:rPr>
          <w:szCs w:val="24"/>
          <w:lang w:bidi="ar"/>
        </w:rPr>
        <w:t xml:space="preserve"> </w:t>
      </w:r>
    </w:p>
    <w:p>
      <w:pPr>
        <w:widowControl/>
        <w:ind w:firstLine="480" w:firstLineChars="0"/>
        <w:rPr>
          <w:szCs w:val="24"/>
          <w:lang w:bidi="ar"/>
        </w:rPr>
      </w:pPr>
      <w:r>
        <w:rPr>
          <w:rFonts w:hint="eastAsia"/>
          <w:szCs w:val="24"/>
          <w:lang w:bidi="ar"/>
        </w:rPr>
        <w:t>隐患整改情况督办提醒：实现对重大隐患线上督办、整改临期提醒及一般隐患超期警示功能，支持线上下发督办通知书、通过短信向有关人员发送提醒警示信息等功能，确保实现隐患闭环处置，以及不同行业、不同关键装置隐患多维度统计分析和可视化展示。</w:t>
      </w:r>
      <w:r>
        <w:rPr>
          <w:szCs w:val="24"/>
          <w:lang w:bidi="ar"/>
        </w:rPr>
        <w:t xml:space="preserve"> </w:t>
      </w:r>
    </w:p>
    <w:p>
      <w:pPr>
        <w:widowControl/>
        <w:ind w:firstLine="480" w:firstLineChars="0"/>
        <w:rPr>
          <w:szCs w:val="24"/>
          <w:lang w:bidi="ar"/>
        </w:rPr>
      </w:pPr>
      <w:r>
        <w:rPr>
          <w:rFonts w:hint="eastAsia"/>
          <w:szCs w:val="24"/>
          <w:lang w:bidi="ar"/>
        </w:rPr>
        <w:t>企业双重预防机制建设及运行效果抽查检查：实现对园区内企业双重预防机制运行效果线上线下相融合的监督检查，支持对单个企业风险分析完成率、排查任务完成率及隐患整改完成率的信息查询，对企业双重预防机制运行效果、隐患预警情况自动统计分析、原因分析，通过短信等方式定期推送给有关人员，为线下精准执法检查提供支撑。</w:t>
      </w:r>
      <w:r>
        <w:rPr>
          <w:szCs w:val="24"/>
          <w:lang w:bidi="ar"/>
        </w:rPr>
        <w:t xml:space="preserve"> </w:t>
      </w:r>
    </w:p>
    <w:p>
      <w:pPr>
        <w:widowControl/>
        <w:ind w:firstLine="480" w:firstLineChars="0"/>
        <w:rPr>
          <w:szCs w:val="24"/>
          <w:lang w:bidi="ar"/>
        </w:rPr>
      </w:pPr>
      <w:r>
        <w:rPr>
          <w:szCs w:val="24"/>
          <w:lang w:bidi="ar"/>
        </w:rPr>
        <w:fldChar w:fldCharType="begin"/>
      </w:r>
      <w:r>
        <w:rPr>
          <w:szCs w:val="24"/>
          <w:lang w:bidi="ar"/>
        </w:rPr>
        <w:instrText xml:space="preserve"> = 4 \* GB3 \* MERGEFORMAT </w:instrText>
      </w:r>
      <w:r>
        <w:rPr>
          <w:szCs w:val="24"/>
          <w:lang w:bidi="ar"/>
        </w:rPr>
        <w:fldChar w:fldCharType="separate"/>
      </w:r>
      <w:r>
        <w:rPr>
          <w:rFonts w:hint="eastAsia" w:ascii="宋体" w:hAnsi="宋体" w:cs="宋体"/>
        </w:rPr>
        <w:t>④</w:t>
      </w:r>
      <w:r>
        <w:rPr>
          <w:szCs w:val="24"/>
          <w:lang w:bidi="ar"/>
        </w:rPr>
        <w:fldChar w:fldCharType="end"/>
      </w:r>
      <w:r>
        <w:rPr>
          <w:rFonts w:hint="eastAsia"/>
          <w:szCs w:val="24"/>
          <w:lang w:bidi="ar"/>
        </w:rPr>
        <w:t>特殊作业管理</w:t>
      </w:r>
      <w:r>
        <w:rPr>
          <w:szCs w:val="24"/>
          <w:lang w:bidi="ar"/>
        </w:rPr>
        <w:t xml:space="preserve"> </w:t>
      </w:r>
    </w:p>
    <w:p>
      <w:pPr>
        <w:widowControl/>
        <w:ind w:firstLine="480" w:firstLineChars="0"/>
        <w:rPr>
          <w:szCs w:val="24"/>
          <w:lang w:bidi="ar"/>
        </w:rPr>
      </w:pPr>
      <w:r>
        <w:rPr>
          <w:rFonts w:hint="eastAsia"/>
          <w:szCs w:val="24"/>
          <w:lang w:bidi="ar"/>
        </w:rPr>
        <w:t>企业特殊作业报备：实现企业特殊作业报备，报备数据包括但不限于作业属地单位、作业类型、作业内容、作业时间等，支持报备信息的维护、查询和统计。</w:t>
      </w:r>
      <w:r>
        <w:rPr>
          <w:szCs w:val="24"/>
          <w:lang w:bidi="ar"/>
        </w:rPr>
        <w:t xml:space="preserve"> </w:t>
      </w:r>
    </w:p>
    <w:p>
      <w:pPr>
        <w:widowControl/>
        <w:ind w:firstLine="480" w:firstLineChars="0"/>
        <w:rPr>
          <w:szCs w:val="24"/>
          <w:lang w:bidi="ar"/>
        </w:rPr>
      </w:pPr>
      <w:r>
        <w:rPr>
          <w:rFonts w:hint="eastAsia"/>
          <w:szCs w:val="24"/>
          <w:lang w:bidi="ar"/>
        </w:rPr>
        <w:t>特殊作业票证统计分析：实现与园区内企业电子作业许可系统的结构化数据对接，支持园区内特殊作业按不同企业、不同时间、不同作业类型等多维度进行统计分析，以及特殊作业信息在园区电子地图上实时显示和快速查询。</w:t>
      </w:r>
      <w:r>
        <w:rPr>
          <w:szCs w:val="24"/>
          <w:lang w:bidi="ar"/>
        </w:rPr>
        <w:t xml:space="preserve"> </w:t>
      </w:r>
    </w:p>
    <w:p>
      <w:pPr>
        <w:widowControl/>
        <w:ind w:firstLine="480" w:firstLineChars="0"/>
        <w:rPr>
          <w:szCs w:val="24"/>
          <w:lang w:bidi="ar"/>
        </w:rPr>
      </w:pPr>
      <w:r>
        <w:rPr>
          <w:rFonts w:hint="eastAsia"/>
          <w:szCs w:val="24"/>
          <w:lang w:bidi="ar"/>
        </w:rPr>
        <w:t>特殊作业在线抽查检查：实现在线抽查检查企业的特殊作业情况，支持与应急管理部特种作业操作证及安全生产知识和管理能力考核合格信息查询平台互通，以及企业现场摄像头、现场气体传感器等设备的联动调阅。</w:t>
      </w:r>
      <w:r>
        <w:rPr>
          <w:szCs w:val="24"/>
          <w:lang w:bidi="ar"/>
        </w:rPr>
        <w:t xml:space="preserve"> </w:t>
      </w:r>
    </w:p>
    <w:p>
      <w:pPr>
        <w:widowControl/>
        <w:ind w:firstLine="480" w:firstLineChars="0"/>
        <w:rPr>
          <w:szCs w:val="24"/>
          <w:lang w:bidi="ar"/>
        </w:rPr>
      </w:pPr>
      <w:r>
        <w:rPr>
          <w:rFonts w:hint="eastAsia"/>
          <w:szCs w:val="24"/>
          <w:lang w:bidi="ar"/>
        </w:rPr>
        <w:t>（</w:t>
      </w:r>
      <w:r>
        <w:rPr>
          <w:szCs w:val="24"/>
          <w:lang w:bidi="ar"/>
        </w:rPr>
        <w:t>2</w:t>
      </w:r>
      <w:r>
        <w:rPr>
          <w:rFonts w:hint="eastAsia"/>
          <w:szCs w:val="24"/>
          <w:lang w:bidi="ar"/>
        </w:rPr>
        <w:t>）封闭化管理</w:t>
      </w:r>
      <w:r>
        <w:rPr>
          <w:szCs w:val="24"/>
          <w:lang w:bidi="ar"/>
        </w:rPr>
        <w:t xml:space="preserve"> </w:t>
      </w:r>
    </w:p>
    <w:p>
      <w:pPr>
        <w:widowControl/>
        <w:ind w:firstLine="480" w:firstLineChars="0"/>
        <w:rPr>
          <w:szCs w:val="24"/>
          <w:lang w:bidi="ar"/>
        </w:rPr>
      </w:pPr>
      <w:r>
        <w:rPr>
          <w:rFonts w:hint="eastAsia"/>
          <w:szCs w:val="24"/>
          <w:lang w:bidi="ar"/>
        </w:rPr>
        <w:t>封闭档案管理：按照客货分离、优化管理、规避风险、综合考虑停车场容量与园区安全容量的原则，根据园区实际情况分类设置综合、专用、普通、应急门禁</w:t>
      </w:r>
      <w:r>
        <w:rPr>
          <w:szCs w:val="24"/>
          <w:lang w:bidi="ar"/>
        </w:rPr>
        <w:t>/</w:t>
      </w:r>
      <w:r>
        <w:rPr>
          <w:rFonts w:hint="eastAsia"/>
          <w:szCs w:val="24"/>
          <w:lang w:bidi="ar"/>
        </w:rPr>
        <w:t>卡口，部署门禁</w:t>
      </w:r>
      <w:r>
        <w:rPr>
          <w:szCs w:val="24"/>
          <w:lang w:bidi="ar"/>
        </w:rPr>
        <w:t>/</w:t>
      </w:r>
      <w:r>
        <w:rPr>
          <w:rFonts w:hint="eastAsia"/>
          <w:szCs w:val="24"/>
          <w:lang w:bidi="ar"/>
        </w:rPr>
        <w:t>卡口管理系统，实现对人、车、物进出园管控，支持门禁</w:t>
      </w:r>
      <w:r>
        <w:rPr>
          <w:szCs w:val="24"/>
          <w:lang w:bidi="ar"/>
        </w:rPr>
        <w:t>/</w:t>
      </w:r>
      <w:r>
        <w:rPr>
          <w:rFonts w:hint="eastAsia"/>
          <w:szCs w:val="24"/>
          <w:lang w:bidi="ar"/>
        </w:rPr>
        <w:t>卡口视频监控、人脸和车牌智能识别、定位设备登记</w:t>
      </w:r>
      <w:r>
        <w:rPr>
          <w:szCs w:val="24"/>
          <w:lang w:bidi="ar"/>
        </w:rPr>
        <w:t>/</w:t>
      </w:r>
      <w:r>
        <w:rPr>
          <w:rFonts w:hint="eastAsia"/>
          <w:szCs w:val="24"/>
          <w:lang w:bidi="ar"/>
        </w:rPr>
        <w:t>发放</w:t>
      </w:r>
      <w:r>
        <w:rPr>
          <w:szCs w:val="24"/>
          <w:lang w:bidi="ar"/>
        </w:rPr>
        <w:t>/</w:t>
      </w:r>
      <w:r>
        <w:rPr>
          <w:rFonts w:hint="eastAsia"/>
          <w:szCs w:val="24"/>
          <w:lang w:bidi="ar"/>
        </w:rPr>
        <w:t>返还、自动放行、车道控制等。</w:t>
      </w:r>
      <w:r>
        <w:rPr>
          <w:szCs w:val="24"/>
          <w:lang w:bidi="ar"/>
        </w:rPr>
        <w:t xml:space="preserve"> </w:t>
      </w:r>
    </w:p>
    <w:p>
      <w:pPr>
        <w:widowControl/>
        <w:ind w:firstLine="480" w:firstLineChars="0"/>
        <w:rPr>
          <w:szCs w:val="24"/>
          <w:lang w:bidi="ar"/>
        </w:rPr>
      </w:pPr>
      <w:r>
        <w:rPr>
          <w:rFonts w:hint="eastAsia"/>
          <w:szCs w:val="24"/>
          <w:lang w:bidi="ar"/>
        </w:rPr>
        <w:t>出入园管理：支持人员和车辆出入园申请、审核、长期</w:t>
      </w:r>
      <w:r>
        <w:rPr>
          <w:szCs w:val="24"/>
          <w:lang w:bidi="ar"/>
        </w:rPr>
        <w:t>/</w:t>
      </w:r>
      <w:r>
        <w:rPr>
          <w:rFonts w:hint="eastAsia"/>
          <w:szCs w:val="24"/>
          <w:lang w:bidi="ar"/>
        </w:rPr>
        <w:t>临时授权，支持危险化学品运输车辆预约、审核、授权，支持分区授权、异常行为报警和黑名单管理，支持人流、车流统计等。</w:t>
      </w:r>
      <w:r>
        <w:rPr>
          <w:szCs w:val="24"/>
          <w:lang w:bidi="ar"/>
        </w:rPr>
        <w:t xml:space="preserve"> </w:t>
      </w:r>
    </w:p>
    <w:p>
      <w:pPr>
        <w:widowControl/>
        <w:ind w:firstLine="480" w:firstLineChars="0"/>
        <w:rPr>
          <w:szCs w:val="24"/>
          <w:lang w:bidi="ar"/>
        </w:rPr>
      </w:pPr>
      <w:r>
        <w:rPr>
          <w:rFonts w:hint="eastAsia"/>
          <w:szCs w:val="24"/>
          <w:lang w:bidi="ar"/>
        </w:rPr>
        <w:t>危化品运输车辆动态管理：基于危险化学品运输车辆实时定位数据，掌握园区内危险化学品运输车辆的位置、行驶路线等实时动态，借助视频智能分析、测速和车辆定位数据，智能识别危险化学品运输车辆超速、违停、不按车道不按时段通行等不安全行为。支持轨迹回放、不安全驾驶行为报警、车辆运行数据统计等。包括运输路径合理规划、车辆轨迹跟踪、运输风险管控、不安全驾驶行为报警、车辆运行数据统计等功能。</w:t>
      </w:r>
      <w:r>
        <w:rPr>
          <w:szCs w:val="24"/>
          <w:lang w:bidi="ar"/>
        </w:rPr>
        <w:t xml:space="preserve"> </w:t>
      </w:r>
    </w:p>
    <w:p>
      <w:pPr>
        <w:widowControl/>
        <w:ind w:firstLine="480" w:firstLineChars="0"/>
        <w:rPr>
          <w:szCs w:val="24"/>
          <w:lang w:bidi="ar"/>
        </w:rPr>
      </w:pPr>
      <w:r>
        <w:rPr>
          <w:rFonts w:hint="eastAsia"/>
          <w:szCs w:val="24"/>
          <w:lang w:bidi="ar"/>
        </w:rPr>
        <w:t>人员分布管理：接入企业生产区域人员定位分布信息，结合卡口</w:t>
      </w:r>
      <w:r>
        <w:rPr>
          <w:szCs w:val="24"/>
          <w:lang w:bidi="ar"/>
        </w:rPr>
        <w:t>/</w:t>
      </w:r>
      <w:r>
        <w:rPr>
          <w:rFonts w:hint="eastAsia"/>
          <w:szCs w:val="24"/>
          <w:lang w:bidi="ar"/>
        </w:rPr>
        <w:t>门禁系统数据，准确显示园区人员分布动态，支持查询展示特定人员实时位置和历史轨迹；支持园区内人员分布异常情况的报警提示、统计分析、视频联动及可视化展示。</w:t>
      </w:r>
      <w:r>
        <w:rPr>
          <w:szCs w:val="24"/>
          <w:lang w:bidi="ar"/>
        </w:rPr>
        <w:t xml:space="preserve"> </w:t>
      </w:r>
    </w:p>
    <w:p>
      <w:pPr>
        <w:widowControl/>
        <w:ind w:firstLine="480" w:firstLineChars="0"/>
        <w:rPr>
          <w:szCs w:val="24"/>
          <w:lang w:bidi="ar"/>
        </w:rPr>
      </w:pPr>
      <w:r>
        <w:rPr>
          <w:rFonts w:hint="eastAsia"/>
          <w:szCs w:val="24"/>
          <w:lang w:bidi="ar"/>
        </w:rPr>
        <w:t>（</w:t>
      </w:r>
      <w:r>
        <w:rPr>
          <w:szCs w:val="24"/>
          <w:lang w:bidi="ar"/>
        </w:rPr>
        <w:t>3</w:t>
      </w:r>
      <w:r>
        <w:rPr>
          <w:rFonts w:hint="eastAsia"/>
          <w:szCs w:val="24"/>
          <w:lang w:bidi="ar"/>
        </w:rPr>
        <w:t>）危化品全生命周期</w:t>
      </w:r>
      <w:r>
        <w:rPr>
          <w:szCs w:val="24"/>
          <w:lang w:bidi="ar"/>
        </w:rPr>
        <w:t xml:space="preserve"> </w:t>
      </w:r>
    </w:p>
    <w:p>
      <w:pPr>
        <w:widowControl/>
        <w:ind w:firstLine="480" w:firstLineChars="0"/>
        <w:rPr>
          <w:szCs w:val="24"/>
          <w:lang w:bidi="ar"/>
        </w:rPr>
      </w:pPr>
      <w:r>
        <w:rPr>
          <w:rFonts w:hint="eastAsia"/>
          <w:szCs w:val="24"/>
          <w:lang w:bidi="ar"/>
        </w:rPr>
        <w:t>危化品管理：通过建立分类档案，明确园区内现存的危化品类型，从而帮助园区管理者制定相应的管理策略。</w:t>
      </w:r>
      <w:r>
        <w:rPr>
          <w:szCs w:val="24"/>
          <w:lang w:bidi="ar"/>
        </w:rPr>
        <w:t xml:space="preserve"> </w:t>
      </w:r>
    </w:p>
    <w:p>
      <w:pPr>
        <w:widowControl/>
        <w:ind w:firstLine="480" w:firstLineChars="0"/>
        <w:rPr>
          <w:szCs w:val="24"/>
          <w:lang w:bidi="ar"/>
        </w:rPr>
      </w:pPr>
      <w:r>
        <w:rPr>
          <w:rFonts w:hint="eastAsia"/>
          <w:szCs w:val="24"/>
          <w:lang w:bidi="ar"/>
        </w:rPr>
        <w:t>涉危企业管理：为涉危企业建立专属档案，实现企业危化品数据信息的全面统计，计算分析。</w:t>
      </w:r>
      <w:r>
        <w:rPr>
          <w:szCs w:val="24"/>
          <w:lang w:bidi="ar"/>
        </w:rPr>
        <w:t xml:space="preserve"> </w:t>
      </w:r>
    </w:p>
    <w:p>
      <w:pPr>
        <w:widowControl/>
        <w:ind w:firstLine="480" w:firstLineChars="0"/>
        <w:rPr>
          <w:szCs w:val="24"/>
          <w:lang w:bidi="ar"/>
        </w:rPr>
      </w:pPr>
      <w:r>
        <w:rPr>
          <w:rFonts w:hint="eastAsia"/>
          <w:szCs w:val="24"/>
          <w:lang w:bidi="ar"/>
        </w:rPr>
        <w:t>危化品来源流向分析：主要用于分析园区危化品的流向和来源情况，可用于对园区危化品的流向进行跟踪以及对来源的追溯。</w:t>
      </w:r>
      <w:r>
        <w:rPr>
          <w:szCs w:val="24"/>
          <w:lang w:bidi="ar"/>
        </w:rPr>
        <w:t xml:space="preserve"> </w:t>
      </w:r>
    </w:p>
    <w:p>
      <w:pPr>
        <w:widowControl/>
        <w:ind w:firstLine="480" w:firstLineChars="0"/>
        <w:rPr>
          <w:szCs w:val="24"/>
          <w:lang w:bidi="ar"/>
        </w:rPr>
      </w:pPr>
      <w:r>
        <w:rPr>
          <w:rFonts w:hint="eastAsia"/>
          <w:szCs w:val="24"/>
          <w:lang w:bidi="ar"/>
        </w:rPr>
        <w:t>（</w:t>
      </w:r>
      <w:r>
        <w:rPr>
          <w:szCs w:val="24"/>
          <w:lang w:bidi="ar"/>
        </w:rPr>
        <w:t>4</w:t>
      </w:r>
      <w:r>
        <w:rPr>
          <w:rFonts w:hint="eastAsia"/>
          <w:szCs w:val="24"/>
          <w:lang w:bidi="ar"/>
        </w:rPr>
        <w:t>）智慧应急</w:t>
      </w:r>
      <w:r>
        <w:rPr>
          <w:szCs w:val="24"/>
          <w:lang w:bidi="ar"/>
        </w:rPr>
        <w:t xml:space="preserve"> </w:t>
      </w:r>
    </w:p>
    <w:p>
      <w:pPr>
        <w:widowControl/>
        <w:ind w:firstLine="480" w:firstLineChars="0"/>
        <w:rPr>
          <w:szCs w:val="24"/>
          <w:lang w:bidi="ar"/>
        </w:rPr>
      </w:pPr>
      <w:r>
        <w:rPr>
          <w:rFonts w:hint="eastAsia"/>
          <w:szCs w:val="24"/>
          <w:lang w:bidi="ar"/>
        </w:rPr>
        <w:t>主要用于安全生产应急预案管理、应急资源管理，推动园区、企业落实日常应急管理及与各级政府间的应急联动，为事故应急提供技术支持，辅助园区进行快速、精准、科学应急响应。</w:t>
      </w:r>
      <w:r>
        <w:rPr>
          <w:szCs w:val="24"/>
          <w:lang w:bidi="ar"/>
        </w:rPr>
        <w:t xml:space="preserve"> </w:t>
      </w:r>
    </w:p>
    <w:p>
      <w:pPr>
        <w:widowControl/>
        <w:ind w:firstLine="480" w:firstLineChars="0"/>
        <w:rPr>
          <w:szCs w:val="24"/>
          <w:lang w:bidi="ar"/>
        </w:rPr>
      </w:pPr>
      <w:r>
        <w:rPr>
          <w:rFonts w:hint="eastAsia"/>
          <w:szCs w:val="24"/>
          <w:lang w:bidi="ar"/>
        </w:rPr>
        <w:t>（</w:t>
      </w:r>
      <w:r>
        <w:rPr>
          <w:szCs w:val="24"/>
          <w:lang w:bidi="ar"/>
        </w:rPr>
        <w:t>5</w:t>
      </w:r>
      <w:r>
        <w:rPr>
          <w:rFonts w:hint="eastAsia"/>
          <w:szCs w:val="24"/>
          <w:lang w:bidi="ar"/>
        </w:rPr>
        <w:t>）移动应用</w:t>
      </w:r>
      <w:r>
        <w:rPr>
          <w:szCs w:val="24"/>
          <w:lang w:bidi="ar"/>
        </w:rPr>
        <w:t xml:space="preserve"> </w:t>
      </w:r>
    </w:p>
    <w:p>
      <w:pPr>
        <w:widowControl/>
        <w:ind w:firstLine="480" w:firstLineChars="0"/>
        <w:rPr>
          <w:szCs w:val="24"/>
          <w:lang w:bidi="ar"/>
        </w:rPr>
      </w:pPr>
      <w:r>
        <w:rPr>
          <w:rFonts w:hint="eastAsia"/>
          <w:szCs w:val="24"/>
          <w:lang w:bidi="ar"/>
        </w:rPr>
        <w:t>基于物联网、大数据、移动互联网等新一代信息化，打造移动业务应用平台，通过平台可实现隐患排查、风险管控、监测预警、作业监管等各类业务移动应用，实现</w:t>
      </w:r>
      <w:r>
        <w:rPr>
          <w:szCs w:val="24"/>
          <w:lang w:bidi="ar"/>
        </w:rPr>
        <w:t>“</w:t>
      </w:r>
      <w:r>
        <w:rPr>
          <w:rFonts w:hint="eastAsia"/>
          <w:szCs w:val="24"/>
          <w:lang w:bidi="ar"/>
        </w:rPr>
        <w:t>移动化</w:t>
      </w:r>
      <w:r>
        <w:rPr>
          <w:szCs w:val="24"/>
          <w:lang w:bidi="ar"/>
        </w:rPr>
        <w:t>"</w:t>
      </w:r>
      <w:r>
        <w:rPr>
          <w:rFonts w:hint="eastAsia"/>
          <w:szCs w:val="24"/>
          <w:lang w:bidi="ar"/>
        </w:rPr>
        <w:t>安全管理，便捷高效。</w:t>
      </w:r>
      <w:r>
        <w:rPr>
          <w:szCs w:val="24"/>
          <w:lang w:bidi="ar"/>
        </w:rPr>
        <w:t xml:space="preserve"> </w:t>
      </w:r>
    </w:p>
    <w:p>
      <w:pPr>
        <w:widowControl/>
        <w:ind w:firstLine="480" w:firstLineChars="0"/>
        <w:rPr>
          <w:szCs w:val="24"/>
          <w:lang w:bidi="ar"/>
        </w:rPr>
      </w:pPr>
      <w:r>
        <w:rPr>
          <w:rFonts w:hint="eastAsia"/>
          <w:szCs w:val="24"/>
          <w:lang w:bidi="ar"/>
        </w:rPr>
        <w:t>（</w:t>
      </w:r>
      <w:r>
        <w:rPr>
          <w:szCs w:val="24"/>
          <w:lang w:bidi="ar"/>
        </w:rPr>
        <w:t>6</w:t>
      </w:r>
      <w:r>
        <w:rPr>
          <w:rFonts w:hint="eastAsia"/>
          <w:szCs w:val="24"/>
          <w:lang w:bidi="ar"/>
        </w:rPr>
        <w:t>）业务系统集成</w:t>
      </w:r>
      <w:r>
        <w:rPr>
          <w:szCs w:val="24"/>
          <w:lang w:bidi="ar"/>
        </w:rPr>
        <w:t xml:space="preserve"> </w:t>
      </w:r>
    </w:p>
    <w:p>
      <w:pPr>
        <w:widowControl/>
        <w:ind w:firstLine="480" w:firstLineChars="0"/>
        <w:rPr>
          <w:szCs w:val="24"/>
          <w:lang w:bidi="ar"/>
        </w:rPr>
      </w:pPr>
      <w:r>
        <w:rPr>
          <w:rFonts w:hint="eastAsia"/>
          <w:szCs w:val="24"/>
          <w:lang w:bidi="ar"/>
        </w:rPr>
        <w:t>综合信息化平台需集成现有应用系统数据，包含安全管理系统、环保管理系统、视频监控系统等。</w:t>
      </w:r>
      <w:r>
        <w:rPr>
          <w:szCs w:val="24"/>
          <w:lang w:bidi="ar"/>
        </w:rPr>
        <w:t xml:space="preserve"> </w:t>
      </w:r>
    </w:p>
    <w:p>
      <w:pPr>
        <w:ind w:firstLine="0" w:firstLineChars="0"/>
        <w:outlineLvl w:val="2"/>
        <w:rPr>
          <w:szCs w:val="28"/>
        </w:rPr>
      </w:pPr>
      <w:r>
        <w:rPr>
          <w:rFonts w:hint="eastAsia"/>
          <w:szCs w:val="24"/>
          <w:lang w:bidi="ar"/>
        </w:rPr>
        <w:t>系统平台建成后，可通过接口实现数据自动上传至省平台或者第三方其他平台，与贵州省危险化学品安全生产风险监测预警平台进行对接，实现数据的上传下达。</w:t>
      </w:r>
    </w:p>
    <w:bookmarkEnd w:id="118"/>
    <w:bookmarkEnd w:id="119"/>
    <w:bookmarkEnd w:id="120"/>
    <w:bookmarkEnd w:id="121"/>
    <w:bookmarkEnd w:id="122"/>
    <w:bookmarkEnd w:id="123"/>
    <w:bookmarkEnd w:id="124"/>
    <w:p>
      <w:pPr>
        <w:pStyle w:val="3"/>
        <w:spacing w:before="190" w:after="190"/>
        <w:ind w:firstLine="643"/>
        <w:rPr>
          <w:rFonts w:cs="Times New Roman" w:hAnsiTheme="minorEastAsia" w:eastAsiaTheme="minorEastAsia"/>
        </w:rPr>
        <w:sectPr>
          <w:pgSz w:w="11906" w:h="16838"/>
          <w:pgMar w:top="1247" w:right="1361" w:bottom="1247" w:left="1361" w:header="851" w:footer="992" w:gutter="0"/>
          <w:cols w:space="425" w:num="1"/>
          <w:docGrid w:linePitch="381" w:charSpace="0"/>
        </w:sectPr>
      </w:pPr>
    </w:p>
    <w:p>
      <w:pPr>
        <w:pStyle w:val="3"/>
        <w:spacing w:before="190" w:after="190"/>
        <w:ind w:firstLine="643"/>
        <w:rPr>
          <w:rFonts w:cs="Times New Roman" w:eastAsiaTheme="minorEastAsia"/>
        </w:rPr>
      </w:pPr>
      <w:bookmarkStart w:id="433" w:name="_Toc126591894"/>
      <w:r>
        <w:rPr>
          <w:rFonts w:cs="Times New Roman" w:hAnsiTheme="minorEastAsia" w:eastAsiaTheme="minorEastAsia"/>
        </w:rPr>
        <w:t>第十章</w:t>
      </w:r>
      <w:r>
        <w:rPr>
          <w:rFonts w:hint="eastAsia" w:cs="Times New Roman" w:hAnsiTheme="minorEastAsia" w:eastAsiaTheme="minorEastAsia"/>
        </w:rPr>
        <w:t xml:space="preserve"> </w:t>
      </w:r>
      <w:r>
        <w:rPr>
          <w:rFonts w:cs="Times New Roman" w:hAnsiTheme="minorEastAsia" w:eastAsiaTheme="minorEastAsia"/>
        </w:rPr>
        <w:t>规划支撑条件</w:t>
      </w:r>
      <w:bookmarkEnd w:id="433"/>
    </w:p>
    <w:p>
      <w:pPr>
        <w:ind w:firstLine="560"/>
        <w:rPr>
          <w:rFonts w:cs="Times New Roman" w:eastAsiaTheme="minorEastAsia"/>
        </w:rPr>
      </w:pPr>
      <w:r>
        <w:rPr>
          <w:rFonts w:hint="eastAsia" w:cs="Times New Roman" w:hAnsiTheme="minorEastAsia" w:eastAsiaTheme="minorEastAsia"/>
        </w:rPr>
        <w:t>六枝特区化工园区</w:t>
      </w:r>
      <w:r>
        <w:rPr>
          <w:rFonts w:cs="Times New Roman" w:hAnsiTheme="minorEastAsia" w:eastAsiaTheme="minorEastAsia"/>
        </w:rPr>
        <w:t>发展战略的实施，坚持以习近平新时代中国特色社会主义思想为指导，深入贯彻习近平总书记视察贵州重要讲话精神和对六枝重要批示精神，全面落实省委省政府、市委市政府关于新型工业化暨开发区高质量发展工作决策部署，立足新发展阶段，贯彻新发展理念，融入新发展格局，围绕</w:t>
      </w:r>
      <w:r>
        <w:rPr>
          <w:rFonts w:cs="Times New Roman" w:eastAsiaTheme="minorEastAsia"/>
        </w:rPr>
        <w:t>“</w:t>
      </w:r>
      <w:r>
        <w:rPr>
          <w:rFonts w:cs="Times New Roman" w:hAnsiTheme="minorEastAsia" w:eastAsiaTheme="minorEastAsia"/>
        </w:rPr>
        <w:t>四新</w:t>
      </w:r>
      <w:r>
        <w:rPr>
          <w:rFonts w:cs="Times New Roman" w:eastAsiaTheme="minorEastAsia"/>
        </w:rPr>
        <w:t>”</w:t>
      </w:r>
      <w:r>
        <w:rPr>
          <w:rFonts w:cs="Times New Roman" w:hAnsiTheme="minorEastAsia" w:eastAsiaTheme="minorEastAsia"/>
        </w:rPr>
        <w:t>主攻</w:t>
      </w:r>
      <w:r>
        <w:rPr>
          <w:rFonts w:cs="Times New Roman" w:eastAsiaTheme="minorEastAsia"/>
        </w:rPr>
        <w:t>“</w:t>
      </w:r>
      <w:r>
        <w:rPr>
          <w:rFonts w:cs="Times New Roman" w:hAnsiTheme="minorEastAsia" w:eastAsiaTheme="minorEastAsia"/>
        </w:rPr>
        <w:t>四化</w:t>
      </w:r>
      <w:r>
        <w:rPr>
          <w:rFonts w:cs="Times New Roman" w:eastAsiaTheme="minorEastAsia"/>
        </w:rPr>
        <w:t>”</w:t>
      </w:r>
      <w:r>
        <w:rPr>
          <w:rFonts w:cs="Times New Roman" w:hAnsiTheme="minorEastAsia" w:eastAsiaTheme="minorEastAsia"/>
        </w:rPr>
        <w:t>，以化工园区绿色低碳循环发展为导向，牢牢守住发展和生态两条底线，以高端化、绿色化、集约化为主攻方向，以化工园区为载体，以化工龙头企业和示范项目为抓手，以科技创新为驱动，</w:t>
      </w:r>
      <w:r>
        <w:rPr>
          <w:rFonts w:cs="Times New Roman" w:hAnsiTheme="minorEastAsia" w:eastAsiaTheme="minorEastAsia"/>
          <w:szCs w:val="24"/>
        </w:rPr>
        <w:t>充分利用区域优势的煤炭资源及产业基础，以焦化为基础，大力发展以焦炉煤气制</w:t>
      </w:r>
      <w:r>
        <w:rPr>
          <w:rFonts w:cs="Times New Roman" w:eastAsiaTheme="minorEastAsia"/>
          <w:szCs w:val="24"/>
        </w:rPr>
        <w:t>LNG</w:t>
      </w:r>
      <w:r>
        <w:rPr>
          <w:rFonts w:hint="eastAsia" w:cs="Times New Roman" w:eastAsiaTheme="minorEastAsia"/>
          <w:szCs w:val="24"/>
        </w:rPr>
        <w:t>、PSA制氢、合成氨、</w:t>
      </w:r>
      <w:r>
        <w:rPr>
          <w:rFonts w:hint="eastAsia" w:cs="Times New Roman" w:hAnsiTheme="minorEastAsia" w:eastAsiaTheme="minorEastAsia"/>
          <w:szCs w:val="24"/>
        </w:rPr>
        <w:t>化产深加工</w:t>
      </w:r>
      <w:r>
        <w:rPr>
          <w:rFonts w:cs="Times New Roman" w:hAnsiTheme="minorEastAsia" w:eastAsiaTheme="minorEastAsia"/>
          <w:szCs w:val="24"/>
        </w:rPr>
        <w:t>等为代表的</w:t>
      </w:r>
      <w:r>
        <w:rPr>
          <w:rFonts w:hint="eastAsia" w:cs="Times New Roman" w:hAnsiTheme="minorEastAsia" w:eastAsiaTheme="minorEastAsia"/>
          <w:szCs w:val="24"/>
        </w:rPr>
        <w:t>现代煤化工</w:t>
      </w:r>
      <w:r>
        <w:rPr>
          <w:rFonts w:cs="Times New Roman" w:hAnsiTheme="minorEastAsia" w:eastAsiaTheme="minorEastAsia"/>
          <w:szCs w:val="24"/>
        </w:rPr>
        <w:t>产业</w:t>
      </w:r>
      <w:r>
        <w:rPr>
          <w:rFonts w:cs="Times New Roman" w:hAnsiTheme="minorEastAsia" w:eastAsiaTheme="minorEastAsia"/>
          <w:szCs w:val="28"/>
        </w:rPr>
        <w:t>；</w:t>
      </w:r>
      <w:r>
        <w:rPr>
          <w:rFonts w:hint="eastAsia" w:cs="Times New Roman" w:hAnsiTheme="minorEastAsia" w:eastAsiaTheme="minorEastAsia"/>
          <w:kern w:val="0"/>
        </w:rPr>
        <w:t>利用区域锂矿石资源，大力发展锂电池储能精细化学品为</w:t>
      </w:r>
      <w:r>
        <w:rPr>
          <w:rFonts w:cs="Times New Roman" w:hAnsiTheme="minorEastAsia" w:eastAsiaTheme="minorEastAsia"/>
          <w:kern w:val="0"/>
        </w:rPr>
        <w:t>代表的精细化工</w:t>
      </w:r>
      <w:r>
        <w:rPr>
          <w:rFonts w:hint="eastAsia" w:cs="Times New Roman" w:hAnsiTheme="minorEastAsia" w:eastAsiaTheme="minorEastAsia"/>
          <w:kern w:val="0"/>
        </w:rPr>
        <w:t>产业；</w:t>
      </w:r>
      <w:r>
        <w:rPr>
          <w:rFonts w:cs="Times New Roman" w:hAnsiTheme="minorEastAsia" w:eastAsiaTheme="minorEastAsia"/>
          <w:szCs w:val="24"/>
        </w:rPr>
        <w:t>适度发展市场前景好、产品附加值高的</w:t>
      </w:r>
      <w:r>
        <w:rPr>
          <w:rFonts w:hint="eastAsia" w:cs="Times New Roman" w:hAnsiTheme="minorEastAsia" w:eastAsiaTheme="minorEastAsia"/>
          <w:szCs w:val="24"/>
        </w:rPr>
        <w:t>其他精细化学</w:t>
      </w:r>
      <w:r>
        <w:rPr>
          <w:rFonts w:cs="Times New Roman" w:hAnsiTheme="minorEastAsia" w:eastAsiaTheme="minorEastAsia"/>
          <w:szCs w:val="24"/>
        </w:rPr>
        <w:t>品，打造特色</w:t>
      </w:r>
      <w:r>
        <w:rPr>
          <w:rFonts w:hint="eastAsia" w:cs="Times New Roman" w:hAnsiTheme="minorEastAsia" w:eastAsiaTheme="minorEastAsia"/>
          <w:szCs w:val="24"/>
        </w:rPr>
        <w:t>六枝特区化工园区</w:t>
      </w:r>
      <w:r>
        <w:rPr>
          <w:rFonts w:cs="Times New Roman" w:hAnsiTheme="minorEastAsia" w:eastAsiaTheme="minorEastAsia"/>
          <w:szCs w:val="24"/>
        </w:rPr>
        <w:t>。</w:t>
      </w:r>
      <w:r>
        <w:rPr>
          <w:rFonts w:cs="Times New Roman" w:hAnsiTheme="minorEastAsia" w:eastAsiaTheme="minorEastAsia"/>
        </w:rPr>
        <w:t>同时，还必须大力争取国家、省、市和其它外部力量支持，引导社会资源，保障规划顺利实施。为实现加快工业化进程，根据国家政策及</w:t>
      </w:r>
      <w:r>
        <w:rPr>
          <w:rFonts w:hint="eastAsia" w:cs="Times New Roman" w:hAnsiTheme="minorEastAsia" w:eastAsiaTheme="minorEastAsia"/>
        </w:rPr>
        <w:t>六枝特区化工园区</w:t>
      </w:r>
      <w:r>
        <w:rPr>
          <w:rFonts w:cs="Times New Roman" w:hAnsiTheme="minorEastAsia" w:eastAsiaTheme="minorEastAsia"/>
        </w:rPr>
        <w:t>的实际，特制定切实可行的保障措施，并认真加以落实，具体如下：</w:t>
      </w:r>
    </w:p>
    <w:p>
      <w:pPr>
        <w:pStyle w:val="4"/>
        <w:ind w:firstLine="602"/>
        <w:rPr>
          <w:rFonts w:cs="Times New Roman" w:eastAsiaTheme="minorEastAsia"/>
        </w:rPr>
      </w:pPr>
      <w:bookmarkStart w:id="434" w:name="_Toc316376908"/>
      <w:bookmarkStart w:id="435" w:name="_Toc126591895"/>
      <w:bookmarkStart w:id="436" w:name="_Toc302677900"/>
      <w:bookmarkStart w:id="437" w:name="_Toc295254515"/>
      <w:bookmarkStart w:id="438" w:name="_Toc23160"/>
      <w:r>
        <w:rPr>
          <w:rFonts w:cs="Times New Roman" w:eastAsiaTheme="minorEastAsia"/>
        </w:rPr>
        <w:t xml:space="preserve">10.1 </w:t>
      </w:r>
      <w:r>
        <w:rPr>
          <w:rFonts w:cs="Times New Roman" w:hAnsiTheme="minorEastAsia" w:eastAsiaTheme="minorEastAsia"/>
        </w:rPr>
        <w:t>积极争取省及市政府的政策支持</w:t>
      </w:r>
      <w:bookmarkEnd w:id="434"/>
      <w:bookmarkEnd w:id="435"/>
      <w:bookmarkEnd w:id="436"/>
      <w:bookmarkEnd w:id="437"/>
      <w:bookmarkEnd w:id="438"/>
    </w:p>
    <w:p>
      <w:pPr>
        <w:ind w:firstLine="560"/>
        <w:rPr>
          <w:rFonts w:cs="Times New Roman" w:eastAsiaTheme="minorEastAsia"/>
        </w:rPr>
      </w:pPr>
      <w:r>
        <w:rPr>
          <w:rFonts w:cs="Times New Roman" w:hAnsiTheme="minorEastAsia" w:eastAsiaTheme="minorEastAsia"/>
        </w:rPr>
        <w:t>政策是特殊的资源，要充分加以利用，使其转化为强大的生产力，快速助推</w:t>
      </w:r>
      <w:r>
        <w:rPr>
          <w:rFonts w:hint="eastAsia" w:cs="Times New Roman" w:hAnsiTheme="minorEastAsia" w:eastAsiaTheme="minorEastAsia"/>
        </w:rPr>
        <w:t>六枝特区化工园区</w:t>
      </w:r>
      <w:r>
        <w:rPr>
          <w:rFonts w:cs="Times New Roman" w:hAnsiTheme="minorEastAsia" w:eastAsiaTheme="minorEastAsia"/>
        </w:rPr>
        <w:t>的发展。当前国家加大对经济运行宏观调控力度，对各类开发区、经济区执行严格的政策调控，六枝特区有针对性地深入研究国家的产业政策和投资政策，积极主动与上级有关部门进行沟通联系，及时细致地掌握相关的政策信息和政策导向，用足用活用好国家政策，策划有较大影响力的工程项目，最大限度地争取国家的政策和投资支持。在国家政策大环境下，依托六枝特区的具体情况及资源优势，抢抓新时代西部大开发的有利时机，创造性地执行和运用国家政策。</w:t>
      </w:r>
    </w:p>
    <w:p>
      <w:pPr>
        <w:pStyle w:val="4"/>
        <w:ind w:firstLine="602"/>
        <w:rPr>
          <w:rFonts w:cs="Times New Roman" w:eastAsiaTheme="minorEastAsia"/>
        </w:rPr>
      </w:pPr>
      <w:bookmarkStart w:id="439" w:name="_Toc295254516"/>
      <w:bookmarkStart w:id="440" w:name="_Toc126591896"/>
      <w:bookmarkStart w:id="441" w:name="_Toc705"/>
      <w:bookmarkStart w:id="442" w:name="_Toc316376909"/>
      <w:bookmarkStart w:id="443" w:name="_Toc302677901"/>
      <w:r>
        <w:rPr>
          <w:rFonts w:cs="Times New Roman" w:eastAsiaTheme="minorEastAsia"/>
        </w:rPr>
        <w:t xml:space="preserve">10.2 </w:t>
      </w:r>
      <w:r>
        <w:rPr>
          <w:rFonts w:cs="Times New Roman" w:hAnsiTheme="minorEastAsia" w:eastAsiaTheme="minorEastAsia"/>
        </w:rPr>
        <w:t>按照国家产业政策，严格行业准入</w:t>
      </w:r>
      <w:bookmarkEnd w:id="439"/>
      <w:bookmarkEnd w:id="440"/>
      <w:bookmarkEnd w:id="441"/>
      <w:bookmarkEnd w:id="442"/>
      <w:bookmarkEnd w:id="443"/>
    </w:p>
    <w:p>
      <w:pPr>
        <w:ind w:firstLine="560"/>
        <w:rPr>
          <w:rFonts w:cs="Times New Roman" w:eastAsiaTheme="minorEastAsia"/>
        </w:rPr>
      </w:pPr>
      <w:r>
        <w:rPr>
          <w:rFonts w:cs="Times New Roman" w:hAnsiTheme="minorEastAsia" w:eastAsiaTheme="minorEastAsia"/>
        </w:rPr>
        <w:t>采用经济、行政和法律手段，严格执行行业准入要求，推进技术改造，加快推动产业的结构调整。严格审批项目，按照总量控制、统一布局、技术审查、环保把关、资金论证、择优比选的原则，从建设规模、环境保护、生产工艺、生产技术进步和科技创新方面，避免低水平的重复建设，避免环境污染，确保建设规模和生产工艺符合国家产业政策和环境保护要求。</w:t>
      </w:r>
    </w:p>
    <w:p>
      <w:pPr>
        <w:ind w:firstLine="560"/>
        <w:rPr>
          <w:rFonts w:cs="Times New Roman" w:eastAsiaTheme="minorEastAsia"/>
        </w:rPr>
      </w:pPr>
      <w:r>
        <w:rPr>
          <w:rFonts w:cs="Times New Roman" w:hAnsiTheme="minorEastAsia" w:eastAsiaTheme="minorEastAsia"/>
        </w:rPr>
        <w:t>新上项目必须严格按国家产业政策审查批准备案，着重从工艺技术与装备、生产规模、能源消耗、资源综合利用、环境保护等方面提高行业准入标准，严格市场准入。通过合理配置资源，从而促进园区内各产业健康、有序的发展。</w:t>
      </w:r>
    </w:p>
    <w:p>
      <w:pPr>
        <w:pStyle w:val="4"/>
        <w:ind w:firstLine="602"/>
        <w:rPr>
          <w:rFonts w:cs="Times New Roman" w:eastAsiaTheme="minorEastAsia"/>
        </w:rPr>
      </w:pPr>
      <w:bookmarkStart w:id="444" w:name="_Toc316376910"/>
      <w:bookmarkStart w:id="445" w:name="_Toc302677902"/>
      <w:bookmarkStart w:id="446" w:name="_Toc18042"/>
      <w:bookmarkStart w:id="447" w:name="_Toc295254517"/>
      <w:bookmarkStart w:id="448" w:name="_Toc126591897"/>
      <w:r>
        <w:rPr>
          <w:rFonts w:cs="Times New Roman" w:eastAsiaTheme="minorEastAsia"/>
        </w:rPr>
        <w:t xml:space="preserve">10.3 </w:t>
      </w:r>
      <w:r>
        <w:rPr>
          <w:rFonts w:cs="Times New Roman" w:hAnsiTheme="minorEastAsia" w:eastAsiaTheme="minorEastAsia"/>
        </w:rPr>
        <w:t>优化投资环境和强化政府服务</w:t>
      </w:r>
      <w:bookmarkEnd w:id="444"/>
      <w:bookmarkEnd w:id="445"/>
      <w:bookmarkEnd w:id="446"/>
      <w:bookmarkEnd w:id="447"/>
      <w:bookmarkEnd w:id="448"/>
    </w:p>
    <w:p>
      <w:pPr>
        <w:ind w:firstLine="560"/>
        <w:rPr>
          <w:rFonts w:cs="Times New Roman" w:eastAsiaTheme="minorEastAsia"/>
        </w:rPr>
      </w:pPr>
      <w:r>
        <w:rPr>
          <w:rFonts w:cs="Times New Roman" w:hAnsiTheme="minorEastAsia" w:eastAsiaTheme="minorEastAsia"/>
        </w:rPr>
        <w:t>近年来，六枝特区政府为加快经济发展，不断在优化投资环境、强化政府的服务上做工作。六枝特区政府自身通过体制机制创新和完善，为激发市场主体的积极性、创造性营造良好的制度和政策环境，最大限度地为壮大六枝特区的产业发展提供有利条件。</w:t>
      </w:r>
    </w:p>
    <w:p>
      <w:pPr>
        <w:ind w:firstLine="560"/>
        <w:rPr>
          <w:rFonts w:cs="Times New Roman" w:eastAsiaTheme="minorEastAsia"/>
        </w:rPr>
      </w:pPr>
      <w:r>
        <w:rPr>
          <w:rFonts w:cs="Times New Roman" w:hAnsiTheme="minorEastAsia" w:eastAsiaTheme="minorEastAsia"/>
        </w:rPr>
        <w:t>政府通过加强和改善经济运行调节。建立并完善科学的决策机制，综合运用规划、财政、金融经济等手段，发挥信贷、物价、税收等经济杠杆作用，解决影响经济社会发展中的重大问题；充分发挥市场配置资源的基础性作用，用规划引导市场主体行为。</w:t>
      </w:r>
    </w:p>
    <w:p>
      <w:pPr>
        <w:ind w:firstLine="560"/>
        <w:rPr>
          <w:rFonts w:cs="Times New Roman" w:eastAsiaTheme="minorEastAsia"/>
        </w:rPr>
      </w:pPr>
      <w:r>
        <w:rPr>
          <w:rFonts w:cs="Times New Roman" w:hAnsiTheme="minorEastAsia" w:eastAsiaTheme="minorEastAsia"/>
        </w:rPr>
        <w:t>优化投资环境，一是各级干部要解放思想、更新观念、勇于探索。其中，干部的开放意识、开放水平是最重要的投资环境。二是要改善硬件设施，要加快工业发展规划区域的水、电、路网等基础设施的建设。政府加大投资力度，或采取其他有效措施，尽快使化工园区的基础设施满足规模化工业生产的需要；三是要搞好软件建设，化工园区的相关配套服务功能部门要尽快完善，如园区管理、工商、税务、银行等部门的服务要及时跟上，方便客商，最大限度地便利于投资者。</w:t>
      </w:r>
    </w:p>
    <w:p>
      <w:pPr>
        <w:pStyle w:val="4"/>
        <w:ind w:firstLine="602"/>
        <w:rPr>
          <w:rFonts w:cs="Times New Roman" w:eastAsiaTheme="minorEastAsia"/>
        </w:rPr>
      </w:pPr>
      <w:bookmarkStart w:id="449" w:name="_Toc295254518"/>
      <w:bookmarkStart w:id="450" w:name="_Toc316376911"/>
      <w:bookmarkStart w:id="451" w:name="_Toc22271"/>
      <w:bookmarkStart w:id="452" w:name="_Toc302677903"/>
      <w:bookmarkStart w:id="453" w:name="_Toc126591898"/>
      <w:r>
        <w:rPr>
          <w:rFonts w:cs="Times New Roman" w:eastAsiaTheme="minorEastAsia"/>
        </w:rPr>
        <w:t>10.4</w:t>
      </w:r>
      <w:bookmarkEnd w:id="449"/>
      <w:r>
        <w:rPr>
          <w:rFonts w:cs="Times New Roman" w:hAnsiTheme="minorEastAsia" w:eastAsiaTheme="minorEastAsia"/>
        </w:rPr>
        <w:t>加强技术创新</w:t>
      </w:r>
      <w:bookmarkEnd w:id="450"/>
      <w:bookmarkEnd w:id="451"/>
      <w:bookmarkEnd w:id="452"/>
      <w:bookmarkEnd w:id="453"/>
    </w:p>
    <w:p>
      <w:pPr>
        <w:ind w:firstLine="560"/>
        <w:rPr>
          <w:rFonts w:cs="Times New Roman" w:eastAsiaTheme="minorEastAsia"/>
        </w:rPr>
      </w:pPr>
      <w:r>
        <w:rPr>
          <w:rFonts w:cs="Times New Roman" w:hAnsiTheme="minorEastAsia" w:eastAsiaTheme="minorEastAsia"/>
        </w:rPr>
        <w:t>以全面提升行业整体素质和国际竞争力为目标，大力增强企业的技术创新能力，确立企业科技创新和投入的主体地位，积极鼓励和支持园区所属产业紧紧围绕循环经济、资源深度加工发展，提高资源利用率，构建多资源共生耦合产业链网的目标，加大先进技术和适用技术的引进、消化、吸收和推广，重点加强关键性技术的攻关和研发，大力推进科技创新和科技成果转化，积极培养发展一批有自主知识产权和专利的企业发展壮大，努力加大科技投入，大力增加政府科技引导资金的投入，采取强有力的政策措施，积极鼓励和扶持园区企业加快研究开发机构建设。积极引导企业和科研院所开展、产、学、研结合，建立多渠道、多形式的紧密合作，建立和完善企业科技创新的极力机制，努力营造有利于企业技术创新的环境。</w:t>
      </w:r>
    </w:p>
    <w:p>
      <w:pPr>
        <w:pStyle w:val="4"/>
        <w:ind w:firstLine="602"/>
        <w:rPr>
          <w:rFonts w:cs="Times New Roman" w:eastAsiaTheme="minorEastAsia"/>
        </w:rPr>
      </w:pPr>
      <w:bookmarkStart w:id="454" w:name="_Toc295254519"/>
      <w:bookmarkStart w:id="455" w:name="_Toc316376912"/>
      <w:bookmarkStart w:id="456" w:name="_Toc302677904"/>
      <w:bookmarkStart w:id="457" w:name="_Toc7700"/>
      <w:bookmarkStart w:id="458" w:name="_Toc126591899"/>
      <w:r>
        <w:rPr>
          <w:rFonts w:cs="Times New Roman" w:eastAsiaTheme="minorEastAsia"/>
        </w:rPr>
        <w:t>10.5</w:t>
      </w:r>
      <w:bookmarkEnd w:id="454"/>
      <w:r>
        <w:rPr>
          <w:rFonts w:cs="Times New Roman" w:hAnsiTheme="minorEastAsia" w:eastAsiaTheme="minorEastAsia"/>
        </w:rPr>
        <w:t>拓宽融资渠道</w:t>
      </w:r>
      <w:bookmarkEnd w:id="455"/>
      <w:bookmarkEnd w:id="456"/>
      <w:bookmarkEnd w:id="457"/>
      <w:bookmarkEnd w:id="458"/>
    </w:p>
    <w:p>
      <w:pPr>
        <w:ind w:firstLine="560"/>
        <w:rPr>
          <w:rFonts w:cs="Times New Roman" w:eastAsiaTheme="minorEastAsia"/>
        </w:rPr>
      </w:pPr>
      <w:r>
        <w:rPr>
          <w:rFonts w:cs="Times New Roman" w:hAnsiTheme="minorEastAsia" w:eastAsiaTheme="minorEastAsia"/>
        </w:rPr>
        <w:t>加强投、融资力度，增强自我发展能力。</w:t>
      </w:r>
    </w:p>
    <w:p>
      <w:pPr>
        <w:ind w:firstLine="560"/>
        <w:rPr>
          <w:rFonts w:cs="Times New Roman" w:eastAsiaTheme="minorEastAsia"/>
        </w:rPr>
      </w:pPr>
      <w:r>
        <w:rPr>
          <w:rFonts w:cs="Times New Roman" w:hAnsiTheme="minorEastAsia" w:eastAsiaTheme="minorEastAsia"/>
        </w:rPr>
        <w:t>一是政府财政投资。园区发展必须是先有投入，后有回报。大力增加地方财政投入，大力支持优势企业的重点项目建设，建立和完善贷款财政贴息制度，多渠道增加园区的发展投入，推进投资主体多元化，力争把基础设施建设项目、骨干企业重点技术改造、争取国家对基础设施建设或重大项目的投入。</w:t>
      </w:r>
    </w:p>
    <w:p>
      <w:pPr>
        <w:ind w:firstLine="560"/>
        <w:rPr>
          <w:rFonts w:cs="Times New Roman" w:eastAsiaTheme="minorEastAsia"/>
        </w:rPr>
      </w:pPr>
      <w:r>
        <w:rPr>
          <w:rFonts w:cs="Times New Roman" w:hAnsiTheme="minorEastAsia" w:eastAsiaTheme="minorEastAsia"/>
        </w:rPr>
        <w:t>二是银行贷款。通过政府的前期投入，充分利用可开发的土地和自有资产等进行融资。积极协调金融机构，加强对重点企业和项目的信贷支持。积极鼓励产业园区内的企业扩大生产规模，采取多种方式，筹集资金。建立优化配置财政性资金的有效机制，支持外来投资企业的科技创新活动。支持落户本地的外来投资企业在国内外资本市场上市融资，增强对本地产业发展的带动能力。</w:t>
      </w:r>
    </w:p>
    <w:p>
      <w:pPr>
        <w:ind w:firstLine="560"/>
        <w:rPr>
          <w:rFonts w:cs="Times New Roman" w:eastAsiaTheme="minorEastAsia"/>
        </w:rPr>
      </w:pPr>
      <w:r>
        <w:rPr>
          <w:rFonts w:cs="Times New Roman" w:hAnsiTheme="minorEastAsia" w:eastAsiaTheme="minorEastAsia"/>
        </w:rPr>
        <w:t>此外，信贷制度作为市场经济的基础，也是优化经济环境的治本之策。要加快建立、健全区域性社会信贷体系，采取政府推动、整合资源、市场运作的方式，以政府信用、企业信用、个人信用为重点，建立健全信用监管体系，形成以道德为支撑、产权为基础、法律为保障的社会信用制度。</w:t>
      </w:r>
    </w:p>
    <w:p>
      <w:pPr>
        <w:ind w:firstLine="560"/>
        <w:rPr>
          <w:rFonts w:cs="Times New Roman" w:eastAsiaTheme="minorEastAsia"/>
        </w:rPr>
      </w:pPr>
      <w:r>
        <w:rPr>
          <w:rFonts w:cs="Times New Roman" w:hAnsiTheme="minorEastAsia" w:eastAsiaTheme="minorEastAsia"/>
        </w:rPr>
        <w:t>三是争资立项。即通过积极争取国家政策性支持和国家开发银行贷款进行融资，以支持开发区基础设施建设和土地开发。</w:t>
      </w:r>
    </w:p>
    <w:p>
      <w:pPr>
        <w:pStyle w:val="4"/>
        <w:ind w:firstLine="602"/>
        <w:rPr>
          <w:rFonts w:cs="Times New Roman" w:eastAsiaTheme="minorEastAsia"/>
        </w:rPr>
      </w:pPr>
      <w:bookmarkStart w:id="459" w:name="_Toc31709"/>
      <w:bookmarkStart w:id="460" w:name="_Toc302677905"/>
      <w:bookmarkStart w:id="461" w:name="_Toc295254520"/>
      <w:bookmarkStart w:id="462" w:name="_Toc316376913"/>
      <w:bookmarkStart w:id="463" w:name="_Toc126591900"/>
      <w:bookmarkStart w:id="464" w:name="_Toc316376914"/>
      <w:bookmarkStart w:id="465" w:name="_Toc302677906"/>
      <w:bookmarkStart w:id="466" w:name="_Toc12952"/>
      <w:r>
        <w:rPr>
          <w:rFonts w:cs="Times New Roman" w:eastAsiaTheme="minorEastAsia"/>
        </w:rPr>
        <w:t xml:space="preserve">10.6 </w:t>
      </w:r>
      <w:r>
        <w:rPr>
          <w:rFonts w:cs="Times New Roman" w:hAnsiTheme="minorEastAsia" w:eastAsiaTheme="minorEastAsia"/>
        </w:rPr>
        <w:t>加强人才队伍建设</w:t>
      </w:r>
      <w:bookmarkEnd w:id="459"/>
      <w:bookmarkEnd w:id="460"/>
      <w:bookmarkEnd w:id="461"/>
      <w:bookmarkEnd w:id="462"/>
      <w:bookmarkEnd w:id="463"/>
    </w:p>
    <w:p>
      <w:pPr>
        <w:ind w:firstLine="560"/>
        <w:rPr>
          <w:rFonts w:cs="Times New Roman" w:eastAsiaTheme="minorEastAsia"/>
        </w:rPr>
      </w:pPr>
      <w:r>
        <w:rPr>
          <w:rFonts w:cs="Times New Roman" w:hAnsiTheme="minorEastAsia" w:eastAsiaTheme="minorEastAsia"/>
        </w:rPr>
        <w:t>经过多年的发展，六枝特区已培养了一批产业方面的管理、经贸及技术人员等优秀人才队伍，但由于受企业性质、企业规模及装备水平等方面的制约，随着技术进步及全球经济一体化的发展，还需要培育一批满足高效能、技术密集型企业发展的高要求人才。坚持以服务发展、人才优先、以用为本、创新机制、高端引领、整体开发的指导方针，加强</w:t>
      </w:r>
      <w:r>
        <w:rPr>
          <w:rFonts w:hint="eastAsia" w:cs="Times New Roman" w:hAnsiTheme="minorEastAsia" w:eastAsiaTheme="minorEastAsia"/>
        </w:rPr>
        <w:t>六枝特区化工园区</w:t>
      </w:r>
      <w:r>
        <w:rPr>
          <w:rFonts w:cs="Times New Roman" w:hAnsiTheme="minorEastAsia" w:eastAsiaTheme="minorEastAsia"/>
        </w:rPr>
        <w:t>发展需要的各类人才队伍建设。大力实施各类优秀人才培养工程，广泛引进重点领域、重点产业、重点学科、重点项目急需人才。创新人才工作体制机制，优化人才培养和使用环境，努力做到人才资源优先开发，人才结构优先调整，人才投资优先保证，人才制度优先创新。建立完善人才评价体系、人才竞争机制、人才激励机制、干部联系专家制度，充分发挥人才在经济社会发展中的基础性、战略性和决定性作用。</w:t>
      </w:r>
    </w:p>
    <w:p>
      <w:pPr>
        <w:ind w:firstLine="560"/>
        <w:rPr>
          <w:rFonts w:cs="Times New Roman" w:eastAsiaTheme="minorEastAsia"/>
        </w:rPr>
      </w:pPr>
      <w:r>
        <w:rPr>
          <w:rFonts w:cs="Times New Roman" w:hAnsiTheme="minorEastAsia" w:eastAsiaTheme="minorEastAsia"/>
        </w:rPr>
        <w:t>企业必须围绕产业发展，积极实施人才强企战略，加快培养一大批职业道德高尚、技术精湛、懂管理、善经营的产业人才队伍。结合重点项目和重点研发建设，采用多种形式，抓好企业职工的培训，特别要培养一批具有较高操作能力的技术工人，形成高素质、多层次的适用人才体系，不断提高产业职工的素质。引导企业重视文化建设，积极创建学习型企业。</w:t>
      </w:r>
    </w:p>
    <w:p>
      <w:pPr>
        <w:pStyle w:val="4"/>
        <w:ind w:firstLine="602"/>
        <w:rPr>
          <w:rFonts w:cs="Times New Roman" w:eastAsiaTheme="minorEastAsia"/>
        </w:rPr>
      </w:pPr>
      <w:bookmarkStart w:id="467" w:name="_Toc126591901"/>
      <w:r>
        <w:rPr>
          <w:rFonts w:cs="Times New Roman" w:eastAsiaTheme="minorEastAsia"/>
        </w:rPr>
        <w:t xml:space="preserve">10.7 </w:t>
      </w:r>
      <w:r>
        <w:rPr>
          <w:rFonts w:cs="Times New Roman" w:hAnsiTheme="minorEastAsia" w:eastAsiaTheme="minorEastAsia"/>
        </w:rPr>
        <w:t>大力推动工业技术创新和产业升级</w:t>
      </w:r>
      <w:bookmarkEnd w:id="464"/>
      <w:bookmarkEnd w:id="465"/>
      <w:bookmarkEnd w:id="466"/>
      <w:bookmarkEnd w:id="467"/>
    </w:p>
    <w:p>
      <w:pPr>
        <w:ind w:firstLine="560"/>
        <w:rPr>
          <w:rFonts w:cs="Times New Roman" w:eastAsiaTheme="minorEastAsia"/>
        </w:rPr>
      </w:pPr>
      <w:r>
        <w:rPr>
          <w:rFonts w:cs="Times New Roman" w:hAnsiTheme="minorEastAsia" w:eastAsiaTheme="minorEastAsia"/>
        </w:rPr>
        <w:t>加快构建以企业为主体、产学研相结合、充满活力的工业创新体系，把合作创新、引进消化吸收再创新作为实现科技创新的主要途径，充分发挥企业的主体作用和科研机构、高校的骨干作用。加强科技研发基础平台和科技资源共享平台建设，积极创造有利于新产品开发及行业共性、关键性技术开发和推广应用的平台，市级建立科技创新专项资金，打造科技快速发展助推器。依托大中型企业科技研发中心，培育技术创新</w:t>
      </w:r>
      <w:r>
        <w:rPr>
          <w:rFonts w:cs="Times New Roman" w:eastAsiaTheme="minorEastAsia"/>
        </w:rPr>
        <w:t>“</w:t>
      </w:r>
      <w:r>
        <w:rPr>
          <w:rFonts w:cs="Times New Roman" w:hAnsiTheme="minorEastAsia" w:eastAsiaTheme="minorEastAsia"/>
        </w:rPr>
        <w:t>孵化器</w:t>
      </w:r>
      <w:r>
        <w:rPr>
          <w:rFonts w:cs="Times New Roman" w:eastAsiaTheme="minorEastAsia"/>
        </w:rPr>
        <w:t>”</w:t>
      </w:r>
      <w:r>
        <w:rPr>
          <w:rFonts w:cs="Times New Roman" w:hAnsiTheme="minorEastAsia" w:eastAsiaTheme="minorEastAsia"/>
        </w:rPr>
        <w:t>，加快科技成果转化鼓励科研院所或大学科研人员建立政府扶持、市场化运作，面向行业、区域的技术服务机构，提升创新服务能力，大力发展技术咨询、评估、转让等中介服务机构，培育发展技术市场，建立较为完善的科技创新服务体系。推进以信息化带动工业化，促进产业不断升级。坚持运用高新技术和信息技术改造传统产业，加快推进工业化和信息化融合。</w:t>
      </w:r>
    </w:p>
    <w:p>
      <w:pPr>
        <w:ind w:firstLine="560"/>
        <w:rPr>
          <w:rFonts w:cs="Times New Roman" w:eastAsiaTheme="minorEastAsia"/>
        </w:rPr>
      </w:pPr>
      <w:r>
        <w:rPr>
          <w:rFonts w:cs="Times New Roman" w:eastAsiaTheme="minorEastAsia"/>
        </w:rPr>
        <w:br w:type="page"/>
      </w:r>
    </w:p>
    <w:p>
      <w:pPr>
        <w:pStyle w:val="3"/>
        <w:spacing w:before="120" w:after="120"/>
        <w:ind w:firstLine="643"/>
        <w:rPr>
          <w:rFonts w:cs="Times New Roman" w:eastAsiaTheme="minorEastAsia"/>
        </w:rPr>
      </w:pPr>
      <w:bookmarkStart w:id="468" w:name="_Toc126591902"/>
      <w:r>
        <w:rPr>
          <w:rFonts w:cs="Times New Roman" w:hAnsiTheme="minorEastAsia" w:eastAsiaTheme="minorEastAsia"/>
        </w:rPr>
        <w:t>第十一章规划效果</w:t>
      </w:r>
      <w:bookmarkEnd w:id="468"/>
    </w:p>
    <w:p>
      <w:pPr>
        <w:pStyle w:val="4"/>
        <w:ind w:firstLine="602"/>
        <w:rPr>
          <w:rFonts w:cs="Times New Roman" w:eastAsiaTheme="minorEastAsia"/>
        </w:rPr>
      </w:pPr>
      <w:bookmarkStart w:id="469" w:name="_Toc126591903"/>
      <w:r>
        <w:rPr>
          <w:rFonts w:cs="Times New Roman" w:eastAsiaTheme="minorEastAsia"/>
        </w:rPr>
        <w:t xml:space="preserve">11.1 </w:t>
      </w:r>
      <w:r>
        <w:rPr>
          <w:rFonts w:cs="Times New Roman" w:hAnsiTheme="minorEastAsia" w:eastAsiaTheme="minorEastAsia"/>
        </w:rPr>
        <w:t>总体效果</w:t>
      </w:r>
      <w:bookmarkEnd w:id="469"/>
    </w:p>
    <w:p>
      <w:pPr>
        <w:ind w:firstLine="560"/>
        <w:rPr>
          <w:rFonts w:cs="Times New Roman" w:hAnsiTheme="minorEastAsia" w:eastAsiaTheme="minorEastAsia"/>
        </w:rPr>
      </w:pPr>
      <w:r>
        <w:rPr>
          <w:rFonts w:cs="Times New Roman" w:hAnsiTheme="minorEastAsia" w:eastAsiaTheme="minorEastAsia"/>
        </w:rPr>
        <w:t>到</w:t>
      </w:r>
      <w:r>
        <w:rPr>
          <w:rFonts w:cs="Times New Roman" w:eastAsiaTheme="minorEastAsia"/>
        </w:rPr>
        <w:t>202</w:t>
      </w:r>
      <w:r>
        <w:rPr>
          <w:rFonts w:hint="eastAsia" w:cs="Times New Roman" w:eastAsiaTheme="minorEastAsia"/>
        </w:rPr>
        <w:t>8</w:t>
      </w:r>
      <w:r>
        <w:rPr>
          <w:rFonts w:cs="Times New Roman" w:hAnsiTheme="minorEastAsia" w:eastAsiaTheme="minorEastAsia"/>
        </w:rPr>
        <w:t>年</w:t>
      </w:r>
      <w:r>
        <w:rPr>
          <w:rFonts w:hint="eastAsia" w:cs="Times New Roman" w:hAnsiTheme="minorEastAsia" w:eastAsiaTheme="minorEastAsia"/>
        </w:rPr>
        <w:t>六枝特区化工园区</w:t>
      </w:r>
      <w:r>
        <w:rPr>
          <w:rFonts w:cs="Times New Roman" w:hAnsiTheme="minorEastAsia" w:eastAsiaTheme="minorEastAsia"/>
        </w:rPr>
        <w:t>转型升级取得决定性成果，产业链条不断完整，产业结构不断优化，在产业布局上形成</w:t>
      </w:r>
      <w:r>
        <w:rPr>
          <w:rFonts w:cs="Times New Roman" w:eastAsiaTheme="minorEastAsia"/>
        </w:rPr>
        <w:t>“</w:t>
      </w:r>
      <w:r>
        <w:rPr>
          <w:rFonts w:cs="Times New Roman" w:hAnsiTheme="minorEastAsia" w:eastAsiaTheme="minorEastAsia"/>
        </w:rPr>
        <w:t>一园两区</w:t>
      </w:r>
      <w:r>
        <w:rPr>
          <w:rFonts w:cs="Times New Roman" w:eastAsiaTheme="minorEastAsia"/>
        </w:rPr>
        <w:t>”</w:t>
      </w:r>
      <w:r>
        <w:rPr>
          <w:rFonts w:cs="Times New Roman" w:hAnsiTheme="minorEastAsia" w:eastAsiaTheme="minorEastAsia"/>
        </w:rPr>
        <w:t>的结构，即</w:t>
      </w:r>
      <w:r>
        <w:rPr>
          <w:rFonts w:hint="eastAsia" w:cs="Times New Roman" w:hAnsiTheme="minorEastAsia" w:eastAsiaTheme="minorEastAsia"/>
        </w:rPr>
        <w:t>现代煤化工产业区</w:t>
      </w:r>
      <w:r>
        <w:rPr>
          <w:rFonts w:cs="Times New Roman" w:hAnsiTheme="minorEastAsia" w:eastAsiaTheme="minorEastAsia"/>
        </w:rPr>
        <w:t>和</w:t>
      </w:r>
      <w:r>
        <w:rPr>
          <w:rFonts w:hint="eastAsia" w:cs="Times New Roman" w:hAnsiTheme="minorEastAsia" w:eastAsiaTheme="minorEastAsia"/>
        </w:rPr>
        <w:t>精细化工</w:t>
      </w:r>
      <w:r>
        <w:rPr>
          <w:rFonts w:cs="Times New Roman" w:hAnsiTheme="minorEastAsia" w:eastAsiaTheme="minorEastAsia"/>
        </w:rPr>
        <w:t>两大片区。初步形成以</w:t>
      </w:r>
      <w:r>
        <w:rPr>
          <w:rFonts w:hint="eastAsia" w:cs="Times New Roman" w:hAnsiTheme="minorEastAsia" w:eastAsiaTheme="minorEastAsia"/>
        </w:rPr>
        <w:t>现代煤化工、</w:t>
      </w:r>
      <w:r>
        <w:rPr>
          <w:rFonts w:hint="eastAsia" w:cs="Times New Roman" w:hAnsiTheme="minorEastAsia" w:eastAsiaTheme="minorEastAsia"/>
          <w:kern w:val="0"/>
        </w:rPr>
        <w:t>锂电池储能化学品</w:t>
      </w:r>
      <w:r>
        <w:rPr>
          <w:rFonts w:cs="Times New Roman" w:hAnsiTheme="minorEastAsia" w:eastAsiaTheme="minorEastAsia"/>
        </w:rPr>
        <w:t>为龙头，</w:t>
      </w:r>
      <w:r>
        <w:rPr>
          <w:rFonts w:hint="eastAsia" w:cs="Times New Roman" w:hAnsiTheme="minorEastAsia" w:eastAsiaTheme="minorEastAsia"/>
        </w:rPr>
        <w:t>其它精细</w:t>
      </w:r>
      <w:r>
        <w:rPr>
          <w:rFonts w:cs="Times New Roman" w:hAnsiTheme="minorEastAsia" w:eastAsiaTheme="minorEastAsia"/>
        </w:rPr>
        <w:t>化学品为支撑的产业结构</w:t>
      </w:r>
      <w:r>
        <w:rPr>
          <w:rFonts w:hint="eastAsia" w:cs="Times New Roman" w:hAnsiTheme="minorEastAsia" w:eastAsiaTheme="minorEastAsia"/>
        </w:rPr>
        <w:t>。现代煤</w:t>
      </w:r>
      <w:r>
        <w:rPr>
          <w:rFonts w:cs="Times New Roman" w:hAnsiTheme="minorEastAsia" w:eastAsiaTheme="minorEastAsia"/>
        </w:rPr>
        <w:t>化工方面，</w:t>
      </w:r>
      <w:r>
        <w:rPr>
          <w:rFonts w:hint="eastAsia" w:cs="Times New Roman" w:hAnsiTheme="minorEastAsia" w:eastAsiaTheme="minorEastAsia"/>
        </w:rPr>
        <w:t>六枝特区化工园区</w:t>
      </w:r>
      <w:r>
        <w:rPr>
          <w:rFonts w:cs="Times New Roman" w:hAnsiTheme="minorEastAsia" w:eastAsiaTheme="minorEastAsia"/>
        </w:rPr>
        <w:t>规划</w:t>
      </w:r>
      <w:r>
        <w:rPr>
          <w:rFonts w:cs="Times New Roman" w:eastAsiaTheme="minorEastAsia"/>
        </w:rPr>
        <w:t>400万吨/</w:t>
      </w:r>
      <w:r>
        <w:rPr>
          <w:rFonts w:cs="Times New Roman" w:hAnsiTheme="minorEastAsia" w:eastAsiaTheme="minorEastAsia"/>
        </w:rPr>
        <w:t>年焦炭、</w:t>
      </w:r>
      <w:r>
        <w:rPr>
          <w:rFonts w:cs="Times New Roman" w:eastAsiaTheme="minorEastAsia"/>
        </w:rPr>
        <w:t>20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年煤焦油、</w:t>
      </w:r>
      <w:r>
        <w:rPr>
          <w:rFonts w:cs="Times New Roman" w:eastAsiaTheme="minorEastAsia"/>
        </w:rPr>
        <w:t>20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w:t>
      </w:r>
      <w:r>
        <w:rPr>
          <w:rFonts w:cs="Times New Roman" w:eastAsiaTheme="minorEastAsia"/>
        </w:rPr>
        <w:t>LNG</w:t>
      </w:r>
      <w:r>
        <w:rPr>
          <w:rFonts w:cs="Times New Roman" w:hAnsiTheme="minorEastAsia" w:eastAsiaTheme="minorEastAsia"/>
        </w:rPr>
        <w:t>、</w:t>
      </w:r>
      <w:r>
        <w:rPr>
          <w:rFonts w:cs="Times New Roman" w:eastAsiaTheme="minorEastAsia"/>
        </w:rPr>
        <w:t>30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年液氨、</w:t>
      </w:r>
      <w:r>
        <w:rPr>
          <w:rFonts w:cs="Times New Roman" w:eastAsiaTheme="minorEastAsia"/>
        </w:rPr>
        <w:t>15</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年液态二氧化碳、</w:t>
      </w:r>
      <w:r>
        <w:rPr>
          <w:rFonts w:cs="Times New Roman" w:eastAsiaTheme="minorEastAsia"/>
        </w:rPr>
        <w:t>5.</w:t>
      </w:r>
      <w:r>
        <w:rPr>
          <w:rFonts w:hint="eastAsia" w:cs="Times New Roman" w:eastAsiaTheme="minorEastAsia"/>
        </w:rPr>
        <w:t>5</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年粗苯、</w:t>
      </w:r>
      <w:r>
        <w:rPr>
          <w:rFonts w:hint="eastAsia" w:cs="Times New Roman" w:eastAsiaTheme="minorEastAsia"/>
        </w:rPr>
        <w:t>5</w:t>
      </w:r>
      <w:r>
        <w:rPr>
          <w:rFonts w:cs="Times New Roman" w:eastAsiaTheme="minorEastAsia"/>
        </w:rPr>
        <w:t>.4</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年硫铵、</w:t>
      </w:r>
      <w:r>
        <w:rPr>
          <w:rFonts w:cs="Times New Roman"/>
          <w:kern w:val="0"/>
          <w:szCs w:val="28"/>
        </w:rPr>
        <w:t>11000</w:t>
      </w:r>
      <w:r>
        <w:rPr>
          <w:rFonts w:hint="eastAsia" w:cs="Times New Roman"/>
          <w:kern w:val="0"/>
          <w:szCs w:val="28"/>
        </w:rPr>
        <w:t>m</w:t>
      </w:r>
      <w:r>
        <w:rPr>
          <w:rFonts w:hint="eastAsia" w:cs="Times New Roman"/>
          <w:kern w:val="0"/>
          <w:szCs w:val="28"/>
          <w:vertAlign w:val="superscript"/>
        </w:rPr>
        <w:t>3</w:t>
      </w:r>
      <w:r>
        <w:rPr>
          <w:rFonts w:hint="eastAsia" w:cs="Times New Roman"/>
          <w:kern w:val="0"/>
          <w:szCs w:val="28"/>
        </w:rPr>
        <w:t>/h</w:t>
      </w:r>
      <w:r>
        <w:rPr>
          <w:rFonts w:cs="Times New Roman" w:hAnsiTheme="minorEastAsia" w:eastAsiaTheme="minorEastAsia"/>
        </w:rPr>
        <w:t>高纯氢项目</w:t>
      </w:r>
      <w:r>
        <w:rPr>
          <w:rFonts w:hint="eastAsia" w:cs="Times New Roman" w:hAnsiTheme="minorEastAsia" w:eastAsiaTheme="minorEastAsia"/>
        </w:rPr>
        <w:t>；精细化工方面，</w:t>
      </w:r>
      <w:r>
        <w:rPr>
          <w:rFonts w:cs="Times New Roman" w:hAnsiTheme="minorEastAsia" w:eastAsiaTheme="minorEastAsia"/>
        </w:rPr>
        <w:t>建成2.3</w:t>
      </w:r>
      <w:r>
        <w:rPr>
          <w:rFonts w:hint="eastAsia" w:cs="Times New Roman" w:hAnsiTheme="minorEastAsia" w:eastAsiaTheme="minorEastAsia"/>
        </w:rPr>
        <w:t>万</w:t>
      </w:r>
      <w:r>
        <w:rPr>
          <w:rFonts w:cs="Times New Roman" w:hAnsiTheme="minorEastAsia" w:eastAsiaTheme="minorEastAsia"/>
        </w:rPr>
        <w:t>吨</w:t>
      </w:r>
      <w:r>
        <w:rPr>
          <w:rFonts w:hint="eastAsia" w:cs="Times New Roman" w:hAnsiTheme="minorEastAsia" w:eastAsiaTheme="minorEastAsia"/>
        </w:rPr>
        <w:t>/年</w:t>
      </w:r>
      <w:r>
        <w:rPr>
          <w:rFonts w:cs="Times New Roman" w:hAnsiTheme="minorEastAsia" w:eastAsiaTheme="minorEastAsia"/>
        </w:rPr>
        <w:t>碳酸锂、</w:t>
      </w:r>
      <w:r>
        <w:rPr>
          <w:rFonts w:cs="Times New Roman" w:eastAsiaTheme="minorEastAsia"/>
        </w:rPr>
        <w:t>10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年磷酸铁锂项目</w:t>
      </w:r>
      <w:r>
        <w:rPr>
          <w:rFonts w:hint="eastAsia" w:cs="Times New Roman" w:hAnsiTheme="minorEastAsia" w:eastAsiaTheme="minorEastAsia"/>
        </w:rPr>
        <w:t>。</w:t>
      </w:r>
      <w:r>
        <w:rPr>
          <w:rFonts w:cs="Times New Roman" w:hAnsiTheme="minorEastAsia" w:eastAsiaTheme="minorEastAsia"/>
        </w:rPr>
        <w:t>园区累计新增投资达到</w:t>
      </w:r>
      <w:r>
        <w:rPr>
          <w:rFonts w:cs="Times New Roman" w:eastAsiaTheme="minorEastAsia"/>
        </w:rPr>
        <w:t>135.0</w:t>
      </w:r>
      <w:r>
        <w:rPr>
          <w:rFonts w:cs="Times New Roman" w:hAnsiTheme="minorEastAsia" w:eastAsiaTheme="minorEastAsia"/>
        </w:rPr>
        <w:t>亿元，年产值新增</w:t>
      </w:r>
      <w:r>
        <w:rPr>
          <w:rFonts w:hint="eastAsia" w:cs="Times New Roman" w:hAnsiTheme="minorEastAsia" w:eastAsiaTheme="minorEastAsia"/>
        </w:rPr>
        <w:t>271.46</w:t>
      </w:r>
      <w:r>
        <w:rPr>
          <w:rFonts w:cs="Times New Roman" w:hAnsiTheme="minorEastAsia" w:eastAsiaTheme="minorEastAsia"/>
        </w:rPr>
        <w:t>亿元，年利税新增27.76亿元。园区清洁生产水平大大提高，确保实现安全环保发展，全部污染物达标排放，主要污染物排放满足总量控制要求，固废实现充分综合利用。</w:t>
      </w:r>
    </w:p>
    <w:p>
      <w:pPr>
        <w:ind w:firstLine="560"/>
        <w:rPr>
          <w:rFonts w:cs="Times New Roman" w:hAnsiTheme="minorEastAsia" w:eastAsiaTheme="minorEastAsia"/>
        </w:rPr>
      </w:pPr>
      <w:r>
        <w:rPr>
          <w:rFonts w:cs="Times New Roman" w:hAnsiTheme="minorEastAsia" w:eastAsiaTheme="minorEastAsia"/>
        </w:rPr>
        <w:t>展望</w:t>
      </w:r>
      <w:r>
        <w:rPr>
          <w:rFonts w:cs="Times New Roman" w:eastAsiaTheme="minorEastAsia"/>
        </w:rPr>
        <w:t>202</w:t>
      </w:r>
      <w:r>
        <w:rPr>
          <w:rFonts w:hint="eastAsia" w:cs="Times New Roman" w:eastAsiaTheme="minorEastAsia"/>
        </w:rPr>
        <w:t>9</w:t>
      </w:r>
      <w:r>
        <w:rPr>
          <w:rFonts w:cs="Times New Roman" w:eastAsiaTheme="minorEastAsia"/>
        </w:rPr>
        <w:t>-2035</w:t>
      </w:r>
      <w:r>
        <w:rPr>
          <w:rFonts w:cs="Times New Roman" w:hAnsiTheme="minorEastAsia" w:eastAsiaTheme="minorEastAsia"/>
        </w:rPr>
        <w:t>年，</w:t>
      </w:r>
      <w:r>
        <w:rPr>
          <w:rFonts w:hint="eastAsia" w:cs="Times New Roman" w:hAnsiTheme="minorEastAsia" w:eastAsiaTheme="minorEastAsia"/>
        </w:rPr>
        <w:t>六枝特区化工园区</w:t>
      </w:r>
      <w:r>
        <w:rPr>
          <w:rFonts w:cs="Times New Roman" w:hAnsiTheme="minorEastAsia" w:eastAsiaTheme="minorEastAsia"/>
        </w:rPr>
        <w:t>高质量发展进入新阶段，</w:t>
      </w:r>
      <w:r>
        <w:rPr>
          <w:rFonts w:hint="eastAsia" w:cs="Times New Roman" w:hAnsiTheme="minorEastAsia" w:eastAsiaTheme="minorEastAsia"/>
        </w:rPr>
        <w:t>以煤焦化产品</w:t>
      </w:r>
      <w:r>
        <w:rPr>
          <w:rFonts w:cs="Times New Roman" w:hAnsiTheme="minorEastAsia" w:eastAsiaTheme="minorEastAsia"/>
        </w:rPr>
        <w:t>为原料开展</w:t>
      </w:r>
      <w:r>
        <w:rPr>
          <w:rFonts w:hint="eastAsia" w:cs="Times New Roman" w:hAnsiTheme="minorEastAsia" w:eastAsiaTheme="minorEastAsia"/>
        </w:rPr>
        <w:t>精深</w:t>
      </w:r>
      <w:r>
        <w:rPr>
          <w:rFonts w:cs="Times New Roman" w:hAnsiTheme="minorEastAsia" w:eastAsiaTheme="minorEastAsia"/>
        </w:rPr>
        <w:t>加工</w:t>
      </w:r>
      <w:r>
        <w:rPr>
          <w:rFonts w:hint="eastAsia" w:cs="Times New Roman" w:hAnsiTheme="minorEastAsia" w:eastAsiaTheme="minorEastAsia"/>
        </w:rPr>
        <w:t>，同时延伸</w:t>
      </w:r>
      <w:r>
        <w:rPr>
          <w:rFonts w:cs="Times New Roman" w:hAnsiTheme="minorEastAsia" w:eastAsiaTheme="minorEastAsia"/>
        </w:rPr>
        <w:t>锂电池储能</w:t>
      </w:r>
      <w:r>
        <w:rPr>
          <w:rFonts w:hint="eastAsia" w:cs="Times New Roman" w:hAnsiTheme="minorEastAsia" w:eastAsiaTheme="minorEastAsia"/>
        </w:rPr>
        <w:t>化学品</w:t>
      </w:r>
      <w:r>
        <w:rPr>
          <w:rFonts w:cs="Times New Roman" w:hAnsiTheme="minorEastAsia" w:eastAsiaTheme="minorEastAsia"/>
        </w:rPr>
        <w:t>产业链</w:t>
      </w:r>
      <w:r>
        <w:rPr>
          <w:rFonts w:hint="eastAsia" w:cs="Times New Roman" w:hAnsiTheme="minorEastAsia" w:eastAsiaTheme="minorEastAsia"/>
        </w:rPr>
        <w:t>，将</w:t>
      </w:r>
      <w:r>
        <w:rPr>
          <w:rFonts w:cs="Times New Roman" w:hAnsiTheme="minorEastAsia" w:eastAsiaTheme="minorEastAsia"/>
        </w:rPr>
        <w:t>资源优势变化为产品</w:t>
      </w:r>
      <w:r>
        <w:rPr>
          <w:rFonts w:hint="eastAsia" w:cs="Times New Roman" w:hAnsiTheme="minorEastAsia" w:eastAsiaTheme="minorEastAsia"/>
        </w:rPr>
        <w:t>和</w:t>
      </w:r>
      <w:r>
        <w:rPr>
          <w:rFonts w:cs="Times New Roman" w:hAnsiTheme="minorEastAsia" w:eastAsiaTheme="minorEastAsia"/>
        </w:rPr>
        <w:t>技术优势。</w:t>
      </w:r>
      <w:r>
        <w:rPr>
          <w:rFonts w:hint="eastAsia" w:cs="Times New Roman" w:hAnsiTheme="minorEastAsia" w:eastAsiaTheme="minorEastAsia"/>
        </w:rPr>
        <w:t>现代</w:t>
      </w:r>
      <w:r>
        <w:rPr>
          <w:rFonts w:cs="Times New Roman" w:hAnsiTheme="minorEastAsia" w:eastAsiaTheme="minorEastAsia"/>
        </w:rPr>
        <w:t>现代煤化工</w:t>
      </w:r>
      <w:r>
        <w:rPr>
          <w:rFonts w:hint="eastAsia" w:cs="Times New Roman" w:hAnsiTheme="minorEastAsia" w:eastAsiaTheme="minorEastAsia"/>
        </w:rPr>
        <w:t>和</w:t>
      </w:r>
      <w:r>
        <w:rPr>
          <w:rFonts w:cs="Times New Roman" w:hAnsiTheme="minorEastAsia" w:eastAsiaTheme="minorEastAsia"/>
        </w:rPr>
        <w:t>锂电储能</w:t>
      </w:r>
      <w:r>
        <w:rPr>
          <w:rFonts w:hint="eastAsia" w:cs="Times New Roman" w:hAnsiTheme="minorEastAsia" w:eastAsiaTheme="minorEastAsia"/>
        </w:rPr>
        <w:t>精细</w:t>
      </w:r>
      <w:r>
        <w:rPr>
          <w:rFonts w:cs="Times New Roman" w:hAnsiTheme="minorEastAsia" w:eastAsiaTheme="minorEastAsia"/>
        </w:rPr>
        <w:t>化学品成为六枝特区完成基本实现新型工业化目标的重要支撑，</w:t>
      </w:r>
      <w:r>
        <w:rPr>
          <w:rFonts w:hint="eastAsia" w:cs="Times New Roman" w:hAnsiTheme="minorEastAsia" w:eastAsiaTheme="minorEastAsia"/>
        </w:rPr>
        <w:t>并</w:t>
      </w:r>
      <w:r>
        <w:rPr>
          <w:rFonts w:cs="Times New Roman" w:hAnsiTheme="minorEastAsia" w:eastAsiaTheme="minorEastAsia"/>
        </w:rPr>
        <w:t>适度发展其他精细化学品。</w:t>
      </w:r>
      <w:r>
        <w:rPr>
          <w:rFonts w:hint="eastAsia" w:cs="Times New Roman" w:hAnsiTheme="minorEastAsia" w:eastAsiaTheme="minorEastAsia"/>
          <w:kern w:val="0"/>
        </w:rPr>
        <w:t>现代煤化工</w:t>
      </w:r>
      <w:r>
        <w:rPr>
          <w:rFonts w:cs="Times New Roman" w:hAnsiTheme="minorEastAsia" w:eastAsiaTheme="minorEastAsia"/>
        </w:rPr>
        <w:t>方面，</w:t>
      </w:r>
      <w:r>
        <w:rPr>
          <w:rFonts w:hint="eastAsia" w:cs="Times New Roman" w:hAnsiTheme="minorEastAsia" w:eastAsiaTheme="minorEastAsia"/>
        </w:rPr>
        <w:t>建</w:t>
      </w:r>
      <w:r>
        <w:rPr>
          <w:rFonts w:cs="Times New Roman" w:hAnsiTheme="minorEastAsia" w:eastAsiaTheme="minorEastAsia"/>
        </w:rPr>
        <w:t>成11.6</w:t>
      </w:r>
      <w:r>
        <w:rPr>
          <w:rFonts w:hint="eastAsia" w:cs="Times New Roman" w:hAnsiTheme="minorEastAsia" w:eastAsiaTheme="minorEastAsia"/>
        </w:rPr>
        <w:t>万</w:t>
      </w:r>
      <w:r>
        <w:rPr>
          <w:rFonts w:cs="Times New Roman" w:hAnsiTheme="minorEastAsia" w:eastAsiaTheme="minorEastAsia"/>
        </w:rPr>
        <w:t>吨</w:t>
      </w:r>
      <w:r>
        <w:rPr>
          <w:rFonts w:hint="eastAsia" w:cs="Times New Roman" w:hAnsiTheme="minorEastAsia" w:eastAsiaTheme="minorEastAsia"/>
        </w:rPr>
        <w:t>/年纯</w:t>
      </w:r>
      <w:r>
        <w:rPr>
          <w:rFonts w:cs="Times New Roman" w:hAnsiTheme="minorEastAsia" w:eastAsiaTheme="minorEastAsia"/>
        </w:rPr>
        <w:t>苯、</w:t>
      </w:r>
      <w:r>
        <w:rPr>
          <w:rFonts w:hint="eastAsia" w:cs="Times New Roman" w:hAnsiTheme="minorEastAsia" w:eastAsiaTheme="minorEastAsia"/>
        </w:rPr>
        <w:t>2.2万</w:t>
      </w:r>
      <w:r>
        <w:rPr>
          <w:rFonts w:cs="Times New Roman" w:hAnsiTheme="minorEastAsia" w:eastAsiaTheme="minorEastAsia"/>
        </w:rPr>
        <w:t>吨</w:t>
      </w:r>
      <w:r>
        <w:rPr>
          <w:rFonts w:hint="eastAsia" w:cs="Times New Roman" w:hAnsiTheme="minorEastAsia" w:eastAsiaTheme="minorEastAsia"/>
        </w:rPr>
        <w:t>/年甲</w:t>
      </w:r>
      <w:r>
        <w:rPr>
          <w:rFonts w:cs="Times New Roman" w:hAnsiTheme="minorEastAsia" w:eastAsiaTheme="minorEastAsia"/>
        </w:rPr>
        <w:t>苯、</w:t>
      </w:r>
      <w:r>
        <w:rPr>
          <w:rFonts w:hint="eastAsia" w:cs="Times New Roman" w:hAnsiTheme="minorEastAsia" w:eastAsiaTheme="minorEastAsia"/>
        </w:rPr>
        <w:t>0.6万</w:t>
      </w:r>
      <w:r>
        <w:rPr>
          <w:rFonts w:cs="Times New Roman" w:hAnsiTheme="minorEastAsia" w:eastAsiaTheme="minorEastAsia"/>
        </w:rPr>
        <w:t>吨</w:t>
      </w:r>
      <w:r>
        <w:rPr>
          <w:rFonts w:hint="eastAsia" w:cs="Times New Roman" w:hAnsiTheme="minorEastAsia" w:eastAsiaTheme="minorEastAsia"/>
        </w:rPr>
        <w:t>/年二</w:t>
      </w:r>
      <w:r>
        <w:rPr>
          <w:rFonts w:cs="Times New Roman" w:hAnsiTheme="minorEastAsia" w:eastAsiaTheme="minorEastAsia"/>
        </w:rPr>
        <w:t>甲苯、</w:t>
      </w:r>
      <w:r>
        <w:rPr>
          <w:rFonts w:hint="eastAsia" w:cs="Times New Roman" w:hAnsiTheme="minorEastAsia" w:eastAsiaTheme="minorEastAsia"/>
        </w:rPr>
        <w:t>1.5万</w:t>
      </w:r>
      <w:r>
        <w:rPr>
          <w:rFonts w:cs="Times New Roman" w:hAnsiTheme="minorEastAsia" w:eastAsiaTheme="minorEastAsia"/>
        </w:rPr>
        <w:t>吨</w:t>
      </w:r>
      <w:r>
        <w:rPr>
          <w:rFonts w:hint="eastAsia" w:cs="Times New Roman" w:hAnsiTheme="minorEastAsia" w:eastAsiaTheme="minorEastAsia"/>
        </w:rPr>
        <w:t>/年古</w:t>
      </w:r>
      <w:r>
        <w:rPr>
          <w:rFonts w:cs="Times New Roman" w:hAnsiTheme="minorEastAsia" w:eastAsiaTheme="minorEastAsia"/>
        </w:rPr>
        <w:t>马隆、</w:t>
      </w:r>
      <w:r>
        <w:rPr>
          <w:rFonts w:hint="eastAsia" w:cs="Times New Roman" w:hAnsiTheme="minorEastAsia" w:eastAsiaTheme="minorEastAsia"/>
        </w:rPr>
        <w:t>0.12万</w:t>
      </w:r>
      <w:r>
        <w:rPr>
          <w:rFonts w:cs="Times New Roman" w:hAnsiTheme="minorEastAsia" w:eastAsiaTheme="minorEastAsia"/>
        </w:rPr>
        <w:t>吨</w:t>
      </w:r>
      <w:r>
        <w:rPr>
          <w:rFonts w:hint="eastAsia" w:cs="Times New Roman" w:hAnsiTheme="minorEastAsia" w:eastAsiaTheme="minorEastAsia"/>
        </w:rPr>
        <w:t>/年二</w:t>
      </w:r>
      <w:r>
        <w:rPr>
          <w:rFonts w:cs="Times New Roman" w:hAnsiTheme="minorEastAsia" w:eastAsiaTheme="minorEastAsia"/>
        </w:rPr>
        <w:t>甲酚、</w:t>
      </w:r>
      <w:r>
        <w:rPr>
          <w:rFonts w:hint="eastAsia" w:cs="Times New Roman" w:hAnsiTheme="minorEastAsia" w:eastAsiaTheme="minorEastAsia"/>
        </w:rPr>
        <w:t>0.12万</w:t>
      </w:r>
      <w:r>
        <w:rPr>
          <w:rFonts w:cs="Times New Roman" w:hAnsiTheme="minorEastAsia" w:eastAsiaTheme="minorEastAsia"/>
        </w:rPr>
        <w:t>吨</w:t>
      </w:r>
      <w:r>
        <w:rPr>
          <w:rFonts w:hint="eastAsia" w:cs="Times New Roman" w:hAnsiTheme="minorEastAsia" w:eastAsiaTheme="minorEastAsia"/>
        </w:rPr>
        <w:t>/年苯</w:t>
      </w:r>
      <w:r>
        <w:rPr>
          <w:rFonts w:cs="Times New Roman" w:hAnsiTheme="minorEastAsia" w:eastAsiaTheme="minorEastAsia"/>
        </w:rPr>
        <w:t>酚、</w:t>
      </w:r>
      <w:r>
        <w:rPr>
          <w:rFonts w:hint="eastAsia" w:cs="Times New Roman" w:hAnsiTheme="minorEastAsia" w:eastAsiaTheme="minorEastAsia"/>
        </w:rPr>
        <w:t>0.07万</w:t>
      </w:r>
      <w:r>
        <w:rPr>
          <w:rFonts w:cs="Times New Roman" w:hAnsiTheme="minorEastAsia" w:eastAsiaTheme="minorEastAsia"/>
        </w:rPr>
        <w:t>吨</w:t>
      </w:r>
      <w:r>
        <w:rPr>
          <w:rFonts w:hint="eastAsia" w:cs="Times New Roman" w:hAnsiTheme="minorEastAsia" w:eastAsiaTheme="minorEastAsia"/>
        </w:rPr>
        <w:t>/年邻</w:t>
      </w:r>
      <w:r>
        <w:rPr>
          <w:rFonts w:cs="Times New Roman" w:hAnsiTheme="minorEastAsia" w:eastAsiaTheme="minorEastAsia"/>
        </w:rPr>
        <w:t>苯酚、</w:t>
      </w:r>
      <w:r>
        <w:rPr>
          <w:rFonts w:hint="eastAsia" w:cs="Times New Roman" w:hAnsiTheme="minorEastAsia" w:eastAsiaTheme="minorEastAsia"/>
        </w:rPr>
        <w:t>0.1万</w:t>
      </w:r>
      <w:r>
        <w:rPr>
          <w:rFonts w:cs="Times New Roman" w:hAnsiTheme="minorEastAsia" w:eastAsiaTheme="minorEastAsia"/>
        </w:rPr>
        <w:t>吨</w:t>
      </w:r>
      <w:r>
        <w:rPr>
          <w:rFonts w:hint="eastAsia" w:cs="Times New Roman" w:hAnsiTheme="minorEastAsia" w:eastAsiaTheme="minorEastAsia"/>
        </w:rPr>
        <w:t>/年间</w:t>
      </w:r>
      <w:r>
        <w:rPr>
          <w:rFonts w:cs="Times New Roman" w:hAnsiTheme="minorEastAsia" w:eastAsiaTheme="minorEastAsia"/>
        </w:rPr>
        <w:t>对位甲酚、</w:t>
      </w:r>
      <w:r>
        <w:rPr>
          <w:rFonts w:hint="eastAsia" w:cs="Times New Roman" w:hAnsiTheme="minorEastAsia" w:eastAsiaTheme="minorEastAsia"/>
        </w:rPr>
        <w:t>3.5万</w:t>
      </w:r>
      <w:r>
        <w:rPr>
          <w:rFonts w:cs="Times New Roman" w:hAnsiTheme="minorEastAsia" w:eastAsiaTheme="minorEastAsia"/>
        </w:rPr>
        <w:t>吨</w:t>
      </w:r>
      <w:r>
        <w:rPr>
          <w:rFonts w:hint="eastAsia" w:cs="Times New Roman" w:hAnsiTheme="minorEastAsia" w:eastAsiaTheme="minorEastAsia"/>
        </w:rPr>
        <w:t>/年精</w:t>
      </w:r>
      <w:r>
        <w:rPr>
          <w:rFonts w:cs="Times New Roman" w:hAnsiTheme="minorEastAsia" w:eastAsiaTheme="minorEastAsia"/>
        </w:rPr>
        <w:t>萘、</w:t>
      </w:r>
      <w:r>
        <w:rPr>
          <w:rFonts w:hint="eastAsia" w:cs="Times New Roman" w:hAnsiTheme="minorEastAsia" w:eastAsiaTheme="minorEastAsia"/>
        </w:rPr>
        <w:t>1.5万</w:t>
      </w:r>
      <w:r>
        <w:rPr>
          <w:rFonts w:cs="Times New Roman" w:hAnsiTheme="minorEastAsia" w:eastAsiaTheme="minorEastAsia"/>
        </w:rPr>
        <w:t>吨</w:t>
      </w:r>
      <w:r>
        <w:rPr>
          <w:rFonts w:hint="eastAsia" w:cs="Times New Roman" w:hAnsiTheme="minorEastAsia" w:eastAsiaTheme="minorEastAsia"/>
        </w:rPr>
        <w:t>/年苯</w:t>
      </w:r>
      <w:r>
        <w:rPr>
          <w:rFonts w:cs="Times New Roman" w:hAnsiTheme="minorEastAsia" w:eastAsiaTheme="minorEastAsia"/>
        </w:rPr>
        <w:t>酐、</w:t>
      </w:r>
      <w:r>
        <w:rPr>
          <w:rFonts w:hint="eastAsia" w:cs="Times New Roman" w:hAnsiTheme="minorEastAsia" w:eastAsiaTheme="minorEastAsia"/>
        </w:rPr>
        <w:t>0.45万</w:t>
      </w:r>
      <w:r>
        <w:rPr>
          <w:rFonts w:cs="Times New Roman" w:hAnsiTheme="minorEastAsia" w:eastAsiaTheme="minorEastAsia"/>
        </w:rPr>
        <w:t>吨</w:t>
      </w:r>
      <w:r>
        <w:rPr>
          <w:rFonts w:hint="eastAsia" w:cs="Times New Roman" w:hAnsiTheme="minorEastAsia" w:eastAsiaTheme="minorEastAsia"/>
        </w:rPr>
        <w:t>/年喹</w:t>
      </w:r>
      <w:r>
        <w:rPr>
          <w:rFonts w:cs="Times New Roman" w:hAnsiTheme="minorEastAsia" w:eastAsiaTheme="minorEastAsia"/>
        </w:rPr>
        <w:t>啉、</w:t>
      </w:r>
      <w:r>
        <w:rPr>
          <w:rFonts w:hint="eastAsia" w:cs="Times New Roman" w:hAnsiTheme="minorEastAsia" w:eastAsiaTheme="minorEastAsia"/>
        </w:rPr>
        <w:t>0.25万</w:t>
      </w:r>
      <w:r>
        <w:rPr>
          <w:rFonts w:cs="Times New Roman" w:hAnsiTheme="minorEastAsia" w:eastAsiaTheme="minorEastAsia"/>
        </w:rPr>
        <w:t>吨</w:t>
      </w:r>
      <w:r>
        <w:rPr>
          <w:rFonts w:hint="eastAsia" w:cs="Times New Roman" w:hAnsiTheme="minorEastAsia" w:eastAsiaTheme="minorEastAsia"/>
        </w:rPr>
        <w:t>/年工业</w:t>
      </w:r>
      <w:r>
        <w:rPr>
          <w:rFonts w:cs="Times New Roman" w:hAnsiTheme="minorEastAsia" w:eastAsiaTheme="minorEastAsia"/>
        </w:rPr>
        <w:t>芴、</w:t>
      </w:r>
      <w:r>
        <w:rPr>
          <w:rFonts w:hint="eastAsia" w:cs="Times New Roman" w:hAnsiTheme="minorEastAsia" w:eastAsiaTheme="minorEastAsia"/>
        </w:rPr>
        <w:t>1万</w:t>
      </w:r>
      <w:r>
        <w:rPr>
          <w:rFonts w:cs="Times New Roman" w:hAnsiTheme="minorEastAsia" w:eastAsiaTheme="minorEastAsia"/>
        </w:rPr>
        <w:t>吨</w:t>
      </w:r>
      <w:r>
        <w:rPr>
          <w:rFonts w:hint="eastAsia" w:cs="Times New Roman" w:hAnsiTheme="minorEastAsia" w:eastAsiaTheme="minorEastAsia"/>
        </w:rPr>
        <w:t>/年精</w:t>
      </w:r>
      <w:r>
        <w:rPr>
          <w:rFonts w:cs="Times New Roman" w:hAnsiTheme="minorEastAsia" w:eastAsiaTheme="minorEastAsia"/>
        </w:rPr>
        <w:t>蒽、</w:t>
      </w:r>
      <w:r>
        <w:rPr>
          <w:rFonts w:hint="eastAsia" w:cs="Times New Roman" w:hAnsiTheme="minorEastAsia" w:eastAsiaTheme="minorEastAsia"/>
        </w:rPr>
        <w:t>2万</w:t>
      </w:r>
      <w:r>
        <w:rPr>
          <w:rFonts w:cs="Times New Roman" w:hAnsiTheme="minorEastAsia" w:eastAsiaTheme="minorEastAsia"/>
        </w:rPr>
        <w:t>吨</w:t>
      </w:r>
      <w:r>
        <w:rPr>
          <w:rFonts w:hint="eastAsia" w:cs="Times New Roman" w:hAnsiTheme="minorEastAsia" w:eastAsiaTheme="minorEastAsia"/>
        </w:rPr>
        <w:t>/年轻</w:t>
      </w:r>
      <w:r>
        <w:rPr>
          <w:rFonts w:cs="Times New Roman" w:hAnsiTheme="minorEastAsia" w:eastAsiaTheme="minorEastAsia"/>
        </w:rPr>
        <w:t>质白油、</w:t>
      </w:r>
      <w:r>
        <w:rPr>
          <w:rFonts w:hint="eastAsia" w:cs="Times New Roman" w:hAnsiTheme="minorEastAsia" w:eastAsiaTheme="minorEastAsia"/>
        </w:rPr>
        <w:t>10万</w:t>
      </w:r>
      <w:r>
        <w:rPr>
          <w:rFonts w:cs="Times New Roman" w:hAnsiTheme="minorEastAsia" w:eastAsiaTheme="minorEastAsia"/>
        </w:rPr>
        <w:t>吨</w:t>
      </w:r>
      <w:r>
        <w:rPr>
          <w:rFonts w:hint="eastAsia" w:cs="Times New Roman" w:hAnsiTheme="minorEastAsia" w:eastAsiaTheme="minorEastAsia"/>
        </w:rPr>
        <w:t>/年针</w:t>
      </w:r>
      <w:r>
        <w:rPr>
          <w:rFonts w:cs="Times New Roman" w:hAnsiTheme="minorEastAsia" w:eastAsiaTheme="minorEastAsia"/>
        </w:rPr>
        <w:t>状焦、</w:t>
      </w:r>
      <w:r>
        <w:rPr>
          <w:rFonts w:hint="eastAsia" w:cs="Times New Roman" w:hAnsiTheme="minorEastAsia" w:eastAsiaTheme="minorEastAsia"/>
        </w:rPr>
        <w:t>12.5万</w:t>
      </w:r>
      <w:r>
        <w:rPr>
          <w:rFonts w:cs="Times New Roman" w:hAnsiTheme="minorEastAsia" w:eastAsiaTheme="minorEastAsia"/>
        </w:rPr>
        <w:t>吨</w:t>
      </w:r>
      <w:r>
        <w:rPr>
          <w:rFonts w:hint="eastAsia" w:cs="Times New Roman" w:hAnsiTheme="minorEastAsia" w:eastAsiaTheme="minorEastAsia"/>
        </w:rPr>
        <w:t>/年炭</w:t>
      </w:r>
      <w:r>
        <w:rPr>
          <w:rFonts w:cs="Times New Roman" w:hAnsiTheme="minorEastAsia" w:eastAsiaTheme="minorEastAsia"/>
        </w:rPr>
        <w:t>黑</w:t>
      </w:r>
      <w:r>
        <w:rPr>
          <w:rFonts w:hint="eastAsia" w:cs="Times New Roman" w:hAnsiTheme="minorEastAsia" w:eastAsiaTheme="minorEastAsia"/>
        </w:rPr>
        <w:t>；</w:t>
      </w:r>
      <w:r>
        <w:rPr>
          <w:rFonts w:hint="eastAsia" w:cs="Times New Roman" w:hAnsiTheme="minorEastAsia" w:eastAsiaTheme="minorEastAsia"/>
          <w:kern w:val="0"/>
        </w:rPr>
        <w:t>精细化工方面</w:t>
      </w:r>
      <w:r>
        <w:rPr>
          <w:rFonts w:cs="Times New Roman" w:hAnsiTheme="minorEastAsia" w:eastAsiaTheme="minorEastAsia"/>
        </w:rPr>
        <w:t>，</w:t>
      </w:r>
      <w:r>
        <w:rPr>
          <w:rFonts w:hint="eastAsia" w:cs="Times New Roman" w:hAnsiTheme="minorEastAsia" w:eastAsiaTheme="minorEastAsia"/>
        </w:rPr>
        <w:t>建</w:t>
      </w:r>
      <w:r>
        <w:rPr>
          <w:rFonts w:cs="Times New Roman" w:hAnsiTheme="minorEastAsia" w:eastAsiaTheme="minorEastAsia"/>
        </w:rPr>
        <w:t>成6.7</w:t>
      </w:r>
      <w:r>
        <w:rPr>
          <w:rFonts w:hint="eastAsia" w:cs="Times New Roman" w:hAnsiTheme="minorEastAsia" w:eastAsiaTheme="minorEastAsia"/>
        </w:rPr>
        <w:t>万</w:t>
      </w:r>
      <w:r>
        <w:rPr>
          <w:rFonts w:cs="Times New Roman" w:hAnsiTheme="minorEastAsia" w:eastAsiaTheme="minorEastAsia"/>
        </w:rPr>
        <w:t>吨</w:t>
      </w:r>
      <w:r>
        <w:rPr>
          <w:rFonts w:hint="eastAsia" w:cs="Times New Roman" w:hAnsiTheme="minorEastAsia" w:eastAsiaTheme="minorEastAsia"/>
        </w:rPr>
        <w:t>/年</w:t>
      </w:r>
      <w:r>
        <w:rPr>
          <w:rFonts w:cs="Times New Roman" w:hAnsiTheme="minorEastAsia" w:eastAsiaTheme="minorEastAsia"/>
        </w:rPr>
        <w:t>碳酸锂、</w:t>
      </w:r>
      <w:r>
        <w:rPr>
          <w:rFonts w:hint="eastAsia" w:cs="Times New Roman" w:hAnsiTheme="minorEastAsia" w:eastAsiaTheme="minorEastAsia"/>
        </w:rPr>
        <w:t>2</w:t>
      </w:r>
      <w:r>
        <w:rPr>
          <w:rFonts w:cs="Times New Roman" w:eastAsiaTheme="minorEastAsia"/>
        </w:rPr>
        <w:t>0</w:t>
      </w:r>
      <w:r>
        <w:rPr>
          <w:rFonts w:cs="Times New Roman" w:hAnsiTheme="minorEastAsia" w:eastAsiaTheme="minorEastAsia"/>
        </w:rPr>
        <w:t>万吨</w:t>
      </w:r>
      <w:r>
        <w:rPr>
          <w:rFonts w:cs="Times New Roman" w:eastAsiaTheme="minorEastAsia"/>
        </w:rPr>
        <w:t>/</w:t>
      </w:r>
      <w:r>
        <w:rPr>
          <w:rFonts w:cs="Times New Roman" w:hAnsiTheme="minorEastAsia" w:eastAsiaTheme="minorEastAsia"/>
        </w:rPr>
        <w:t>年磷酸铁锂</w:t>
      </w:r>
      <w:r>
        <w:rPr>
          <w:rFonts w:hint="eastAsia" w:cs="Times New Roman" w:hAnsiTheme="minorEastAsia" w:eastAsiaTheme="minorEastAsia"/>
        </w:rPr>
        <w:t>、5万吨/年</w:t>
      </w:r>
      <w:r>
        <w:rPr>
          <w:rFonts w:cs="Times New Roman" w:hAnsiTheme="minorEastAsia" w:eastAsiaTheme="minorEastAsia"/>
        </w:rPr>
        <w:t>锰酸锂、</w:t>
      </w:r>
      <w:r>
        <w:rPr>
          <w:rFonts w:hint="eastAsia" w:cs="Times New Roman" w:hAnsiTheme="minorEastAsia" w:eastAsiaTheme="minorEastAsia"/>
        </w:rPr>
        <w:t>0.</w:t>
      </w:r>
      <w:r>
        <w:rPr>
          <w:rFonts w:cs="Times New Roman" w:hAnsiTheme="minorEastAsia" w:eastAsiaTheme="minorEastAsia"/>
        </w:rPr>
        <w:t>5</w:t>
      </w:r>
      <w:r>
        <w:rPr>
          <w:rFonts w:hint="eastAsia" w:cs="Times New Roman" w:hAnsiTheme="minorEastAsia" w:eastAsiaTheme="minorEastAsia"/>
        </w:rPr>
        <w:t>万</w:t>
      </w:r>
      <w:r>
        <w:rPr>
          <w:rFonts w:cs="Times New Roman" w:hAnsiTheme="minorEastAsia" w:eastAsiaTheme="minorEastAsia"/>
        </w:rPr>
        <w:t>吨</w:t>
      </w:r>
      <w:r>
        <w:rPr>
          <w:rFonts w:hint="eastAsia" w:cs="Times New Roman" w:hAnsiTheme="minorEastAsia" w:eastAsiaTheme="minorEastAsia"/>
        </w:rPr>
        <w:t>/年</w:t>
      </w:r>
      <w:r>
        <w:rPr>
          <w:rFonts w:cs="Times New Roman" w:hAnsiTheme="minorEastAsia" w:eastAsiaTheme="minorEastAsia"/>
        </w:rPr>
        <w:t>钴酸锂、</w:t>
      </w:r>
      <w:r>
        <w:rPr>
          <w:rFonts w:hint="eastAsia" w:cs="Times New Roman" w:hAnsiTheme="minorEastAsia" w:eastAsiaTheme="minorEastAsia"/>
        </w:rPr>
        <w:t>1万</w:t>
      </w:r>
      <w:r>
        <w:rPr>
          <w:rFonts w:cs="Times New Roman" w:hAnsiTheme="minorEastAsia" w:eastAsiaTheme="minorEastAsia"/>
        </w:rPr>
        <w:t>吨</w:t>
      </w:r>
      <w:r>
        <w:rPr>
          <w:rFonts w:hint="eastAsia" w:cs="Times New Roman" w:hAnsiTheme="minorEastAsia" w:eastAsiaTheme="minorEastAsia"/>
        </w:rPr>
        <w:t>/年</w:t>
      </w:r>
      <w:r>
        <w:rPr>
          <w:rFonts w:cs="Times New Roman" w:hAnsiTheme="minorEastAsia" w:eastAsiaTheme="minorEastAsia"/>
        </w:rPr>
        <w:t>镍钴锰酸锂、</w:t>
      </w:r>
      <w:r>
        <w:rPr>
          <w:rFonts w:hint="eastAsia" w:cs="Times New Roman" w:hAnsiTheme="minorEastAsia" w:eastAsiaTheme="minorEastAsia"/>
        </w:rPr>
        <w:t>0.5万</w:t>
      </w:r>
      <w:r>
        <w:rPr>
          <w:rFonts w:cs="Times New Roman" w:hAnsiTheme="minorEastAsia" w:eastAsiaTheme="minorEastAsia"/>
        </w:rPr>
        <w:t>吨</w:t>
      </w:r>
      <w:r>
        <w:rPr>
          <w:rFonts w:hint="eastAsia" w:cs="Times New Roman" w:hAnsiTheme="minorEastAsia" w:eastAsiaTheme="minorEastAsia"/>
        </w:rPr>
        <w:t>/年</w:t>
      </w:r>
      <w:r>
        <w:rPr>
          <w:rFonts w:cs="Times New Roman" w:hAnsiTheme="minorEastAsia" w:eastAsiaTheme="minorEastAsia"/>
        </w:rPr>
        <w:t>镍钴铝酸</w:t>
      </w:r>
      <w:r>
        <w:rPr>
          <w:rFonts w:hint="eastAsia" w:cs="Times New Roman" w:hAnsiTheme="minorEastAsia" w:eastAsiaTheme="minorEastAsia"/>
        </w:rPr>
        <w:t>锂、8万</w:t>
      </w:r>
      <w:r>
        <w:rPr>
          <w:rFonts w:cs="Times New Roman" w:hAnsiTheme="minorEastAsia" w:eastAsiaTheme="minorEastAsia"/>
        </w:rPr>
        <w:t>吨</w:t>
      </w:r>
      <w:r>
        <w:rPr>
          <w:rFonts w:hint="eastAsia" w:cs="Times New Roman" w:hAnsiTheme="minorEastAsia" w:eastAsiaTheme="minorEastAsia"/>
        </w:rPr>
        <w:t>/年六</w:t>
      </w:r>
      <w:r>
        <w:rPr>
          <w:rFonts w:cs="Times New Roman" w:hAnsiTheme="minorEastAsia" w:eastAsiaTheme="minorEastAsia"/>
        </w:rPr>
        <w:t>氟</w:t>
      </w:r>
      <w:r>
        <w:rPr>
          <w:rFonts w:hint="eastAsia" w:cs="Times New Roman" w:hAnsiTheme="minorEastAsia" w:eastAsiaTheme="minorEastAsia"/>
        </w:rPr>
        <w:t>磷</w:t>
      </w:r>
      <w:r>
        <w:rPr>
          <w:rFonts w:cs="Times New Roman" w:hAnsiTheme="minorEastAsia" w:eastAsiaTheme="minorEastAsia"/>
        </w:rPr>
        <w:t>酸锂电解液、</w:t>
      </w:r>
      <w:r>
        <w:rPr>
          <w:rFonts w:hint="eastAsia" w:cs="Times New Roman" w:hAnsiTheme="minorEastAsia" w:eastAsiaTheme="minorEastAsia"/>
        </w:rPr>
        <w:t>0.5万</w:t>
      </w:r>
      <w:r>
        <w:rPr>
          <w:rFonts w:cs="Times New Roman" w:hAnsiTheme="minorEastAsia" w:eastAsiaTheme="minorEastAsia"/>
        </w:rPr>
        <w:t>吨</w:t>
      </w:r>
      <w:r>
        <w:rPr>
          <w:rFonts w:hint="eastAsia" w:cs="Times New Roman" w:hAnsiTheme="minorEastAsia" w:eastAsiaTheme="minorEastAsia"/>
        </w:rPr>
        <w:t>/年聚</w:t>
      </w:r>
      <w:r>
        <w:rPr>
          <w:rFonts w:cs="Times New Roman" w:hAnsiTheme="minorEastAsia" w:eastAsiaTheme="minorEastAsia"/>
        </w:rPr>
        <w:t>偏氟乙烯、</w:t>
      </w:r>
      <w:r>
        <w:rPr>
          <w:rFonts w:hint="eastAsia" w:cs="Times New Roman" w:hAnsiTheme="minorEastAsia" w:eastAsiaTheme="minorEastAsia"/>
        </w:rPr>
        <w:t>10万</w:t>
      </w:r>
      <w:r>
        <w:rPr>
          <w:rFonts w:cs="Times New Roman" w:hAnsiTheme="minorEastAsia" w:eastAsiaTheme="minorEastAsia"/>
        </w:rPr>
        <w:t>吨</w:t>
      </w:r>
      <w:r>
        <w:rPr>
          <w:rFonts w:hint="eastAsia" w:cs="Times New Roman" w:hAnsiTheme="minorEastAsia" w:eastAsiaTheme="minorEastAsia"/>
        </w:rPr>
        <w:t>/年石</w:t>
      </w:r>
      <w:r>
        <w:rPr>
          <w:rFonts w:cs="Times New Roman" w:hAnsiTheme="minorEastAsia" w:eastAsiaTheme="minorEastAsia"/>
        </w:rPr>
        <w:t>墨电极。远期园区新增投资达到</w:t>
      </w:r>
      <w:r>
        <w:rPr>
          <w:rFonts w:hint="eastAsia" w:cs="Times New Roman" w:hAnsiTheme="minorEastAsia" w:eastAsiaTheme="minorEastAsia"/>
        </w:rPr>
        <w:t>11</w:t>
      </w:r>
      <w:r>
        <w:rPr>
          <w:rFonts w:cs="Times New Roman" w:hAnsiTheme="minorEastAsia" w:eastAsiaTheme="minorEastAsia"/>
        </w:rPr>
        <w:t>0.6亿元，年产值新增</w:t>
      </w:r>
      <w:r>
        <w:rPr>
          <w:rFonts w:hint="eastAsia" w:cs="Times New Roman" w:hAnsiTheme="minorEastAsia" w:eastAsiaTheme="minorEastAsia"/>
        </w:rPr>
        <w:t>478.68</w:t>
      </w:r>
      <w:r>
        <w:rPr>
          <w:rFonts w:cs="Times New Roman" w:hAnsiTheme="minorEastAsia" w:eastAsiaTheme="minorEastAsia"/>
        </w:rPr>
        <w:t>亿元，年利税新增</w:t>
      </w:r>
      <w:r>
        <w:rPr>
          <w:rFonts w:hint="eastAsia" w:cs="Times New Roman" w:hAnsiTheme="minorEastAsia" w:eastAsiaTheme="minorEastAsia"/>
        </w:rPr>
        <w:t>66.67</w:t>
      </w:r>
      <w:r>
        <w:rPr>
          <w:rFonts w:cs="Times New Roman" w:hAnsiTheme="minorEastAsia" w:eastAsiaTheme="minorEastAsia"/>
        </w:rPr>
        <w:t>亿元。园区累计新增投资达到245.6亿元，年产值累计新增</w:t>
      </w:r>
      <w:r>
        <w:rPr>
          <w:rFonts w:hint="eastAsia" w:cs="Times New Roman" w:hAnsiTheme="minorEastAsia" w:eastAsiaTheme="minorEastAsia"/>
        </w:rPr>
        <w:t>750.14</w:t>
      </w:r>
      <w:r>
        <w:rPr>
          <w:rFonts w:cs="Times New Roman" w:hAnsiTheme="minorEastAsia" w:eastAsiaTheme="minorEastAsia"/>
        </w:rPr>
        <w:t>亿元，年利税累计新增</w:t>
      </w:r>
      <w:r>
        <w:rPr>
          <w:rFonts w:hint="eastAsia" w:cs="Times New Roman" w:hAnsiTheme="minorEastAsia" w:eastAsiaTheme="minorEastAsia"/>
        </w:rPr>
        <w:t>94.43</w:t>
      </w:r>
      <w:r>
        <w:rPr>
          <w:rFonts w:cs="Times New Roman" w:hAnsiTheme="minorEastAsia" w:eastAsiaTheme="minorEastAsia"/>
        </w:rPr>
        <w:t>亿元。</w:t>
      </w:r>
    </w:p>
    <w:p>
      <w:pPr>
        <w:pStyle w:val="4"/>
        <w:ind w:firstLine="602"/>
        <w:rPr>
          <w:rFonts w:cs="Times New Roman" w:eastAsiaTheme="minorEastAsia"/>
        </w:rPr>
      </w:pPr>
      <w:bookmarkStart w:id="470" w:name="_Toc126591904"/>
      <w:r>
        <w:rPr>
          <w:rFonts w:cs="Times New Roman" w:eastAsiaTheme="minorEastAsia"/>
        </w:rPr>
        <w:t xml:space="preserve">11.2 </w:t>
      </w:r>
      <w:r>
        <w:rPr>
          <w:rFonts w:cs="Times New Roman" w:hAnsiTheme="minorEastAsia" w:eastAsiaTheme="minorEastAsia"/>
        </w:rPr>
        <w:t>产业规模</w:t>
      </w:r>
      <w:bookmarkEnd w:id="470"/>
    </w:p>
    <w:p>
      <w:pPr>
        <w:ind w:firstLine="560"/>
        <w:rPr>
          <w:rFonts w:cs="Times New Roman" w:eastAsiaTheme="minorEastAsia"/>
        </w:rPr>
      </w:pPr>
      <w:r>
        <w:rPr>
          <w:rFonts w:hint="eastAsia" w:cs="Times New Roman" w:hAnsiTheme="minorEastAsia" w:eastAsiaTheme="minorEastAsia"/>
        </w:rPr>
        <w:t>六枝特区化工园区</w:t>
      </w:r>
      <w:r>
        <w:rPr>
          <w:rFonts w:cs="Times New Roman" w:hAnsiTheme="minorEastAsia" w:eastAsiaTheme="minorEastAsia"/>
        </w:rPr>
        <w:t>规划产业规模如下表所示。</w:t>
      </w:r>
    </w:p>
    <w:p>
      <w:pPr>
        <w:pStyle w:val="37"/>
        <w:rPr>
          <w:rFonts w:cs="Times New Roman" w:eastAsiaTheme="minorEastAsia"/>
        </w:rPr>
      </w:pPr>
      <w:r>
        <w:rPr>
          <w:rFonts w:cs="Times New Roman" w:hAnsiTheme="minorEastAsia" w:eastAsiaTheme="minorEastAsia"/>
        </w:rPr>
        <w:t>表</w:t>
      </w:r>
      <w:r>
        <w:rPr>
          <w:rFonts w:cs="Times New Roman" w:eastAsiaTheme="minorEastAsia"/>
        </w:rPr>
        <w:t xml:space="preserve">11-1 </w:t>
      </w:r>
      <w:r>
        <w:rPr>
          <w:rFonts w:cs="Times New Roman" w:hAnsiTheme="minorEastAsia" w:eastAsiaTheme="minorEastAsia"/>
        </w:rPr>
        <w:t>化工园区产业规模</w:t>
      </w:r>
    </w:p>
    <w:tbl>
      <w:tblPr>
        <w:tblStyle w:val="30"/>
        <w:tblW w:w="8930" w:type="dxa"/>
        <w:jc w:val="center"/>
        <w:tblLayout w:type="autofit"/>
        <w:tblCellMar>
          <w:top w:w="0" w:type="dxa"/>
          <w:left w:w="28" w:type="dxa"/>
          <w:bottom w:w="0" w:type="dxa"/>
          <w:right w:w="28" w:type="dxa"/>
        </w:tblCellMar>
      </w:tblPr>
      <w:tblGrid>
        <w:gridCol w:w="608"/>
        <w:gridCol w:w="881"/>
        <w:gridCol w:w="1203"/>
        <w:gridCol w:w="1418"/>
        <w:gridCol w:w="1134"/>
        <w:gridCol w:w="865"/>
        <w:gridCol w:w="951"/>
        <w:gridCol w:w="947"/>
        <w:gridCol w:w="923"/>
      </w:tblGrid>
      <w:tr>
        <w:tblPrEx>
          <w:tblCellMar>
            <w:top w:w="0" w:type="dxa"/>
            <w:left w:w="28" w:type="dxa"/>
            <w:bottom w:w="0" w:type="dxa"/>
            <w:right w:w="28" w:type="dxa"/>
          </w:tblCellMar>
        </w:tblPrEx>
        <w:trPr>
          <w:trHeight w:val="864" w:hRule="atLeast"/>
          <w:jc w:val="center"/>
        </w:trPr>
        <w:tc>
          <w:tcPr>
            <w:tcW w:w="6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序号</w:t>
            </w:r>
          </w:p>
        </w:tc>
        <w:tc>
          <w:tcPr>
            <w:tcW w:w="2084" w:type="dxa"/>
            <w:gridSpan w:val="2"/>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项目名称</w:t>
            </w:r>
          </w:p>
        </w:tc>
        <w:tc>
          <w:tcPr>
            <w:tcW w:w="1418"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产品</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规模</w:t>
            </w:r>
            <w:r>
              <w:rPr>
                <w:rFonts w:cs="Times New Roman"/>
                <w:b/>
                <w:bCs/>
                <w:kern w:val="0"/>
                <w:sz w:val="21"/>
              </w:rPr>
              <w:t>(</w:t>
            </w:r>
            <w:r>
              <w:rPr>
                <w:rFonts w:hint="eastAsia" w:ascii="宋体" w:hAnsi="宋体" w:cs="宋体"/>
                <w:b/>
                <w:bCs/>
                <w:kern w:val="0"/>
                <w:sz w:val="21"/>
              </w:rPr>
              <w:t>万吨</w:t>
            </w:r>
            <w:r>
              <w:rPr>
                <w:rFonts w:cs="Times New Roman"/>
                <w:b/>
                <w:bCs/>
                <w:kern w:val="0"/>
                <w:sz w:val="21"/>
              </w:rPr>
              <w:t>)</w:t>
            </w:r>
          </w:p>
        </w:tc>
        <w:tc>
          <w:tcPr>
            <w:tcW w:w="865"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总投资（万元）</w:t>
            </w:r>
          </w:p>
        </w:tc>
        <w:tc>
          <w:tcPr>
            <w:tcW w:w="951"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销售收入（万元）</w:t>
            </w:r>
          </w:p>
        </w:tc>
        <w:tc>
          <w:tcPr>
            <w:tcW w:w="94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利税（万元）</w:t>
            </w:r>
          </w:p>
        </w:tc>
        <w:tc>
          <w:tcPr>
            <w:tcW w:w="923"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b/>
                <w:bCs/>
                <w:kern w:val="0"/>
                <w:sz w:val="21"/>
              </w:rPr>
            </w:pPr>
            <w:r>
              <w:rPr>
                <w:rFonts w:hint="eastAsia" w:ascii="宋体" w:hAnsi="宋体" w:cs="宋体"/>
                <w:b/>
                <w:bCs/>
                <w:kern w:val="0"/>
                <w:sz w:val="21"/>
              </w:rPr>
              <w:t>规划时限</w:t>
            </w:r>
          </w:p>
        </w:tc>
      </w:tr>
      <w:tr>
        <w:tblPrEx>
          <w:tblCellMar>
            <w:top w:w="0" w:type="dxa"/>
            <w:left w:w="28" w:type="dxa"/>
            <w:bottom w:w="0" w:type="dxa"/>
            <w:right w:w="28" w:type="dxa"/>
          </w:tblCellMar>
        </w:tblPrEx>
        <w:trPr>
          <w:trHeight w:val="288" w:hRule="atLeast"/>
          <w:jc w:val="center"/>
        </w:trPr>
        <w:tc>
          <w:tcPr>
            <w:tcW w:w="608"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w:t>
            </w:r>
          </w:p>
        </w:tc>
        <w:tc>
          <w:tcPr>
            <w:tcW w:w="881" w:type="dxa"/>
            <w:vMerge w:val="restart"/>
            <w:tcBorders>
              <w:top w:val="nil"/>
              <w:left w:val="single" w:color="auto" w:sz="4" w:space="0"/>
              <w:bottom w:val="nil"/>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现代煤化工</w:t>
            </w:r>
          </w:p>
        </w:tc>
        <w:tc>
          <w:tcPr>
            <w:tcW w:w="1203"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焦化</w:t>
            </w: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焦炭</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400</w:t>
            </w:r>
          </w:p>
        </w:tc>
        <w:tc>
          <w:tcPr>
            <w:tcW w:w="865"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930000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800000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37600</w:t>
            </w:r>
          </w:p>
        </w:tc>
        <w:tc>
          <w:tcPr>
            <w:tcW w:w="923"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近期</w:t>
            </w: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焦炉气综合利用及化产深加工</w:t>
            </w: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焦油</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20</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112000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5264</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粗苯</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5.5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35750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1680.25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LNG</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20</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140000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6580</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液氨</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30</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90000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4230</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液态二氧化碳</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15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4200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197.4</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硫磺</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0.88</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1320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62.04</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硫铵</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5.4</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7560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355.32</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高纯氢</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11000</w:t>
            </w:r>
            <w:r>
              <w:rPr>
                <w:rFonts w:hint="eastAsia" w:cs="Times New Roman"/>
                <w:kern w:val="0"/>
                <w:sz w:val="21"/>
              </w:rPr>
              <w:t>m</w:t>
            </w:r>
            <w:r>
              <w:rPr>
                <w:rFonts w:cs="Times New Roman"/>
                <w:kern w:val="0"/>
                <w:sz w:val="21"/>
                <w:vertAlign w:val="superscript"/>
              </w:rPr>
              <w:t>3</w:t>
            </w:r>
            <w:r>
              <w:rPr>
                <w:rFonts w:hint="eastAsia" w:cs="Times New Roman"/>
                <w:kern w:val="0"/>
                <w:sz w:val="21"/>
              </w:rPr>
              <w:t>/h</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23760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1116.72</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纯苯</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11.6</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81200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3816.4</w:t>
            </w:r>
          </w:p>
        </w:tc>
        <w:tc>
          <w:tcPr>
            <w:tcW w:w="923"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远期</w:t>
            </w: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甲苯</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2.2</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16500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775.5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二甲苯</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0.6</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4920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231.24</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古马隆</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1.5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5250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246.75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二甲酚</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0.12</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1200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56.4</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苯酚</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0.12</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1200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56.4</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邻苯酚</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0.07</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700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32.9</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间对位甲酚</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0.1</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47</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精萘</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3.5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26250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1233.75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苯酐</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1.5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12750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599.25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喹啉</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0.45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4950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232.65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工业芴</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0.25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7000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329</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精蒽</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1</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16000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752</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轻质白油</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2</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8000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376</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针状焦</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10</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45000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2115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881" w:type="dxa"/>
            <w:vMerge w:val="continue"/>
            <w:tcBorders>
              <w:top w:val="nil"/>
              <w:left w:val="single" w:color="auto" w:sz="4" w:space="0"/>
              <w:bottom w:val="nil"/>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20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炭黑</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12.5</w:t>
            </w:r>
          </w:p>
        </w:tc>
        <w:tc>
          <w:tcPr>
            <w:tcW w:w="865"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137500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6462.5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300" w:hRule="atLeast"/>
          <w:jc w:val="center"/>
        </w:trPr>
        <w:tc>
          <w:tcPr>
            <w:tcW w:w="608"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w:t>
            </w:r>
          </w:p>
        </w:tc>
        <w:tc>
          <w:tcPr>
            <w:tcW w:w="2084" w:type="dxa"/>
            <w:gridSpan w:val="2"/>
            <w:vMerge w:val="restart"/>
            <w:tcBorders>
              <w:top w:val="single" w:color="auto" w:sz="4" w:space="0"/>
              <w:left w:val="single" w:color="auto" w:sz="4" w:space="0"/>
              <w:bottom w:val="single" w:color="000000" w:sz="4" w:space="0"/>
              <w:right w:val="single" w:color="000000"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精细化工</w:t>
            </w:r>
          </w:p>
        </w:tc>
        <w:tc>
          <w:tcPr>
            <w:tcW w:w="1418"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磷酸铁锂</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10</w:t>
            </w:r>
          </w:p>
        </w:tc>
        <w:tc>
          <w:tcPr>
            <w:tcW w:w="865"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300000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1500000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220500</w:t>
            </w:r>
          </w:p>
        </w:tc>
        <w:tc>
          <w:tcPr>
            <w:tcW w:w="923"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近期</w:t>
            </w:r>
          </w:p>
        </w:tc>
      </w:tr>
      <w:tr>
        <w:tblPrEx>
          <w:tblCellMar>
            <w:top w:w="0" w:type="dxa"/>
            <w:left w:w="28" w:type="dxa"/>
            <w:bottom w:w="0" w:type="dxa"/>
            <w:right w:w="28" w:type="dxa"/>
          </w:tblCellMar>
        </w:tblPrEx>
        <w:trPr>
          <w:trHeight w:val="300"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20</w:t>
            </w:r>
          </w:p>
        </w:tc>
        <w:tc>
          <w:tcPr>
            <w:tcW w:w="865"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500000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3000000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441000</w:t>
            </w:r>
          </w:p>
        </w:tc>
        <w:tc>
          <w:tcPr>
            <w:tcW w:w="923"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远期</w:t>
            </w:r>
          </w:p>
        </w:tc>
      </w:tr>
      <w:tr>
        <w:tblPrEx>
          <w:tblCellMar>
            <w:top w:w="0" w:type="dxa"/>
            <w:left w:w="28" w:type="dxa"/>
            <w:bottom w:w="0" w:type="dxa"/>
            <w:right w:w="28" w:type="dxa"/>
          </w:tblCellMar>
        </w:tblPrEx>
        <w:trPr>
          <w:trHeight w:val="576"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vMerge w:val="restart"/>
            <w:tcBorders>
              <w:top w:val="nil"/>
              <w:left w:val="nil"/>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碳酸锂(中间产品)</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2.3</w:t>
            </w:r>
          </w:p>
        </w:tc>
        <w:tc>
          <w:tcPr>
            <w:tcW w:w="865"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120000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hint="eastAsia" w:cs="Times New Roman"/>
                <w:kern w:val="0"/>
                <w:sz w:val="21"/>
              </w:rPr>
              <w:t>-</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hint="eastAsia" w:cs="Times New Roman"/>
                <w:kern w:val="0"/>
                <w:sz w:val="21"/>
              </w:rPr>
              <w:t>-</w:t>
            </w:r>
          </w:p>
        </w:tc>
        <w:tc>
          <w:tcPr>
            <w:tcW w:w="923"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近期</w:t>
            </w:r>
          </w:p>
        </w:tc>
      </w:tr>
      <w:tr>
        <w:tblPrEx>
          <w:tblCellMar>
            <w:top w:w="0" w:type="dxa"/>
            <w:left w:w="28" w:type="dxa"/>
            <w:bottom w:w="0" w:type="dxa"/>
            <w:right w:w="28" w:type="dxa"/>
          </w:tblCellMar>
        </w:tblPrEx>
        <w:trPr>
          <w:trHeight w:val="300"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vMerge w:val="continue"/>
            <w:tcBorders>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6.7</w:t>
            </w:r>
          </w:p>
        </w:tc>
        <w:tc>
          <w:tcPr>
            <w:tcW w:w="865"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180000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hint="eastAsia" w:cs="Times New Roman"/>
                <w:kern w:val="0"/>
                <w:sz w:val="21"/>
              </w:rPr>
              <w:t>-</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hint="eastAsia" w:cs="Times New Roman"/>
                <w:kern w:val="0"/>
                <w:sz w:val="21"/>
              </w:rPr>
              <w:t>-</w:t>
            </w:r>
          </w:p>
        </w:tc>
        <w:tc>
          <w:tcPr>
            <w:tcW w:w="923"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远期</w:t>
            </w: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锰酸锂</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w:t>
            </w:r>
          </w:p>
        </w:tc>
        <w:tc>
          <w:tcPr>
            <w:tcW w:w="865" w:type="dxa"/>
            <w:vMerge w:val="restart"/>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140000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390000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57330</w:t>
            </w:r>
          </w:p>
        </w:tc>
        <w:tc>
          <w:tcPr>
            <w:tcW w:w="923" w:type="dxa"/>
            <w:vMerge w:val="restart"/>
            <w:tcBorders>
              <w:top w:val="nil"/>
              <w:left w:val="single" w:color="auto" w:sz="4" w:space="0"/>
              <w:bottom w:val="single" w:color="000000"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远期</w:t>
            </w: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钴酸锂</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0.5</w:t>
            </w:r>
          </w:p>
        </w:tc>
        <w:tc>
          <w:tcPr>
            <w:tcW w:w="865"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210000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30870</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镍钴锰酸锂</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w:t>
            </w:r>
          </w:p>
        </w:tc>
        <w:tc>
          <w:tcPr>
            <w:tcW w:w="865"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210000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30870</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镍钴铝酸锂</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0.5</w:t>
            </w:r>
          </w:p>
        </w:tc>
        <w:tc>
          <w:tcPr>
            <w:tcW w:w="865"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125000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18375</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noWrap/>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六氟磷酸锂电解液</w:t>
            </w:r>
          </w:p>
        </w:tc>
        <w:tc>
          <w:tcPr>
            <w:tcW w:w="1134" w:type="dxa"/>
            <w:tcBorders>
              <w:top w:val="nil"/>
              <w:left w:val="nil"/>
              <w:bottom w:val="single" w:color="auto" w:sz="4" w:space="0"/>
              <w:right w:val="single" w:color="auto" w:sz="4" w:space="0"/>
            </w:tcBorders>
            <w:shd w:val="clear" w:color="auto" w:fill="auto"/>
            <w:noWrap/>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8</w:t>
            </w:r>
          </w:p>
        </w:tc>
        <w:tc>
          <w:tcPr>
            <w:tcW w:w="865"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42000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270400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39748.8</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noWrap/>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聚偏氟乙烯</w:t>
            </w:r>
          </w:p>
        </w:tc>
        <w:tc>
          <w:tcPr>
            <w:tcW w:w="1134" w:type="dxa"/>
            <w:tcBorders>
              <w:top w:val="nil"/>
              <w:left w:val="nil"/>
              <w:bottom w:val="single" w:color="auto" w:sz="4" w:space="0"/>
              <w:right w:val="single" w:color="auto" w:sz="4" w:space="0"/>
            </w:tcBorders>
            <w:shd w:val="clear" w:color="auto" w:fill="auto"/>
            <w:noWrap/>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0.</w:t>
            </w:r>
            <w:r>
              <w:rPr>
                <w:rFonts w:ascii="宋体" w:hAnsi="宋体" w:cs="宋体"/>
                <w:kern w:val="0"/>
                <w:sz w:val="21"/>
              </w:rPr>
              <w:t>4</w:t>
            </w:r>
          </w:p>
        </w:tc>
        <w:tc>
          <w:tcPr>
            <w:tcW w:w="865"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30000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sz w:val="21"/>
              </w:rPr>
              <w:t>32000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sz w:val="21"/>
              </w:rPr>
              <w:t>4704</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r>
        <w:tblPrEx>
          <w:tblCellMar>
            <w:top w:w="0" w:type="dxa"/>
            <w:left w:w="28" w:type="dxa"/>
            <w:bottom w:w="0" w:type="dxa"/>
            <w:right w:w="28" w:type="dxa"/>
          </w:tblCellMar>
        </w:tblPrEx>
        <w:trPr>
          <w:trHeight w:val="288" w:hRule="atLeast"/>
          <w:jc w:val="center"/>
        </w:trPr>
        <w:tc>
          <w:tcPr>
            <w:tcW w:w="608"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cs="Times New Roman"/>
                <w:kern w:val="0"/>
                <w:sz w:val="21"/>
              </w:rPr>
            </w:pPr>
          </w:p>
        </w:tc>
        <w:tc>
          <w:tcPr>
            <w:tcW w:w="2084"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c>
          <w:tcPr>
            <w:tcW w:w="1418"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ascii="宋体" w:hAnsi="宋体" w:cs="宋体"/>
                <w:kern w:val="0"/>
                <w:sz w:val="21"/>
              </w:rPr>
            </w:pPr>
            <w:r>
              <w:rPr>
                <w:rFonts w:hint="eastAsia" w:ascii="宋体" w:hAnsi="宋体" w:cs="宋体"/>
                <w:kern w:val="0"/>
                <w:sz w:val="21"/>
              </w:rPr>
              <w:t>超</w:t>
            </w:r>
            <w:r>
              <w:rPr>
                <w:rFonts w:ascii="宋体" w:hAnsi="宋体" w:cs="宋体"/>
                <w:kern w:val="0"/>
                <w:sz w:val="21"/>
              </w:rPr>
              <w:t>高功率</w:t>
            </w:r>
            <w:r>
              <w:rPr>
                <w:rFonts w:hint="eastAsia" w:ascii="宋体" w:hAnsi="宋体" w:cs="宋体"/>
                <w:kern w:val="0"/>
                <w:sz w:val="21"/>
              </w:rPr>
              <w:t>石墨电极</w:t>
            </w:r>
          </w:p>
        </w:tc>
        <w:tc>
          <w:tcPr>
            <w:tcW w:w="113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10</w:t>
            </w:r>
          </w:p>
        </w:tc>
        <w:tc>
          <w:tcPr>
            <w:tcW w:w="865"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214000</w:t>
            </w:r>
          </w:p>
        </w:tc>
        <w:tc>
          <w:tcPr>
            <w:tcW w:w="95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180000</w:t>
            </w:r>
          </w:p>
        </w:tc>
        <w:tc>
          <w:tcPr>
            <w:tcW w:w="94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40" w:lineRule="auto"/>
              <w:ind w:firstLine="0" w:firstLineChars="0"/>
              <w:jc w:val="center"/>
              <w:rPr>
                <w:rFonts w:cs="Times New Roman"/>
                <w:kern w:val="0"/>
                <w:sz w:val="21"/>
              </w:rPr>
            </w:pPr>
            <w:r>
              <w:rPr>
                <w:rFonts w:cs="Times New Roman"/>
                <w:kern w:val="0"/>
                <w:sz w:val="21"/>
              </w:rPr>
              <w:t>26460</w:t>
            </w:r>
          </w:p>
        </w:tc>
        <w:tc>
          <w:tcPr>
            <w:tcW w:w="923"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line="240" w:lineRule="auto"/>
              <w:ind w:firstLine="0" w:firstLineChars="0"/>
              <w:jc w:val="center"/>
              <w:rPr>
                <w:rFonts w:ascii="宋体" w:hAnsi="宋体" w:cs="宋体"/>
                <w:kern w:val="0"/>
                <w:sz w:val="21"/>
              </w:rPr>
            </w:pPr>
          </w:p>
        </w:tc>
      </w:tr>
    </w:tbl>
    <w:p>
      <w:pPr>
        <w:pStyle w:val="4"/>
        <w:ind w:firstLine="602"/>
        <w:rPr>
          <w:rFonts w:cs="Times New Roman" w:eastAsiaTheme="minorEastAsia"/>
        </w:rPr>
      </w:pPr>
      <w:bookmarkStart w:id="471" w:name="_Toc126591905"/>
      <w:r>
        <w:rPr>
          <w:rFonts w:cs="Times New Roman" w:eastAsiaTheme="minorEastAsia"/>
        </w:rPr>
        <w:t xml:space="preserve">11.3 </w:t>
      </w:r>
      <w:r>
        <w:rPr>
          <w:rFonts w:cs="Times New Roman" w:hAnsiTheme="minorEastAsia" w:eastAsiaTheme="minorEastAsia"/>
        </w:rPr>
        <w:t>投资及经济效益</w:t>
      </w:r>
      <w:bookmarkEnd w:id="471"/>
    </w:p>
    <w:p>
      <w:pPr>
        <w:ind w:firstLine="560"/>
        <w:rPr>
          <w:rFonts w:cs="Times New Roman" w:eastAsiaTheme="minorEastAsia"/>
        </w:rPr>
      </w:pPr>
      <w:r>
        <w:rPr>
          <w:rFonts w:cs="Times New Roman" w:hAnsiTheme="minorEastAsia" w:eastAsiaTheme="minorEastAsia"/>
        </w:rPr>
        <w:t>到</w:t>
      </w:r>
      <w:r>
        <w:rPr>
          <w:rFonts w:cs="Times New Roman" w:eastAsiaTheme="minorEastAsia"/>
        </w:rPr>
        <w:t>2028</w:t>
      </w:r>
      <w:r>
        <w:rPr>
          <w:rFonts w:cs="Times New Roman" w:hAnsiTheme="minorEastAsia" w:eastAsiaTheme="minorEastAsia"/>
        </w:rPr>
        <w:t>年园区新增投资达到</w:t>
      </w:r>
      <w:r>
        <w:rPr>
          <w:rFonts w:hint="eastAsia" w:cs="Times New Roman" w:eastAsiaTheme="minorEastAsia"/>
        </w:rPr>
        <w:t>135.0</w:t>
      </w:r>
      <w:r>
        <w:rPr>
          <w:rFonts w:cs="Times New Roman" w:hAnsiTheme="minorEastAsia" w:eastAsiaTheme="minorEastAsia"/>
        </w:rPr>
        <w:t>亿元，</w:t>
      </w:r>
      <w:r>
        <w:rPr>
          <w:rFonts w:cs="Times New Roman" w:eastAsiaTheme="minorEastAsia"/>
        </w:rPr>
        <w:t>2035</w:t>
      </w:r>
      <w:r>
        <w:rPr>
          <w:rFonts w:cs="Times New Roman" w:hAnsiTheme="minorEastAsia" w:eastAsiaTheme="minorEastAsia"/>
        </w:rPr>
        <w:t>年远期园区新增投资突破</w:t>
      </w:r>
      <w:r>
        <w:rPr>
          <w:rFonts w:hint="eastAsia" w:cs="Times New Roman" w:hAnsiTheme="minorEastAsia" w:eastAsiaTheme="minorEastAsia"/>
        </w:rPr>
        <w:t>110.6</w:t>
      </w:r>
      <w:r>
        <w:rPr>
          <w:rFonts w:cs="Times New Roman" w:hAnsiTheme="minorEastAsia" w:eastAsiaTheme="minorEastAsia"/>
        </w:rPr>
        <w:t>亿元。到</w:t>
      </w:r>
      <w:r>
        <w:rPr>
          <w:rFonts w:cs="Times New Roman" w:eastAsiaTheme="minorEastAsia"/>
        </w:rPr>
        <w:t>2028</w:t>
      </w:r>
      <w:r>
        <w:rPr>
          <w:rFonts w:cs="Times New Roman" w:hAnsiTheme="minorEastAsia" w:eastAsiaTheme="minorEastAsia"/>
        </w:rPr>
        <w:t>年园区年产值新增</w:t>
      </w:r>
      <w:r>
        <w:rPr>
          <w:rFonts w:hint="eastAsia" w:cs="Times New Roman" w:hAnsiTheme="minorEastAsia" w:eastAsiaTheme="minorEastAsia"/>
        </w:rPr>
        <w:t>271.46</w:t>
      </w:r>
      <w:r>
        <w:rPr>
          <w:rFonts w:cs="Times New Roman" w:hAnsiTheme="minorEastAsia" w:eastAsiaTheme="minorEastAsia"/>
        </w:rPr>
        <w:t>亿元，年利税新增</w:t>
      </w:r>
      <w:r>
        <w:rPr>
          <w:rFonts w:hint="eastAsia" w:cs="Times New Roman" w:hAnsiTheme="minorEastAsia" w:eastAsiaTheme="minorEastAsia"/>
        </w:rPr>
        <w:t>27.76</w:t>
      </w:r>
      <w:r>
        <w:rPr>
          <w:rFonts w:cs="Times New Roman" w:hAnsiTheme="minorEastAsia" w:eastAsiaTheme="minorEastAsia"/>
        </w:rPr>
        <w:t>亿元，到</w:t>
      </w:r>
      <w:r>
        <w:rPr>
          <w:rFonts w:cs="Times New Roman" w:eastAsiaTheme="minorEastAsia"/>
        </w:rPr>
        <w:t>2035</w:t>
      </w:r>
      <w:r>
        <w:rPr>
          <w:rFonts w:cs="Times New Roman" w:hAnsiTheme="minorEastAsia" w:eastAsiaTheme="minorEastAsia"/>
        </w:rPr>
        <w:t>年园区年产值再进一步新增</w:t>
      </w:r>
      <w:r>
        <w:rPr>
          <w:rFonts w:hint="eastAsia" w:cs="Times New Roman" w:hAnsiTheme="minorEastAsia" w:eastAsiaTheme="minorEastAsia"/>
        </w:rPr>
        <w:t>478.68</w:t>
      </w:r>
      <w:r>
        <w:rPr>
          <w:rFonts w:cs="Times New Roman" w:hAnsiTheme="minorEastAsia" w:eastAsiaTheme="minorEastAsia"/>
        </w:rPr>
        <w:t>亿元，年利税新增</w:t>
      </w:r>
      <w:r>
        <w:rPr>
          <w:rFonts w:hint="eastAsia" w:cs="Times New Roman" w:hAnsiTheme="minorEastAsia" w:eastAsiaTheme="minorEastAsia"/>
        </w:rPr>
        <w:t>66.67</w:t>
      </w:r>
      <w:r>
        <w:rPr>
          <w:rFonts w:cs="Times New Roman" w:hAnsiTheme="minorEastAsia" w:eastAsiaTheme="minorEastAsia"/>
        </w:rPr>
        <w:t>亿元，园区累计年产值达到</w:t>
      </w:r>
      <w:r>
        <w:rPr>
          <w:rFonts w:hint="eastAsia" w:cs="Times New Roman" w:hAnsiTheme="minorEastAsia" w:eastAsiaTheme="minorEastAsia"/>
        </w:rPr>
        <w:t>750.14</w:t>
      </w:r>
      <w:r>
        <w:rPr>
          <w:rFonts w:cs="Times New Roman" w:hAnsiTheme="minorEastAsia" w:eastAsiaTheme="minorEastAsia"/>
        </w:rPr>
        <w:t>亿元，年利税达到</w:t>
      </w:r>
      <w:r>
        <w:rPr>
          <w:rFonts w:hint="eastAsia" w:cs="Times New Roman" w:hAnsiTheme="minorEastAsia" w:eastAsiaTheme="minorEastAsia"/>
        </w:rPr>
        <w:t>94.43</w:t>
      </w:r>
      <w:r>
        <w:rPr>
          <w:rFonts w:cs="Times New Roman" w:hAnsiTheme="minorEastAsia" w:eastAsiaTheme="minorEastAsia"/>
        </w:rPr>
        <w:t>亿元。</w:t>
      </w:r>
    </w:p>
    <w:p>
      <w:pPr>
        <w:pStyle w:val="4"/>
        <w:ind w:firstLine="602"/>
        <w:rPr>
          <w:rFonts w:cs="Times New Roman" w:eastAsiaTheme="minorEastAsia"/>
        </w:rPr>
      </w:pPr>
      <w:bookmarkStart w:id="472" w:name="_Toc126591906"/>
      <w:r>
        <w:rPr>
          <w:rFonts w:cs="Times New Roman" w:eastAsiaTheme="minorEastAsia"/>
        </w:rPr>
        <w:t xml:space="preserve">11.4 </w:t>
      </w:r>
      <w:r>
        <w:rPr>
          <w:rFonts w:cs="Times New Roman" w:hAnsiTheme="minorEastAsia" w:eastAsiaTheme="minorEastAsia"/>
        </w:rPr>
        <w:t>社会效益</w:t>
      </w:r>
      <w:bookmarkEnd w:id="472"/>
    </w:p>
    <w:p>
      <w:pPr>
        <w:pStyle w:val="5"/>
        <w:ind w:firstLine="560"/>
        <w:rPr>
          <w:rFonts w:cs="Times New Roman" w:eastAsiaTheme="minorEastAsia"/>
        </w:rPr>
      </w:pPr>
      <w:r>
        <w:rPr>
          <w:rFonts w:cs="Times New Roman" w:eastAsiaTheme="minorEastAsia"/>
          <w:b w:val="0"/>
        </w:rPr>
        <w:t xml:space="preserve">11.4.1 </w:t>
      </w:r>
      <w:r>
        <w:rPr>
          <w:rFonts w:cs="Times New Roman" w:hAnsiTheme="minorEastAsia" w:eastAsiaTheme="minorEastAsia"/>
        </w:rPr>
        <w:t>提高资源利用效率，促进地方经济可持续发展</w:t>
      </w:r>
    </w:p>
    <w:p>
      <w:pPr>
        <w:ind w:firstLine="560"/>
        <w:rPr>
          <w:rFonts w:cs="Times New Roman" w:eastAsiaTheme="minorEastAsia"/>
        </w:rPr>
      </w:pPr>
      <w:r>
        <w:rPr>
          <w:rFonts w:cs="Times New Roman" w:hAnsiTheme="minorEastAsia" w:eastAsiaTheme="minorEastAsia"/>
        </w:rPr>
        <w:t>六枝特区化工产业的发展和化工园区的建设，充分利用当地优势的资源进行深加工，采取高端化产业发展和循环经济生态工业建设模式，大大提高了当地资源的综合利用和有效利用，使资源物尽其用，发挥了最大的资源效益，有力地提高了六枝特区工业产业的综合实力，促进了全区经济的可持续性发展。</w:t>
      </w:r>
    </w:p>
    <w:p>
      <w:pPr>
        <w:pStyle w:val="5"/>
        <w:ind w:firstLine="560"/>
        <w:rPr>
          <w:rFonts w:cs="Times New Roman" w:eastAsiaTheme="minorEastAsia"/>
        </w:rPr>
      </w:pPr>
      <w:r>
        <w:rPr>
          <w:rFonts w:cs="Times New Roman" w:eastAsiaTheme="minorEastAsia"/>
          <w:b w:val="0"/>
        </w:rPr>
        <w:t xml:space="preserve">11.4.2 </w:t>
      </w:r>
      <w:r>
        <w:rPr>
          <w:rFonts w:cs="Times New Roman" w:hAnsiTheme="minorEastAsia" w:eastAsiaTheme="minorEastAsia"/>
        </w:rPr>
        <w:t>促进工业产业高质量发展，带动了相关产业的良性发展</w:t>
      </w:r>
    </w:p>
    <w:p>
      <w:pPr>
        <w:ind w:firstLine="560"/>
        <w:rPr>
          <w:rFonts w:cs="Times New Roman" w:eastAsiaTheme="minorEastAsia"/>
        </w:rPr>
      </w:pPr>
      <w:r>
        <w:rPr>
          <w:rFonts w:cs="Times New Roman" w:hAnsiTheme="minorEastAsia" w:eastAsiaTheme="minorEastAsia"/>
        </w:rPr>
        <w:t>园区化工产业的发展，将有效带动全区经济结构的调整，壮大了第二产业的发展，大大改善了三次产业结构的比例，促进了全区工业产业的高质量发展。</w:t>
      </w:r>
    </w:p>
    <w:p>
      <w:pPr>
        <w:ind w:firstLine="560"/>
        <w:rPr>
          <w:rFonts w:cs="Times New Roman" w:eastAsiaTheme="minorEastAsia"/>
        </w:rPr>
      </w:pPr>
      <w:r>
        <w:rPr>
          <w:rFonts w:cs="Times New Roman" w:hAnsiTheme="minorEastAsia" w:eastAsiaTheme="minorEastAsia"/>
        </w:rPr>
        <w:t>初步测算，化学工业对当地经济的带动系数为</w:t>
      </w:r>
      <w:r>
        <w:rPr>
          <w:rFonts w:cs="Times New Roman" w:eastAsiaTheme="minorEastAsia"/>
        </w:rPr>
        <w:t>2.7</w:t>
      </w:r>
      <w:r>
        <w:rPr>
          <w:rFonts w:cs="Times New Roman" w:hAnsiTheme="minorEastAsia" w:eastAsiaTheme="minorEastAsia"/>
        </w:rPr>
        <w:t>，带动度系数表示当基础化学工业增加一个单位最终产品时，促使国民经济增长的程度。因此，化工园区的建设将充分带动采掘、能源、建材、机械、服务等相关配套行业的发展，预计可以促进区域生产总值增长约数十亿元。因此，化工园区的建设将有力推动区域经济的快速、良性发展。</w:t>
      </w:r>
    </w:p>
    <w:p>
      <w:pPr>
        <w:pStyle w:val="5"/>
        <w:ind w:firstLine="560"/>
        <w:rPr>
          <w:rFonts w:cs="Times New Roman" w:eastAsiaTheme="minorEastAsia"/>
        </w:rPr>
      </w:pPr>
      <w:r>
        <w:rPr>
          <w:rFonts w:cs="Times New Roman" w:eastAsiaTheme="minorEastAsia"/>
          <w:b w:val="0"/>
        </w:rPr>
        <w:t xml:space="preserve">11.4.3 </w:t>
      </w:r>
      <w:r>
        <w:rPr>
          <w:rFonts w:cs="Times New Roman" w:hAnsiTheme="minorEastAsia" w:eastAsiaTheme="minorEastAsia"/>
        </w:rPr>
        <w:t>改善就业状况，推动社会和谐发展</w:t>
      </w:r>
    </w:p>
    <w:p>
      <w:pPr>
        <w:ind w:firstLine="560"/>
        <w:rPr>
          <w:rFonts w:cs="Times New Roman" w:eastAsiaTheme="minorEastAsia"/>
        </w:rPr>
      </w:pPr>
      <w:r>
        <w:rPr>
          <w:rFonts w:cs="Times New Roman" w:hAnsiTheme="minorEastAsia" w:eastAsiaTheme="minorEastAsia"/>
        </w:rPr>
        <w:t>预计规划项目全部建成后，</w:t>
      </w:r>
      <w:r>
        <w:rPr>
          <w:rFonts w:cs="Times New Roman" w:hAnsiTheme="minorEastAsia" w:eastAsiaTheme="minorEastAsia"/>
          <w:szCs w:val="28"/>
        </w:rPr>
        <w:t>园区近期可吸纳</w:t>
      </w:r>
      <w:r>
        <w:rPr>
          <w:rFonts w:hint="eastAsia" w:cs="Times New Roman"/>
          <w:sz w:val="24"/>
          <w:szCs w:val="24"/>
        </w:rPr>
        <w:t>3890</w:t>
      </w:r>
      <w:r>
        <w:rPr>
          <w:rFonts w:cs="Times New Roman"/>
          <w:sz w:val="24"/>
          <w:szCs w:val="24"/>
        </w:rPr>
        <w:t>人</w:t>
      </w:r>
      <w:r>
        <w:rPr>
          <w:rFonts w:cs="Times New Roman" w:hAnsiTheme="minorEastAsia" w:eastAsiaTheme="minorEastAsia"/>
          <w:szCs w:val="28"/>
        </w:rPr>
        <w:t>就业</w:t>
      </w:r>
      <w:r>
        <w:rPr>
          <w:rFonts w:cs="Times New Roman" w:hAnsiTheme="minorEastAsia" w:eastAsiaTheme="minorEastAsia"/>
        </w:rPr>
        <w:t>。同时，通过引进先进的企业和一流的技术人才，聚集人气，吸引投资，将大大提高当地的科技水平，促进投资环境的改善，将为地方经济增加大量税收，增加就业机会，提高当地居民收入，带动当地经济发展，促进社会稳定和和谐发展做出贡献。</w:t>
      </w:r>
    </w:p>
    <w:p>
      <w:pPr>
        <w:pStyle w:val="4"/>
        <w:ind w:firstLine="602"/>
        <w:rPr>
          <w:rFonts w:cs="Times New Roman" w:eastAsiaTheme="minorEastAsia"/>
        </w:rPr>
      </w:pPr>
      <w:bookmarkStart w:id="473" w:name="_Toc126591907"/>
      <w:r>
        <w:rPr>
          <w:rFonts w:cs="Times New Roman" w:eastAsiaTheme="minorEastAsia"/>
        </w:rPr>
        <w:t xml:space="preserve">11.5 </w:t>
      </w:r>
      <w:r>
        <w:rPr>
          <w:rFonts w:cs="Times New Roman" w:hAnsiTheme="minorEastAsia" w:eastAsiaTheme="minorEastAsia"/>
        </w:rPr>
        <w:t>环境生态效益分析</w:t>
      </w:r>
      <w:bookmarkEnd w:id="473"/>
    </w:p>
    <w:p>
      <w:pPr>
        <w:ind w:firstLine="560"/>
        <w:rPr>
          <w:rFonts w:cs="Times New Roman" w:eastAsiaTheme="minorEastAsia"/>
        </w:rPr>
      </w:pPr>
      <w:r>
        <w:rPr>
          <w:rFonts w:cs="Times New Roman" w:hAnsiTheme="minorEastAsia" w:eastAsiaTheme="minorEastAsia"/>
        </w:rPr>
        <w:t>化工园区的建设和产业项目生产过程中，通过采用先进、生产工艺技术和装备，并对区内产生的排放物进行有效的治理和综合利用，使园区总体技术装备水平和能耗、水耗水平显著提高，真正实现了化工产业的发展与良好环境生态的和谐、统一。主要环境效益分析如下。</w:t>
      </w:r>
    </w:p>
    <w:p>
      <w:pPr>
        <w:ind w:firstLine="560"/>
        <w:rPr>
          <w:rFonts w:cs="Times New Roman" w:eastAsiaTheme="minorEastAsia"/>
        </w:rPr>
      </w:pPr>
      <w:r>
        <w:rPr>
          <w:rFonts w:cs="Times New Roman" w:hAnsiTheme="minorEastAsia" w:eastAsiaTheme="minorEastAsia"/>
        </w:rPr>
        <w:t>一、园区的发展使各项目聚集在一个相对集中的区域，既节约了土地，又有利于供水、供电、运输等公共基础设施的集中配套和管理，提高了资源利用率和集约化程度；同时，便于</w:t>
      </w:r>
      <w:r>
        <w:rPr>
          <w:rFonts w:cs="Times New Roman" w:eastAsiaTheme="minorEastAsia"/>
        </w:rPr>
        <w:t>“</w:t>
      </w:r>
      <w:r>
        <w:rPr>
          <w:rFonts w:cs="Times New Roman" w:hAnsiTheme="minorEastAsia" w:eastAsiaTheme="minorEastAsia"/>
        </w:rPr>
        <w:t>三废</w:t>
      </w:r>
      <w:r>
        <w:rPr>
          <w:rFonts w:cs="Times New Roman" w:eastAsiaTheme="minorEastAsia"/>
        </w:rPr>
        <w:t>”</w:t>
      </w:r>
      <w:r>
        <w:rPr>
          <w:rFonts w:cs="Times New Roman" w:hAnsiTheme="minorEastAsia" w:eastAsiaTheme="minorEastAsia"/>
        </w:rPr>
        <w:t>的集中治理，集中排放，有利于污染防治和环境保护。</w:t>
      </w:r>
    </w:p>
    <w:p>
      <w:pPr>
        <w:ind w:firstLine="560"/>
        <w:rPr>
          <w:rFonts w:cs="Times New Roman" w:eastAsiaTheme="minorEastAsia"/>
        </w:rPr>
      </w:pPr>
      <w:r>
        <w:rPr>
          <w:rFonts w:cs="Times New Roman" w:hAnsiTheme="minorEastAsia" w:eastAsiaTheme="minorEastAsia"/>
        </w:rPr>
        <w:t>二、园区内通过加强对各</w:t>
      </w:r>
      <w:r>
        <w:rPr>
          <w:rFonts w:cs="Times New Roman" w:eastAsiaTheme="minorEastAsia"/>
        </w:rPr>
        <w:t>“</w:t>
      </w:r>
      <w:r>
        <w:rPr>
          <w:rFonts w:cs="Times New Roman" w:hAnsiTheme="minorEastAsia" w:eastAsiaTheme="minorEastAsia"/>
        </w:rPr>
        <w:t>三废</w:t>
      </w:r>
      <w:r>
        <w:rPr>
          <w:rFonts w:cs="Times New Roman" w:eastAsiaTheme="minorEastAsia"/>
        </w:rPr>
        <w:t>”</w:t>
      </w:r>
      <w:r>
        <w:rPr>
          <w:rFonts w:cs="Times New Roman" w:hAnsiTheme="minorEastAsia" w:eastAsiaTheme="minorEastAsia"/>
        </w:rPr>
        <w:t>污染物的集中治理，使主要污染物排放总量始终控制在规定的标准范围内，确保区域内空气、水环境质量达标。</w:t>
      </w:r>
    </w:p>
    <w:p>
      <w:pPr>
        <w:ind w:firstLine="560"/>
        <w:rPr>
          <w:rFonts w:cs="Times New Roman" w:eastAsiaTheme="minorEastAsia"/>
        </w:rPr>
      </w:pPr>
      <w:r>
        <w:rPr>
          <w:rFonts w:cs="Times New Roman" w:hAnsiTheme="minorEastAsia" w:eastAsiaTheme="minorEastAsia"/>
        </w:rPr>
        <w:t>三、园区通过加强生态建设，防治水土流失，加大地质灾害防治，以及绿色企业和绿色园区的建设，促进了园区的生态恢复和环境美化，为把化工园区建设成为一个人与自然和谐、环境友好型的循环经济示范园区提供了可能。</w:t>
      </w:r>
    </w:p>
    <w:p>
      <w:pPr>
        <w:ind w:firstLine="560"/>
        <w:rPr>
          <w:rFonts w:cs="Times New Roman" w:eastAsiaTheme="minorEastAsia"/>
        </w:rPr>
      </w:pPr>
      <w:r>
        <w:rPr>
          <w:rFonts w:cs="Times New Roman" w:hAnsiTheme="minorEastAsia" w:eastAsiaTheme="minorEastAsia"/>
        </w:rPr>
        <w:t>四、化工园区通过新技术、新材料、新工艺的开发和应用，积极推行清洁生产，杜绝严重污染，生产环境友好型产品，有效改善工业对环境的影响；同时，通过原料、产品上下游一体化、公用工程一体化、产业横向耦合化，实现了各种原料、中间产品的有效利用，大大减少生产过程中的原料消耗和废物排放，相互充分利用产生的副产物和废弃物，大大减少了能源和资源消耗，提高了资源综合利用率。</w:t>
      </w:r>
    </w:p>
    <w:p>
      <w:pPr>
        <w:ind w:firstLine="560"/>
        <w:rPr>
          <w:rFonts w:cs="Times New Roman" w:eastAsiaTheme="minorEastAsia"/>
        </w:rPr>
      </w:pPr>
      <w:r>
        <w:rPr>
          <w:rFonts w:cs="Times New Roman" w:hAnsiTheme="minorEastAsia" w:eastAsiaTheme="minorEastAsia"/>
        </w:rPr>
        <w:t>通过建立产业共生循环经济发展模式，采取有效的方法和途径，使园区的工业固体废物利用处置率达到</w:t>
      </w:r>
      <w:r>
        <w:rPr>
          <w:rFonts w:cs="Times New Roman" w:eastAsiaTheme="minorEastAsia"/>
        </w:rPr>
        <w:t>100%</w:t>
      </w:r>
      <w:r>
        <w:rPr>
          <w:rFonts w:cs="Times New Roman" w:hAnsiTheme="minorEastAsia" w:eastAsiaTheme="minorEastAsia"/>
        </w:rPr>
        <w:t>，工业废水处理达标率达</w:t>
      </w:r>
      <w:r>
        <w:rPr>
          <w:rFonts w:cs="Times New Roman" w:eastAsiaTheme="minorEastAsia"/>
        </w:rPr>
        <w:t>100%</w:t>
      </w:r>
      <w:r>
        <w:rPr>
          <w:rFonts w:cs="Times New Roman" w:hAnsiTheme="minorEastAsia" w:eastAsiaTheme="minorEastAsia"/>
        </w:rPr>
        <w:t>，工业废气处理达标率</w:t>
      </w:r>
      <w:r>
        <w:rPr>
          <w:rFonts w:cs="Times New Roman" w:eastAsiaTheme="minorEastAsia"/>
        </w:rPr>
        <w:t>100%</w:t>
      </w:r>
      <w:r>
        <w:rPr>
          <w:rFonts w:cs="Times New Roman" w:hAnsiTheme="minorEastAsia" w:eastAsiaTheme="minorEastAsia"/>
        </w:rPr>
        <w:t>，能耗和水耗达到全省行业平均水平以下。</w:t>
      </w:r>
    </w:p>
    <w:p>
      <w:pPr>
        <w:ind w:firstLine="560"/>
        <w:rPr>
          <w:rFonts w:cs="Times New Roman" w:eastAsiaTheme="minorEastAsia"/>
        </w:rPr>
      </w:pPr>
      <w:r>
        <w:rPr>
          <w:rFonts w:cs="Times New Roman" w:eastAsiaTheme="minorEastAsia"/>
        </w:rPr>
        <w:br w:type="page"/>
      </w:r>
    </w:p>
    <w:p>
      <w:pPr>
        <w:pStyle w:val="3"/>
        <w:spacing w:before="120" w:after="120"/>
        <w:ind w:firstLine="643"/>
        <w:rPr>
          <w:rFonts w:cs="Times New Roman" w:eastAsiaTheme="minorEastAsia"/>
        </w:rPr>
      </w:pPr>
      <w:bookmarkStart w:id="474" w:name="_Toc126591908"/>
      <w:r>
        <w:rPr>
          <w:rFonts w:cs="Times New Roman" w:hAnsiTheme="minorEastAsia" w:eastAsiaTheme="minorEastAsia"/>
        </w:rPr>
        <w:t>第十二章规划实施建议</w:t>
      </w:r>
      <w:bookmarkEnd w:id="474"/>
    </w:p>
    <w:p>
      <w:pPr>
        <w:ind w:firstLine="560"/>
        <w:rPr>
          <w:rFonts w:cs="Times New Roman" w:eastAsiaTheme="minorEastAsia"/>
        </w:rPr>
      </w:pPr>
      <w:r>
        <w:rPr>
          <w:rFonts w:hint="eastAsia" w:cs="Times New Roman" w:hAnsiTheme="minorEastAsia" w:eastAsiaTheme="minorEastAsia"/>
        </w:rPr>
        <w:t>六枝特区化工园区</w:t>
      </w:r>
      <w:r>
        <w:rPr>
          <w:rFonts w:cs="Times New Roman" w:hAnsiTheme="minorEastAsia" w:eastAsiaTheme="minorEastAsia"/>
        </w:rPr>
        <w:t>产业定位</w:t>
      </w:r>
      <w:r>
        <w:rPr>
          <w:rFonts w:cs="Times New Roman" w:hAnsiTheme="minorEastAsia" w:eastAsiaTheme="minorEastAsia"/>
          <w:shd w:val="clear" w:color="auto" w:fill="FFFFFF"/>
        </w:rPr>
        <w:t>依托</w:t>
      </w:r>
      <w:r>
        <w:rPr>
          <w:rFonts w:cs="Times New Roman" w:hAnsiTheme="minorEastAsia" w:eastAsiaTheme="minorEastAsia"/>
          <w:kern w:val="0"/>
        </w:rPr>
        <w:t>区域丰富的煤矿</w:t>
      </w:r>
      <w:r>
        <w:rPr>
          <w:rFonts w:hint="eastAsia" w:cs="Times New Roman" w:hAnsiTheme="minorEastAsia" w:eastAsiaTheme="minorEastAsia"/>
          <w:kern w:val="0"/>
        </w:rPr>
        <w:t>、锂矿</w:t>
      </w:r>
      <w:r>
        <w:rPr>
          <w:rFonts w:cs="Times New Roman" w:hAnsiTheme="minorEastAsia" w:eastAsiaTheme="minorEastAsia"/>
          <w:kern w:val="0"/>
        </w:rPr>
        <w:t>资源</w:t>
      </w:r>
      <w:r>
        <w:rPr>
          <w:rFonts w:cs="Times New Roman" w:hAnsiTheme="minorEastAsia" w:eastAsiaTheme="minorEastAsia"/>
          <w:shd w:val="clear" w:color="auto" w:fill="FFFFFF"/>
        </w:rPr>
        <w:t>，</w:t>
      </w:r>
      <w:r>
        <w:rPr>
          <w:rFonts w:cs="Times New Roman" w:hAnsiTheme="minorEastAsia" w:eastAsiaTheme="minorEastAsia"/>
          <w:szCs w:val="24"/>
        </w:rPr>
        <w:t>以焦化为基础，大力发展以焦炉煤气制</w:t>
      </w:r>
      <w:r>
        <w:rPr>
          <w:rFonts w:cs="Times New Roman" w:eastAsiaTheme="minorEastAsia"/>
          <w:szCs w:val="24"/>
        </w:rPr>
        <w:t>LNG</w:t>
      </w:r>
      <w:r>
        <w:rPr>
          <w:rFonts w:hint="eastAsia" w:cs="Times New Roman" w:eastAsiaTheme="minorEastAsia"/>
          <w:szCs w:val="24"/>
        </w:rPr>
        <w:t>、PSA制氢、合成氨、</w:t>
      </w:r>
      <w:r>
        <w:rPr>
          <w:rFonts w:hint="eastAsia" w:cs="Times New Roman" w:hAnsiTheme="minorEastAsia" w:eastAsiaTheme="minorEastAsia"/>
          <w:szCs w:val="24"/>
        </w:rPr>
        <w:t>化产</w:t>
      </w:r>
      <w:r>
        <w:rPr>
          <w:rFonts w:cs="Times New Roman" w:hAnsiTheme="minorEastAsia" w:eastAsiaTheme="minorEastAsia"/>
          <w:szCs w:val="24"/>
        </w:rPr>
        <w:t>深加工等为代表的多个产业集群；</w:t>
      </w:r>
      <w:r>
        <w:rPr>
          <w:rFonts w:hint="eastAsia" w:cs="Times New Roman" w:hAnsiTheme="minorEastAsia" w:eastAsiaTheme="minorEastAsia"/>
          <w:kern w:val="0"/>
        </w:rPr>
        <w:t>依托区域锂矿石资源，以开发的碳酸锂中间产品为原料，大力发展锂电池储能精细化学品产业</w:t>
      </w:r>
      <w:r>
        <w:rPr>
          <w:rFonts w:cs="Times New Roman" w:hAnsiTheme="minorEastAsia" w:eastAsiaTheme="minorEastAsia"/>
        </w:rPr>
        <w:t>。产业规划的顺利实施需要资源、技术、基础设施、高端人才、优惠政策等各种要素的有效配置、协调和统一。对于规划的实施提出如下建议：</w:t>
      </w:r>
    </w:p>
    <w:p>
      <w:pPr>
        <w:pStyle w:val="4"/>
        <w:ind w:firstLine="602"/>
        <w:rPr>
          <w:rFonts w:cs="Times New Roman" w:eastAsiaTheme="minorEastAsia"/>
        </w:rPr>
      </w:pPr>
      <w:bookmarkStart w:id="475" w:name="_Toc126591909"/>
      <w:r>
        <w:rPr>
          <w:rFonts w:cs="Times New Roman" w:eastAsiaTheme="minorEastAsia"/>
        </w:rPr>
        <w:t xml:space="preserve">12.1 </w:t>
      </w:r>
      <w:r>
        <w:rPr>
          <w:rFonts w:cs="Times New Roman" w:hAnsiTheme="minorEastAsia" w:eastAsiaTheme="minorEastAsia"/>
        </w:rPr>
        <w:t>严格矿产资源的管理和科学利用，确保资源的供应</w:t>
      </w:r>
      <w:bookmarkEnd w:id="475"/>
    </w:p>
    <w:p>
      <w:pPr>
        <w:ind w:firstLine="560"/>
        <w:rPr>
          <w:rFonts w:cs="Times New Roman" w:eastAsiaTheme="minorEastAsia"/>
        </w:rPr>
      </w:pPr>
      <w:r>
        <w:rPr>
          <w:rFonts w:cs="Times New Roman" w:hAnsiTheme="minorEastAsia" w:eastAsiaTheme="minorEastAsia"/>
        </w:rPr>
        <w:t>化工园区产业发展所需的主要矿产资源是煤碳和锂矿等资源。这些矿产资源都是区域具有优势的资源。如何利用好这些资源，保证资源的供应，发挥最大的资源价值，在资源管理和开发、保护方面还要做大量工作。</w:t>
      </w:r>
    </w:p>
    <w:p>
      <w:pPr>
        <w:ind w:firstLine="560"/>
        <w:rPr>
          <w:rFonts w:cs="Times New Roman" w:eastAsiaTheme="minorEastAsia"/>
        </w:rPr>
      </w:pPr>
      <w:r>
        <w:rPr>
          <w:rFonts w:cs="Times New Roman" w:hAnsiTheme="minorEastAsia" w:eastAsiaTheme="minorEastAsia"/>
        </w:rPr>
        <w:t>建议区直相关部门对全县矿产的资源状况、开采情况进行详细调研，制定科学的资源保护、开发、利用政策，对不合理的开采企业整合、重组或关停，对合规的矿山企业通过政策支持做大做强。同时制定科学的资源开发、利用政策，严格资源的开发和利用管理，确保资源得到有效保护和高效利用。对有加工产业的企业进行有效的相关资源的配套供应，形成有规模效应的、采矿</w:t>
      </w:r>
      <w:r>
        <w:rPr>
          <w:rFonts w:cs="Times New Roman" w:eastAsiaTheme="minorEastAsia"/>
        </w:rPr>
        <w:t>-</w:t>
      </w:r>
      <w:r>
        <w:rPr>
          <w:rFonts w:cs="Times New Roman" w:hAnsiTheme="minorEastAsia" w:eastAsiaTheme="minorEastAsia"/>
        </w:rPr>
        <w:t>加工一体化的综合性企业，实现矿产资源的高效利用。确保园区产业发展所需矿产资源的有效供应和规划的顺利实施。</w:t>
      </w:r>
    </w:p>
    <w:p>
      <w:pPr>
        <w:pStyle w:val="4"/>
        <w:ind w:firstLine="602"/>
        <w:rPr>
          <w:rFonts w:cs="Times New Roman" w:eastAsiaTheme="minorEastAsia"/>
        </w:rPr>
      </w:pPr>
      <w:bookmarkStart w:id="476" w:name="_Toc126591910"/>
      <w:r>
        <w:rPr>
          <w:rFonts w:cs="Times New Roman" w:eastAsiaTheme="minorEastAsia"/>
        </w:rPr>
        <w:t xml:space="preserve">12.2 </w:t>
      </w:r>
      <w:r>
        <w:rPr>
          <w:rFonts w:cs="Times New Roman" w:hAnsiTheme="minorEastAsia" w:eastAsiaTheme="minorEastAsia"/>
        </w:rPr>
        <w:t>优化招商引资的管理，严把项目关</w:t>
      </w:r>
      <w:bookmarkEnd w:id="476"/>
    </w:p>
    <w:p>
      <w:pPr>
        <w:ind w:firstLine="560"/>
        <w:rPr>
          <w:rFonts w:cs="Times New Roman" w:eastAsiaTheme="minorEastAsia"/>
        </w:rPr>
      </w:pPr>
      <w:r>
        <w:rPr>
          <w:rFonts w:cs="Times New Roman" w:hAnsiTheme="minorEastAsia" w:eastAsiaTheme="minorEastAsia"/>
        </w:rPr>
        <w:t>规划的实施离不开外来技术、资金的支持，特别是高端产品的发展，对技术、市场及投资商有其特殊性的要求，不是任何投资商都能参与建设的，应挑选生产、经营管理水平高，能够带来先进技术、新产品，甚至可带来市场的投资商参与化工园区的建设。建议各级政府在招商引资过程中严加注意，优化招商引资方案，提高对技术、市场、管理水平等的要求，不能一味地引入资金，制订严格的园区产业发展指导目录、化工产业发展禁限控目录、投资商标准和投资商参与产业园建设的模式标准，并按此标准严格把关、招商。</w:t>
      </w:r>
    </w:p>
    <w:p>
      <w:pPr>
        <w:ind w:firstLine="560"/>
        <w:rPr>
          <w:rFonts w:cs="Times New Roman" w:eastAsiaTheme="minorEastAsia"/>
        </w:rPr>
      </w:pPr>
      <w:r>
        <w:rPr>
          <w:rFonts w:cs="Times New Roman" w:hAnsiTheme="minorEastAsia" w:eastAsiaTheme="minorEastAsia"/>
        </w:rPr>
        <w:t>对于招商的项目，应提高项目质量，不符合国家产业政策、技术落后、经济效益差、污染严重、对生态有不利影响的化工项目要禁止引入。对发展前景好、无环境污染、占地少、高技术含量、高附加值的产业项目的土地供应，在用地上重点向</w:t>
      </w:r>
      <w:r>
        <w:rPr>
          <w:rFonts w:cs="Times New Roman" w:eastAsiaTheme="minorEastAsia"/>
        </w:rPr>
        <w:t>“</w:t>
      </w:r>
      <w:r>
        <w:rPr>
          <w:rFonts w:cs="Times New Roman" w:hAnsiTheme="minorEastAsia" w:eastAsiaTheme="minorEastAsia"/>
        </w:rPr>
        <w:t>三高三低</w:t>
      </w:r>
      <w:r>
        <w:rPr>
          <w:rFonts w:cs="Times New Roman" w:eastAsiaTheme="minorEastAsia"/>
        </w:rPr>
        <w:t>”</w:t>
      </w:r>
      <w:r>
        <w:rPr>
          <w:rFonts w:cs="Times New Roman" w:hAnsiTheme="minorEastAsia" w:eastAsiaTheme="minorEastAsia"/>
        </w:rPr>
        <w:t>（高技术、高投入、高产出，低能耗、低材耗、低污染）项目倾斜；禁止向不符合国家产业政策以及</w:t>
      </w:r>
      <w:r>
        <w:rPr>
          <w:rFonts w:cs="Times New Roman" w:eastAsiaTheme="minorEastAsia"/>
        </w:rPr>
        <w:t>“</w:t>
      </w:r>
      <w:r>
        <w:rPr>
          <w:rFonts w:cs="Times New Roman" w:hAnsiTheme="minorEastAsia" w:eastAsiaTheme="minorEastAsia"/>
        </w:rPr>
        <w:t>两高一低</w:t>
      </w:r>
      <w:r>
        <w:rPr>
          <w:rFonts w:cs="Times New Roman" w:eastAsiaTheme="minorEastAsia"/>
        </w:rPr>
        <w:t>”</w:t>
      </w:r>
      <w:r>
        <w:rPr>
          <w:rFonts w:cs="Times New Roman" w:hAnsiTheme="minorEastAsia" w:eastAsiaTheme="minorEastAsia"/>
        </w:rPr>
        <w:t>（高耗能、高污染、低水平重复建设）项目供地。</w:t>
      </w:r>
    </w:p>
    <w:p>
      <w:pPr>
        <w:pStyle w:val="4"/>
        <w:ind w:firstLine="602"/>
        <w:rPr>
          <w:rFonts w:cs="Times New Roman" w:eastAsiaTheme="minorEastAsia"/>
        </w:rPr>
      </w:pPr>
      <w:bookmarkStart w:id="477" w:name="_Toc126591911"/>
      <w:r>
        <w:rPr>
          <w:rFonts w:cs="Times New Roman" w:eastAsiaTheme="minorEastAsia"/>
        </w:rPr>
        <w:t xml:space="preserve">12.3 </w:t>
      </w:r>
      <w:r>
        <w:rPr>
          <w:rFonts w:cs="Times New Roman" w:hAnsiTheme="minorEastAsia" w:eastAsiaTheme="minorEastAsia"/>
        </w:rPr>
        <w:t>强化环保、安全、绿色、生态发展的管理</w:t>
      </w:r>
      <w:bookmarkEnd w:id="477"/>
    </w:p>
    <w:p>
      <w:pPr>
        <w:ind w:firstLine="560"/>
        <w:rPr>
          <w:rFonts w:cs="Times New Roman" w:eastAsiaTheme="minorEastAsia"/>
        </w:rPr>
      </w:pPr>
      <w:r>
        <w:rPr>
          <w:rFonts w:cs="Times New Roman" w:hAnsiTheme="minorEastAsia" w:eastAsiaTheme="minorEastAsia"/>
        </w:rPr>
        <w:t>在目前国家、各省对环保、安全和生态的政策趋于严格，监管力度加大的背景下，特别是国家对长江流域实施</w:t>
      </w:r>
      <w:r>
        <w:rPr>
          <w:rFonts w:cs="Times New Roman" w:eastAsiaTheme="minorEastAsia"/>
        </w:rPr>
        <w:t>“</w:t>
      </w:r>
      <w:r>
        <w:rPr>
          <w:rFonts w:cs="Times New Roman" w:hAnsiTheme="minorEastAsia" w:eastAsiaTheme="minorEastAsia"/>
        </w:rPr>
        <w:t>大保护</w:t>
      </w:r>
      <w:r>
        <w:rPr>
          <w:rFonts w:cs="Times New Roman" w:eastAsiaTheme="minorEastAsia"/>
        </w:rPr>
        <w:t>”</w:t>
      </w:r>
      <w:r>
        <w:rPr>
          <w:rFonts w:cs="Times New Roman" w:hAnsiTheme="minorEastAsia" w:eastAsiaTheme="minorEastAsia"/>
        </w:rPr>
        <w:t>和对</w:t>
      </w:r>
      <w:r>
        <w:rPr>
          <w:rFonts w:cs="Times New Roman" w:eastAsiaTheme="minorEastAsia"/>
        </w:rPr>
        <w:t>“</w:t>
      </w:r>
      <w:r>
        <w:rPr>
          <w:rFonts w:cs="Times New Roman" w:hAnsiTheme="minorEastAsia" w:eastAsiaTheme="minorEastAsia"/>
        </w:rPr>
        <w:t>三磷</w:t>
      </w:r>
      <w:r>
        <w:rPr>
          <w:rFonts w:cs="Times New Roman" w:eastAsiaTheme="minorEastAsia"/>
        </w:rPr>
        <w:t>”</w:t>
      </w:r>
      <w:r>
        <w:rPr>
          <w:rFonts w:cs="Times New Roman" w:hAnsiTheme="minorEastAsia" w:eastAsiaTheme="minorEastAsia"/>
        </w:rPr>
        <w:t>严格管理的情况下，环保和安全将会倍受重视，政策和监管更加严格，长江流域的化工和磷化工产业的发展和环保、安全也会引起各级有关部门的高度关注。</w:t>
      </w:r>
    </w:p>
    <w:p>
      <w:pPr>
        <w:ind w:firstLine="560"/>
        <w:rPr>
          <w:rFonts w:cs="Times New Roman" w:eastAsiaTheme="minorEastAsia"/>
        </w:rPr>
      </w:pPr>
      <w:r>
        <w:rPr>
          <w:rFonts w:cs="Times New Roman" w:hAnsiTheme="minorEastAsia" w:eastAsiaTheme="minorEastAsia"/>
        </w:rPr>
        <w:t>六枝特区发展化工产业为主的工业应该更加重视环保和安全的管理和监督。建议县直各部门制定严格的环保、安全监管政策，强化管理，确保全县工业产业的发展符合环保、安全方面的要求。</w:t>
      </w:r>
    </w:p>
    <w:p>
      <w:pPr>
        <w:pStyle w:val="4"/>
        <w:ind w:firstLine="602"/>
        <w:rPr>
          <w:rFonts w:cs="Times New Roman" w:eastAsiaTheme="minorEastAsia"/>
        </w:rPr>
      </w:pPr>
      <w:bookmarkStart w:id="478" w:name="_Toc126591912"/>
      <w:r>
        <w:rPr>
          <w:rFonts w:cs="Times New Roman" w:eastAsiaTheme="minorEastAsia"/>
        </w:rPr>
        <w:t xml:space="preserve">12.4 </w:t>
      </w:r>
      <w:r>
        <w:rPr>
          <w:rFonts w:cs="Times New Roman" w:hAnsiTheme="minorEastAsia" w:eastAsiaTheme="minorEastAsia"/>
        </w:rPr>
        <w:t>加快园区信息、智能化发展，促进</w:t>
      </w:r>
      <w:r>
        <w:rPr>
          <w:rFonts w:cs="Times New Roman" w:eastAsiaTheme="minorEastAsia"/>
        </w:rPr>
        <w:t>“</w:t>
      </w:r>
      <w:r>
        <w:rPr>
          <w:rFonts w:cs="Times New Roman" w:hAnsiTheme="minorEastAsia" w:eastAsiaTheme="minorEastAsia"/>
        </w:rPr>
        <w:t>两化</w:t>
      </w:r>
      <w:r>
        <w:rPr>
          <w:rFonts w:cs="Times New Roman" w:eastAsiaTheme="minorEastAsia"/>
        </w:rPr>
        <w:t>”</w:t>
      </w:r>
      <w:r>
        <w:rPr>
          <w:rFonts w:cs="Times New Roman" w:hAnsiTheme="minorEastAsia" w:eastAsiaTheme="minorEastAsia"/>
        </w:rPr>
        <w:t>深度融合</w:t>
      </w:r>
      <w:bookmarkEnd w:id="478"/>
    </w:p>
    <w:p>
      <w:pPr>
        <w:ind w:firstLine="560"/>
        <w:rPr>
          <w:rFonts w:cs="Times New Roman" w:eastAsiaTheme="minorEastAsia"/>
        </w:rPr>
      </w:pPr>
      <w:r>
        <w:rPr>
          <w:rFonts w:cs="Times New Roman" w:hAnsiTheme="minorEastAsia" w:eastAsiaTheme="minorEastAsia"/>
        </w:rPr>
        <w:t>信息化、智能化是我国战略新兴产业的内容之一，以物联网、云计算、大数据、人工智能等技术为基础，与产业融合发展是信息化、智能化发展的方向。</w:t>
      </w:r>
    </w:p>
    <w:p>
      <w:pPr>
        <w:ind w:firstLine="560"/>
        <w:rPr>
          <w:rFonts w:cs="Times New Roman" w:eastAsiaTheme="minorEastAsia"/>
        </w:rPr>
      </w:pPr>
      <w:r>
        <w:rPr>
          <w:rFonts w:cs="Times New Roman" w:hAnsiTheme="minorEastAsia" w:eastAsiaTheme="minorEastAsia"/>
        </w:rPr>
        <w:t>化工园区在规划实施过程中要重视信息化、智能化的管理和建设，加快发展智能化管井体系，充分利用贵州省是国家大数据基地的优势和资源，积极在园区内使用省内、国内成熟可靠的信息化、产业化融合技术和装备，建设智能化的工厂和智能化园区，加快信息、智能化发展和</w:t>
      </w:r>
      <w:r>
        <w:rPr>
          <w:rFonts w:cs="Times New Roman" w:eastAsiaTheme="minorEastAsia"/>
        </w:rPr>
        <w:t>“</w:t>
      </w:r>
      <w:r>
        <w:rPr>
          <w:rFonts w:cs="Times New Roman" w:hAnsiTheme="minorEastAsia" w:eastAsiaTheme="minorEastAsia"/>
        </w:rPr>
        <w:t>两化</w:t>
      </w:r>
      <w:r>
        <w:rPr>
          <w:rFonts w:cs="Times New Roman" w:eastAsiaTheme="minorEastAsia"/>
        </w:rPr>
        <w:t>”</w:t>
      </w:r>
      <w:r>
        <w:rPr>
          <w:rFonts w:cs="Times New Roman" w:hAnsiTheme="minorEastAsia" w:eastAsiaTheme="minorEastAsia"/>
        </w:rPr>
        <w:t>整合发展，实现园区管理的转型升级。</w:t>
      </w:r>
    </w:p>
    <w:p>
      <w:pPr>
        <w:pStyle w:val="4"/>
        <w:ind w:firstLine="602"/>
        <w:rPr>
          <w:rFonts w:cs="Times New Roman" w:eastAsiaTheme="minorEastAsia"/>
        </w:rPr>
      </w:pPr>
      <w:bookmarkStart w:id="479" w:name="_Toc126591913"/>
      <w:r>
        <w:rPr>
          <w:rFonts w:cs="Times New Roman" w:eastAsiaTheme="minorEastAsia"/>
        </w:rPr>
        <w:t xml:space="preserve">12.5 </w:t>
      </w:r>
      <w:r>
        <w:rPr>
          <w:rFonts w:cs="Times New Roman" w:hAnsiTheme="minorEastAsia" w:eastAsiaTheme="minorEastAsia"/>
        </w:rPr>
        <w:t>重视技术和管理人才的引进和培养</w:t>
      </w:r>
      <w:bookmarkEnd w:id="479"/>
    </w:p>
    <w:p>
      <w:pPr>
        <w:ind w:firstLine="560"/>
        <w:rPr>
          <w:rFonts w:cs="Times New Roman" w:eastAsiaTheme="minorEastAsia"/>
        </w:rPr>
      </w:pPr>
      <w:r>
        <w:rPr>
          <w:rFonts w:cs="Times New Roman" w:hAnsiTheme="minorEastAsia" w:eastAsiaTheme="minorEastAsia"/>
        </w:rPr>
        <w:t>化工园区规划发展的产业和产品精细度高，需要高端的生产和管理方面的人才，六枝特区在高端、精细化工方面的人才比较短缺，为了更好地实施规划，建议提前关注这方面技术和管理人才的引进和培育，以确保转型产业顺利地发展。</w:t>
      </w:r>
    </w:p>
    <w:p>
      <w:pPr>
        <w:pStyle w:val="4"/>
        <w:ind w:firstLine="602"/>
        <w:rPr>
          <w:rFonts w:cs="Times New Roman" w:eastAsiaTheme="minorEastAsia"/>
        </w:rPr>
      </w:pPr>
      <w:bookmarkStart w:id="480" w:name="_Toc126591914"/>
      <w:r>
        <w:rPr>
          <w:rFonts w:cs="Times New Roman" w:eastAsiaTheme="minorEastAsia"/>
        </w:rPr>
        <w:t xml:space="preserve">12.6 </w:t>
      </w:r>
      <w:r>
        <w:rPr>
          <w:rFonts w:cs="Times New Roman" w:hAnsiTheme="minorEastAsia" w:eastAsiaTheme="minorEastAsia"/>
        </w:rPr>
        <w:t>完善创新机制，提高创新发展水平</w:t>
      </w:r>
      <w:bookmarkEnd w:id="480"/>
    </w:p>
    <w:p>
      <w:pPr>
        <w:ind w:firstLine="560"/>
        <w:rPr>
          <w:rFonts w:cs="Times New Roman" w:eastAsiaTheme="minorEastAsia"/>
        </w:rPr>
      </w:pPr>
      <w:r>
        <w:rPr>
          <w:rFonts w:cs="Times New Roman" w:hAnsiTheme="minorEastAsia" w:eastAsiaTheme="minorEastAsia"/>
        </w:rPr>
        <w:t>化工产业的健康、可持续、稳定发展离不开创新，园区规划产业的发展离不开创新，只有创新发展，才能保持产业的健康、良性发展。建议化工园区充分利用借鉴省内外的创新成果和管理经验，发挥贵州省的资源优势条件，创新化管理园区，在全县工业产业发展模式、体制、管理以及新产品新技术创新等方面提高水平，以创新来驱动全区化工产业的高质量发展。</w:t>
      </w:r>
    </w:p>
    <w:p>
      <w:pPr>
        <w:pStyle w:val="4"/>
        <w:ind w:firstLine="602"/>
        <w:rPr>
          <w:rFonts w:cs="Times New Roman" w:eastAsiaTheme="minorEastAsia"/>
        </w:rPr>
      </w:pPr>
      <w:bookmarkStart w:id="481" w:name="_Toc126591915"/>
      <w:r>
        <w:rPr>
          <w:rFonts w:cs="Times New Roman" w:eastAsiaTheme="minorEastAsia"/>
        </w:rPr>
        <w:t xml:space="preserve">12.7 </w:t>
      </w:r>
      <w:r>
        <w:rPr>
          <w:rFonts w:cs="Times New Roman" w:hAnsiTheme="minorEastAsia" w:eastAsiaTheme="minorEastAsia"/>
        </w:rPr>
        <w:t>完善土地利用和基础设施建设，提升园区承载能力</w:t>
      </w:r>
      <w:bookmarkEnd w:id="481"/>
    </w:p>
    <w:p>
      <w:pPr>
        <w:ind w:firstLine="560"/>
        <w:rPr>
          <w:rFonts w:cs="Times New Roman" w:eastAsiaTheme="minorEastAsia"/>
          <w:b/>
          <w:bCs/>
          <w:sz w:val="32"/>
          <w:szCs w:val="32"/>
        </w:rPr>
      </w:pPr>
      <w:r>
        <w:rPr>
          <w:rFonts w:hint="eastAsia" w:cs="Times New Roman" w:hAnsiTheme="minorEastAsia" w:eastAsiaTheme="minorEastAsia"/>
        </w:rPr>
        <w:t>六枝特区化工园区</w:t>
      </w:r>
      <w:r>
        <w:rPr>
          <w:rFonts w:cs="Times New Roman" w:hAnsiTheme="minorEastAsia" w:eastAsiaTheme="minorEastAsia"/>
        </w:rPr>
        <w:t>目前处于建设初期，较好的基础设施条件非常重要。随着产业的发展，有更多的投资商和投资项目加入，对土地的需求量更大，对基础设施的需要更高。因此，为了产业将来更好的发展，建议区里及地方政府优化土地利用政策，及时安排居民搬迁，以确保目前园区建设用地；另外，由于园区地形以山区为主，基础设施的建设比较需要克服的困难多，应尽快对规划区内的基础设施进行必要完善和建设，如园区内和周边的水、电、路运等设施的建设，确保园区能及时开展工作并顺利建设。</w:t>
      </w:r>
    </w:p>
    <w:p>
      <w:pPr>
        <w:pStyle w:val="4"/>
        <w:ind w:firstLine="602"/>
        <w:rPr>
          <w:rFonts w:cs="Times New Roman" w:eastAsiaTheme="minorEastAsia"/>
        </w:rPr>
      </w:pPr>
      <w:bookmarkStart w:id="482" w:name="_Toc126591916"/>
      <w:r>
        <w:rPr>
          <w:rFonts w:cs="Times New Roman" w:eastAsiaTheme="minorEastAsia"/>
        </w:rPr>
        <w:t xml:space="preserve">12.8 </w:t>
      </w:r>
      <w:r>
        <w:rPr>
          <w:rFonts w:cs="Times New Roman" w:hAnsiTheme="minorEastAsia" w:eastAsiaTheme="minorEastAsia"/>
        </w:rPr>
        <w:t>化工园区企业入驻条件</w:t>
      </w:r>
      <w:bookmarkEnd w:id="482"/>
    </w:p>
    <w:p>
      <w:pPr>
        <w:ind w:firstLine="560"/>
        <w:rPr>
          <w:rFonts w:cs="Times New Roman" w:eastAsiaTheme="minorEastAsia"/>
        </w:rPr>
      </w:pPr>
      <w:r>
        <w:rPr>
          <w:rFonts w:cs="Times New Roman" w:hAnsiTheme="minorEastAsia" w:eastAsiaTheme="minorEastAsia"/>
        </w:rPr>
        <w:t>（一）入驻企业投资规模要求大于</w:t>
      </w:r>
      <w:r>
        <w:rPr>
          <w:rFonts w:cs="Times New Roman" w:eastAsiaTheme="minorEastAsia"/>
        </w:rPr>
        <w:t>2500</w:t>
      </w:r>
      <w:r>
        <w:rPr>
          <w:rFonts w:cs="Times New Roman" w:hAnsiTheme="minorEastAsia" w:eastAsiaTheme="minorEastAsia"/>
        </w:rPr>
        <w:t>万元</w:t>
      </w:r>
      <w:r>
        <w:rPr>
          <w:rFonts w:cs="Times New Roman" w:eastAsiaTheme="minorEastAsia"/>
        </w:rPr>
        <w:t>/</w:t>
      </w:r>
      <w:r>
        <w:rPr>
          <w:rFonts w:cs="Times New Roman" w:hAnsiTheme="minorEastAsia" w:eastAsiaTheme="minorEastAsia"/>
        </w:rPr>
        <w:t>公顷；生产工艺成熟，可靠，不属于淘汰和限制类生产工艺；根据入驻企业危险化工工艺及其特点，确定重点监控的工艺参数，装备和完善自动控制系统，大型和高度危险化工装置要按照控制方案装备紧急停车系统，开展精细化工反应安全风险评估；新建化工装置必须装备自动化控制系统，涉及</w:t>
      </w:r>
      <w:r>
        <w:rPr>
          <w:rFonts w:cs="Times New Roman" w:eastAsiaTheme="minorEastAsia"/>
        </w:rPr>
        <w:t>“</w:t>
      </w:r>
      <w:r>
        <w:rPr>
          <w:rFonts w:cs="Times New Roman" w:hAnsiTheme="minorEastAsia" w:eastAsiaTheme="minorEastAsia"/>
        </w:rPr>
        <w:t>两重点一重大</w:t>
      </w:r>
      <w:r>
        <w:rPr>
          <w:rFonts w:cs="Times New Roman" w:eastAsiaTheme="minorEastAsia"/>
        </w:rPr>
        <w:t>”</w:t>
      </w:r>
      <w:r>
        <w:rPr>
          <w:rFonts w:cs="Times New Roman" w:hAnsiTheme="minorEastAsia" w:eastAsiaTheme="minorEastAsia"/>
        </w:rPr>
        <w:t>的化工装置必须装备安全仪表系统，危险化学品重大危险源必须建立健全安全监测监控体系；加速现有企业自动化控制和安全仪表系统改造升级，减少危险岗位作业人员，鼓励有条件的企业建设智能工厂，利用智能化装备改造生产线，全面提升本质安全水平。</w:t>
      </w:r>
    </w:p>
    <w:p>
      <w:pPr>
        <w:ind w:firstLine="560"/>
        <w:rPr>
          <w:rFonts w:cs="Times New Roman" w:eastAsiaTheme="minorEastAsia"/>
        </w:rPr>
      </w:pPr>
      <w:r>
        <w:rPr>
          <w:rFonts w:cs="Times New Roman" w:hAnsiTheme="minorEastAsia" w:eastAsiaTheme="minorEastAsia"/>
        </w:rPr>
        <w:t>（二）入驻企业需建立完善的管理体系，大力应用风险管理、化工过程安全管理等先进管理方法手段；化工企业要配备安全管理机构和安全管理人员，须满足《危险化学品企业重点人员安全资质达标导则》等相关要求，企业员工要进行三级培训。企业的主要负责人和安全生产管理人员应具备与本企业所从事的生产经营活动相适应的安全生产和职业卫生知识与能力。安全生产管理人员经考核合格，安全生产管理机构负责人具备化工专业中专及以上学历，特种作业人员应当具备高中及以上文化程度，从业人员应经安全教育培训和职业卫生教育培训合格。</w:t>
      </w:r>
    </w:p>
    <w:p>
      <w:pPr>
        <w:ind w:firstLine="560"/>
        <w:rPr>
          <w:rFonts w:cs="Times New Roman" w:eastAsiaTheme="minorEastAsia"/>
          <w:b/>
          <w:bCs/>
          <w:sz w:val="32"/>
          <w:szCs w:val="32"/>
        </w:rPr>
      </w:pPr>
      <w:r>
        <w:rPr>
          <w:rFonts w:cs="Times New Roman" w:hAnsiTheme="minorEastAsia" w:eastAsiaTheme="minorEastAsia"/>
        </w:rPr>
        <w:t>（三）建立企业退出机制和禁限控目录，对不符合国家产业政策、安全环保及园区禁限控目录的企业应及时退出园区。</w:t>
      </w:r>
    </w:p>
    <w:p>
      <w:pPr>
        <w:ind w:firstLine="540"/>
        <w:rPr>
          <w:rFonts w:cs="Times New Roman"/>
          <w:sz w:val="27"/>
          <w:szCs w:val="27"/>
        </w:rPr>
      </w:pPr>
      <w:r>
        <w:rPr>
          <w:rFonts w:cs="Times New Roman"/>
          <w:sz w:val="27"/>
          <w:szCs w:val="27"/>
        </w:rPr>
        <w:t>（四）产业已饱和的行业未按照“减量替代”原则，落实压减产能和能耗指标以及污染物排放区域削减，产品设计能效水平未对标《高耗能行业重点领域能效标杆水平和基准水平（2021年版）》的，需遏制盲目发展。</w:t>
      </w:r>
    </w:p>
    <w:p>
      <w:pPr>
        <w:ind w:firstLine="560"/>
        <w:rPr>
          <w:rFonts w:cs="Times New Roman"/>
          <w:sz w:val="27"/>
          <w:szCs w:val="27"/>
        </w:rPr>
      </w:pPr>
      <w:r>
        <w:rPr>
          <w:rFonts w:cs="Times New Roman"/>
        </w:rPr>
        <w:t>（五）</w:t>
      </w:r>
      <w:r>
        <w:rPr>
          <w:rFonts w:cs="Times New Roman"/>
          <w:sz w:val="27"/>
          <w:szCs w:val="27"/>
        </w:rPr>
        <w:t>建设项目必须严格落实国家《产业结构调整指导目录》《贵州省推动长江经济带发展负面清单实施细则（试行）》要求，符合园区管理规定。对项目产品、工艺、技术、装备等属于限制类或淘汰类的，一律禁止投资新建。对于产能严重过剩或国家有明确规定的行业新上项目，要落实等（减）量置换要求。</w:t>
      </w:r>
    </w:p>
    <w:p>
      <w:pPr>
        <w:ind w:firstLine="560"/>
        <w:rPr>
          <w:rFonts w:cs="Times New Roman"/>
          <w:sz w:val="27"/>
          <w:szCs w:val="27"/>
        </w:rPr>
      </w:pPr>
      <w:r>
        <w:rPr>
          <w:rFonts w:cs="Times New Roman"/>
        </w:rPr>
        <w:t>（六）</w:t>
      </w:r>
      <w:r>
        <w:rPr>
          <w:rFonts w:cs="Times New Roman"/>
          <w:sz w:val="27"/>
          <w:szCs w:val="27"/>
        </w:rPr>
        <w:t>建设项目须符合生态环境保护法律法规和相关法定规划，满足重点污染物排放总量控制、碳排放目标、生态环境准入清单、相关规划环评和相应行业建设项目环境准入条件、环评文件审批原则要求。新建项目应按照要求，依据区域环境质量改善目标，制定配套区域污染物削减方案，采取有效的污染物区域削减措施，腾出足够的环境容量。</w:t>
      </w:r>
    </w:p>
    <w:p>
      <w:pPr>
        <w:ind w:firstLine="560"/>
        <w:rPr>
          <w:rFonts w:cs="Times New Roman" w:eastAsiaTheme="minorEastAsia"/>
        </w:rPr>
      </w:pPr>
    </w:p>
    <w:sectPr>
      <w:pgSz w:w="11906" w:h="16838"/>
      <w:pgMar w:top="1247" w:right="1361" w:bottom="1247" w:left="1361" w:header="851" w:footer="992" w:gutter="0"/>
      <w:cols w:space="425"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0" w:usb3="00000000" w:csb0="2000019F" w:csb1="00000000"/>
  </w:font>
  <w:font w:name="Tahoma">
    <w:altName w:val="DejaVu Sans"/>
    <w:panose1 w:val="020B0604030504040204"/>
    <w:charset w:val="00"/>
    <w:family w:val="swiss"/>
    <w:pitch w:val="default"/>
    <w:sig w:usb0="00000000" w:usb1="00000000" w:usb2="00000029" w:usb3="00000000" w:csb0="200101FF" w:csb1="20280000"/>
  </w:font>
  <w:font w:name="MS Mincho">
    <w:altName w:val="宋体"/>
    <w:panose1 w:val="02020609040205080304"/>
    <w:charset w:val="80"/>
    <w:family w:val="modern"/>
    <w:pitch w:val="default"/>
    <w:sig w:usb0="00000000" w:usb1="00000000" w:usb2="00000012" w:usb3="00000000" w:csb0="4002009F" w:csb1="DFD70000"/>
  </w:font>
  <w:font w:name="Microsoft Sans Serif">
    <w:altName w:val="DejaVu Sans"/>
    <w:panose1 w:val="020B0604020202020204"/>
    <w:charset w:val="00"/>
    <w:family w:val="swiss"/>
    <w:pitch w:val="default"/>
    <w:sig w:usb0="00000000" w:usb1="00000000" w:usb2="00000008" w:usb3="00000000" w:csb0="200101FF" w:csb1="2028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80F3C52" w:usb2="00000016" w:usb3="00000000" w:csb0="0004001F"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jc w:val="center"/>
    </w:pPr>
    <w:r>
      <w:fldChar w:fldCharType="begin"/>
    </w:r>
    <w:r>
      <w:instrText xml:space="preserve">PAGE   \* MERGEFORMAT</w:instrText>
    </w:r>
    <w:r>
      <w:fldChar w:fldCharType="separate"/>
    </w:r>
    <w:r>
      <w:rPr>
        <w:lang w:val="zh-CN"/>
      </w:rPr>
      <w:t>99</w:t>
    </w:r>
    <w:r>
      <w:rPr>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56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560" w:firstLine="0" w:firstLineChars="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abs>
        <w:tab w:val="left" w:pos="2314"/>
      </w:tabs>
      <w:ind w:firstLine="0" w:firstLineChars="0"/>
      <w:jc w:val="center"/>
      <w:rPr>
        <w:b/>
        <w:sz w:val="21"/>
      </w:rPr>
    </w:pPr>
    <w:r>
      <w:rPr>
        <w:rFonts w:hint="eastAsia"/>
        <w:b/>
        <w:sz w:val="21"/>
      </w:rPr>
      <w:t>六枝特区化工园区</w:t>
    </w:r>
    <w:r>
      <w:rPr>
        <w:b/>
        <w:sz w:val="21"/>
      </w:rPr>
      <w:t>产业发展</w:t>
    </w:r>
    <w:r>
      <w:rPr>
        <w:rFonts w:hint="eastAsia"/>
        <w:b/>
        <w:sz w:val="21"/>
      </w:rPr>
      <w:t>规</w:t>
    </w:r>
    <w:r>
      <w:rPr>
        <w:b/>
        <w:sz w:val="21"/>
      </w:rPr>
      <w:t>划（</w:t>
    </w:r>
    <w:r>
      <w:rPr>
        <w:rFonts w:hint="eastAsia"/>
        <w:b/>
        <w:sz w:val="21"/>
      </w:rPr>
      <w:t>2022-2035）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HorizontalSpacing w:val="140"/>
  <w:drawingGridVerticalSpacing w:val="38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FjNTkwNDhjZGNjY2E5NmE0NTFjZjRkNWNlMzQ1ODYifQ=="/>
  </w:docVars>
  <w:rsids>
    <w:rsidRoot w:val="003C36E9"/>
    <w:rsid w:val="0001306F"/>
    <w:rsid w:val="00014B23"/>
    <w:rsid w:val="00017447"/>
    <w:rsid w:val="00025514"/>
    <w:rsid w:val="00032CDF"/>
    <w:rsid w:val="00043282"/>
    <w:rsid w:val="0004347F"/>
    <w:rsid w:val="00045D63"/>
    <w:rsid w:val="00045EC3"/>
    <w:rsid w:val="00051119"/>
    <w:rsid w:val="00061EF6"/>
    <w:rsid w:val="000621FF"/>
    <w:rsid w:val="0006300E"/>
    <w:rsid w:val="00064C5A"/>
    <w:rsid w:val="00066972"/>
    <w:rsid w:val="00067D3E"/>
    <w:rsid w:val="000737C3"/>
    <w:rsid w:val="0007450A"/>
    <w:rsid w:val="00075EFA"/>
    <w:rsid w:val="0007680D"/>
    <w:rsid w:val="00080A9E"/>
    <w:rsid w:val="00082743"/>
    <w:rsid w:val="00087441"/>
    <w:rsid w:val="0009033A"/>
    <w:rsid w:val="00094397"/>
    <w:rsid w:val="00095FDB"/>
    <w:rsid w:val="000A15A9"/>
    <w:rsid w:val="000A172A"/>
    <w:rsid w:val="000A1FAE"/>
    <w:rsid w:val="000A5C24"/>
    <w:rsid w:val="000A682A"/>
    <w:rsid w:val="000B2C49"/>
    <w:rsid w:val="000B3BF7"/>
    <w:rsid w:val="000B521F"/>
    <w:rsid w:val="000C2049"/>
    <w:rsid w:val="000C6F49"/>
    <w:rsid w:val="000D34F3"/>
    <w:rsid w:val="000D475E"/>
    <w:rsid w:val="000E4AA7"/>
    <w:rsid w:val="000E7228"/>
    <w:rsid w:val="000F1F01"/>
    <w:rsid w:val="000F385F"/>
    <w:rsid w:val="000F475D"/>
    <w:rsid w:val="000F4A7D"/>
    <w:rsid w:val="001027FD"/>
    <w:rsid w:val="00106BF5"/>
    <w:rsid w:val="001076C2"/>
    <w:rsid w:val="00111FEF"/>
    <w:rsid w:val="0011473E"/>
    <w:rsid w:val="00115BE5"/>
    <w:rsid w:val="00116A4D"/>
    <w:rsid w:val="00117587"/>
    <w:rsid w:val="00121F02"/>
    <w:rsid w:val="00131A9F"/>
    <w:rsid w:val="0013379C"/>
    <w:rsid w:val="00137013"/>
    <w:rsid w:val="00141883"/>
    <w:rsid w:val="00141A97"/>
    <w:rsid w:val="00142FBC"/>
    <w:rsid w:val="00143B40"/>
    <w:rsid w:val="0014488F"/>
    <w:rsid w:val="00145207"/>
    <w:rsid w:val="0015194F"/>
    <w:rsid w:val="00155808"/>
    <w:rsid w:val="001570C2"/>
    <w:rsid w:val="00161354"/>
    <w:rsid w:val="00163A92"/>
    <w:rsid w:val="0016449C"/>
    <w:rsid w:val="00165280"/>
    <w:rsid w:val="0016689D"/>
    <w:rsid w:val="001749D6"/>
    <w:rsid w:val="00177EF2"/>
    <w:rsid w:val="0018343B"/>
    <w:rsid w:val="00183E7A"/>
    <w:rsid w:val="0019362A"/>
    <w:rsid w:val="00193CA0"/>
    <w:rsid w:val="00196EDE"/>
    <w:rsid w:val="0019752A"/>
    <w:rsid w:val="001A2AB2"/>
    <w:rsid w:val="001B64C3"/>
    <w:rsid w:val="001C207F"/>
    <w:rsid w:val="001C2994"/>
    <w:rsid w:val="001C5025"/>
    <w:rsid w:val="001D14CC"/>
    <w:rsid w:val="001D208A"/>
    <w:rsid w:val="001D4D33"/>
    <w:rsid w:val="001D57BD"/>
    <w:rsid w:val="001D6A51"/>
    <w:rsid w:val="001E27EA"/>
    <w:rsid w:val="00203C05"/>
    <w:rsid w:val="002151B5"/>
    <w:rsid w:val="00231426"/>
    <w:rsid w:val="0024059A"/>
    <w:rsid w:val="00240FA0"/>
    <w:rsid w:val="002470DF"/>
    <w:rsid w:val="00247230"/>
    <w:rsid w:val="00253654"/>
    <w:rsid w:val="00253AF3"/>
    <w:rsid w:val="00253F4E"/>
    <w:rsid w:val="00256E4E"/>
    <w:rsid w:val="00261160"/>
    <w:rsid w:val="00266E60"/>
    <w:rsid w:val="002835DD"/>
    <w:rsid w:val="00286526"/>
    <w:rsid w:val="00293EF1"/>
    <w:rsid w:val="002945D2"/>
    <w:rsid w:val="00295D25"/>
    <w:rsid w:val="002A5D25"/>
    <w:rsid w:val="002A6C14"/>
    <w:rsid w:val="002B735F"/>
    <w:rsid w:val="002C76C2"/>
    <w:rsid w:val="002D2F2C"/>
    <w:rsid w:val="002D360F"/>
    <w:rsid w:val="002E664F"/>
    <w:rsid w:val="002F26C8"/>
    <w:rsid w:val="003011EB"/>
    <w:rsid w:val="003021E7"/>
    <w:rsid w:val="00303923"/>
    <w:rsid w:val="00306A41"/>
    <w:rsid w:val="00306E04"/>
    <w:rsid w:val="0031104B"/>
    <w:rsid w:val="003116A6"/>
    <w:rsid w:val="00311D5F"/>
    <w:rsid w:val="0032004B"/>
    <w:rsid w:val="003238D1"/>
    <w:rsid w:val="003253A1"/>
    <w:rsid w:val="00327AB3"/>
    <w:rsid w:val="00337684"/>
    <w:rsid w:val="0035097C"/>
    <w:rsid w:val="003561A9"/>
    <w:rsid w:val="00362E0B"/>
    <w:rsid w:val="00364411"/>
    <w:rsid w:val="003676BD"/>
    <w:rsid w:val="0037376D"/>
    <w:rsid w:val="00377ECA"/>
    <w:rsid w:val="003823A5"/>
    <w:rsid w:val="003834A4"/>
    <w:rsid w:val="00386859"/>
    <w:rsid w:val="00386BDD"/>
    <w:rsid w:val="00392FAC"/>
    <w:rsid w:val="00395878"/>
    <w:rsid w:val="00395B07"/>
    <w:rsid w:val="00396164"/>
    <w:rsid w:val="003A0DC7"/>
    <w:rsid w:val="003A6C45"/>
    <w:rsid w:val="003A726A"/>
    <w:rsid w:val="003B225B"/>
    <w:rsid w:val="003C00FA"/>
    <w:rsid w:val="003C1C04"/>
    <w:rsid w:val="003C36E9"/>
    <w:rsid w:val="003C7B22"/>
    <w:rsid w:val="003D444F"/>
    <w:rsid w:val="003E5B41"/>
    <w:rsid w:val="003F3BB4"/>
    <w:rsid w:val="003F46F0"/>
    <w:rsid w:val="003F630A"/>
    <w:rsid w:val="00411DEE"/>
    <w:rsid w:val="00416C50"/>
    <w:rsid w:val="00427A09"/>
    <w:rsid w:val="004315F1"/>
    <w:rsid w:val="0043522C"/>
    <w:rsid w:val="00435FD0"/>
    <w:rsid w:val="00444FFA"/>
    <w:rsid w:val="00447505"/>
    <w:rsid w:val="00451A9B"/>
    <w:rsid w:val="0045243A"/>
    <w:rsid w:val="004558A6"/>
    <w:rsid w:val="004566E3"/>
    <w:rsid w:val="0045710A"/>
    <w:rsid w:val="004800EC"/>
    <w:rsid w:val="004A3B61"/>
    <w:rsid w:val="004A4951"/>
    <w:rsid w:val="004B3229"/>
    <w:rsid w:val="004C2B19"/>
    <w:rsid w:val="004C47B9"/>
    <w:rsid w:val="004C5F4D"/>
    <w:rsid w:val="004D4709"/>
    <w:rsid w:val="004E26B6"/>
    <w:rsid w:val="004F3D7D"/>
    <w:rsid w:val="004F6E21"/>
    <w:rsid w:val="00500F50"/>
    <w:rsid w:val="00502100"/>
    <w:rsid w:val="00504678"/>
    <w:rsid w:val="00505492"/>
    <w:rsid w:val="005104CB"/>
    <w:rsid w:val="00511C5D"/>
    <w:rsid w:val="00520BF1"/>
    <w:rsid w:val="00524022"/>
    <w:rsid w:val="00532371"/>
    <w:rsid w:val="00536C84"/>
    <w:rsid w:val="00537EA6"/>
    <w:rsid w:val="005632EF"/>
    <w:rsid w:val="00566C27"/>
    <w:rsid w:val="00567EBE"/>
    <w:rsid w:val="00577363"/>
    <w:rsid w:val="00580582"/>
    <w:rsid w:val="005808FB"/>
    <w:rsid w:val="00585F75"/>
    <w:rsid w:val="00586132"/>
    <w:rsid w:val="00586DA1"/>
    <w:rsid w:val="005922C3"/>
    <w:rsid w:val="00593C20"/>
    <w:rsid w:val="00593F46"/>
    <w:rsid w:val="005B187C"/>
    <w:rsid w:val="005B65AE"/>
    <w:rsid w:val="005C2783"/>
    <w:rsid w:val="005D4734"/>
    <w:rsid w:val="005D6971"/>
    <w:rsid w:val="005D71A5"/>
    <w:rsid w:val="005E6486"/>
    <w:rsid w:val="005E77D2"/>
    <w:rsid w:val="00603119"/>
    <w:rsid w:val="006033DE"/>
    <w:rsid w:val="006046C5"/>
    <w:rsid w:val="006052D3"/>
    <w:rsid w:val="00611FBE"/>
    <w:rsid w:val="00613EFA"/>
    <w:rsid w:val="00614B45"/>
    <w:rsid w:val="00616981"/>
    <w:rsid w:val="00623DC4"/>
    <w:rsid w:val="006268E9"/>
    <w:rsid w:val="00631FB7"/>
    <w:rsid w:val="00632980"/>
    <w:rsid w:val="00636303"/>
    <w:rsid w:val="006402AA"/>
    <w:rsid w:val="00642EEF"/>
    <w:rsid w:val="00650C39"/>
    <w:rsid w:val="00650ED6"/>
    <w:rsid w:val="00651BF2"/>
    <w:rsid w:val="00653BF3"/>
    <w:rsid w:val="00657D7A"/>
    <w:rsid w:val="00660773"/>
    <w:rsid w:val="0066228C"/>
    <w:rsid w:val="00667152"/>
    <w:rsid w:val="00667D99"/>
    <w:rsid w:val="00670308"/>
    <w:rsid w:val="00670813"/>
    <w:rsid w:val="006828BE"/>
    <w:rsid w:val="006938E0"/>
    <w:rsid w:val="006A2D4D"/>
    <w:rsid w:val="006A31CE"/>
    <w:rsid w:val="006A323B"/>
    <w:rsid w:val="006A4193"/>
    <w:rsid w:val="006B2383"/>
    <w:rsid w:val="006C28E2"/>
    <w:rsid w:val="006C2D5B"/>
    <w:rsid w:val="006C49F3"/>
    <w:rsid w:val="006C76AC"/>
    <w:rsid w:val="006D1B2E"/>
    <w:rsid w:val="006D2EB8"/>
    <w:rsid w:val="006D3344"/>
    <w:rsid w:val="006D366B"/>
    <w:rsid w:val="006D489A"/>
    <w:rsid w:val="006E1E04"/>
    <w:rsid w:val="006E2595"/>
    <w:rsid w:val="006E581D"/>
    <w:rsid w:val="006F40C1"/>
    <w:rsid w:val="0070335E"/>
    <w:rsid w:val="00704346"/>
    <w:rsid w:val="00710D03"/>
    <w:rsid w:val="00721733"/>
    <w:rsid w:val="00723CB2"/>
    <w:rsid w:val="00734A55"/>
    <w:rsid w:val="00740B4C"/>
    <w:rsid w:val="00742C5C"/>
    <w:rsid w:val="00744F15"/>
    <w:rsid w:val="00746495"/>
    <w:rsid w:val="00746575"/>
    <w:rsid w:val="00754807"/>
    <w:rsid w:val="00764F97"/>
    <w:rsid w:val="00770E57"/>
    <w:rsid w:val="00774B01"/>
    <w:rsid w:val="00780400"/>
    <w:rsid w:val="00780F37"/>
    <w:rsid w:val="00781967"/>
    <w:rsid w:val="00784C20"/>
    <w:rsid w:val="00784CD8"/>
    <w:rsid w:val="00786B41"/>
    <w:rsid w:val="00791773"/>
    <w:rsid w:val="007948CE"/>
    <w:rsid w:val="007A0A2F"/>
    <w:rsid w:val="007A48BF"/>
    <w:rsid w:val="007A6679"/>
    <w:rsid w:val="007A6DCE"/>
    <w:rsid w:val="007B08FC"/>
    <w:rsid w:val="007B7A61"/>
    <w:rsid w:val="007D530C"/>
    <w:rsid w:val="007E0541"/>
    <w:rsid w:val="007E0AB7"/>
    <w:rsid w:val="007E2747"/>
    <w:rsid w:val="007E60C4"/>
    <w:rsid w:val="007E6C1B"/>
    <w:rsid w:val="007F08C3"/>
    <w:rsid w:val="007F485B"/>
    <w:rsid w:val="007F4E3F"/>
    <w:rsid w:val="00802083"/>
    <w:rsid w:val="00803099"/>
    <w:rsid w:val="0081262A"/>
    <w:rsid w:val="008137E6"/>
    <w:rsid w:val="0081776A"/>
    <w:rsid w:val="00817965"/>
    <w:rsid w:val="00821E06"/>
    <w:rsid w:val="0082758C"/>
    <w:rsid w:val="00827FC2"/>
    <w:rsid w:val="008303C7"/>
    <w:rsid w:val="0083170F"/>
    <w:rsid w:val="0084354D"/>
    <w:rsid w:val="0085524C"/>
    <w:rsid w:val="008570C2"/>
    <w:rsid w:val="008713A7"/>
    <w:rsid w:val="008729C2"/>
    <w:rsid w:val="00873DB6"/>
    <w:rsid w:val="008769B3"/>
    <w:rsid w:val="008813F4"/>
    <w:rsid w:val="00881FAB"/>
    <w:rsid w:val="00884810"/>
    <w:rsid w:val="00887B20"/>
    <w:rsid w:val="00890A8E"/>
    <w:rsid w:val="008925C8"/>
    <w:rsid w:val="00892B62"/>
    <w:rsid w:val="008A3C8F"/>
    <w:rsid w:val="008A7899"/>
    <w:rsid w:val="008B35CC"/>
    <w:rsid w:val="008B7C10"/>
    <w:rsid w:val="008C2DCB"/>
    <w:rsid w:val="008E3E10"/>
    <w:rsid w:val="008E4A99"/>
    <w:rsid w:val="008E560C"/>
    <w:rsid w:val="008E5D77"/>
    <w:rsid w:val="008E7D28"/>
    <w:rsid w:val="00903E4B"/>
    <w:rsid w:val="009118B7"/>
    <w:rsid w:val="00911F24"/>
    <w:rsid w:val="00913C5B"/>
    <w:rsid w:val="0091401D"/>
    <w:rsid w:val="0092194D"/>
    <w:rsid w:val="00926D5B"/>
    <w:rsid w:val="009273FE"/>
    <w:rsid w:val="00933674"/>
    <w:rsid w:val="00937301"/>
    <w:rsid w:val="00945799"/>
    <w:rsid w:val="00946138"/>
    <w:rsid w:val="00970B4C"/>
    <w:rsid w:val="00977A23"/>
    <w:rsid w:val="009810D0"/>
    <w:rsid w:val="00996BD3"/>
    <w:rsid w:val="009A4914"/>
    <w:rsid w:val="009A6E73"/>
    <w:rsid w:val="009B6F5A"/>
    <w:rsid w:val="009C5EF4"/>
    <w:rsid w:val="009C78E8"/>
    <w:rsid w:val="009D703C"/>
    <w:rsid w:val="009E1CEF"/>
    <w:rsid w:val="009E527B"/>
    <w:rsid w:val="009E7275"/>
    <w:rsid w:val="009F153D"/>
    <w:rsid w:val="009F2DAA"/>
    <w:rsid w:val="00A02736"/>
    <w:rsid w:val="00A03FC2"/>
    <w:rsid w:val="00A10CB3"/>
    <w:rsid w:val="00A1464A"/>
    <w:rsid w:val="00A16B65"/>
    <w:rsid w:val="00A20C28"/>
    <w:rsid w:val="00A266A4"/>
    <w:rsid w:val="00A26815"/>
    <w:rsid w:val="00A27950"/>
    <w:rsid w:val="00A3191B"/>
    <w:rsid w:val="00A31F8B"/>
    <w:rsid w:val="00A3453B"/>
    <w:rsid w:val="00A46134"/>
    <w:rsid w:val="00A54ED2"/>
    <w:rsid w:val="00A60B9E"/>
    <w:rsid w:val="00A63EC2"/>
    <w:rsid w:val="00A675D3"/>
    <w:rsid w:val="00A73394"/>
    <w:rsid w:val="00A737C9"/>
    <w:rsid w:val="00A749A2"/>
    <w:rsid w:val="00A7676A"/>
    <w:rsid w:val="00A775F7"/>
    <w:rsid w:val="00A804EE"/>
    <w:rsid w:val="00A80D43"/>
    <w:rsid w:val="00A823BF"/>
    <w:rsid w:val="00A82EFA"/>
    <w:rsid w:val="00A901A3"/>
    <w:rsid w:val="00AA301A"/>
    <w:rsid w:val="00AA541C"/>
    <w:rsid w:val="00AB09BA"/>
    <w:rsid w:val="00AB12C2"/>
    <w:rsid w:val="00AB7C67"/>
    <w:rsid w:val="00AC0089"/>
    <w:rsid w:val="00AC0CA8"/>
    <w:rsid w:val="00AC296D"/>
    <w:rsid w:val="00AC7EC2"/>
    <w:rsid w:val="00AD0C34"/>
    <w:rsid w:val="00AD1A10"/>
    <w:rsid w:val="00AE590E"/>
    <w:rsid w:val="00AF2315"/>
    <w:rsid w:val="00AF50A9"/>
    <w:rsid w:val="00B00E16"/>
    <w:rsid w:val="00B120F0"/>
    <w:rsid w:val="00B12A3E"/>
    <w:rsid w:val="00B12CF2"/>
    <w:rsid w:val="00B139EE"/>
    <w:rsid w:val="00B174E5"/>
    <w:rsid w:val="00B20A34"/>
    <w:rsid w:val="00B255CE"/>
    <w:rsid w:val="00B305A9"/>
    <w:rsid w:val="00B41955"/>
    <w:rsid w:val="00B47A19"/>
    <w:rsid w:val="00B554B8"/>
    <w:rsid w:val="00B60627"/>
    <w:rsid w:val="00B64238"/>
    <w:rsid w:val="00B706B3"/>
    <w:rsid w:val="00B753A6"/>
    <w:rsid w:val="00B753C3"/>
    <w:rsid w:val="00B75ABD"/>
    <w:rsid w:val="00B80E1C"/>
    <w:rsid w:val="00B824C8"/>
    <w:rsid w:val="00B827B7"/>
    <w:rsid w:val="00B82883"/>
    <w:rsid w:val="00B8375D"/>
    <w:rsid w:val="00B83BFD"/>
    <w:rsid w:val="00B85870"/>
    <w:rsid w:val="00B970CB"/>
    <w:rsid w:val="00BA685D"/>
    <w:rsid w:val="00BA766F"/>
    <w:rsid w:val="00BB154B"/>
    <w:rsid w:val="00BB18C6"/>
    <w:rsid w:val="00BB2099"/>
    <w:rsid w:val="00BB322A"/>
    <w:rsid w:val="00BB3CE1"/>
    <w:rsid w:val="00BB41C2"/>
    <w:rsid w:val="00BB548A"/>
    <w:rsid w:val="00BB65F5"/>
    <w:rsid w:val="00BB73C6"/>
    <w:rsid w:val="00BC6547"/>
    <w:rsid w:val="00BC6ACC"/>
    <w:rsid w:val="00BD17B3"/>
    <w:rsid w:val="00BD4425"/>
    <w:rsid w:val="00BD6FB9"/>
    <w:rsid w:val="00BD750D"/>
    <w:rsid w:val="00BF28F4"/>
    <w:rsid w:val="00BF7229"/>
    <w:rsid w:val="00C01F78"/>
    <w:rsid w:val="00C1022D"/>
    <w:rsid w:val="00C103F0"/>
    <w:rsid w:val="00C15425"/>
    <w:rsid w:val="00C30B70"/>
    <w:rsid w:val="00C31126"/>
    <w:rsid w:val="00C32316"/>
    <w:rsid w:val="00C32649"/>
    <w:rsid w:val="00C33DB2"/>
    <w:rsid w:val="00C40214"/>
    <w:rsid w:val="00C4098F"/>
    <w:rsid w:val="00C41F8E"/>
    <w:rsid w:val="00C45D6D"/>
    <w:rsid w:val="00C51508"/>
    <w:rsid w:val="00C528F9"/>
    <w:rsid w:val="00C54160"/>
    <w:rsid w:val="00C54267"/>
    <w:rsid w:val="00C54C97"/>
    <w:rsid w:val="00C56F30"/>
    <w:rsid w:val="00C63781"/>
    <w:rsid w:val="00C641CE"/>
    <w:rsid w:val="00C6592A"/>
    <w:rsid w:val="00C66FAC"/>
    <w:rsid w:val="00C83465"/>
    <w:rsid w:val="00C85DA5"/>
    <w:rsid w:val="00C92753"/>
    <w:rsid w:val="00C93198"/>
    <w:rsid w:val="00C97502"/>
    <w:rsid w:val="00CA049C"/>
    <w:rsid w:val="00CA2157"/>
    <w:rsid w:val="00CA4815"/>
    <w:rsid w:val="00CB67BF"/>
    <w:rsid w:val="00CD2AB6"/>
    <w:rsid w:val="00CD40AD"/>
    <w:rsid w:val="00CD6D8C"/>
    <w:rsid w:val="00CD7A3D"/>
    <w:rsid w:val="00CE0ABA"/>
    <w:rsid w:val="00CE2E18"/>
    <w:rsid w:val="00CF0EB6"/>
    <w:rsid w:val="00CF2BF6"/>
    <w:rsid w:val="00CF421D"/>
    <w:rsid w:val="00CF497C"/>
    <w:rsid w:val="00D15EF5"/>
    <w:rsid w:val="00D22B31"/>
    <w:rsid w:val="00D23EED"/>
    <w:rsid w:val="00D37869"/>
    <w:rsid w:val="00D42EB6"/>
    <w:rsid w:val="00D43D63"/>
    <w:rsid w:val="00D4470F"/>
    <w:rsid w:val="00D451D3"/>
    <w:rsid w:val="00D47C42"/>
    <w:rsid w:val="00D52256"/>
    <w:rsid w:val="00D53175"/>
    <w:rsid w:val="00D54A71"/>
    <w:rsid w:val="00D606E2"/>
    <w:rsid w:val="00D70476"/>
    <w:rsid w:val="00D70C1A"/>
    <w:rsid w:val="00D763D6"/>
    <w:rsid w:val="00D76AB0"/>
    <w:rsid w:val="00D91F08"/>
    <w:rsid w:val="00D957D0"/>
    <w:rsid w:val="00DA6779"/>
    <w:rsid w:val="00DB1192"/>
    <w:rsid w:val="00DB200A"/>
    <w:rsid w:val="00DB63C4"/>
    <w:rsid w:val="00DB6666"/>
    <w:rsid w:val="00DC1C86"/>
    <w:rsid w:val="00DC2558"/>
    <w:rsid w:val="00DC4230"/>
    <w:rsid w:val="00DC43D9"/>
    <w:rsid w:val="00DC72A3"/>
    <w:rsid w:val="00DD4162"/>
    <w:rsid w:val="00DD50B3"/>
    <w:rsid w:val="00DD7F1D"/>
    <w:rsid w:val="00DE5B39"/>
    <w:rsid w:val="00DF14E4"/>
    <w:rsid w:val="00DF1E0C"/>
    <w:rsid w:val="00DF3F6F"/>
    <w:rsid w:val="00DF4413"/>
    <w:rsid w:val="00DF5A80"/>
    <w:rsid w:val="00E02FC6"/>
    <w:rsid w:val="00E07B49"/>
    <w:rsid w:val="00E151D3"/>
    <w:rsid w:val="00E2032B"/>
    <w:rsid w:val="00E23059"/>
    <w:rsid w:val="00E27E91"/>
    <w:rsid w:val="00E41295"/>
    <w:rsid w:val="00E46884"/>
    <w:rsid w:val="00E5128D"/>
    <w:rsid w:val="00E52344"/>
    <w:rsid w:val="00E53656"/>
    <w:rsid w:val="00E54C08"/>
    <w:rsid w:val="00E5558D"/>
    <w:rsid w:val="00E55CE3"/>
    <w:rsid w:val="00E56980"/>
    <w:rsid w:val="00E57BB9"/>
    <w:rsid w:val="00E71F53"/>
    <w:rsid w:val="00E74BE5"/>
    <w:rsid w:val="00E769FE"/>
    <w:rsid w:val="00E7767E"/>
    <w:rsid w:val="00E8083B"/>
    <w:rsid w:val="00E8087B"/>
    <w:rsid w:val="00E815B4"/>
    <w:rsid w:val="00E82F3F"/>
    <w:rsid w:val="00E83C43"/>
    <w:rsid w:val="00E84E26"/>
    <w:rsid w:val="00E85659"/>
    <w:rsid w:val="00E90F38"/>
    <w:rsid w:val="00E91F10"/>
    <w:rsid w:val="00EA5E1B"/>
    <w:rsid w:val="00EA719A"/>
    <w:rsid w:val="00EA7559"/>
    <w:rsid w:val="00EB0D74"/>
    <w:rsid w:val="00ED042A"/>
    <w:rsid w:val="00ED5478"/>
    <w:rsid w:val="00ED76AC"/>
    <w:rsid w:val="00ED7E86"/>
    <w:rsid w:val="00EE17E0"/>
    <w:rsid w:val="00EE370E"/>
    <w:rsid w:val="00EE39DE"/>
    <w:rsid w:val="00EE5923"/>
    <w:rsid w:val="00EE6244"/>
    <w:rsid w:val="00EF7236"/>
    <w:rsid w:val="00F030E1"/>
    <w:rsid w:val="00F123AF"/>
    <w:rsid w:val="00F12B39"/>
    <w:rsid w:val="00F13686"/>
    <w:rsid w:val="00F13CB1"/>
    <w:rsid w:val="00F16597"/>
    <w:rsid w:val="00F176B4"/>
    <w:rsid w:val="00F20801"/>
    <w:rsid w:val="00F261CD"/>
    <w:rsid w:val="00F324C5"/>
    <w:rsid w:val="00F33BB1"/>
    <w:rsid w:val="00F33C9D"/>
    <w:rsid w:val="00F4331B"/>
    <w:rsid w:val="00F433E2"/>
    <w:rsid w:val="00F47A67"/>
    <w:rsid w:val="00F60498"/>
    <w:rsid w:val="00F607BD"/>
    <w:rsid w:val="00F60B02"/>
    <w:rsid w:val="00F612DC"/>
    <w:rsid w:val="00F62873"/>
    <w:rsid w:val="00F63807"/>
    <w:rsid w:val="00F80C13"/>
    <w:rsid w:val="00FA3FB7"/>
    <w:rsid w:val="00FA4BC9"/>
    <w:rsid w:val="00FA6287"/>
    <w:rsid w:val="00FA641D"/>
    <w:rsid w:val="00FA69E5"/>
    <w:rsid w:val="00FA73B1"/>
    <w:rsid w:val="00FB5FE7"/>
    <w:rsid w:val="00FC6B9A"/>
    <w:rsid w:val="00FD3E44"/>
    <w:rsid w:val="00FD4BAF"/>
    <w:rsid w:val="00FE29CA"/>
    <w:rsid w:val="00FE4F1B"/>
    <w:rsid w:val="00FE5366"/>
    <w:rsid w:val="00FE7B0A"/>
    <w:rsid w:val="00FF3BDB"/>
    <w:rsid w:val="00FF5DDA"/>
    <w:rsid w:val="01217C83"/>
    <w:rsid w:val="013863F7"/>
    <w:rsid w:val="02CD13D9"/>
    <w:rsid w:val="0305345B"/>
    <w:rsid w:val="03724EAE"/>
    <w:rsid w:val="0380721B"/>
    <w:rsid w:val="03A34A22"/>
    <w:rsid w:val="03BD3E9D"/>
    <w:rsid w:val="03C77546"/>
    <w:rsid w:val="03CA483B"/>
    <w:rsid w:val="03D4180E"/>
    <w:rsid w:val="04074FB1"/>
    <w:rsid w:val="04ED41A7"/>
    <w:rsid w:val="05445D91"/>
    <w:rsid w:val="054D711D"/>
    <w:rsid w:val="065F0C87"/>
    <w:rsid w:val="07130F88"/>
    <w:rsid w:val="07556721"/>
    <w:rsid w:val="07A24272"/>
    <w:rsid w:val="08370EF8"/>
    <w:rsid w:val="087846CF"/>
    <w:rsid w:val="08AE1CF9"/>
    <w:rsid w:val="08AF0683"/>
    <w:rsid w:val="08BE1E6B"/>
    <w:rsid w:val="09307AB0"/>
    <w:rsid w:val="0A28741A"/>
    <w:rsid w:val="0A9D21CB"/>
    <w:rsid w:val="0BD30569"/>
    <w:rsid w:val="0C403756"/>
    <w:rsid w:val="0C4A1F92"/>
    <w:rsid w:val="0CB55B70"/>
    <w:rsid w:val="0D242B86"/>
    <w:rsid w:val="0D8C3917"/>
    <w:rsid w:val="0DFE5677"/>
    <w:rsid w:val="0E357193"/>
    <w:rsid w:val="0E744A71"/>
    <w:rsid w:val="0E7E0566"/>
    <w:rsid w:val="0E82330E"/>
    <w:rsid w:val="0EA2183F"/>
    <w:rsid w:val="0EB14497"/>
    <w:rsid w:val="0EBD108E"/>
    <w:rsid w:val="0EE3118C"/>
    <w:rsid w:val="0EF240C1"/>
    <w:rsid w:val="0FF02D9D"/>
    <w:rsid w:val="11390308"/>
    <w:rsid w:val="114D26D0"/>
    <w:rsid w:val="11A74318"/>
    <w:rsid w:val="11B6241D"/>
    <w:rsid w:val="124D1573"/>
    <w:rsid w:val="12825125"/>
    <w:rsid w:val="128A6758"/>
    <w:rsid w:val="12B67A92"/>
    <w:rsid w:val="12C4446D"/>
    <w:rsid w:val="13984CD8"/>
    <w:rsid w:val="13BC2129"/>
    <w:rsid w:val="13C10B05"/>
    <w:rsid w:val="13C91F5A"/>
    <w:rsid w:val="13F85F21"/>
    <w:rsid w:val="14DB60FF"/>
    <w:rsid w:val="152754CD"/>
    <w:rsid w:val="15461B04"/>
    <w:rsid w:val="158138C9"/>
    <w:rsid w:val="16695657"/>
    <w:rsid w:val="168122B5"/>
    <w:rsid w:val="171635F5"/>
    <w:rsid w:val="17546308"/>
    <w:rsid w:val="17A41FB4"/>
    <w:rsid w:val="17BD3EAD"/>
    <w:rsid w:val="18493992"/>
    <w:rsid w:val="18C57B97"/>
    <w:rsid w:val="18E73101"/>
    <w:rsid w:val="1AB5530F"/>
    <w:rsid w:val="1B851657"/>
    <w:rsid w:val="1B9B4505"/>
    <w:rsid w:val="1C0875FF"/>
    <w:rsid w:val="1C60574F"/>
    <w:rsid w:val="1C632A99"/>
    <w:rsid w:val="1C7068D0"/>
    <w:rsid w:val="1CC221A4"/>
    <w:rsid w:val="1D0B2987"/>
    <w:rsid w:val="1DFF0FB9"/>
    <w:rsid w:val="1E7554E1"/>
    <w:rsid w:val="1E7F2E2B"/>
    <w:rsid w:val="1EA1723B"/>
    <w:rsid w:val="1EA94D34"/>
    <w:rsid w:val="1EAE09F3"/>
    <w:rsid w:val="1EFB501E"/>
    <w:rsid w:val="1F0B7BF4"/>
    <w:rsid w:val="1FCA0A4F"/>
    <w:rsid w:val="203D0398"/>
    <w:rsid w:val="20462D28"/>
    <w:rsid w:val="2047530C"/>
    <w:rsid w:val="2087739C"/>
    <w:rsid w:val="20893EA8"/>
    <w:rsid w:val="208D63E6"/>
    <w:rsid w:val="20C379AA"/>
    <w:rsid w:val="20EC15BF"/>
    <w:rsid w:val="21102AC4"/>
    <w:rsid w:val="21154D5A"/>
    <w:rsid w:val="21F229A5"/>
    <w:rsid w:val="22090DC5"/>
    <w:rsid w:val="22323C5F"/>
    <w:rsid w:val="22464A9A"/>
    <w:rsid w:val="22753DAC"/>
    <w:rsid w:val="234E6301"/>
    <w:rsid w:val="238B3963"/>
    <w:rsid w:val="23C91223"/>
    <w:rsid w:val="24877D1C"/>
    <w:rsid w:val="24902246"/>
    <w:rsid w:val="2497150C"/>
    <w:rsid w:val="24A4301F"/>
    <w:rsid w:val="25227A45"/>
    <w:rsid w:val="25861D82"/>
    <w:rsid w:val="259F3FD0"/>
    <w:rsid w:val="2665766C"/>
    <w:rsid w:val="27144F48"/>
    <w:rsid w:val="28C5568F"/>
    <w:rsid w:val="28D05F77"/>
    <w:rsid w:val="294532EF"/>
    <w:rsid w:val="2A6554BB"/>
    <w:rsid w:val="2ACD204C"/>
    <w:rsid w:val="2B977D60"/>
    <w:rsid w:val="2BB03C22"/>
    <w:rsid w:val="2BB13657"/>
    <w:rsid w:val="2BB533C1"/>
    <w:rsid w:val="2C462B5E"/>
    <w:rsid w:val="2C7831FE"/>
    <w:rsid w:val="2DBD47AF"/>
    <w:rsid w:val="2DE16ED3"/>
    <w:rsid w:val="2DED761B"/>
    <w:rsid w:val="2E40767F"/>
    <w:rsid w:val="2E455BD6"/>
    <w:rsid w:val="2E6966E5"/>
    <w:rsid w:val="2E8D2405"/>
    <w:rsid w:val="2EB060C2"/>
    <w:rsid w:val="2EBA6F40"/>
    <w:rsid w:val="2EFC1307"/>
    <w:rsid w:val="2F0E107B"/>
    <w:rsid w:val="2F650B12"/>
    <w:rsid w:val="3038011D"/>
    <w:rsid w:val="307675F8"/>
    <w:rsid w:val="309E5F5A"/>
    <w:rsid w:val="30A20568"/>
    <w:rsid w:val="30B844D2"/>
    <w:rsid w:val="30C06123"/>
    <w:rsid w:val="30CE64E6"/>
    <w:rsid w:val="31065656"/>
    <w:rsid w:val="31717C24"/>
    <w:rsid w:val="31792492"/>
    <w:rsid w:val="31CC4FC0"/>
    <w:rsid w:val="31DB4DD3"/>
    <w:rsid w:val="32835684"/>
    <w:rsid w:val="329B0E37"/>
    <w:rsid w:val="32F133A4"/>
    <w:rsid w:val="32FE61E5"/>
    <w:rsid w:val="3334684E"/>
    <w:rsid w:val="333948D8"/>
    <w:rsid w:val="337144E9"/>
    <w:rsid w:val="337D00C3"/>
    <w:rsid w:val="339F5D0C"/>
    <w:rsid w:val="35375371"/>
    <w:rsid w:val="357F32BE"/>
    <w:rsid w:val="35C3544A"/>
    <w:rsid w:val="35E30B2B"/>
    <w:rsid w:val="36104897"/>
    <w:rsid w:val="361127F4"/>
    <w:rsid w:val="361C7D2E"/>
    <w:rsid w:val="36B87F4D"/>
    <w:rsid w:val="36F32FEF"/>
    <w:rsid w:val="37164F30"/>
    <w:rsid w:val="3721576A"/>
    <w:rsid w:val="37427AD3"/>
    <w:rsid w:val="37850378"/>
    <w:rsid w:val="37C149DB"/>
    <w:rsid w:val="37C75D95"/>
    <w:rsid w:val="37D81B0F"/>
    <w:rsid w:val="38784E63"/>
    <w:rsid w:val="38862DB7"/>
    <w:rsid w:val="389C60A9"/>
    <w:rsid w:val="38BA550B"/>
    <w:rsid w:val="39262BB4"/>
    <w:rsid w:val="39857F00"/>
    <w:rsid w:val="398C3287"/>
    <w:rsid w:val="3A9161C0"/>
    <w:rsid w:val="3AB467C6"/>
    <w:rsid w:val="3B444BF3"/>
    <w:rsid w:val="3C3E6786"/>
    <w:rsid w:val="3C4131E5"/>
    <w:rsid w:val="3C5627E3"/>
    <w:rsid w:val="3CB56C95"/>
    <w:rsid w:val="3CBA3FB4"/>
    <w:rsid w:val="3CC05722"/>
    <w:rsid w:val="3D0D7CAC"/>
    <w:rsid w:val="3D311078"/>
    <w:rsid w:val="3D385850"/>
    <w:rsid w:val="3D800E3B"/>
    <w:rsid w:val="3EFC5DA7"/>
    <w:rsid w:val="3F142078"/>
    <w:rsid w:val="3F1955BD"/>
    <w:rsid w:val="3F2014F0"/>
    <w:rsid w:val="3F982986"/>
    <w:rsid w:val="3F9C5E70"/>
    <w:rsid w:val="401F7FA5"/>
    <w:rsid w:val="40590785"/>
    <w:rsid w:val="408D0C45"/>
    <w:rsid w:val="411A6AEC"/>
    <w:rsid w:val="42841406"/>
    <w:rsid w:val="430414DA"/>
    <w:rsid w:val="43776D56"/>
    <w:rsid w:val="43F860E9"/>
    <w:rsid w:val="440D030A"/>
    <w:rsid w:val="442C7152"/>
    <w:rsid w:val="44431E72"/>
    <w:rsid w:val="444A6219"/>
    <w:rsid w:val="44F42371"/>
    <w:rsid w:val="45482CDA"/>
    <w:rsid w:val="45A8373D"/>
    <w:rsid w:val="464C6532"/>
    <w:rsid w:val="46C753E2"/>
    <w:rsid w:val="48180B08"/>
    <w:rsid w:val="482C6361"/>
    <w:rsid w:val="483237E0"/>
    <w:rsid w:val="48610C6E"/>
    <w:rsid w:val="48A1264A"/>
    <w:rsid w:val="48BF67D0"/>
    <w:rsid w:val="48F85426"/>
    <w:rsid w:val="490B5F77"/>
    <w:rsid w:val="491A08B0"/>
    <w:rsid w:val="49541966"/>
    <w:rsid w:val="49B44860"/>
    <w:rsid w:val="49BD174C"/>
    <w:rsid w:val="49DA21D2"/>
    <w:rsid w:val="49DB08B6"/>
    <w:rsid w:val="49EF3ABE"/>
    <w:rsid w:val="4A174FB4"/>
    <w:rsid w:val="4AA10AD4"/>
    <w:rsid w:val="4B8B7983"/>
    <w:rsid w:val="4B8D35BB"/>
    <w:rsid w:val="4BC0573E"/>
    <w:rsid w:val="4BE62CCB"/>
    <w:rsid w:val="4C34777C"/>
    <w:rsid w:val="4C853749"/>
    <w:rsid w:val="4D033363"/>
    <w:rsid w:val="4D033D32"/>
    <w:rsid w:val="4EDA3738"/>
    <w:rsid w:val="4EE06B98"/>
    <w:rsid w:val="4EF84C71"/>
    <w:rsid w:val="4F115777"/>
    <w:rsid w:val="4F1A44D9"/>
    <w:rsid w:val="4F3955E3"/>
    <w:rsid w:val="4F442DCE"/>
    <w:rsid w:val="4F57510E"/>
    <w:rsid w:val="4FA459AB"/>
    <w:rsid w:val="4FC41575"/>
    <w:rsid w:val="50C95932"/>
    <w:rsid w:val="50CB02DB"/>
    <w:rsid w:val="50DA4560"/>
    <w:rsid w:val="51225340"/>
    <w:rsid w:val="513B532C"/>
    <w:rsid w:val="52947579"/>
    <w:rsid w:val="52BB0C31"/>
    <w:rsid w:val="532D7A42"/>
    <w:rsid w:val="53543778"/>
    <w:rsid w:val="537700C9"/>
    <w:rsid w:val="53EC2E13"/>
    <w:rsid w:val="54185DF4"/>
    <w:rsid w:val="54187228"/>
    <w:rsid w:val="542F6486"/>
    <w:rsid w:val="547A4188"/>
    <w:rsid w:val="54932432"/>
    <w:rsid w:val="558A049B"/>
    <w:rsid w:val="55AC6D33"/>
    <w:rsid w:val="55CC2F32"/>
    <w:rsid w:val="55CE40CE"/>
    <w:rsid w:val="55F02A8A"/>
    <w:rsid w:val="568B6949"/>
    <w:rsid w:val="56BF35AE"/>
    <w:rsid w:val="56D30E38"/>
    <w:rsid w:val="56E12A50"/>
    <w:rsid w:val="56EF0E5E"/>
    <w:rsid w:val="57074C51"/>
    <w:rsid w:val="572134B6"/>
    <w:rsid w:val="57336EF9"/>
    <w:rsid w:val="57AC241E"/>
    <w:rsid w:val="584A56AA"/>
    <w:rsid w:val="585D700B"/>
    <w:rsid w:val="591A58A7"/>
    <w:rsid w:val="591D497E"/>
    <w:rsid w:val="59312E35"/>
    <w:rsid w:val="5A121A4E"/>
    <w:rsid w:val="5A184997"/>
    <w:rsid w:val="5A42475E"/>
    <w:rsid w:val="5A493E89"/>
    <w:rsid w:val="5B567708"/>
    <w:rsid w:val="5C252C1B"/>
    <w:rsid w:val="5CA60783"/>
    <w:rsid w:val="5CC03FBE"/>
    <w:rsid w:val="5DCD5A83"/>
    <w:rsid w:val="5DDA6F86"/>
    <w:rsid w:val="5DE60909"/>
    <w:rsid w:val="5DFB5B14"/>
    <w:rsid w:val="5E687785"/>
    <w:rsid w:val="5EBE7E0C"/>
    <w:rsid w:val="5FB32A6C"/>
    <w:rsid w:val="5FD5387B"/>
    <w:rsid w:val="606277F3"/>
    <w:rsid w:val="60D97D43"/>
    <w:rsid w:val="60E94388"/>
    <w:rsid w:val="61587D6F"/>
    <w:rsid w:val="61907509"/>
    <w:rsid w:val="61AC5EF1"/>
    <w:rsid w:val="62127F1E"/>
    <w:rsid w:val="627222EF"/>
    <w:rsid w:val="62A06C0A"/>
    <w:rsid w:val="62C6107C"/>
    <w:rsid w:val="643C6AEA"/>
    <w:rsid w:val="647B7FFD"/>
    <w:rsid w:val="64FF16AF"/>
    <w:rsid w:val="653F2728"/>
    <w:rsid w:val="654270D7"/>
    <w:rsid w:val="655D0664"/>
    <w:rsid w:val="65752BC5"/>
    <w:rsid w:val="657E1914"/>
    <w:rsid w:val="65DC0F6F"/>
    <w:rsid w:val="65E87914"/>
    <w:rsid w:val="661C136B"/>
    <w:rsid w:val="66442670"/>
    <w:rsid w:val="66862CA1"/>
    <w:rsid w:val="675A6DEA"/>
    <w:rsid w:val="679A67E8"/>
    <w:rsid w:val="679F38A0"/>
    <w:rsid w:val="680D4D5F"/>
    <w:rsid w:val="68AE3E77"/>
    <w:rsid w:val="68FB360D"/>
    <w:rsid w:val="69030B29"/>
    <w:rsid w:val="697D0373"/>
    <w:rsid w:val="69D265C2"/>
    <w:rsid w:val="6A1F3620"/>
    <w:rsid w:val="6A405A48"/>
    <w:rsid w:val="6A551585"/>
    <w:rsid w:val="6AE129B9"/>
    <w:rsid w:val="6BA265A2"/>
    <w:rsid w:val="6BA90ABA"/>
    <w:rsid w:val="6BAE207E"/>
    <w:rsid w:val="6BFA4CB2"/>
    <w:rsid w:val="6C07552A"/>
    <w:rsid w:val="6C0D208C"/>
    <w:rsid w:val="6C2C735B"/>
    <w:rsid w:val="6C4253CC"/>
    <w:rsid w:val="6D4B65A2"/>
    <w:rsid w:val="6D535DD6"/>
    <w:rsid w:val="6D602485"/>
    <w:rsid w:val="6E103ABE"/>
    <w:rsid w:val="6E312F08"/>
    <w:rsid w:val="6E3A67A3"/>
    <w:rsid w:val="6E6321B9"/>
    <w:rsid w:val="6EA44225"/>
    <w:rsid w:val="6F075BDC"/>
    <w:rsid w:val="6F160642"/>
    <w:rsid w:val="6F9728E1"/>
    <w:rsid w:val="6FA677DC"/>
    <w:rsid w:val="70941495"/>
    <w:rsid w:val="70A95EF1"/>
    <w:rsid w:val="70DE33D5"/>
    <w:rsid w:val="71124D16"/>
    <w:rsid w:val="719B567C"/>
    <w:rsid w:val="71BB2002"/>
    <w:rsid w:val="71CF6C41"/>
    <w:rsid w:val="72213ECC"/>
    <w:rsid w:val="722A73EE"/>
    <w:rsid w:val="723509B9"/>
    <w:rsid w:val="724C122A"/>
    <w:rsid w:val="72AF2054"/>
    <w:rsid w:val="732027A6"/>
    <w:rsid w:val="732775A1"/>
    <w:rsid w:val="737B58F1"/>
    <w:rsid w:val="7392379E"/>
    <w:rsid w:val="73B40E35"/>
    <w:rsid w:val="73BB4AEF"/>
    <w:rsid w:val="73C7563B"/>
    <w:rsid w:val="73D12E85"/>
    <w:rsid w:val="74953FE8"/>
    <w:rsid w:val="74CA2DB3"/>
    <w:rsid w:val="74D02A1C"/>
    <w:rsid w:val="750C4683"/>
    <w:rsid w:val="75267BCD"/>
    <w:rsid w:val="75874327"/>
    <w:rsid w:val="759D42F3"/>
    <w:rsid w:val="75B82C51"/>
    <w:rsid w:val="76211268"/>
    <w:rsid w:val="763579C6"/>
    <w:rsid w:val="77214C9F"/>
    <w:rsid w:val="772F4BD7"/>
    <w:rsid w:val="77352810"/>
    <w:rsid w:val="775C3CBE"/>
    <w:rsid w:val="779B431F"/>
    <w:rsid w:val="77BF2045"/>
    <w:rsid w:val="7869567B"/>
    <w:rsid w:val="78B26A75"/>
    <w:rsid w:val="78D176E1"/>
    <w:rsid w:val="78D376E6"/>
    <w:rsid w:val="796706F8"/>
    <w:rsid w:val="79EA57C6"/>
    <w:rsid w:val="79ED2F8E"/>
    <w:rsid w:val="79FB10C9"/>
    <w:rsid w:val="7A0D5743"/>
    <w:rsid w:val="7A8E7382"/>
    <w:rsid w:val="7B18614D"/>
    <w:rsid w:val="7B2368A0"/>
    <w:rsid w:val="7B63097E"/>
    <w:rsid w:val="7BF81D6C"/>
    <w:rsid w:val="7C0B7D08"/>
    <w:rsid w:val="7CB63E70"/>
    <w:rsid w:val="7D562F5D"/>
    <w:rsid w:val="7D6C1646"/>
    <w:rsid w:val="7D6E43D1"/>
    <w:rsid w:val="7DCE5B9D"/>
    <w:rsid w:val="7DE75601"/>
    <w:rsid w:val="7DF410BA"/>
    <w:rsid w:val="7E5E2759"/>
    <w:rsid w:val="7EBD1BE6"/>
    <w:rsid w:val="7EFD1035"/>
    <w:rsid w:val="7F43111F"/>
    <w:rsid w:val="7FB6091C"/>
    <w:rsid w:val="7FE74421"/>
    <w:rsid w:val="DF3646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qFormat="1" w:uiPriority="99" w:name="table of authorities"/>
    <w:lsdException w:uiPriority="99" w:name="macro"/>
    <w:lsdException w:qFormat="1"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80" w:lineRule="exact"/>
      <w:ind w:firstLine="200" w:firstLineChars="200"/>
      <w:jc w:val="both"/>
    </w:pPr>
    <w:rPr>
      <w:rFonts w:ascii="Times New Roman" w:hAnsi="Times New Roman" w:eastAsia="宋体" w:cstheme="minorBidi"/>
      <w:kern w:val="2"/>
      <w:sz w:val="28"/>
      <w:szCs w:val="21"/>
      <w:lang w:val="en-US" w:eastAsia="zh-CN" w:bidi="ar-SA"/>
    </w:rPr>
  </w:style>
  <w:style w:type="paragraph" w:styleId="3">
    <w:name w:val="heading 1"/>
    <w:basedOn w:val="1"/>
    <w:next w:val="1"/>
    <w:link w:val="39"/>
    <w:qFormat/>
    <w:uiPriority w:val="9"/>
    <w:pPr>
      <w:keepNext/>
      <w:keepLines/>
      <w:snapToGrid w:val="0"/>
      <w:spacing w:beforeLines="50" w:afterLines="50"/>
      <w:ind w:firstLine="0" w:firstLineChars="0"/>
      <w:jc w:val="center"/>
      <w:outlineLvl w:val="0"/>
    </w:pPr>
    <w:rPr>
      <w:b/>
      <w:bCs/>
      <w:kern w:val="44"/>
      <w:sz w:val="32"/>
      <w:szCs w:val="44"/>
    </w:rPr>
  </w:style>
  <w:style w:type="paragraph" w:styleId="4">
    <w:name w:val="heading 2"/>
    <w:basedOn w:val="1"/>
    <w:next w:val="1"/>
    <w:link w:val="40"/>
    <w:unhideWhenUsed/>
    <w:qFormat/>
    <w:uiPriority w:val="0"/>
    <w:pPr>
      <w:keepNext/>
      <w:keepLines/>
      <w:outlineLvl w:val="1"/>
    </w:pPr>
    <w:rPr>
      <w:rFonts w:cstheme="majorBidi"/>
      <w:b/>
      <w:bCs/>
      <w:sz w:val="30"/>
      <w:szCs w:val="32"/>
    </w:rPr>
  </w:style>
  <w:style w:type="paragraph" w:styleId="5">
    <w:name w:val="heading 3"/>
    <w:basedOn w:val="1"/>
    <w:next w:val="1"/>
    <w:link w:val="41"/>
    <w:unhideWhenUsed/>
    <w:qFormat/>
    <w:uiPriority w:val="9"/>
    <w:pPr>
      <w:keepNext/>
      <w:keepLines/>
      <w:outlineLvl w:val="2"/>
    </w:pPr>
    <w:rPr>
      <w:b/>
      <w:bCs/>
      <w:szCs w:val="32"/>
    </w:rPr>
  </w:style>
  <w:style w:type="paragraph" w:styleId="2">
    <w:name w:val="heading 4"/>
    <w:basedOn w:val="1"/>
    <w:next w:val="1"/>
    <w:link w:val="42"/>
    <w:unhideWhenUsed/>
    <w:qFormat/>
    <w:uiPriority w:val="9"/>
    <w:pPr>
      <w:keepNext/>
      <w:keepLines/>
      <w:outlineLvl w:val="3"/>
    </w:pPr>
    <w:rPr>
      <w:rFonts w:cstheme="majorBidi"/>
      <w:bCs/>
      <w:szCs w:val="28"/>
    </w:rPr>
  </w:style>
  <w:style w:type="paragraph" w:styleId="6">
    <w:name w:val="heading 5"/>
    <w:basedOn w:val="1"/>
    <w:next w:val="1"/>
    <w:link w:val="64"/>
    <w:unhideWhenUsed/>
    <w:qFormat/>
    <w:uiPriority w:val="9"/>
    <w:pPr>
      <w:keepNext/>
      <w:keepLines/>
      <w:adjustRightInd w:val="0"/>
      <w:snapToGrid w:val="0"/>
      <w:outlineLvl w:val="4"/>
    </w:pPr>
    <w:rPr>
      <w:bCs/>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spacing w:line="240" w:lineRule="auto"/>
      <w:ind w:left="2520" w:leftChars="1200" w:firstLine="0" w:firstLineChars="0"/>
    </w:pPr>
    <w:rPr>
      <w:rFonts w:asciiTheme="minorHAnsi" w:hAnsiTheme="minorHAnsi" w:eastAsiaTheme="minorEastAsia"/>
      <w:sz w:val="21"/>
      <w:szCs w:val="22"/>
    </w:rPr>
  </w:style>
  <w:style w:type="paragraph" w:styleId="8">
    <w:name w:val="table of authorities"/>
    <w:basedOn w:val="1"/>
    <w:next w:val="1"/>
    <w:semiHidden/>
    <w:unhideWhenUsed/>
    <w:qFormat/>
    <w:uiPriority w:val="99"/>
    <w:pPr>
      <w:ind w:left="420" w:leftChars="200" w:firstLine="0"/>
    </w:pPr>
  </w:style>
  <w:style w:type="paragraph" w:styleId="9">
    <w:name w:val="Normal Indent"/>
    <w:basedOn w:val="1"/>
    <w:qFormat/>
    <w:uiPriority w:val="0"/>
    <w:pPr>
      <w:spacing w:line="360" w:lineRule="auto"/>
      <w:ind w:firstLine="480"/>
    </w:pPr>
    <w:rPr>
      <w:rFonts w:eastAsia="楷体_GB2312" w:cs="Times New Roman"/>
      <w:sz w:val="24"/>
    </w:rPr>
  </w:style>
  <w:style w:type="paragraph" w:styleId="10">
    <w:name w:val="Document Map"/>
    <w:basedOn w:val="1"/>
    <w:link w:val="63"/>
    <w:semiHidden/>
    <w:unhideWhenUsed/>
    <w:qFormat/>
    <w:uiPriority w:val="99"/>
    <w:rPr>
      <w:rFonts w:ascii="宋体"/>
      <w:sz w:val="18"/>
      <w:szCs w:val="18"/>
    </w:rPr>
  </w:style>
  <w:style w:type="paragraph" w:styleId="11">
    <w:name w:val="toa heading"/>
    <w:basedOn w:val="1"/>
    <w:next w:val="1"/>
    <w:semiHidden/>
    <w:unhideWhenUsed/>
    <w:qFormat/>
    <w:uiPriority w:val="99"/>
    <w:pPr>
      <w:spacing w:before="120"/>
    </w:pPr>
    <w:rPr>
      <w:rFonts w:asciiTheme="majorHAnsi" w:hAnsiTheme="majorHAnsi" w:cstheme="majorBidi"/>
      <w:sz w:val="24"/>
      <w:szCs w:val="24"/>
    </w:rPr>
  </w:style>
  <w:style w:type="paragraph" w:styleId="12">
    <w:name w:val="annotation text"/>
    <w:basedOn w:val="1"/>
    <w:link w:val="53"/>
    <w:unhideWhenUsed/>
    <w:qFormat/>
    <w:uiPriority w:val="0"/>
    <w:pPr>
      <w:jc w:val="left"/>
    </w:pPr>
  </w:style>
  <w:style w:type="paragraph" w:styleId="13">
    <w:name w:val="Body Text"/>
    <w:basedOn w:val="1"/>
    <w:link w:val="58"/>
    <w:semiHidden/>
    <w:qFormat/>
    <w:uiPriority w:val="0"/>
    <w:pPr>
      <w:spacing w:line="240" w:lineRule="auto"/>
      <w:ind w:firstLine="0" w:firstLineChars="0"/>
      <w:jc w:val="center"/>
    </w:pPr>
    <w:rPr>
      <w:rFonts w:cs="Times New Roman"/>
      <w:sz w:val="18"/>
      <w:szCs w:val="20"/>
    </w:rPr>
  </w:style>
  <w:style w:type="paragraph" w:styleId="14">
    <w:name w:val="toc 5"/>
    <w:basedOn w:val="1"/>
    <w:next w:val="1"/>
    <w:unhideWhenUsed/>
    <w:qFormat/>
    <w:uiPriority w:val="39"/>
    <w:pPr>
      <w:spacing w:line="240" w:lineRule="auto"/>
      <w:ind w:left="1680" w:leftChars="800" w:firstLine="0" w:firstLineChars="0"/>
    </w:pPr>
    <w:rPr>
      <w:rFonts w:asciiTheme="minorHAnsi" w:hAnsiTheme="minorHAnsi" w:eastAsiaTheme="minorEastAsia"/>
      <w:sz w:val="21"/>
      <w:szCs w:val="22"/>
    </w:rPr>
  </w:style>
  <w:style w:type="paragraph" w:styleId="15">
    <w:name w:val="toc 3"/>
    <w:basedOn w:val="1"/>
    <w:next w:val="1"/>
    <w:unhideWhenUsed/>
    <w:qFormat/>
    <w:uiPriority w:val="39"/>
    <w:pPr>
      <w:ind w:left="840" w:leftChars="400"/>
    </w:pPr>
  </w:style>
  <w:style w:type="paragraph" w:styleId="16">
    <w:name w:val="Plain Text"/>
    <w:basedOn w:val="1"/>
    <w:link w:val="59"/>
    <w:qFormat/>
    <w:uiPriority w:val="0"/>
    <w:pPr>
      <w:spacing w:line="240" w:lineRule="auto"/>
      <w:ind w:firstLine="0" w:firstLineChars="0"/>
    </w:pPr>
    <w:rPr>
      <w:rFonts w:ascii="宋体" w:hAnsi="Courier New" w:cs="Courier New"/>
      <w:sz w:val="21"/>
    </w:rPr>
  </w:style>
  <w:style w:type="paragraph" w:styleId="17">
    <w:name w:val="toc 8"/>
    <w:basedOn w:val="1"/>
    <w:next w:val="1"/>
    <w:unhideWhenUsed/>
    <w:qFormat/>
    <w:uiPriority w:val="39"/>
    <w:pPr>
      <w:spacing w:line="240" w:lineRule="auto"/>
      <w:ind w:left="2940" w:leftChars="1400" w:firstLine="0" w:firstLineChars="0"/>
    </w:pPr>
    <w:rPr>
      <w:rFonts w:asciiTheme="minorHAnsi" w:hAnsiTheme="minorHAnsi" w:eastAsiaTheme="minorEastAsia"/>
      <w:sz w:val="21"/>
      <w:szCs w:val="22"/>
    </w:rPr>
  </w:style>
  <w:style w:type="paragraph" w:styleId="18">
    <w:name w:val="Date"/>
    <w:basedOn w:val="1"/>
    <w:next w:val="1"/>
    <w:link w:val="56"/>
    <w:semiHidden/>
    <w:unhideWhenUsed/>
    <w:qFormat/>
    <w:uiPriority w:val="99"/>
    <w:pPr>
      <w:ind w:left="100" w:leftChars="2500"/>
    </w:pPr>
  </w:style>
  <w:style w:type="paragraph" w:styleId="19">
    <w:name w:val="Balloon Text"/>
    <w:basedOn w:val="1"/>
    <w:link w:val="52"/>
    <w:semiHidden/>
    <w:unhideWhenUsed/>
    <w:qFormat/>
    <w:uiPriority w:val="99"/>
    <w:pPr>
      <w:spacing w:line="240" w:lineRule="auto"/>
    </w:pPr>
    <w:rPr>
      <w:sz w:val="18"/>
      <w:szCs w:val="18"/>
    </w:rPr>
  </w:style>
  <w:style w:type="paragraph" w:styleId="20">
    <w:name w:val="footer"/>
    <w:basedOn w:val="1"/>
    <w:link w:val="44"/>
    <w:unhideWhenUsed/>
    <w:qFormat/>
    <w:uiPriority w:val="99"/>
    <w:pPr>
      <w:tabs>
        <w:tab w:val="center" w:pos="4153"/>
        <w:tab w:val="right" w:pos="8306"/>
      </w:tabs>
      <w:snapToGrid w:val="0"/>
      <w:spacing w:line="240" w:lineRule="auto"/>
      <w:jc w:val="left"/>
    </w:pPr>
    <w:rPr>
      <w:sz w:val="18"/>
      <w:szCs w:val="18"/>
    </w:rPr>
  </w:style>
  <w:style w:type="paragraph" w:styleId="21">
    <w:name w:val="header"/>
    <w:basedOn w:val="1"/>
    <w:link w:val="43"/>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22">
    <w:name w:val="toc 1"/>
    <w:basedOn w:val="11"/>
    <w:next w:val="1"/>
    <w:unhideWhenUsed/>
    <w:qFormat/>
    <w:uiPriority w:val="39"/>
    <w:pPr>
      <w:spacing w:before="0"/>
      <w:ind w:firstLine="0" w:firstLineChars="0"/>
    </w:pPr>
    <w:rPr>
      <w:sz w:val="28"/>
    </w:rPr>
  </w:style>
  <w:style w:type="paragraph" w:styleId="23">
    <w:name w:val="toc 4"/>
    <w:basedOn w:val="1"/>
    <w:next w:val="1"/>
    <w:unhideWhenUsed/>
    <w:qFormat/>
    <w:uiPriority w:val="39"/>
    <w:pPr>
      <w:spacing w:line="240" w:lineRule="auto"/>
      <w:ind w:left="1260" w:leftChars="600" w:firstLine="0" w:firstLineChars="0"/>
    </w:pPr>
    <w:rPr>
      <w:rFonts w:asciiTheme="minorHAnsi" w:hAnsiTheme="minorHAnsi" w:eastAsiaTheme="minorEastAsia"/>
      <w:sz w:val="21"/>
      <w:szCs w:val="22"/>
    </w:rPr>
  </w:style>
  <w:style w:type="paragraph" w:styleId="24">
    <w:name w:val="toc 6"/>
    <w:basedOn w:val="1"/>
    <w:next w:val="1"/>
    <w:unhideWhenUsed/>
    <w:qFormat/>
    <w:uiPriority w:val="39"/>
    <w:pPr>
      <w:spacing w:line="240" w:lineRule="auto"/>
      <w:ind w:left="2100" w:leftChars="1000" w:firstLine="0" w:firstLineChars="0"/>
    </w:pPr>
    <w:rPr>
      <w:rFonts w:asciiTheme="minorHAnsi" w:hAnsiTheme="minorHAnsi" w:eastAsiaTheme="minorEastAsia"/>
      <w:sz w:val="21"/>
      <w:szCs w:val="22"/>
    </w:rPr>
  </w:style>
  <w:style w:type="paragraph" w:styleId="25">
    <w:name w:val="toc 2"/>
    <w:basedOn w:val="8"/>
    <w:next w:val="1"/>
    <w:unhideWhenUsed/>
    <w:qFormat/>
    <w:uiPriority w:val="39"/>
    <w:pPr>
      <w:ind w:left="0" w:leftChars="0" w:firstLine="200"/>
    </w:pPr>
    <w:rPr>
      <w:sz w:val="24"/>
    </w:rPr>
  </w:style>
  <w:style w:type="paragraph" w:styleId="26">
    <w:name w:val="toc 9"/>
    <w:basedOn w:val="1"/>
    <w:next w:val="1"/>
    <w:unhideWhenUsed/>
    <w:qFormat/>
    <w:uiPriority w:val="39"/>
    <w:pPr>
      <w:spacing w:line="240" w:lineRule="auto"/>
      <w:ind w:left="3360" w:leftChars="1600" w:firstLine="0" w:firstLineChars="0"/>
    </w:pPr>
    <w:rPr>
      <w:rFonts w:asciiTheme="minorHAnsi" w:hAnsiTheme="minorHAnsi" w:eastAsiaTheme="minorEastAsia"/>
      <w:sz w:val="21"/>
      <w:szCs w:val="22"/>
    </w:rPr>
  </w:style>
  <w:style w:type="paragraph" w:styleId="27">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cs="宋体"/>
      <w:kern w:val="0"/>
      <w:sz w:val="24"/>
      <w:szCs w:val="24"/>
    </w:rPr>
  </w:style>
  <w:style w:type="paragraph" w:styleId="28">
    <w:name w:val="Title"/>
    <w:basedOn w:val="1"/>
    <w:next w:val="1"/>
    <w:qFormat/>
    <w:uiPriority w:val="0"/>
    <w:pPr>
      <w:spacing w:before="240" w:after="60"/>
      <w:jc w:val="center"/>
      <w:outlineLvl w:val="0"/>
    </w:pPr>
    <w:rPr>
      <w:rFonts w:asciiTheme="majorHAnsi" w:hAnsiTheme="majorHAnsi" w:cstheme="majorBidi"/>
      <w:b/>
      <w:bCs/>
      <w:sz w:val="32"/>
      <w:szCs w:val="32"/>
    </w:rPr>
  </w:style>
  <w:style w:type="paragraph" w:styleId="29">
    <w:name w:val="annotation subject"/>
    <w:basedOn w:val="12"/>
    <w:next w:val="12"/>
    <w:link w:val="54"/>
    <w:semiHidden/>
    <w:unhideWhenUsed/>
    <w:qFormat/>
    <w:uiPriority w:val="99"/>
    <w:rPr>
      <w:b/>
      <w:bCs/>
    </w:rPr>
  </w:style>
  <w:style w:type="table" w:styleId="31">
    <w:name w:val="Table Grid"/>
    <w:basedOn w:val="3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Strong"/>
    <w:basedOn w:val="32"/>
    <w:qFormat/>
    <w:uiPriority w:val="22"/>
    <w:rPr>
      <w:b/>
      <w:bCs/>
    </w:rPr>
  </w:style>
  <w:style w:type="character" w:styleId="34">
    <w:name w:val="Emphasis"/>
    <w:basedOn w:val="32"/>
    <w:qFormat/>
    <w:uiPriority w:val="20"/>
    <w:rPr>
      <w:i/>
    </w:rPr>
  </w:style>
  <w:style w:type="character" w:styleId="35">
    <w:name w:val="Hyperlink"/>
    <w:basedOn w:val="32"/>
    <w:unhideWhenUsed/>
    <w:qFormat/>
    <w:uiPriority w:val="99"/>
    <w:rPr>
      <w:color w:val="0563C1" w:themeColor="hyperlink"/>
      <w:u w:val="single"/>
      <w14:textFill>
        <w14:solidFill>
          <w14:schemeClr w14:val="hlink"/>
        </w14:solidFill>
      </w14:textFill>
    </w:rPr>
  </w:style>
  <w:style w:type="character" w:styleId="36">
    <w:name w:val="annotation reference"/>
    <w:basedOn w:val="32"/>
    <w:semiHidden/>
    <w:unhideWhenUsed/>
    <w:qFormat/>
    <w:uiPriority w:val="99"/>
    <w:rPr>
      <w:sz w:val="21"/>
      <w:szCs w:val="21"/>
    </w:rPr>
  </w:style>
  <w:style w:type="paragraph" w:customStyle="1" w:styleId="37">
    <w:name w:val="表头"/>
    <w:basedOn w:val="1"/>
    <w:qFormat/>
    <w:uiPriority w:val="0"/>
    <w:pPr>
      <w:spacing w:line="240" w:lineRule="auto"/>
      <w:ind w:firstLine="0" w:firstLineChars="0"/>
      <w:jc w:val="center"/>
    </w:pPr>
    <w:rPr>
      <w:b/>
      <w:sz w:val="21"/>
    </w:rPr>
  </w:style>
  <w:style w:type="paragraph" w:customStyle="1" w:styleId="38">
    <w:name w:val="表内"/>
    <w:qFormat/>
    <w:uiPriority w:val="0"/>
    <w:pPr>
      <w:jc w:val="center"/>
    </w:pPr>
    <w:rPr>
      <w:rFonts w:ascii="Times New Roman" w:hAnsi="Times New Roman" w:eastAsia="宋体" w:cstheme="minorBidi"/>
      <w:kern w:val="2"/>
      <w:sz w:val="21"/>
      <w:szCs w:val="21"/>
      <w:lang w:val="en-US" w:eastAsia="zh-CN" w:bidi="ar-SA"/>
    </w:rPr>
  </w:style>
  <w:style w:type="character" w:customStyle="1" w:styleId="39">
    <w:name w:val="标题 1 Char"/>
    <w:basedOn w:val="32"/>
    <w:link w:val="3"/>
    <w:qFormat/>
    <w:uiPriority w:val="9"/>
    <w:rPr>
      <w:rFonts w:cstheme="minorBidi"/>
      <w:b/>
      <w:bCs/>
      <w:kern w:val="44"/>
      <w:sz w:val="32"/>
      <w:szCs w:val="44"/>
    </w:rPr>
  </w:style>
  <w:style w:type="character" w:customStyle="1" w:styleId="40">
    <w:name w:val="标题 2 Char"/>
    <w:basedOn w:val="32"/>
    <w:link w:val="4"/>
    <w:qFormat/>
    <w:uiPriority w:val="0"/>
    <w:rPr>
      <w:rFonts w:ascii="Times New Roman" w:hAnsi="Times New Roman" w:eastAsia="宋体" w:cstheme="majorBidi"/>
      <w:b/>
      <w:bCs/>
      <w:sz w:val="30"/>
      <w:szCs w:val="32"/>
    </w:rPr>
  </w:style>
  <w:style w:type="character" w:customStyle="1" w:styleId="41">
    <w:name w:val="标题 3 Char"/>
    <w:basedOn w:val="32"/>
    <w:link w:val="5"/>
    <w:qFormat/>
    <w:uiPriority w:val="9"/>
    <w:rPr>
      <w:rFonts w:cstheme="minorBidi"/>
      <w:b/>
      <w:bCs/>
      <w:kern w:val="2"/>
      <w:sz w:val="28"/>
      <w:szCs w:val="32"/>
    </w:rPr>
  </w:style>
  <w:style w:type="character" w:customStyle="1" w:styleId="42">
    <w:name w:val="标题 4 Char"/>
    <w:basedOn w:val="32"/>
    <w:link w:val="2"/>
    <w:qFormat/>
    <w:uiPriority w:val="9"/>
    <w:rPr>
      <w:rFonts w:ascii="Times New Roman" w:hAnsi="Times New Roman" w:eastAsia="宋体" w:cstheme="majorBidi"/>
      <w:bCs/>
      <w:sz w:val="28"/>
      <w:szCs w:val="28"/>
    </w:rPr>
  </w:style>
  <w:style w:type="character" w:customStyle="1" w:styleId="43">
    <w:name w:val="页眉 Char"/>
    <w:basedOn w:val="32"/>
    <w:link w:val="21"/>
    <w:qFormat/>
    <w:uiPriority w:val="99"/>
    <w:rPr>
      <w:rFonts w:ascii="Times New Roman" w:hAnsi="Times New Roman" w:eastAsia="宋体"/>
      <w:sz w:val="18"/>
      <w:szCs w:val="18"/>
    </w:rPr>
  </w:style>
  <w:style w:type="character" w:customStyle="1" w:styleId="44">
    <w:name w:val="页脚 Char"/>
    <w:basedOn w:val="32"/>
    <w:link w:val="20"/>
    <w:qFormat/>
    <w:uiPriority w:val="99"/>
    <w:rPr>
      <w:rFonts w:ascii="Times New Roman" w:hAnsi="Times New Roman" w:eastAsia="宋体"/>
      <w:sz w:val="18"/>
      <w:szCs w:val="18"/>
    </w:rPr>
  </w:style>
  <w:style w:type="paragraph" w:customStyle="1" w:styleId="45">
    <w:name w:val="Default"/>
    <w:qFormat/>
    <w:uiPriority w:val="0"/>
    <w:pPr>
      <w:widowControl w:val="0"/>
      <w:autoSpaceDE w:val="0"/>
      <w:autoSpaceDN w:val="0"/>
      <w:adjustRightInd w:val="0"/>
    </w:pPr>
    <w:rPr>
      <w:rFonts w:ascii="Arial" w:hAnsi="Arial" w:cs="Arial" w:eastAsiaTheme="minorEastAsia"/>
      <w:color w:val="000000"/>
      <w:sz w:val="24"/>
      <w:szCs w:val="24"/>
      <w:lang w:val="en-US" w:eastAsia="zh-CN" w:bidi="ar-SA"/>
    </w:rPr>
  </w:style>
  <w:style w:type="paragraph" w:styleId="46">
    <w:name w:val="No Spacing"/>
    <w:link w:val="47"/>
    <w:qFormat/>
    <w:uiPriority w:val="1"/>
    <w:rPr>
      <w:rFonts w:asciiTheme="minorHAnsi" w:hAnsiTheme="minorHAnsi" w:eastAsiaTheme="minorEastAsia" w:cstheme="minorBidi"/>
      <w:sz w:val="22"/>
      <w:szCs w:val="22"/>
      <w:lang w:val="en-US" w:eastAsia="zh-CN" w:bidi="ar-SA"/>
    </w:rPr>
  </w:style>
  <w:style w:type="character" w:customStyle="1" w:styleId="47">
    <w:name w:val="无间隔 Char"/>
    <w:basedOn w:val="32"/>
    <w:link w:val="46"/>
    <w:qFormat/>
    <w:uiPriority w:val="1"/>
    <w:rPr>
      <w:kern w:val="0"/>
      <w:sz w:val="22"/>
    </w:rPr>
  </w:style>
  <w:style w:type="paragraph" w:customStyle="1" w:styleId="48">
    <w:name w:val="TOC 标题1"/>
    <w:basedOn w:val="3"/>
    <w:next w:val="1"/>
    <w:unhideWhenUsed/>
    <w:qFormat/>
    <w:uiPriority w:val="39"/>
    <w:pPr>
      <w:snapToGrid/>
      <w:spacing w:before="240" w:line="259" w:lineRule="auto"/>
      <w:jc w:val="left"/>
      <w:outlineLvl w:val="9"/>
    </w:pPr>
    <w:rPr>
      <w:rFonts w:asciiTheme="majorHAnsi" w:hAnsiTheme="majorHAnsi" w:eastAsiaTheme="majorEastAsia" w:cstheme="majorBidi"/>
      <w:b w:val="0"/>
      <w:bCs w:val="0"/>
      <w:color w:val="2E75B6" w:themeColor="accent1" w:themeShade="BF"/>
      <w:kern w:val="0"/>
      <w:szCs w:val="32"/>
    </w:rPr>
  </w:style>
  <w:style w:type="paragraph" w:customStyle="1" w:styleId="49">
    <w:name w:val="Char"/>
    <w:basedOn w:val="1"/>
    <w:qFormat/>
    <w:uiPriority w:val="0"/>
    <w:pPr>
      <w:spacing w:line="240" w:lineRule="auto"/>
      <w:ind w:firstLine="0" w:firstLineChars="0"/>
    </w:pPr>
    <w:rPr>
      <w:rFonts w:cs="Times New Roman"/>
      <w:sz w:val="21"/>
      <w:szCs w:val="20"/>
    </w:rPr>
  </w:style>
  <w:style w:type="paragraph" w:customStyle="1" w:styleId="50">
    <w:name w:val="表内容00"/>
    <w:basedOn w:val="1"/>
    <w:next w:val="1"/>
    <w:link w:val="51"/>
    <w:qFormat/>
    <w:uiPriority w:val="0"/>
    <w:pPr>
      <w:keepNext/>
      <w:keepLines/>
      <w:spacing w:line="240" w:lineRule="auto"/>
      <w:ind w:firstLine="0" w:firstLineChars="0"/>
      <w:jc w:val="center"/>
    </w:pPr>
    <w:rPr>
      <w:rFonts w:cs="Times New Roman"/>
      <w:sz w:val="21"/>
    </w:rPr>
  </w:style>
  <w:style w:type="character" w:customStyle="1" w:styleId="51">
    <w:name w:val="表内容00 Char"/>
    <w:link w:val="50"/>
    <w:qFormat/>
    <w:uiPriority w:val="0"/>
    <w:rPr>
      <w:rFonts w:ascii="Times New Roman" w:hAnsi="Times New Roman" w:eastAsia="宋体" w:cs="Times New Roman"/>
      <w:szCs w:val="21"/>
    </w:rPr>
  </w:style>
  <w:style w:type="character" w:customStyle="1" w:styleId="52">
    <w:name w:val="批注框文本 Char"/>
    <w:basedOn w:val="32"/>
    <w:link w:val="19"/>
    <w:semiHidden/>
    <w:qFormat/>
    <w:uiPriority w:val="99"/>
    <w:rPr>
      <w:rFonts w:cstheme="minorBidi"/>
      <w:kern w:val="2"/>
      <w:sz w:val="18"/>
      <w:szCs w:val="18"/>
    </w:rPr>
  </w:style>
  <w:style w:type="character" w:customStyle="1" w:styleId="53">
    <w:name w:val="批注文字 Char"/>
    <w:basedOn w:val="32"/>
    <w:link w:val="12"/>
    <w:qFormat/>
    <w:uiPriority w:val="0"/>
    <w:rPr>
      <w:rFonts w:cstheme="minorBidi"/>
      <w:kern w:val="2"/>
      <w:sz w:val="28"/>
      <w:szCs w:val="21"/>
    </w:rPr>
  </w:style>
  <w:style w:type="character" w:customStyle="1" w:styleId="54">
    <w:name w:val="批注主题 Char"/>
    <w:basedOn w:val="53"/>
    <w:link w:val="29"/>
    <w:semiHidden/>
    <w:qFormat/>
    <w:uiPriority w:val="99"/>
    <w:rPr>
      <w:rFonts w:cstheme="minorBidi"/>
      <w:b/>
      <w:bCs/>
      <w:kern w:val="2"/>
      <w:sz w:val="28"/>
      <w:szCs w:val="21"/>
    </w:rPr>
  </w:style>
  <w:style w:type="paragraph" w:styleId="55">
    <w:name w:val="List Paragraph"/>
    <w:basedOn w:val="1"/>
    <w:qFormat/>
    <w:uiPriority w:val="99"/>
    <w:pPr>
      <w:ind w:firstLine="420"/>
    </w:pPr>
  </w:style>
  <w:style w:type="character" w:customStyle="1" w:styleId="56">
    <w:name w:val="日期 Char"/>
    <w:basedOn w:val="32"/>
    <w:link w:val="18"/>
    <w:semiHidden/>
    <w:qFormat/>
    <w:uiPriority w:val="99"/>
    <w:rPr>
      <w:rFonts w:cstheme="minorBidi"/>
      <w:kern w:val="2"/>
      <w:sz w:val="28"/>
      <w:szCs w:val="21"/>
    </w:rPr>
  </w:style>
  <w:style w:type="paragraph" w:customStyle="1" w:styleId="57">
    <w:name w:val="ql-align-justify"/>
    <w:basedOn w:val="1"/>
    <w:qFormat/>
    <w:uiPriority w:val="0"/>
    <w:pPr>
      <w:widowControl/>
      <w:spacing w:before="100" w:beforeAutospacing="1" w:after="100" w:afterAutospacing="1" w:line="240" w:lineRule="auto"/>
      <w:ind w:firstLine="0" w:firstLineChars="0"/>
      <w:jc w:val="left"/>
    </w:pPr>
    <w:rPr>
      <w:rFonts w:ascii="宋体" w:hAnsi="宋体" w:cs="宋体"/>
      <w:kern w:val="0"/>
      <w:sz w:val="24"/>
      <w:szCs w:val="24"/>
    </w:rPr>
  </w:style>
  <w:style w:type="character" w:customStyle="1" w:styleId="58">
    <w:name w:val="正文文本 Char"/>
    <w:basedOn w:val="32"/>
    <w:link w:val="13"/>
    <w:semiHidden/>
    <w:qFormat/>
    <w:uiPriority w:val="0"/>
    <w:rPr>
      <w:kern w:val="2"/>
      <w:sz w:val="18"/>
    </w:rPr>
  </w:style>
  <w:style w:type="character" w:customStyle="1" w:styleId="59">
    <w:name w:val="纯文本 Char1"/>
    <w:link w:val="16"/>
    <w:qFormat/>
    <w:uiPriority w:val="0"/>
    <w:rPr>
      <w:rFonts w:ascii="宋体" w:hAnsi="Courier New" w:cs="Courier New"/>
      <w:kern w:val="2"/>
      <w:sz w:val="21"/>
      <w:szCs w:val="21"/>
    </w:rPr>
  </w:style>
  <w:style w:type="character" w:customStyle="1" w:styleId="60">
    <w:name w:val="纯文本 Char"/>
    <w:basedOn w:val="32"/>
    <w:semiHidden/>
    <w:qFormat/>
    <w:uiPriority w:val="99"/>
    <w:rPr>
      <w:rFonts w:ascii="宋体" w:hAnsi="Courier New" w:cs="Courier New"/>
      <w:kern w:val="2"/>
      <w:sz w:val="21"/>
      <w:szCs w:val="21"/>
    </w:rPr>
  </w:style>
  <w:style w:type="character" w:customStyle="1" w:styleId="61">
    <w:name w:val="大纲正文 Char"/>
    <w:link w:val="62"/>
    <w:qFormat/>
    <w:uiPriority w:val="0"/>
    <w:rPr>
      <w:rFonts w:ascii="黑体" w:hAnsi="Tahoma" w:cs="宋体"/>
      <w:kern w:val="2"/>
      <w:sz w:val="24"/>
      <w:szCs w:val="32"/>
    </w:rPr>
  </w:style>
  <w:style w:type="paragraph" w:customStyle="1" w:styleId="62">
    <w:name w:val="大纲正文"/>
    <w:basedOn w:val="1"/>
    <w:link w:val="61"/>
    <w:qFormat/>
    <w:uiPriority w:val="0"/>
    <w:pPr>
      <w:widowControl/>
      <w:adjustRightInd w:val="0"/>
      <w:snapToGrid w:val="0"/>
      <w:spacing w:afterLines="50" w:line="300" w:lineRule="auto"/>
      <w:ind w:firstLine="480"/>
    </w:pPr>
    <w:rPr>
      <w:rFonts w:ascii="黑体" w:hAnsi="Tahoma" w:cs="宋体"/>
      <w:sz w:val="24"/>
      <w:szCs w:val="32"/>
    </w:rPr>
  </w:style>
  <w:style w:type="character" w:customStyle="1" w:styleId="63">
    <w:name w:val="文档结构图 Char"/>
    <w:basedOn w:val="32"/>
    <w:link w:val="10"/>
    <w:semiHidden/>
    <w:qFormat/>
    <w:uiPriority w:val="99"/>
    <w:rPr>
      <w:rFonts w:ascii="宋体" w:cstheme="minorBidi"/>
      <w:kern w:val="2"/>
      <w:sz w:val="18"/>
      <w:szCs w:val="18"/>
    </w:rPr>
  </w:style>
  <w:style w:type="character" w:customStyle="1" w:styleId="64">
    <w:name w:val="标题 5 Char"/>
    <w:basedOn w:val="32"/>
    <w:link w:val="6"/>
    <w:qFormat/>
    <w:uiPriority w:val="9"/>
    <w:rPr>
      <w:rFonts w:cstheme="minorBidi"/>
      <w:bCs/>
      <w:kern w:val="2"/>
      <w:sz w:val="28"/>
      <w:szCs w:val="28"/>
    </w:rPr>
  </w:style>
  <w:style w:type="character" w:customStyle="1" w:styleId="65">
    <w:name w:val="NormalCharacter"/>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5.pn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Sinopec</Company>
  <Pages>105</Pages>
  <Words>65945</Words>
  <Characters>71502</Characters>
  <Lines>542</Lines>
  <Paragraphs>152</Paragraphs>
  <TotalTime>17</TotalTime>
  <ScaleCrop>false</ScaleCrop>
  <LinksUpToDate>false</LinksUpToDate>
  <CharactersWithSpaces>72128</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2023-02-06T16:21:00Z</dcterms:created>
  <dc:creator>Administrator</dc:creator>
  <cp:lastModifiedBy>ysgz</cp:lastModifiedBy>
  <dcterms:modified xsi:type="dcterms:W3CDTF">2023-04-12T14:42:31Z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B783CF1A9C8C4724A38C32809912A158</vt:lpwstr>
  </property>
</Properties>
</file>