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keepNext w:val="0"/>
        <w:keepLines w:val="0"/>
        <w:widowControl/>
        <w:suppressLineNumbers w:val="0"/>
        <w:jc w:val="center"/>
        <w:rPr>
          <w:rFonts w:ascii="方正小标宋简体" w:eastAsia="方正小标宋简体" w:cs="方正小标宋简体" w:hAnsi="方正小标宋简体" w:hint="eastAsia"/>
          <w:kern w:val="0"/>
          <w:sz w:val="44"/>
          <w:szCs w:val="44"/>
          <w:lang w:val="en-US" w:eastAsia="zh-CN" w:bidi="ar-SA"/>
        </w:rPr>
      </w:pPr>
      <w:bookmarkStart w:id="0" w:name="_GoBack"/>
      <w:bookmarkEnd w:id="0"/>
      <w:r>
        <w:rPr>
          <w:sz w:val="44"/>
        </w:rPr>
        <mc:AlternateContent>
          <mc:Choice Requires="wps">
            <w:drawing>
              <wp:anchor distT="0" distB="0" distL="114300" distR="114300" simplePos="0" relativeHeight="12" behindDoc="0" locked="0" layoutInCell="1" hidden="0" allowOverlap="1">
                <wp:simplePos x="0" y="0"/>
                <wp:positionH relativeFrom="column">
                  <wp:posOffset>-76835</wp:posOffset>
                </wp:positionH>
                <wp:positionV relativeFrom="paragraph">
                  <wp:posOffset>618490</wp:posOffset>
                </wp:positionV>
                <wp:extent cx="9939655" cy="424180"/>
                <wp:effectExtent l="0" t="0" r="0" b="0"/>
                <wp:wrapNone/>
                <wp:docPr id="1" name="文本框 2"/>
                <wp:cNvGraphicFramePr>
                  <a:graphicFrameLocks noChangeAspect="0"/>
                </wp:cNvGraphicFramePr>
                <a:graphic>
                  <a:graphicData uri="http://schemas.microsoft.com/office/word/2010/wordprocessingShape">
                    <wps:wsp>
                      <wps:cNvSpPr/>
                      <wps:spPr>
                        <a:xfrm rot="0">
                          <a:off x="0" y="0"/>
                          <a:ext cx="9939655" cy="424180"/>
                        </a:xfrm>
                        <a:prstGeom prst="rect"/>
                        <a:solidFill>
                          <a:srgbClr val="FFFFFF"/>
                        </a:solidFill>
                        <a:ln w="9525" cmpd="sng" cap="flat">
                          <a:noFill/>
                          <a:prstDash val="solid"/>
                          <a:miter/>
                        </a:ln>
                      </wps:spPr>
                      <wps:txbx id="2">
                        <w:txbxContent>
                          <w:p>
                            <w:pPr>
                              <w:ind w:firstLineChars="100" w:firstLine="320"/>
                              <w:rPr>
                                <w:rFonts w:ascii="仿宋_GB2312" w:eastAsia="仿宋_GB2312" w:cs="仿宋_GB2312" w:hAnsi="仿宋_GB2312" w:hint="eastAsia"/>
                                <w:sz w:val="32"/>
                                <w:szCs w:val="32"/>
                                <w:lang w:val="en-US" w:eastAsia="zh-CN"/>
                              </w:rPr>
                            </w:pPr>
                            <w:r>
                              <w:rPr>
                                <w:rFonts w:ascii="仿宋_GB2312" w:eastAsia="仿宋_GB2312" w:cs="仿宋_GB2312" w:hAnsi="仿宋_GB2312" w:hint="eastAsia"/>
                                <w:sz w:val="32"/>
                                <w:szCs w:val="32"/>
                                <w:lang w:eastAsia="zh-CN"/>
                              </w:rPr>
                              <w:t>填报单位：通辽市工业和信息化局</w:t>
                            </w:r>
                            <w:r>
                              <w:rPr>
                                <w:rFonts w:ascii="仿宋_GB2312" w:eastAsia="仿宋_GB2312" w:cs="仿宋_GB2312" w:hAnsi="仿宋_GB2312" w:hint="eastAsia"/>
                                <w:sz w:val="32"/>
                                <w:szCs w:val="32"/>
                                <w:lang w:val="en-US" w:eastAsia="zh-CN"/>
                              </w:rPr>
                              <w:t xml:space="preserve">                                   时间：2025年7月24日</w:t>
                            </w:r>
                          </w:p>
                        </w:txbxContent>
                      </wps:txbx>
                      <wps:bodyPr vert="horz" wrap="square" lIns="91440" tIns="45720" rIns="91440" bIns="45720" anchor="t" anchorCtr="0" upright="1">
                        <a:noAutofit/>
                      </wps:bodyPr>
                    </wps:wsp>
                  </a:graphicData>
                </a:graphic>
              </wp:anchor>
            </w:drawing>
          </mc:Choice>
          <mc:Fallback>
            <w:pict>
              <v:shape type="#_x0000_t202" id="文本框 2" o:spid="_x0000_s3" fillcolor="#FFFFFF" stroked="f" style="position:absolute;margin-left:-6.05pt;margin-top:48.700005pt;width:782.64996pt;height:33.4pt;z-index:12;mso-position-horizontal:absolute;mso-position-vertical:absolute;mso-wrap-style:square;">
                <v:stroke color="#000000"/>
                <v:textbox id="848" inset="2.54mm,1.27mm,2.54mm,1.27mm" o:insetmode="custom" style="layout-flow:horizontal;v-text-anchor:top;">
                  <w:txbxContent>
                    <w:p>
                      <w:pPr>
                        <w:ind w:firstLineChars="100" w:firstLine="320"/>
                        <w:rPr>
                          <w:rFonts w:ascii="仿宋_GB2312" w:eastAsia="仿宋_GB2312" w:cs="仿宋_GB2312" w:hAnsi="仿宋_GB2312" w:hint="eastAsia"/>
                          <w:sz w:val="32"/>
                          <w:szCs w:val="32"/>
                          <w:lang w:val="en-US" w:eastAsia="zh-CN"/>
                        </w:rPr>
                      </w:pPr>
                      <w:r>
                        <w:rPr>
                          <w:rFonts w:ascii="仿宋_GB2312" w:eastAsia="仿宋_GB2312" w:cs="仿宋_GB2312" w:hAnsi="仿宋_GB2312" w:hint="eastAsia"/>
                          <w:sz w:val="32"/>
                          <w:szCs w:val="32"/>
                          <w:lang w:eastAsia="zh-CN"/>
                        </w:rPr>
                        <w:t>填报单位：通辽市工业和信息化局</w:t>
                      </w:r>
                      <w:r>
                        <w:rPr>
                          <w:rFonts w:ascii="仿宋_GB2312" w:eastAsia="仿宋_GB2312" w:cs="仿宋_GB2312" w:hAnsi="仿宋_GB2312" w:hint="eastAsia"/>
                          <w:sz w:val="32"/>
                          <w:szCs w:val="32"/>
                          <w:lang w:val="en-US" w:eastAsia="zh-CN"/>
                        </w:rPr>
                        <w:t xml:space="preserve">                                   时间：2025年7月24日</w:t>
                      </w:r>
                    </w:p>
                  </w:txbxContent>
                </v:textbox>
              </v:shape>
            </w:pict>
          </mc:Fallback>
        </mc:AlternateContent>
      </w:r>
      <w:r>
        <w:rPr>
          <w:rFonts w:ascii="方正小标宋简体" w:eastAsia="方正小标宋简体" w:cs="方正小标宋简体" w:hAnsi="方正小标宋简体" w:hint="eastAsia"/>
          <w:kern w:val="0"/>
          <w:sz w:val="44"/>
          <w:szCs w:val="44"/>
          <w:lang w:val="en-US" w:eastAsia="zh-CN" w:bidi="ar-SA"/>
        </w:rPr>
        <w:t>企业行政合规指导清单</w:t>
      </w:r>
    </w:p>
    <w:tbl>
      <w:tblPr>
        <w:tblpPr w:leftFromText="180" w:rightFromText="180" w:vertAnchor="text" w:horzAnchor="page" w:tblpXSpec="center" w:tblpY="914"/>
        <w:tblOverlap w:val="neve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78"/>
        <w:gridCol w:w="1277"/>
        <w:gridCol w:w="2876"/>
        <w:gridCol w:w="6511"/>
        <w:gridCol w:w="512"/>
        <w:gridCol w:w="2836"/>
        <w:gridCol w:w="1118"/>
      </w:tblGrid>
      <w:tr>
        <w:trPr>
          <w:trHeight w:val="470"/>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lang w:val="en-US" w:eastAsia="zh-CN" w:bidi="ar-SA"/>
              </w:rPr>
              <w:t>序号</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lang w:val="en-US" w:eastAsia="zh-CN" w:bidi="ar-SA"/>
              </w:rPr>
              <w:t>行政合规事项</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lang w:val="en-US" w:eastAsia="zh-CN" w:bidi="ar-SA"/>
              </w:rPr>
              <w:t>常见违法行为表现</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lang w:val="en-US" w:eastAsia="zh-CN" w:bidi="ar-SA"/>
              </w:rPr>
              <w:t>法律依据及违法责任</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lang w:val="en-US" w:eastAsia="zh-CN" w:bidi="ar-SA"/>
              </w:rPr>
              <w:t>发生频率</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lang w:val="en-US" w:eastAsia="zh-CN" w:bidi="ar-SA"/>
              </w:rPr>
              <w:t>合规建议</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指导部门</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lang w:val="en-US" w:eastAsia="zh-CN" w:bidi="ar-SA"/>
              </w:rPr>
              <w:t>（机构/科室）</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1</w:t>
            </w:r>
          </w:p>
        </w:tc>
        <w:tc>
          <w:tcPr>
            <w:tcW w:w="1277"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sz w:val="22"/>
                <w:szCs w:val="22"/>
              </w:rPr>
              <w:t>对工业企业使用国家明令淘汰的用能设备或者生产工艺的处罚</w:t>
            </w:r>
          </w:p>
        </w:tc>
        <w:tc>
          <w:tcPr>
            <w:tcW w:w="2876"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sz w:val="22"/>
                <w:szCs w:val="22"/>
              </w:rPr>
              <w:t>使用国家明令淘汰的用能设备或者生产工艺的。</w:t>
            </w:r>
          </w:p>
        </w:tc>
        <w:tc>
          <w:tcPr>
            <w:tcW w:w="6511" w:type="dxa"/>
            <w:tcBorders>
              <w:tl2br w:val="nil"/>
              <w:tr2bl w:val="nil"/>
            </w:tcBorders>
            <w:vAlign w:val="center"/>
          </w:tcPr>
          <w:p>
            <w:pPr>
              <w:spacing w:line="320" w:lineRule="exact"/>
              <w:jc w:val="center"/>
              <w:rPr>
                <w:rFonts w:ascii="仿宋_GB2312" w:eastAsia="仿宋_GB2312" w:cs="仿宋_GB2312" w:hAnsi="仿宋_GB2312" w:hint="eastAsia"/>
                <w:sz w:val="22"/>
                <w:szCs w:val="22"/>
                <w:lang w:eastAsia="zh-CN"/>
              </w:rPr>
            </w:pPr>
            <w:r>
              <w:rPr>
                <w:rFonts w:ascii="仿宋_GB2312" w:eastAsia="仿宋_GB2312" w:cs="仿宋_GB2312" w:hAnsi="仿宋_GB2312" w:hint="eastAsia"/>
                <w:sz w:val="22"/>
                <w:szCs w:val="22"/>
              </w:rPr>
              <w:t>《中华人民共和国节约能源法》（2018年修订本）</w:t>
            </w:r>
          </w:p>
          <w:p>
            <w:pPr>
              <w:spacing w:line="320" w:lineRule="exact"/>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sz w:val="22"/>
                <w:szCs w:val="22"/>
              </w:rPr>
              <w:t>第七十一条  使用国家明令淘汰的用能设备或者生产工艺的，由管理节能工作的部门责令停止使用，没收国家明令淘汰的</w:t>
            </w:r>
            <w:r>
              <w:rPr>
                <w:rFonts w:ascii="仿宋_GB2312" w:eastAsia="仿宋_GB2312" w:cs="仿宋_GB2312" w:hAnsi="仿宋_GB2312" w:hint="eastAsia"/>
                <w:spacing w:val="-6"/>
                <w:sz w:val="22"/>
                <w:szCs w:val="22"/>
              </w:rPr>
              <w:t>用能设备；情节严重的，可以由管理节能工作的部门提出意见，报请本级人民政府按照国务院规定的权限责令停业整顿或者关闭。</w:t>
            </w:r>
          </w:p>
        </w:tc>
        <w:tc>
          <w:tcPr>
            <w:tcW w:w="512"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widowControl/>
              <w:suppressLineNumbers w:val="0"/>
              <w:ind w:left="0" w:firstLine="0"/>
              <w:jc w:val="center"/>
              <w:rPr>
                <w:rFonts w:ascii="仿宋_GB2312" w:eastAsia="仿宋_GB2312" w:cs="仿宋_GB2312" w:hAnsi="仿宋_GB2312" w:hint="eastAsia"/>
                <w:sz w:val="22"/>
                <w:szCs w:val="22"/>
                <w:lang w:val="en-US" w:eastAsia="zh-CN"/>
              </w:rPr>
            </w:pPr>
            <w:r>
              <w:rPr>
                <w:rFonts w:ascii="仿宋_GB2312" w:eastAsia="仿宋_GB2312" w:cs="仿宋_GB2312" w:hAnsi="仿宋_GB2312" w:hint="eastAsia"/>
                <w:sz w:val="22"/>
                <w:szCs w:val="22"/>
                <w:lang w:val="en-US" w:eastAsia="zh-CN"/>
              </w:rPr>
              <w:t>1.加强节能方面法律法规的学习和宣贯，树立合法合规经验理念。</w:t>
            </w:r>
          </w:p>
          <w:p>
            <w:pPr>
              <w:keepNext w:val="0"/>
              <w:keepLines w:val="0"/>
              <w:widowControl/>
              <w:suppressLineNumbers w:val="0"/>
              <w:ind w:left="0" w:firstLine="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sz w:val="22"/>
                <w:szCs w:val="22"/>
                <w:lang w:val="en-US" w:eastAsia="zh-CN"/>
              </w:rPr>
              <w:t>2.企业建立重点生产工艺和设备管理制度和巡检制度，及时发现和淘汰</w:t>
            </w:r>
            <w:r>
              <w:rPr>
                <w:rFonts w:ascii="仿宋_GB2312" w:eastAsia="仿宋_GB2312" w:cs="仿宋_GB2312" w:hAnsi="仿宋_GB2312" w:hint="eastAsia"/>
                <w:sz w:val="22"/>
                <w:szCs w:val="22"/>
              </w:rPr>
              <w:t>用能设备或者生产工艺</w:t>
            </w:r>
            <w:r>
              <w:rPr>
                <w:rFonts w:ascii="仿宋_GB2312" w:eastAsia="仿宋_GB2312" w:cs="仿宋_GB2312" w:hAnsi="仿宋_GB2312" w:hint="eastAsia"/>
                <w:sz w:val="22"/>
                <w:szCs w:val="22"/>
                <w:lang w:eastAsia="zh-CN"/>
              </w:rPr>
              <w:t>。</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节能科</w:t>
            </w:r>
          </w:p>
        </w:tc>
      </w:tr>
      <w:tr>
        <w:trPr>
          <w:trHeight w:val="1134"/>
        </w:trPr>
        <w:tc>
          <w:tcPr>
            <w:tcW w:w="478"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2</w:t>
            </w:r>
          </w:p>
        </w:tc>
        <w:tc>
          <w:tcPr>
            <w:tcW w:w="1277"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sz w:val="22"/>
                <w:szCs w:val="22"/>
              </w:rPr>
              <w:t>对工业生产单位超过单位产品能耗限额标准用能的处罚</w:t>
            </w:r>
          </w:p>
        </w:tc>
        <w:tc>
          <w:tcPr>
            <w:tcW w:w="2876"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sz w:val="22"/>
                <w:szCs w:val="22"/>
              </w:rPr>
              <w:t>工业生产单位超过单位产品能耗限额标准用能的。</w:t>
            </w:r>
          </w:p>
        </w:tc>
        <w:tc>
          <w:tcPr>
            <w:tcW w:w="6511" w:type="dxa"/>
            <w:tcBorders>
              <w:tl2br w:val="nil"/>
              <w:tr2bl w:val="nil"/>
            </w:tcBorders>
            <w:vAlign w:val="center"/>
          </w:tcPr>
          <w:p>
            <w:pPr>
              <w:spacing w:line="230" w:lineRule="exact"/>
              <w:jc w:val="center"/>
              <w:rPr>
                <w:rFonts w:ascii="仿宋_GB2312" w:eastAsia="仿宋_GB2312" w:cs="仿宋_GB2312" w:hAnsi="仿宋_GB2312" w:hint="eastAsia"/>
                <w:sz w:val="22"/>
                <w:szCs w:val="22"/>
                <w:lang w:val="en-US" w:eastAsia="zh-CN"/>
              </w:rPr>
            </w:pPr>
            <w:r>
              <w:rPr>
                <w:rFonts w:ascii="仿宋_GB2312" w:eastAsia="仿宋_GB2312" w:cs="仿宋_GB2312" w:hAnsi="仿宋_GB2312" w:hint="eastAsia"/>
                <w:sz w:val="22"/>
                <w:szCs w:val="22"/>
              </w:rPr>
              <w:t>《中华人民共和国节约能源法》（2018年修订本）</w:t>
            </w:r>
          </w:p>
          <w:p>
            <w:pPr>
              <w:spacing w:line="230" w:lineRule="exact"/>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sz w:val="22"/>
                <w:szCs w:val="22"/>
              </w:rPr>
              <w:t>第七十二条  生产单位超过单位产品能耗限额标准用能，情节严重，经限期治理逾期不治理或者没有达到治理要求的，可以由管理节能工作的部门提出意见，报请本级人民政府按照国务院规定的权限责令停业整顿或者关闭。</w:t>
            </w:r>
          </w:p>
        </w:tc>
        <w:tc>
          <w:tcPr>
            <w:tcW w:w="512"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widowControl/>
              <w:suppressLineNumbers w:val="0"/>
              <w:ind w:left="0" w:firstLine="0"/>
              <w:jc w:val="center"/>
              <w:rPr>
                <w:rFonts w:ascii="仿宋_GB2312" w:eastAsia="仿宋_GB2312" w:cs="仿宋_GB2312" w:hAnsi="仿宋_GB2312" w:hint="eastAsia"/>
                <w:sz w:val="22"/>
                <w:szCs w:val="22"/>
                <w:lang w:val="en-US" w:eastAsia="zh-CN"/>
              </w:rPr>
            </w:pPr>
            <w:r>
              <w:rPr>
                <w:rFonts w:ascii="仿宋_GB2312" w:eastAsia="仿宋_GB2312" w:cs="仿宋_GB2312" w:hAnsi="仿宋_GB2312" w:hint="eastAsia"/>
                <w:sz w:val="22"/>
                <w:szCs w:val="22"/>
                <w:lang w:val="en-US" w:eastAsia="zh-CN"/>
              </w:rPr>
              <w:t>1.加强节能方面法律法规的学习和宣贯，树立合法合规经验理念。</w:t>
            </w:r>
          </w:p>
          <w:p>
            <w:pPr>
              <w:keepNext w:val="0"/>
              <w:keepLines w:val="0"/>
              <w:widowControl/>
              <w:suppressLineNumbers w:val="0"/>
              <w:jc w:val="center"/>
              <w:rPr>
                <w:rFonts w:ascii="仿宋_GB2312" w:eastAsia="仿宋_GB2312" w:cs="仿宋_GB2312" w:hAnsi="仿宋_GB2312" w:hint="eastAsia"/>
                <w:sz w:val="22"/>
                <w:szCs w:val="22"/>
                <w:lang w:val="en-US" w:eastAsia="zh-CN"/>
              </w:rPr>
            </w:pPr>
            <w:r>
              <w:rPr>
                <w:rFonts w:ascii="仿宋_GB2312" w:eastAsia="仿宋_GB2312" w:cs="仿宋_GB2312" w:hAnsi="仿宋_GB2312" w:hint="eastAsia"/>
                <w:sz w:val="22"/>
                <w:szCs w:val="22"/>
                <w:lang w:val="en-US" w:eastAsia="zh-CN"/>
              </w:rPr>
              <w:t>2.企业建立重点用能设备管理制度和巡检制度，对重点用能设备加强管理。</w:t>
            </w:r>
          </w:p>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sz w:val="22"/>
                <w:szCs w:val="22"/>
                <w:lang w:val="en-US" w:eastAsia="zh-CN"/>
              </w:rPr>
              <w:t>3.强化对</w:t>
            </w:r>
            <w:r>
              <w:rPr>
                <w:rFonts w:ascii="仿宋_GB2312" w:eastAsia="仿宋_GB2312" w:cs="仿宋_GB2312" w:hAnsi="仿宋_GB2312" w:hint="eastAsia"/>
                <w:sz w:val="22"/>
                <w:szCs w:val="22"/>
              </w:rPr>
              <w:t>单位产品能耗限额</w:t>
            </w:r>
            <w:r>
              <w:rPr>
                <w:rFonts w:ascii="仿宋_GB2312" w:eastAsia="仿宋_GB2312" w:cs="仿宋_GB2312" w:hAnsi="仿宋_GB2312" w:hint="eastAsia"/>
                <w:sz w:val="22"/>
                <w:szCs w:val="22"/>
                <w:lang w:eastAsia="zh-CN"/>
              </w:rPr>
              <w:t>管理，做好节约能源生产环节过程控制。</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市工信局</w:t>
            </w:r>
          </w:p>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节能科</w:t>
            </w:r>
          </w:p>
        </w:tc>
      </w:tr>
      <w:tr>
        <w:trPr>
          <w:trHeight w:val="1134"/>
        </w:trPr>
        <w:tc>
          <w:tcPr>
            <w:tcW w:w="478"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3</w:t>
            </w:r>
          </w:p>
        </w:tc>
        <w:tc>
          <w:tcPr>
            <w:tcW w:w="1277"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2"/>
                <w:sz w:val="22"/>
                <w:szCs w:val="22"/>
                <w:lang w:val="en-US" w:eastAsia="zh-CN" w:bidi="ar-SA"/>
              </w:rPr>
            </w:pPr>
            <w:r>
              <w:rPr>
                <w:rFonts w:ascii="仿宋_GB2312" w:eastAsia="仿宋_GB2312" w:cs="仿宋_GB2312" w:hAnsi="仿宋_GB2312" w:hint="eastAsia"/>
                <w:sz w:val="22"/>
                <w:szCs w:val="22"/>
              </w:rPr>
              <w:t>对工业企业无偿向单位职工提供能源或者对能源消费实行包费制的处罚</w:t>
            </w:r>
          </w:p>
        </w:tc>
        <w:tc>
          <w:tcPr>
            <w:tcW w:w="2876"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2"/>
                <w:sz w:val="22"/>
                <w:szCs w:val="22"/>
                <w:lang w:val="en-US" w:eastAsia="zh-CN" w:bidi="ar-SA"/>
              </w:rPr>
            </w:pPr>
            <w:r>
              <w:rPr>
                <w:rFonts w:ascii="仿宋_GB2312" w:eastAsia="仿宋_GB2312" w:cs="仿宋_GB2312" w:hAnsi="仿宋_GB2312" w:hint="eastAsia"/>
                <w:sz w:val="22"/>
                <w:szCs w:val="22"/>
              </w:rPr>
              <w:t>对无偿向本单位职工提供能源或者对能源费实行包费制的。</w:t>
            </w:r>
          </w:p>
        </w:tc>
        <w:tc>
          <w:tcPr>
            <w:tcW w:w="6511" w:type="dxa"/>
            <w:tcBorders>
              <w:tl2br w:val="nil"/>
              <w:tr2bl w:val="nil"/>
            </w:tcBorders>
            <w:vAlign w:val="center"/>
          </w:tcPr>
          <w:p>
            <w:pPr>
              <w:spacing w:line="270" w:lineRule="exact"/>
              <w:jc w:val="center"/>
              <w:rPr>
                <w:rFonts w:ascii="仿宋_GB2312" w:eastAsia="仿宋_GB2312" w:cs="仿宋_GB2312" w:hAnsi="仿宋_GB2312" w:hint="eastAsia"/>
                <w:sz w:val="22"/>
                <w:szCs w:val="22"/>
              </w:rPr>
            </w:pPr>
            <w:r>
              <w:rPr>
                <w:rFonts w:ascii="仿宋_GB2312" w:eastAsia="仿宋_GB2312" w:cs="仿宋_GB2312" w:hAnsi="仿宋_GB2312" w:hint="eastAsia"/>
                <w:sz w:val="22"/>
                <w:szCs w:val="22"/>
              </w:rPr>
              <w:t>《中华人民共和国节约能源法》（2018年修订本）</w:t>
            </w:r>
          </w:p>
          <w:p>
            <w:pPr>
              <w:spacing w:line="230" w:lineRule="exact"/>
              <w:jc w:val="center"/>
              <w:rPr>
                <w:rFonts w:ascii="仿宋_GB2312" w:eastAsia="仿宋_GB2312" w:cs="仿宋_GB2312" w:hAnsi="仿宋_GB2312" w:hint="eastAsia"/>
                <w:kern w:val="2"/>
                <w:sz w:val="22"/>
                <w:szCs w:val="22"/>
                <w:lang w:val="en-US" w:eastAsia="zh-CN" w:bidi="ar-SA"/>
              </w:rPr>
            </w:pPr>
            <w:r>
              <w:rPr>
                <w:rFonts w:ascii="仿宋_GB2312" w:eastAsia="仿宋_GB2312" w:cs="仿宋_GB2312" w:hAnsi="仿宋_GB2312" w:hint="eastAsia"/>
                <w:sz w:val="22"/>
                <w:szCs w:val="22"/>
              </w:rPr>
              <w:t>第七十七条违反本法规定，无偿向本单位职工提供能源或者对能源消费实行包费制的，由管理节能工作的部门责令限期改正；逾期不改正的，处五万元以上二十万元以下罚款。</w:t>
            </w:r>
          </w:p>
        </w:tc>
        <w:tc>
          <w:tcPr>
            <w:tcW w:w="512"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widowControl/>
              <w:suppressLineNumbers w:val="0"/>
              <w:ind w:left="0" w:firstLine="0"/>
              <w:jc w:val="center"/>
              <w:rPr>
                <w:rFonts w:ascii="仿宋_GB2312" w:eastAsia="仿宋_GB2312" w:cs="仿宋_GB2312" w:hAnsi="仿宋_GB2312" w:hint="eastAsia"/>
                <w:sz w:val="22"/>
                <w:szCs w:val="22"/>
                <w:lang w:val="en-US" w:eastAsia="zh-CN"/>
              </w:rPr>
            </w:pPr>
            <w:r>
              <w:rPr>
                <w:rFonts w:ascii="仿宋_GB2312" w:eastAsia="仿宋_GB2312" w:cs="仿宋_GB2312" w:hAnsi="仿宋_GB2312" w:hint="eastAsia"/>
                <w:sz w:val="22"/>
                <w:szCs w:val="22"/>
                <w:lang w:val="en-US" w:eastAsia="zh-CN"/>
              </w:rPr>
              <w:t>1.加强节能方面法律法规的学习，树立合法合规经验理念。</w:t>
            </w:r>
          </w:p>
          <w:p>
            <w:pPr>
              <w:keepNext w:val="0"/>
              <w:keepLines w:val="0"/>
              <w:widowControl/>
              <w:suppressLineNumbers w:val="0"/>
              <w:jc w:val="center"/>
              <w:rPr>
                <w:rFonts w:ascii="仿宋_GB2312" w:eastAsia="仿宋_GB2312" w:cs="仿宋_GB2312" w:hAnsi="仿宋_GB2312" w:hint="eastAsia"/>
                <w:kern w:val="2"/>
                <w:sz w:val="22"/>
                <w:szCs w:val="22"/>
                <w:lang w:val="en-US" w:eastAsia="zh-CN" w:bidi="ar-SA"/>
              </w:rPr>
            </w:pPr>
            <w:r>
              <w:rPr>
                <w:rFonts w:ascii="仿宋_GB2312" w:eastAsia="仿宋_GB2312" w:cs="仿宋_GB2312" w:hAnsi="仿宋_GB2312" w:hint="eastAsia"/>
                <w:sz w:val="22"/>
                <w:szCs w:val="22"/>
                <w:lang w:val="en-US" w:eastAsia="zh-CN"/>
              </w:rPr>
              <w:t>2.企业要建立建立</w:t>
            </w:r>
            <w:r>
              <w:rPr>
                <w:rFonts w:ascii="仿宋_GB2312" w:eastAsia="仿宋_GB2312" w:cs="仿宋_GB2312" w:hAnsi="仿宋_GB2312" w:hint="eastAsia"/>
                <w:kern w:val="0"/>
                <w:sz w:val="22"/>
                <w:szCs w:val="22"/>
              </w:rPr>
              <w:t>能源</w:t>
            </w:r>
            <w:r>
              <w:rPr>
                <w:rFonts w:ascii="仿宋_GB2312" w:eastAsia="仿宋_GB2312" w:cs="仿宋_GB2312" w:hAnsi="仿宋_GB2312" w:hint="eastAsia"/>
                <w:kern w:val="0"/>
                <w:sz w:val="22"/>
                <w:szCs w:val="22"/>
                <w:lang w:eastAsia="zh-CN"/>
              </w:rPr>
              <w:t>管理机构，</w:t>
            </w:r>
            <w:r>
              <w:rPr>
                <w:rFonts w:ascii="仿宋_GB2312" w:eastAsia="仿宋_GB2312" w:cs="仿宋_GB2312" w:hAnsi="仿宋_GB2312" w:hint="eastAsia"/>
                <w:sz w:val="22"/>
                <w:szCs w:val="22"/>
                <w:lang w:val="en-US" w:eastAsia="zh-CN"/>
              </w:rPr>
              <w:t>加强对节能管理部门管理，</w:t>
            </w:r>
            <w:r>
              <w:rPr>
                <w:rFonts w:ascii="仿宋_GB2312" w:eastAsia="仿宋_GB2312" w:cs="仿宋_GB2312" w:hAnsi="仿宋_GB2312" w:hint="eastAsia"/>
                <w:kern w:val="0"/>
                <w:sz w:val="22"/>
                <w:szCs w:val="22"/>
                <w:lang w:eastAsia="zh-CN"/>
              </w:rPr>
              <w:t>严格</w:t>
            </w:r>
            <w:r>
              <w:rPr>
                <w:rFonts w:ascii="仿宋_GB2312" w:eastAsia="仿宋_GB2312" w:cs="仿宋_GB2312" w:hAnsi="仿宋_GB2312" w:hint="eastAsia"/>
                <w:sz w:val="22"/>
                <w:szCs w:val="22"/>
              </w:rPr>
              <w:t>落实节能</w:t>
            </w:r>
            <w:r>
              <w:rPr>
                <w:rFonts w:ascii="仿宋_GB2312" w:eastAsia="仿宋_GB2312" w:cs="仿宋_GB2312" w:hAnsi="仿宋_GB2312" w:hint="eastAsia"/>
                <w:sz w:val="22"/>
                <w:szCs w:val="22"/>
                <w:lang w:eastAsia="zh-CN"/>
              </w:rPr>
              <w:t>法律法规</w:t>
            </w:r>
            <w:r>
              <w:rPr>
                <w:rFonts w:ascii="仿宋_GB2312" w:eastAsia="仿宋_GB2312" w:cs="仿宋_GB2312" w:hAnsi="仿宋_GB2312" w:hint="eastAsia"/>
                <w:sz w:val="22"/>
                <w:szCs w:val="22"/>
                <w:lang w:val="en-US" w:eastAsia="zh-CN"/>
              </w:rPr>
              <w:t>。</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市工信局</w:t>
            </w:r>
          </w:p>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节能科</w:t>
            </w:r>
          </w:p>
        </w:tc>
      </w:tr>
      <w:tr>
        <w:trPr>
          <w:trHeight w:val="1134"/>
        </w:trPr>
        <w:tc>
          <w:tcPr>
            <w:tcW w:w="478"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4</w:t>
            </w:r>
          </w:p>
        </w:tc>
        <w:tc>
          <w:tcPr>
            <w:tcW w:w="1277"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2"/>
                <w:sz w:val="22"/>
                <w:szCs w:val="22"/>
                <w:lang w:val="en-US" w:eastAsia="zh-CN" w:bidi="ar-SA"/>
              </w:rPr>
            </w:pPr>
            <w:r>
              <w:rPr>
                <w:rFonts w:ascii="仿宋_GB2312" w:eastAsia="仿宋_GB2312" w:cs="仿宋_GB2312" w:hAnsi="仿宋_GB2312" w:hint="eastAsia"/>
                <w:sz w:val="22"/>
                <w:szCs w:val="22"/>
              </w:rPr>
              <w:t>对节能服务机构提供虚假信息的处罚</w:t>
            </w:r>
          </w:p>
        </w:tc>
        <w:tc>
          <w:tcPr>
            <w:tcW w:w="2876"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2"/>
                <w:sz w:val="22"/>
                <w:szCs w:val="22"/>
                <w:lang w:val="en-US" w:eastAsia="zh-CN" w:bidi="ar-SA"/>
              </w:rPr>
            </w:pPr>
            <w:r>
              <w:rPr>
                <w:rFonts w:ascii="仿宋_GB2312" w:eastAsia="仿宋_GB2312" w:cs="仿宋_GB2312" w:hAnsi="仿宋_GB2312" w:hint="eastAsia"/>
                <w:sz w:val="22"/>
                <w:szCs w:val="22"/>
              </w:rPr>
              <w:t>从事节能服务的机构提供虚假信息，获得违法所得的。</w:t>
            </w:r>
          </w:p>
        </w:tc>
        <w:tc>
          <w:tcPr>
            <w:tcW w:w="6511" w:type="dxa"/>
            <w:tcBorders>
              <w:tl2br w:val="nil"/>
              <w:tr2bl w:val="nil"/>
            </w:tcBorders>
            <w:vAlign w:val="center"/>
          </w:tcPr>
          <w:p>
            <w:pPr>
              <w:spacing w:line="230" w:lineRule="exact"/>
              <w:jc w:val="center"/>
              <w:rPr>
                <w:rFonts w:ascii="仿宋_GB2312" w:eastAsia="仿宋_GB2312" w:cs="仿宋_GB2312" w:hAnsi="仿宋_GB2312" w:hint="eastAsia"/>
                <w:sz w:val="22"/>
                <w:szCs w:val="22"/>
              </w:rPr>
            </w:pPr>
            <w:r>
              <w:rPr>
                <w:rFonts w:ascii="仿宋_GB2312" w:eastAsia="仿宋_GB2312" w:cs="仿宋_GB2312" w:hAnsi="仿宋_GB2312" w:hint="eastAsia"/>
                <w:sz w:val="22"/>
                <w:szCs w:val="22"/>
              </w:rPr>
              <w:t>《中华人民共和国节约能源法》（2018年修订本）</w:t>
            </w:r>
          </w:p>
          <w:p>
            <w:pPr>
              <w:spacing w:line="230" w:lineRule="exact"/>
              <w:jc w:val="center"/>
              <w:rPr>
                <w:rFonts w:ascii="仿宋_GB2312" w:eastAsia="仿宋_GB2312" w:cs="仿宋_GB2312" w:hAnsi="仿宋_GB2312" w:hint="eastAsia"/>
                <w:kern w:val="2"/>
                <w:sz w:val="22"/>
                <w:szCs w:val="22"/>
                <w:lang w:val="en-US" w:eastAsia="zh-CN" w:bidi="ar-SA"/>
              </w:rPr>
            </w:pPr>
            <w:r>
              <w:rPr>
                <w:rFonts w:ascii="仿宋_GB2312" w:eastAsia="仿宋_GB2312" w:cs="仿宋_GB2312" w:hAnsi="仿宋_GB2312" w:hint="eastAsia"/>
                <w:sz w:val="22"/>
                <w:szCs w:val="22"/>
              </w:rPr>
              <w:t>第七十六条从事节能咨询、设计、评估、检测、审计、认证等服务的机构提供虚假信息的，由管理节能工作的部门责令改正，没收违法所得，并处五万元以上十万元以下罚款。</w:t>
            </w:r>
          </w:p>
        </w:tc>
        <w:tc>
          <w:tcPr>
            <w:tcW w:w="512"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widowControl/>
              <w:suppressLineNumbers w:val="0"/>
              <w:ind w:left="0" w:firstLine="0"/>
              <w:jc w:val="center"/>
              <w:rPr>
                <w:rFonts w:ascii="仿宋_GB2312" w:eastAsia="仿宋_GB2312" w:cs="仿宋_GB2312" w:hAnsi="仿宋_GB2312" w:hint="eastAsia"/>
                <w:sz w:val="22"/>
                <w:szCs w:val="22"/>
                <w:lang w:val="en-US" w:eastAsia="zh-CN"/>
              </w:rPr>
            </w:pPr>
            <w:r>
              <w:rPr>
                <w:rFonts w:ascii="仿宋_GB2312" w:eastAsia="仿宋_GB2312" w:cs="仿宋_GB2312" w:hAnsi="仿宋_GB2312" w:hint="eastAsia"/>
                <w:sz w:val="22"/>
                <w:szCs w:val="22"/>
                <w:lang w:val="en-US" w:eastAsia="zh-CN"/>
              </w:rPr>
              <w:t>1.</w:t>
            </w:r>
            <w:r>
              <w:rPr>
                <w:rFonts w:ascii="仿宋_GB2312" w:eastAsia="仿宋_GB2312" w:cs="仿宋_GB2312" w:hAnsi="仿宋_GB2312" w:hint="eastAsia"/>
                <w:sz w:val="22"/>
                <w:szCs w:val="22"/>
              </w:rPr>
              <w:t>从事节能服务的机构</w:t>
            </w:r>
            <w:r>
              <w:rPr>
                <w:rFonts w:ascii="仿宋_GB2312" w:eastAsia="仿宋_GB2312" w:cs="仿宋_GB2312" w:hAnsi="仿宋_GB2312" w:hint="eastAsia"/>
                <w:sz w:val="22"/>
                <w:szCs w:val="22"/>
                <w:lang w:eastAsia="zh-CN"/>
              </w:rPr>
              <w:t>要加强</w:t>
            </w:r>
            <w:r>
              <w:rPr>
                <w:rFonts w:ascii="仿宋_GB2312" w:eastAsia="仿宋_GB2312" w:cs="仿宋_GB2312" w:hAnsi="仿宋_GB2312" w:hint="eastAsia"/>
                <w:sz w:val="22"/>
                <w:szCs w:val="22"/>
                <w:lang w:val="en-US" w:eastAsia="zh-CN"/>
              </w:rPr>
              <w:t>节能方面法律法规的学习和宣贯，树立合法合规经验理念。</w:t>
            </w:r>
          </w:p>
          <w:p>
            <w:pPr>
              <w:keepNext w:val="0"/>
              <w:keepLines w:val="0"/>
              <w:widowControl/>
              <w:suppressLineNumbers w:val="0"/>
              <w:ind w:left="0" w:firstLine="0"/>
              <w:jc w:val="center"/>
              <w:rPr>
                <w:rFonts w:ascii="仿宋_GB2312" w:eastAsia="仿宋_GB2312" w:cs="仿宋_GB2312" w:hAnsi="仿宋_GB2312" w:hint="eastAsia"/>
                <w:sz w:val="22"/>
                <w:szCs w:val="22"/>
                <w:lang w:eastAsia="zh-CN"/>
              </w:rPr>
            </w:pPr>
            <w:r>
              <w:rPr>
                <w:rFonts w:ascii="仿宋_GB2312" w:eastAsia="仿宋_GB2312" w:cs="仿宋_GB2312" w:hAnsi="仿宋_GB2312" w:hint="eastAsia"/>
                <w:sz w:val="22"/>
                <w:szCs w:val="22"/>
                <w:lang w:val="en-US" w:eastAsia="zh-CN"/>
              </w:rPr>
              <w:t>2.</w:t>
            </w:r>
            <w:r>
              <w:rPr>
                <w:rFonts w:ascii="仿宋_GB2312" w:eastAsia="仿宋_GB2312" w:cs="仿宋_GB2312" w:hAnsi="仿宋_GB2312" w:hint="eastAsia"/>
                <w:sz w:val="22"/>
                <w:szCs w:val="22"/>
              </w:rPr>
              <w:t>从事节能服务的机构</w:t>
            </w:r>
            <w:r>
              <w:rPr>
                <w:rFonts w:ascii="仿宋_GB2312" w:eastAsia="仿宋_GB2312" w:cs="仿宋_GB2312" w:hAnsi="仿宋_GB2312" w:hint="eastAsia"/>
                <w:sz w:val="22"/>
                <w:szCs w:val="22"/>
                <w:lang w:eastAsia="zh-CN"/>
              </w:rPr>
              <w:t>要强化服务意识，加大对企业在</w:t>
            </w:r>
            <w:r>
              <w:rPr>
                <w:rFonts w:ascii="仿宋_GB2312" w:eastAsia="仿宋_GB2312" w:cs="仿宋_GB2312" w:hAnsi="仿宋_GB2312" w:hint="eastAsia"/>
                <w:sz w:val="22"/>
                <w:szCs w:val="22"/>
              </w:rPr>
              <w:t>节能咨询、设计、评估、检测、审计、认证等</w:t>
            </w:r>
            <w:r>
              <w:rPr>
                <w:rFonts w:ascii="仿宋_GB2312" w:eastAsia="仿宋_GB2312" w:cs="仿宋_GB2312" w:hAnsi="仿宋_GB2312" w:hint="eastAsia"/>
                <w:sz w:val="22"/>
                <w:szCs w:val="22"/>
                <w:lang w:eastAsia="zh-CN"/>
              </w:rPr>
              <w:t>方面支持力度。</w:t>
            </w:r>
          </w:p>
          <w:p>
            <w:pPr>
              <w:keepNext w:val="0"/>
              <w:keepLines w:val="0"/>
              <w:widowControl/>
              <w:suppressLineNumbers w:val="0"/>
              <w:ind w:left="0" w:firstLine="0"/>
              <w:jc w:val="center"/>
              <w:rPr>
                <w:rFonts w:ascii="仿宋_GB2312" w:eastAsia="仿宋_GB2312" w:cs="仿宋_GB2312" w:hAnsi="仿宋_GB2312" w:hint="eastAsia"/>
                <w:kern w:val="2"/>
                <w:sz w:val="22"/>
                <w:szCs w:val="22"/>
                <w:lang w:val="en-US" w:eastAsia="zh-CN" w:bidi="ar-SA"/>
              </w:rPr>
            </w:pPr>
            <w:r>
              <w:rPr>
                <w:rFonts w:ascii="仿宋_GB2312" w:eastAsia="仿宋_GB2312" w:cs="仿宋_GB2312" w:hAnsi="仿宋_GB2312" w:hint="eastAsia"/>
                <w:sz w:val="22"/>
                <w:szCs w:val="22"/>
                <w:lang w:val="en-US" w:eastAsia="zh-CN"/>
              </w:rPr>
              <w:t>3.</w:t>
            </w:r>
            <w:r>
              <w:rPr>
                <w:rFonts w:ascii="仿宋_GB2312" w:eastAsia="仿宋_GB2312" w:cs="仿宋_GB2312" w:hAnsi="仿宋_GB2312" w:hint="eastAsia"/>
                <w:sz w:val="22"/>
                <w:szCs w:val="22"/>
              </w:rPr>
              <w:t>从事节能服务的机构</w:t>
            </w:r>
            <w:r>
              <w:rPr>
                <w:rFonts w:ascii="仿宋_GB2312" w:eastAsia="仿宋_GB2312" w:cs="仿宋_GB2312" w:hAnsi="仿宋_GB2312" w:hint="eastAsia"/>
                <w:sz w:val="22"/>
                <w:szCs w:val="22"/>
                <w:lang w:eastAsia="zh-CN"/>
              </w:rPr>
              <w:t>要加强对从业人员开展法律知识学习和业务能力培训，强化合法执业理念。</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市工信局</w:t>
            </w:r>
          </w:p>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节能科</w:t>
            </w:r>
          </w:p>
        </w:tc>
      </w:tr>
      <w:tr>
        <w:trPr>
          <w:trHeight w:val="1134"/>
        </w:trPr>
        <w:tc>
          <w:tcPr>
            <w:tcW w:w="478"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5</w:t>
            </w:r>
          </w:p>
        </w:tc>
        <w:tc>
          <w:tcPr>
            <w:tcW w:w="1277"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spacing w:val="-8"/>
                <w:kern w:val="0"/>
                <w:sz w:val="22"/>
                <w:szCs w:val="22"/>
              </w:rPr>
              <w:t>对工业重点用能单位未按照《中华人民共和国节约能源法》规定报送能源利用状况报告或者报告内容不实的处罚</w:t>
            </w:r>
          </w:p>
        </w:tc>
        <w:tc>
          <w:tcPr>
            <w:tcW w:w="2876"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rPr>
              <w:t>重点用能单位报送的能源利用状况报告不全面、不真实的。</w:t>
            </w:r>
          </w:p>
        </w:tc>
        <w:tc>
          <w:tcPr>
            <w:tcW w:w="6511"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rPr>
              <w:t>《中华人民共和国节约能源法》（2018年修订本）</w:t>
            </w:r>
            <w:r>
              <w:rPr>
                <w:rFonts w:ascii="仿宋_GB2312" w:eastAsia="仿宋_GB2312" w:cs="仿宋_GB2312" w:hAnsi="仿宋_GB2312" w:hint="eastAsia"/>
                <w:kern w:val="0"/>
                <w:sz w:val="22"/>
                <w:szCs w:val="22"/>
              </w:rPr>
              <w:br/>
            </w:r>
            <w:r>
              <w:rPr>
                <w:rFonts w:ascii="仿宋_GB2312" w:eastAsia="仿宋_GB2312" w:cs="仿宋_GB2312" w:hAnsi="仿宋_GB2312" w:hint="eastAsia"/>
                <w:kern w:val="0"/>
                <w:sz w:val="22"/>
                <w:szCs w:val="22"/>
              </w:rPr>
              <w:t>第八十二条重点用能单位未按照本法规定报送能源利用状况报告或者报告内容不实的，由管理节能工作的部门责令限期改正；逾期不改正的，处一万元以上五万元以下罚款。</w:t>
            </w:r>
          </w:p>
        </w:tc>
        <w:tc>
          <w:tcPr>
            <w:tcW w:w="512"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widowControl/>
              <w:suppressLineNumbers w:val="0"/>
              <w:ind w:left="0" w:firstLine="0"/>
              <w:jc w:val="center"/>
              <w:rPr>
                <w:rFonts w:ascii="仿宋_GB2312" w:eastAsia="仿宋_GB2312" w:cs="仿宋_GB2312" w:hAnsi="仿宋_GB2312" w:hint="eastAsia"/>
                <w:sz w:val="22"/>
                <w:szCs w:val="22"/>
                <w:lang w:val="en-US" w:eastAsia="zh-CN"/>
              </w:rPr>
            </w:pPr>
            <w:r>
              <w:rPr>
                <w:rFonts w:ascii="仿宋_GB2312" w:eastAsia="仿宋_GB2312" w:cs="仿宋_GB2312" w:hAnsi="仿宋_GB2312" w:hint="eastAsia"/>
                <w:sz w:val="22"/>
                <w:szCs w:val="22"/>
                <w:lang w:val="en-US" w:eastAsia="zh-CN"/>
              </w:rPr>
              <w:t>1.加强节能方面法律法规的学习和宣贯，树立合法合规经验理念。</w:t>
            </w:r>
          </w:p>
          <w:p>
            <w:pPr>
              <w:keepNext w:val="0"/>
              <w:keepLines w:val="0"/>
              <w:widowControl/>
              <w:suppressLineNumbers w:val="0"/>
              <w:jc w:val="center"/>
              <w:rPr>
                <w:rFonts w:ascii="仿宋_GB2312" w:eastAsia="仿宋_GB2312" w:cs="仿宋_GB2312" w:hAnsi="仿宋_GB2312" w:hint="eastAsia"/>
                <w:sz w:val="22"/>
                <w:szCs w:val="22"/>
                <w:lang w:val="en-US" w:eastAsia="zh-CN"/>
              </w:rPr>
            </w:pPr>
            <w:r>
              <w:rPr>
                <w:rFonts w:ascii="仿宋_GB2312" w:eastAsia="仿宋_GB2312" w:cs="仿宋_GB2312" w:hAnsi="仿宋_GB2312" w:hint="eastAsia"/>
                <w:sz w:val="22"/>
                <w:szCs w:val="22"/>
                <w:lang w:val="en-US" w:eastAsia="zh-CN"/>
              </w:rPr>
              <w:t>2.企业建立</w:t>
            </w:r>
            <w:r>
              <w:rPr>
                <w:rFonts w:ascii="仿宋_GB2312" w:eastAsia="仿宋_GB2312" w:cs="仿宋_GB2312" w:hAnsi="仿宋_GB2312" w:hint="eastAsia"/>
                <w:kern w:val="0"/>
                <w:sz w:val="22"/>
                <w:szCs w:val="22"/>
              </w:rPr>
              <w:t>能源利用状况</w:t>
            </w:r>
            <w:r>
              <w:rPr>
                <w:rFonts w:ascii="仿宋_GB2312" w:eastAsia="仿宋_GB2312" w:cs="仿宋_GB2312" w:hAnsi="仿宋_GB2312" w:hint="eastAsia"/>
                <w:kern w:val="0"/>
                <w:sz w:val="22"/>
                <w:szCs w:val="22"/>
                <w:lang w:eastAsia="zh-CN"/>
              </w:rPr>
              <w:t>管理</w:t>
            </w:r>
            <w:r>
              <w:rPr>
                <w:rFonts w:ascii="仿宋_GB2312" w:eastAsia="仿宋_GB2312" w:cs="仿宋_GB2312" w:hAnsi="仿宋_GB2312" w:hint="eastAsia"/>
                <w:sz w:val="22"/>
                <w:szCs w:val="22"/>
                <w:lang w:val="en-US" w:eastAsia="zh-CN"/>
              </w:rPr>
              <w:t>制度，加强对能源利用报告的编制和管理。</w:t>
            </w:r>
          </w:p>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sz w:val="22"/>
                <w:szCs w:val="22"/>
                <w:lang w:val="en-US" w:eastAsia="zh-CN"/>
              </w:rPr>
              <w:t>3.企业要加强对能源管理人员的业务培训，建立能源管理人员激励和考核机制</w:t>
            </w:r>
            <w:r>
              <w:rPr>
                <w:rFonts w:ascii="仿宋_GB2312" w:eastAsia="仿宋_GB2312" w:cs="仿宋_GB2312" w:hAnsi="仿宋_GB2312" w:hint="eastAsia"/>
                <w:sz w:val="22"/>
                <w:szCs w:val="22"/>
                <w:lang w:eastAsia="zh-CN"/>
              </w:rPr>
              <w:t>。</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市工信局</w:t>
            </w:r>
          </w:p>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节能科</w:t>
            </w:r>
          </w:p>
        </w:tc>
      </w:tr>
      <w:tr>
        <w:trPr>
          <w:trHeight w:val="4687"/>
        </w:trPr>
        <w:tc>
          <w:tcPr>
            <w:tcW w:w="478"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6</w:t>
            </w:r>
          </w:p>
        </w:tc>
        <w:tc>
          <w:tcPr>
            <w:tcW w:w="1277"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spacing w:val="-8"/>
                <w:kern w:val="0"/>
                <w:sz w:val="22"/>
                <w:szCs w:val="22"/>
              </w:rPr>
              <w:t>对重点用能单位无正当理由拒不落实检查部门的整改要求或者整改没有达到要求的处罚</w:t>
            </w:r>
          </w:p>
        </w:tc>
        <w:tc>
          <w:tcPr>
            <w:tcW w:w="2876"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rPr>
              <w:t>对被监察、监测单位拒不整改，或整改未达到要求的。</w:t>
            </w:r>
          </w:p>
        </w:tc>
        <w:tc>
          <w:tcPr>
            <w:tcW w:w="6511"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spacing w:val="-2"/>
                <w:kern w:val="0"/>
                <w:sz w:val="22"/>
                <w:szCs w:val="22"/>
              </w:rPr>
              <w:t>《中华人民共和国节约能源法》（2018年修订本）</w:t>
            </w:r>
            <w:r>
              <w:rPr>
                <w:rFonts w:ascii="仿宋_GB2312" w:eastAsia="仿宋_GB2312" w:cs="仿宋_GB2312" w:hAnsi="仿宋_GB2312" w:hint="eastAsia"/>
                <w:spacing w:val="-2"/>
                <w:kern w:val="0"/>
                <w:sz w:val="22"/>
                <w:szCs w:val="22"/>
              </w:rPr>
              <w:br/>
            </w:r>
            <w:r>
              <w:rPr>
                <w:rFonts w:ascii="仿宋_GB2312" w:eastAsia="仿宋_GB2312" w:cs="仿宋_GB2312" w:hAnsi="仿宋_GB2312" w:hint="eastAsia"/>
                <w:spacing w:val="-2"/>
                <w:kern w:val="0"/>
                <w:sz w:val="22"/>
                <w:szCs w:val="22"/>
              </w:rPr>
              <w:t>第八十三条重点用能单位无正当理由拒不落实本法第五十四条规定的整改要求或者整改没有达到要求的，由管理节能工作的部门处十万元以上三十万元以下罚款。</w:t>
            </w:r>
          </w:p>
        </w:tc>
        <w:tc>
          <w:tcPr>
            <w:tcW w:w="512"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widowControl/>
              <w:suppressLineNumbers w:val="0"/>
              <w:ind w:left="0" w:firstLine="0"/>
              <w:jc w:val="center"/>
              <w:rPr>
                <w:rFonts w:ascii="仿宋_GB2312" w:eastAsia="仿宋_GB2312" w:cs="仿宋_GB2312" w:hAnsi="仿宋_GB2312" w:hint="eastAsia"/>
                <w:sz w:val="22"/>
                <w:szCs w:val="22"/>
                <w:lang w:val="en-US" w:eastAsia="zh-CN"/>
              </w:rPr>
            </w:pPr>
            <w:r>
              <w:rPr>
                <w:rFonts w:ascii="仿宋_GB2312" w:eastAsia="仿宋_GB2312" w:cs="仿宋_GB2312" w:hAnsi="仿宋_GB2312" w:hint="eastAsia"/>
                <w:sz w:val="22"/>
                <w:szCs w:val="22"/>
                <w:lang w:val="en-US" w:eastAsia="zh-CN"/>
              </w:rPr>
              <w:t>1.加强节能方面法律法规的学习和宣贯，树立合法合规经验理念。</w:t>
            </w:r>
          </w:p>
          <w:p>
            <w:pPr>
              <w:keepNext w:val="0"/>
              <w:keepLines w:val="0"/>
              <w:widowControl/>
              <w:suppressLineNumbers w:val="0"/>
              <w:jc w:val="center"/>
              <w:rPr>
                <w:rFonts w:ascii="仿宋_GB2312" w:eastAsia="仿宋_GB2312" w:cs="仿宋_GB2312" w:hAnsi="仿宋_GB2312" w:hint="eastAsia"/>
                <w:sz w:val="22"/>
                <w:szCs w:val="22"/>
                <w:lang w:val="en-US" w:eastAsia="zh-CN"/>
              </w:rPr>
            </w:pPr>
            <w:r>
              <w:rPr>
                <w:rFonts w:ascii="仿宋_GB2312" w:eastAsia="仿宋_GB2312" w:cs="仿宋_GB2312" w:hAnsi="仿宋_GB2312" w:hint="eastAsia"/>
                <w:sz w:val="22"/>
                <w:szCs w:val="22"/>
                <w:lang w:val="en-US" w:eastAsia="zh-CN"/>
              </w:rPr>
              <w:t>2.企业建立</w:t>
            </w:r>
            <w:r>
              <w:rPr>
                <w:rFonts w:ascii="仿宋_GB2312" w:eastAsia="仿宋_GB2312" w:cs="仿宋_GB2312" w:hAnsi="仿宋_GB2312" w:hint="eastAsia"/>
                <w:kern w:val="0"/>
                <w:sz w:val="22"/>
                <w:szCs w:val="22"/>
              </w:rPr>
              <w:t>能源</w:t>
            </w:r>
            <w:r>
              <w:rPr>
                <w:rFonts w:ascii="仿宋_GB2312" w:eastAsia="仿宋_GB2312" w:cs="仿宋_GB2312" w:hAnsi="仿宋_GB2312" w:hint="eastAsia"/>
                <w:kern w:val="0"/>
                <w:sz w:val="22"/>
                <w:szCs w:val="22"/>
                <w:lang w:eastAsia="zh-CN"/>
              </w:rPr>
              <w:t>领域问题整改和落实管理</w:t>
            </w:r>
            <w:r>
              <w:rPr>
                <w:rFonts w:ascii="仿宋_GB2312" w:eastAsia="仿宋_GB2312" w:cs="仿宋_GB2312" w:hAnsi="仿宋_GB2312" w:hint="eastAsia"/>
                <w:sz w:val="22"/>
                <w:szCs w:val="22"/>
                <w:lang w:val="en-US" w:eastAsia="zh-CN"/>
              </w:rPr>
              <w:t>制度，加强对能源领域问题整改落实督促检查力度。</w:t>
            </w:r>
          </w:p>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sz w:val="22"/>
                <w:szCs w:val="22"/>
                <w:lang w:val="en-US" w:eastAsia="zh-CN"/>
              </w:rPr>
              <w:t>3.企业要加强对能源管理人员的业务培训，建立能源管理人员激励和考核机制</w:t>
            </w:r>
            <w:r>
              <w:rPr>
                <w:rFonts w:ascii="仿宋_GB2312" w:eastAsia="仿宋_GB2312" w:cs="仿宋_GB2312" w:hAnsi="仿宋_GB2312" w:hint="eastAsia"/>
                <w:sz w:val="22"/>
                <w:szCs w:val="22"/>
                <w:lang w:eastAsia="zh-CN"/>
              </w:rPr>
              <w:t>。</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市工信局</w:t>
            </w:r>
          </w:p>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节能科</w:t>
            </w:r>
          </w:p>
        </w:tc>
      </w:tr>
      <w:tr>
        <w:trPr>
          <w:trHeight w:val="1134"/>
        </w:trPr>
        <w:tc>
          <w:tcPr>
            <w:tcW w:w="478"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7</w:t>
            </w:r>
          </w:p>
        </w:tc>
        <w:tc>
          <w:tcPr>
            <w:tcW w:w="1277"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spacing w:val="-8"/>
                <w:kern w:val="0"/>
                <w:sz w:val="22"/>
                <w:szCs w:val="22"/>
                <w:lang w:val="en-US" w:eastAsia="zh-CN" w:bidi="ar-SA"/>
              </w:rPr>
            </w:pPr>
            <w:r>
              <w:rPr>
                <w:rFonts w:ascii="仿宋_GB2312" w:eastAsia="仿宋_GB2312" w:cs="仿宋_GB2312" w:hAnsi="仿宋_GB2312" w:hint="eastAsia"/>
                <w:kern w:val="0"/>
                <w:sz w:val="22"/>
                <w:szCs w:val="22"/>
              </w:rPr>
              <w:t>对工业重点用能单位未按照《中华人民共和国节约能源法》规定设立</w:t>
            </w:r>
            <w:r>
              <w:rPr>
                <w:rFonts w:ascii="仿宋_GB2312" w:eastAsia="仿宋_GB2312" w:cs="仿宋_GB2312" w:hAnsi="仿宋_GB2312" w:hint="eastAsia"/>
                <w:spacing w:val="-10"/>
                <w:kern w:val="0"/>
                <w:sz w:val="22"/>
                <w:szCs w:val="22"/>
              </w:rPr>
              <w:t>能源管理岗位，聘任能源管理负责人，并报管理节能工作的部门和有关部门备案的处罚</w:t>
            </w:r>
          </w:p>
        </w:tc>
        <w:tc>
          <w:tcPr>
            <w:tcW w:w="2876"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rPr>
              <w:t>对重点用能单位未按规定设立能源管理岗位，聘任能源管理负责人的。</w:t>
            </w:r>
          </w:p>
        </w:tc>
        <w:tc>
          <w:tcPr>
            <w:tcW w:w="6511"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spacing w:val="-2"/>
                <w:kern w:val="0"/>
                <w:sz w:val="22"/>
                <w:szCs w:val="22"/>
                <w:lang w:val="en-US" w:eastAsia="zh-CN" w:bidi="ar-SA"/>
              </w:rPr>
            </w:pPr>
            <w:r>
              <w:rPr>
                <w:rFonts w:ascii="仿宋_GB2312" w:eastAsia="仿宋_GB2312" w:cs="仿宋_GB2312" w:hAnsi="仿宋_GB2312" w:hint="eastAsia"/>
                <w:kern w:val="0"/>
                <w:sz w:val="22"/>
                <w:szCs w:val="22"/>
              </w:rPr>
              <w:t>《中华人民共和国节约能源法》（2018年修订本）</w:t>
            </w:r>
            <w:r>
              <w:rPr>
                <w:rFonts w:ascii="仿宋_GB2312" w:eastAsia="仿宋_GB2312" w:cs="仿宋_GB2312" w:hAnsi="仿宋_GB2312" w:hint="eastAsia"/>
                <w:kern w:val="0"/>
                <w:sz w:val="22"/>
                <w:szCs w:val="22"/>
              </w:rPr>
              <w:br/>
            </w:r>
            <w:r>
              <w:rPr>
                <w:rFonts w:ascii="仿宋_GB2312" w:eastAsia="仿宋_GB2312" w:cs="仿宋_GB2312" w:hAnsi="仿宋_GB2312" w:hint="eastAsia"/>
                <w:kern w:val="0"/>
                <w:sz w:val="22"/>
                <w:szCs w:val="22"/>
              </w:rPr>
              <w:t>第八十四条重点用能单位未按照本法规定设立能源管理岗位，聘任能源管理负责人，并报管理节能工作的部门和有关部门备案的，由管理节能工作的部门责令改正；拒不改正的，处一万元以上三万元以下罚款。</w:t>
            </w:r>
          </w:p>
        </w:tc>
        <w:tc>
          <w:tcPr>
            <w:tcW w:w="512" w:type="dxa"/>
            <w:tcBorders>
              <w:tl2br w:val="nil"/>
              <w:tr2bl w:val="nil"/>
            </w:tcBorders>
            <w:vAlign w:val="center"/>
          </w:tcPr>
          <w:p>
            <w:pPr>
              <w:keepNext w:val="0"/>
              <w:keepLines w:val="0"/>
              <w:widowControl/>
              <w:suppressLineNumbers w:val="0"/>
              <w:jc w:val="center"/>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widowControl/>
              <w:suppressLineNumbers w:val="0"/>
              <w:ind w:left="0" w:firstLine="0"/>
              <w:jc w:val="center"/>
              <w:rPr>
                <w:rFonts w:ascii="仿宋_GB2312" w:eastAsia="仿宋_GB2312" w:cs="仿宋_GB2312" w:hAnsi="仿宋_GB2312" w:hint="eastAsia"/>
                <w:sz w:val="22"/>
                <w:szCs w:val="22"/>
                <w:lang w:val="en-US" w:eastAsia="zh-CN"/>
              </w:rPr>
            </w:pPr>
            <w:r>
              <w:rPr>
                <w:rFonts w:ascii="仿宋_GB2312" w:eastAsia="仿宋_GB2312" w:cs="仿宋_GB2312" w:hAnsi="仿宋_GB2312" w:hint="eastAsia"/>
                <w:sz w:val="22"/>
                <w:szCs w:val="22"/>
                <w:lang w:val="en-US" w:eastAsia="zh-CN"/>
              </w:rPr>
              <w:t>1.加强节能方面法律法规的学习和宣贯，树立合法合规经验理念。</w:t>
            </w:r>
          </w:p>
          <w:p>
            <w:pPr>
              <w:keepNext w:val="0"/>
              <w:keepLines w:val="0"/>
              <w:widowControl/>
              <w:suppressLineNumbers w:val="0"/>
              <w:jc w:val="center"/>
              <w:rPr>
                <w:rFonts w:ascii="仿宋_GB2312" w:eastAsia="仿宋_GB2312" w:cs="仿宋_GB2312" w:hAnsi="仿宋_GB2312" w:hint="eastAsia"/>
                <w:sz w:val="22"/>
                <w:szCs w:val="22"/>
                <w:lang w:val="en-US" w:eastAsia="zh-CN"/>
              </w:rPr>
            </w:pPr>
            <w:r>
              <w:rPr>
                <w:rFonts w:ascii="仿宋_GB2312" w:eastAsia="仿宋_GB2312" w:cs="仿宋_GB2312" w:hAnsi="仿宋_GB2312" w:hint="eastAsia"/>
                <w:sz w:val="22"/>
                <w:szCs w:val="22"/>
                <w:lang w:val="en-US" w:eastAsia="zh-CN"/>
              </w:rPr>
              <w:t>2.企业建立</w:t>
            </w:r>
            <w:r>
              <w:rPr>
                <w:rFonts w:ascii="仿宋_GB2312" w:eastAsia="仿宋_GB2312" w:cs="仿宋_GB2312" w:hAnsi="仿宋_GB2312" w:hint="eastAsia"/>
                <w:kern w:val="0"/>
                <w:sz w:val="22"/>
                <w:szCs w:val="22"/>
              </w:rPr>
              <w:t>能源</w:t>
            </w:r>
            <w:r>
              <w:rPr>
                <w:rFonts w:ascii="仿宋_GB2312" w:eastAsia="仿宋_GB2312" w:cs="仿宋_GB2312" w:hAnsi="仿宋_GB2312" w:hint="eastAsia"/>
                <w:kern w:val="0"/>
                <w:sz w:val="22"/>
                <w:szCs w:val="22"/>
                <w:lang w:eastAsia="zh-CN"/>
              </w:rPr>
              <w:t>领域职能部门，</w:t>
            </w:r>
            <w:r>
              <w:rPr>
                <w:rFonts w:ascii="仿宋_GB2312" w:eastAsia="仿宋_GB2312" w:cs="仿宋_GB2312" w:hAnsi="仿宋_GB2312" w:hint="eastAsia"/>
                <w:kern w:val="0"/>
                <w:sz w:val="22"/>
                <w:szCs w:val="22"/>
              </w:rPr>
              <w:t>设立能源管理岗位，聘任能源管理负责人，并</w:t>
            </w:r>
            <w:r>
              <w:rPr>
                <w:rFonts w:ascii="仿宋_GB2312" w:eastAsia="仿宋_GB2312" w:cs="仿宋_GB2312" w:hAnsi="仿宋_GB2312" w:hint="eastAsia"/>
                <w:kern w:val="0"/>
                <w:sz w:val="22"/>
                <w:szCs w:val="22"/>
                <w:lang w:eastAsia="zh-CN"/>
              </w:rPr>
              <w:t>及时</w:t>
            </w:r>
            <w:r>
              <w:rPr>
                <w:rFonts w:ascii="仿宋_GB2312" w:eastAsia="仿宋_GB2312" w:cs="仿宋_GB2312" w:hAnsi="仿宋_GB2312" w:hint="eastAsia"/>
                <w:kern w:val="0"/>
                <w:sz w:val="22"/>
                <w:szCs w:val="22"/>
              </w:rPr>
              <w:t>报管理节能工作的部门和有关部门备案</w:t>
            </w:r>
            <w:r>
              <w:rPr>
                <w:rFonts w:ascii="仿宋_GB2312" w:eastAsia="仿宋_GB2312" w:cs="仿宋_GB2312" w:hAnsi="仿宋_GB2312" w:hint="eastAsia"/>
                <w:sz w:val="22"/>
                <w:szCs w:val="22"/>
                <w:lang w:val="en-US" w:eastAsia="zh-CN"/>
              </w:rPr>
              <w:t>。</w:t>
            </w:r>
          </w:p>
          <w:p>
            <w:pPr>
              <w:keepNext w:val="0"/>
              <w:keepLines w:val="0"/>
              <w:widowControl/>
              <w:suppressLineNumbers w:val="0"/>
              <w:jc w:val="center"/>
              <w:rPr>
                <w:rFonts w:ascii="仿宋_GB2312" w:eastAsia="仿宋_GB2312" w:cs="仿宋_GB2312" w:hAnsi="仿宋_GB2312" w:hint="eastAsia"/>
                <w:kern w:val="2"/>
                <w:sz w:val="22"/>
                <w:szCs w:val="22"/>
                <w:lang w:val="en-US" w:eastAsia="zh-CN" w:bidi="ar-SA"/>
              </w:rPr>
            </w:pPr>
            <w:r>
              <w:rPr>
                <w:rFonts w:ascii="仿宋_GB2312" w:eastAsia="仿宋_GB2312" w:cs="仿宋_GB2312" w:hAnsi="仿宋_GB2312" w:hint="eastAsia"/>
                <w:sz w:val="22"/>
                <w:szCs w:val="22"/>
                <w:lang w:val="en-US" w:eastAsia="zh-CN"/>
              </w:rPr>
              <w:t>3.企业要加强对能源管理人员的业务培训，建立能源管理人员激励和考核机制</w:t>
            </w:r>
            <w:r>
              <w:rPr>
                <w:rFonts w:ascii="仿宋_GB2312" w:eastAsia="仿宋_GB2312" w:cs="仿宋_GB2312" w:hAnsi="仿宋_GB2312" w:hint="eastAsia"/>
                <w:sz w:val="22"/>
                <w:szCs w:val="22"/>
                <w:lang w:eastAsia="zh-CN"/>
              </w:rPr>
              <w:t>。</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市工信局</w:t>
            </w:r>
          </w:p>
          <w:p>
            <w:pPr>
              <w:keepNext w:val="0"/>
              <w:keepLines w:val="0"/>
              <w:widowControl/>
              <w:suppressLineNumbers w:val="0"/>
              <w:jc w:val="center"/>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节能科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8</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对未妥善保存、移送监控化学品相关记录的处罚</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未妥善保存、移送相关记录</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【行政法规】《中华人民共和国监控化学品管理条例实施细则》（工信部令第48号）第五十条 违反本细则第十六条、第二十一条、第二十二条、第二十七条的规定，违法销售、购买监控化学品，或者未按照规定保存有关记录的，由所在地的省、自治区、直辖市工业和信息化主管部门责令限期改正，予以警告，可以并处三万元以下罚款。</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违反本细则第三十七条第二款、第三十八条第二款的规定，未妥善保存、移送相关记录的，由所在地设区的市级以上地方工业和信息化主管部门或者地方人民政府确定的监控化学品管理部门责令限期改正，予以警告，可以并处三万元以下罚款。</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违反本细则第三十九条的规定，未妥善保存、移送相关记录的，由工业和信息化部责令限期改正，予以警告，可以并处三万元以下罚款。</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妥善保存、移送监控化学品相关记录</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vertAlign w:val="baseline"/>
                <w:lang w:val="en-US" w:eastAsia="zh-CN" w:bidi="ar-SA"/>
              </w:rPr>
            </w:pPr>
            <w:r>
              <w:rPr>
                <w:rFonts w:ascii="仿宋_GB2312" w:eastAsia="仿宋_GB2312" w:cs="仿宋_GB2312" w:hAnsi="仿宋_GB2312" w:hint="eastAsia"/>
                <w:kern w:val="0"/>
                <w:sz w:val="22"/>
                <w:szCs w:val="22"/>
                <w:vertAlign w:val="baseline"/>
                <w:lang w:val="en-US" w:eastAsia="zh-CN" w:bidi="ar-SA"/>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vertAlign w:val="baseline"/>
                <w:lang w:val="en-US" w:eastAsia="zh-CN" w:bidi="ar-SA"/>
              </w:rPr>
              <w:t>化工科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9</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对生产、进口、销售、使用淘汰的设备，或者采用淘汰的工艺的处罚</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生产、进口、销售、使用淘汰的设备，或者采用淘汰工艺的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《中华人民共和国噪声污染防治法》第七十二条第二款　违反本法规定，生产、进口、销售、使用淘汰的设备，或者采用淘汰的工艺的，由县级以上人民政府指定的部门责令改正，没收违法所得，并处货值金额一倍以上三倍以下的罚款；情节严重的，报经有批准权的人民政府批准，责令停业、关闭。</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不使用、生产、进口、销售国家明令禁止的淘汰设备，或者采用淘汰工艺</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    冶金建材工业科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10</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稀土开采企业和稀土冶炼分离企业管理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稀土开采企业和稀土冶炼分离企业违反总量调控管理规定进行稀土开采、冶炼分离</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稀 土 管 理 条 例》中华人民共和国国务院令第785号第二十一条稀土开采企业和稀土冶炼分离企业违反总量调控管理规定进行稀土开采、冶炼分离的，由自然资源、工业和信息化主管部门按照职责分工责令改正，没收违法生产的稀土产品和违法所得，并处违法所得5倍以上10倍以下的罚款；没有违法所得或者违法所得不足50万元的，并处100万元以上500万元以下的罚款；情节严重的，责令停产停业，对主要负责人、直接负责的主管人员和其他直接责任人员依法给予处分。</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按规定总量调控管理规定进行稀土开采、冶炼分离</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    冶金建材工业科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11</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稀土开采企业和稀土冶炼分离企业管理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稀土冶炼分离企业之外的组织和个人从事冶炼分离</w:t>
            </w:r>
          </w:p>
        </w:tc>
        <w:tc>
          <w:tcPr>
            <w:tcW w:w="6511" w:type="dxa"/>
            <w:tcBorders>
              <w:tl2br w:val="nil"/>
              <w:tr2bl w:val="nil"/>
            </w:tcBorders>
            <w:vAlign w:val="center"/>
          </w:tcPr>
          <w:p>
            <w:pPr>
              <w:tabs>
                <w:tab w:val="left" w:pos="1338"/>
              </w:tabs>
              <w:bidi w:val="0"/>
              <w:jc w:val="center"/>
              <w:rPr>
                <w:rFonts w:ascii="仿宋_GB2312" w:eastAsia="仿宋_GB2312" w:cs="仿宋_GB2312" w:hAnsi="仿宋_GB2312" w:hint="eastAsia"/>
                <w:sz w:val="22"/>
                <w:szCs w:val="28"/>
                <w:lang w:val="en-US" w:eastAsia="zh-CN"/>
              </w:rPr>
            </w:pPr>
            <w:r>
              <w:rPr>
                <w:rFonts w:ascii="仿宋_GB2312" w:eastAsia="仿宋_GB2312" w:cs="仿宋_GB2312" w:hAnsi="仿宋_GB2312" w:hint="eastAsia"/>
                <w:sz w:val="22"/>
                <w:szCs w:val="28"/>
                <w:lang w:val="en-US" w:eastAsia="zh-CN"/>
              </w:rPr>
              <w:t>《稀 土 管 理 条 例》中华人民共和国国务院令</w:t>
            </w:r>
          </w:p>
          <w:p>
            <w:pPr>
              <w:tabs>
                <w:tab w:val="left" w:pos="1338"/>
              </w:tabs>
              <w:bidi w:val="0"/>
              <w:jc w:val="center"/>
              <w:rPr>
                <w:rFonts w:ascii="仿宋_GB2312" w:eastAsia="仿宋_GB2312" w:cs="仿宋_GB2312" w:hAnsi="仿宋_GB2312" w:hint="eastAsia"/>
                <w:sz w:val="22"/>
                <w:szCs w:val="28"/>
                <w:lang w:val="en-US" w:eastAsia="zh-CN"/>
              </w:rPr>
            </w:pPr>
            <w:r>
              <w:rPr>
                <w:rFonts w:ascii="仿宋_GB2312" w:eastAsia="仿宋_GB2312" w:cs="仿宋_GB2312" w:hAnsi="仿宋_GB2312" w:hint="eastAsia"/>
                <w:sz w:val="22"/>
                <w:szCs w:val="28"/>
                <w:lang w:val="en-US" w:eastAsia="zh-CN"/>
              </w:rPr>
              <w:t>第785号第二十二条第一项违反本条例规定，有下列行为之一的，由工业和信息化主管部门责令停止违法行为，没收违法生产的稀土产品和违法所得以及直接用于违法活动的工具、设备，并处违法所得5倍以上10倍以下的罚款；没有违法所得或者违法所得不足50万元的，并处200万元以上500万元以下的罚款；情节严重的，由市场监督管理部门吊销其营业执照：</w:t>
            </w:r>
          </w:p>
          <w:p>
            <w:pPr>
              <w:tabs>
                <w:tab w:val="left" w:pos="1338"/>
              </w:tabs>
              <w:bidi w:val="0"/>
              <w:jc w:val="center"/>
              <w:rPr>
                <w:rFonts w:ascii="仿宋_GB2312" w:eastAsia="仿宋_GB2312" w:cs="仿宋_GB2312" w:hAnsi="仿宋_GB2312" w:hint="eastAsia"/>
                <w:sz w:val="22"/>
                <w:szCs w:val="28"/>
                <w:lang w:val="en-US" w:eastAsia="zh-CN"/>
              </w:rPr>
            </w:pPr>
          </w:p>
          <w:p>
            <w:pPr>
              <w:tabs>
                <w:tab w:val="left" w:pos="1338"/>
              </w:tabs>
              <w:bidi w:val="0"/>
              <w:jc w:val="center"/>
              <w:rPr>
                <w:rFonts w:ascii="仿宋_GB2312" w:eastAsia="仿宋_GB2312" w:cs="仿宋_GB2312" w:hAnsi="仿宋_GB2312" w:hint="eastAsia"/>
                <w:sz w:val="22"/>
                <w:szCs w:val="28"/>
                <w:lang w:val="en-US" w:eastAsia="zh-CN"/>
              </w:rPr>
            </w:pPr>
            <w:r>
              <w:rPr>
                <w:rFonts w:ascii="仿宋_GB2312" w:eastAsia="仿宋_GB2312" w:cs="仿宋_GB2312" w:hAnsi="仿宋_GB2312" w:hint="eastAsia"/>
                <w:sz w:val="22"/>
                <w:szCs w:val="28"/>
                <w:lang w:val="en-US" w:eastAsia="zh-CN"/>
              </w:rPr>
              <w:t>（一）稀土冶炼分离企业之外的组织和个人从事冶炼分离；</w:t>
            </w:r>
          </w:p>
          <w:p>
            <w:pPr>
              <w:tabs>
                <w:tab w:val="left" w:pos="1338"/>
              </w:tabs>
              <w:bidi w:val="0"/>
              <w:jc w:val="center"/>
              <w:rPr>
                <w:rFonts w:ascii="仿宋_GB2312" w:eastAsia="仿宋_GB2312" w:cs="仿宋_GB2312" w:hAnsi="仿宋_GB2312" w:hint="eastAsia"/>
                <w:kern w:val="2"/>
                <w:sz w:val="22"/>
                <w:szCs w:val="28"/>
                <w:lang w:val="en-US" w:eastAsia="zh-CN" w:bidi="ar-SA"/>
              </w:rPr>
            </w:pP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非稀土冶炼分离企业的组织和个人不要从事冶炼分离的</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    冶金建材工业科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12</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稀土开采企业和稀土冶炼分离企业管理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稀土综合利用企业以稀土矿产品为原料从事生产活动</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《稀 土 管 理 条 例》中华人民共和国国务院令</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第785号第二十二条第二项违反本条例规定，有下列行为之一的，由工业和信息化主管部门责令停止违法行为，没收违法生产的稀土产品和违法所得以及直接用于违法活动的工具、设备，并处违法所得5倍以上10倍以下的罚款；没有违法所得或者违法所得不足50万元的，并处200万元以上500万元以下的罚款；情节严重的，由市场监督管理部门吊销其营业执照：（二）稀土综合利用企业以稀土矿产品为原料从事生产活动。</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稀土综合利用企业不得以稀土矿产品为原料从事生产活动</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    冶金建材工业科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13</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稀土开采企业和稀土冶炼分离企业管理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违反本条例规定，收购、加工、销售非法开采或者非法冶炼分离的稀土产品</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《稀 土 管 理 条 例》中华人民共和国国务院令</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第785号第二十三条违反本条例规定，收购、加工、销售非法开采或者非法冶炼分离的稀土产品的，由工业和信息化主管部门会同有关部门责令停止违法行为，没收违法收购、加工、销售的稀土产品和违法所得以及直接用于违法活动的工具、设备，并处违法所得5倍以上10倍以下的罚款；没有违法所得或者违法所得不足50万元的，并处50万元以上200万元以下的罚款；情节严重的，由市场监督管理部门吊销其营业执照。</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合规收购、加工、销售非法开采或者非法冶炼分离的稀土产品</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    冶金建材工业科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14</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稀土开采企业和稀土冶炼分离企业管理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从事稀土开采、冶炼分离、金属冶炼、综合利用和稀土产品出口的企业不如实记录稀土产品流向信息并录入稀土产品追溯信息系统</w:t>
            </w:r>
          </w:p>
        </w:tc>
        <w:tc>
          <w:tcPr>
            <w:tcW w:w="6511" w:type="dxa"/>
            <w:tcBorders>
              <w:tl2br w:val="nil"/>
              <w:tr2bl w:val="nil"/>
            </w:tcBorders>
            <w:vAlign w:val="center"/>
          </w:tcPr>
          <w:p>
            <w:pPr>
              <w:keepNext w:val="0"/>
              <w:keepLines w:val="0"/>
              <w:pageBreakBefore w:val="0"/>
              <w:widowControl/>
              <w:suppressLineNumbers w:val="0"/>
              <w:tabs>
                <w:tab w:val="left" w:pos="1233"/>
              </w:tabs>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稀 土 管 理 条 例》中华人民共和国国务院令第785号第二十五条从事稀土开采、冶炼分离、金属冶炼、综合利用和稀土产品出口的企业不如实记录稀土产品流向信息并录入稀土产品追溯信息系统的，由工业和信息化主管部门和其他有关部门按照职责分工责令改正，对企业处5万元以上20万元以下的罚款；拒不改正的，责令停产停业，并对主要负责人、直接负责的主管人员和其他直接责任人员处2万元以上5万元以下的罚款，对企业处20万元以上100万元以下的罚款。</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从事稀土开采、冶炼分离、金属冶炼、综合利用和稀土产品出口的企业如实记录稀土产品流向信息并录入稀土产品追溯信息系统</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    冶金建材工业科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15</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稀土开采企业和稀土冶炼分离企业管理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拒绝、阻碍监督检查部门依法履行监督检查职责</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《稀 土 管 理 条 例》中华人民共和国国务院令</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第785号第二十六条拒绝、阻碍监督检查部门依法履行监督检查职责的，由监督检查部门责令改正，对主要负责人、直接负责的主管人员和其他直接责任人员给予警告，对企业处2万元以上10万元以下的罚款；拒不改正的，责令停产停业，并对主要负责人、直接负责的主管人员和其他直接责任人员处2万元以上5万元以下的罚款，对企业处10万元以上50万元以下的罚款。</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配合监督检查部门依法履行监督检查职责</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    冶金建材工业科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16</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对民用爆炸物品生产企业安全生产的监督管理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未经许可从事民用爆炸物品生产的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1.《民用爆炸物品安全生产许可实施办法》(2015年工业和信息化部令第30号)第三条：“工业和信息化部负责指导、监督全国民用爆炸物品生产企业安全生产许可的审批和管理工作。省、自治区、直辖市人民政府民用爆炸物品行业主管部门（以下简称省级民爆行业主管部门）负责民用爆炸物品生产企业安全生产许可的审批和监督管理。设区的市和县级人民政府民用爆炸物品行业主管部门在各自职责范围内依法对民用爆炸物品安全生产工作实施监督管理。“第十九条：”各级民用爆炸物品行业主管部门应当建立健全监督制度，加强对民用爆炸物品生产企业的日常监督检查，督促其依法进行生产。实施监督检查，不得妨碍民用爆炸物品生产企业正常的生产经营活动，不得索取或者收受企业的财物或者谋取其他利益。”</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2.《民用爆炸物品生产许可实施办法》（2018年工业和信息化部令第49号）第二十六条：“民用爆炸物品生产企业有下列行为之一的，由省级民爆行业主管部门责令限期整改，处10万元以上50万元以下罚款；逾期不改正的，责令停产整顿；情节严重的，由省级民爆行业主管部门提请工业和信息化部吊销《民用爆炸物品生产许可证》：（三）民用爆炸物品的质量不符合相关标准的；……。”</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民爆物品生产企业应严格遵守相关法律法规和行业标准规范，现场安全管理符合有关要求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17</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对民用爆炸物品生产企业安全生产的监督管理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超出许可核定的生产品种、能力进行生产的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1.《民用爆炸物品安全生产许可实施办法》(2015年工业和信息化部令第30号)第三条：“工业和信息化部负责指导、监督全国民用爆炸物品生产企业安全生产许可的审批和管理工作。省、自治区、直辖市人民政府民用爆炸物品行业主管部门（以下简称省级民爆行业主管部门）负责民用爆炸物品生产企业安全生产许可的审批和监督管理。设区的市和县级人民政府民用爆炸物品行业主管部门在各自职责范围内依法对民用爆炸物品安全生产工作实施监督管理。“第十九条：”各级民用爆炸物品行业主管部门应当建立健全监督制度，加强对民用爆炸物品生产企业的日常监督检查，督促其依法进行生产。实施监督检查，不得妨碍民用爆炸物品生产企业正常的生产经营活动，不得索取或者收受企业的财物或者谋取其他利益。”</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2.《民用爆炸物品生产许可实施办法》（2018年工业和信息化部令第49号）第二十六条：“民用爆炸物品生产企业有下列行为之一的，由省级民爆行业主管部门责令限期整改，处10万元以上50万元以下罚款；逾期不改正的，责令停产整顿；情节严重的，由省级民爆行业主管部门提请工业和信息化部吊销《民用爆炸物品生产许可证》：（三）民用爆炸物品的质量不符合相关标准的；……。”</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民爆物品生产企业应严格遵守相关法律法规和行业标准规范，现场安全管理符合有关要求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18</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对民用爆炸物品生产企业安全生产的监督管理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违反安全技术规程生产作业的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1.《民用爆炸物品安全生产许可实施办法》(2015年工业和信息化部令第30号)第三条：“工业和信息化部负责指导、监督全国民用爆炸物品生产企业安全生产许可的审批和管理工作。省、自治区、直辖市人民政府民用爆炸物品行业主管部门（以下简称省级民爆行业主管部门）负责民用爆炸物品生产企业安全生产许可的审批和监督管理。设区的市和县级人民政府民用爆炸物品行业主管部门在各自职责范围内依法对民用爆炸物品安全生产工作实施监督管理。“第十九条：”各级民用爆炸物品行业主管部门应当建立健全监督制度，加强对民用爆炸物品生产企业的日常监督检查，督促其依法进行生产。实施监督检查，不得妨碍民用爆炸物品生产企业正常的生产经营活动，不得索取或者收受企业的财物或者谋取其他利益。”</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2.《民用爆炸物品生产许可实施办法》（2018年工业和信息化部令第49号）第二十六条：“民用爆炸物品生产企业有下列行为之一的，由省级民爆行业主管部门责令限期整改，处10万元以上50万元以下罚款；逾期不改正的，责令停产整顿；情节严重的，由省级民爆行业主管部门提请工业和信息化部吊销《民用爆炸物品生产许可证》：（三）民用爆炸物品的质量不符合相关标准的；……。”</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民爆物品生产企业应严格遵守相关法律法规和行业标准规范，现场安全管理符合有关要求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19</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对民用爆炸物品生产企业安全生产的监督管理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民用爆炸物品的质量不符合相关标准的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1.《民用爆炸物品安全生产许可实施办法》(2015年工业和信息化部令第30号)第三条：“工业和信息化部负责指导、监督全国民用爆炸物品生产企业安全生产许可的审批和管理工作。省、自治区、直辖市人民政府民用爆炸物品行业主管部门（以下简称省级民爆行业主管部门）负责民用爆炸物品生产企业安全生产许可的审批和监督管理。设区的市和县级人民政府民用爆炸物品行业主管部门在各自职责范围内依法对民用爆炸物品安全生产工作实施监督管理。“第十九条：”各级民用爆炸物品行业主管部门应当建立健全监督制度，加强对民用爆炸物品生产企业的日常监督检查，督促其依法进行生产。实施监督检查，不得妨碍民用爆炸物品生产企业正常的生产经营活动，不得索取或者收受企业的财物或者谋取其他利益。”</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2.《民用爆炸物品生产许可实施办法》（2018年工业和信息化部令第49号）第二十六条：“民用爆炸物品生产企业有下列行为之一的，由省级民爆行业主管部门责令限期整改，处10万元以上50万元以下罚款；逾期不改正的，责令停产整顿；情节严重的，由省级民爆行业主管部门提请工业和信息化部吊销《民用爆炸物品生产许可证》：（三）民用爆炸物品的质量不符合相关标准的；……。”</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民爆物品生产企业应严格遵守相关法律法规和行业标准规范，现场安全管理符合有关要求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20</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对民用爆炸物品生产企业安全生产的监督管理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因存在严重安全问题被吊销民用爆炸物品安全生产许可的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1.《民用爆炸物品安全生产许可实施办法》(2015年工业和信息化部令第30号)第三条：“工业和信息化部负责指导、监督全国民用爆炸物品生产企业安全生产许可的审批和管理工作。省、自治区、直辖市人民政府民用爆炸物品行业主管部门（以下简称省级民爆行业主管部门）负责民用爆炸物品生产企业安全生产许可的审批和监督管理。设区的市和县级人民政府民用爆炸物品行业主管部门在各自职责范围内依法对民用爆炸物品安全生产工作实施监督管理。“第十九条：”各级民用爆炸物品行业主管部门应当建立健全监督制度，加强对民用爆炸物品生产企业的日常监督检查，督促其依法进行生产。实施监督检查，不得妨碍民用爆炸物品生产企业正常的生产经营活动，不得索取或者收受企业的财物或者谋取其他利益。”</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2.《民用爆炸物品生产许可实施办法》（2018年工业和信息化部令第49号）第二十六条：“民用爆炸物品生产企业有下列行为之一的，由省级民爆行业主管部门责令限期整改，处10万元以上50万元以下罚款；逾期不改正的，责令停产整顿；情节严重的，由省级民爆行业主管部门提请工业和信息化部吊销《民用爆炸物品生产许可证》：（三）民用爆炸物品的质量不符合相关标准的；……。”</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民爆物品生产企业应严格遵守相关法律法规和行业标准规范，现场安全管理符合有关要求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21</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对民用爆炸物品生产企业安全生产的监督管理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未按规定提交年度报告的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1.《民用爆炸物品安全生产许可实施办法》(2015年工业和信息化部令第30号)第三条：“工业和信息化部负责指导、监督全国民用爆炸物品生产企业安全生产许可的审批和管理工作。省、自治区、直辖市人民政府民用爆炸物品行业主管部门（以下简称省级民爆行业主管部门）负责民用爆炸物品生产企业安全生产许可的审批和监督管理。设区的市和县级人民政府民用爆炸物品行业主管部门在各自职责范围内依法对民用爆炸物品安全生产工作实施监督管理。“第十九条：”各级民用爆炸物品行业主管部门应当建立健全监督制度，加强对民用爆炸物品生产企业的日常监督检查，督促其依法进行生产。实施监督检查，不得妨碍民用爆炸物品生产企业正常的生产经营活动，不得索取或者收受企业的财物或者谋取其他利益。”</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2.《民用爆炸物品生产许可实施办法》（2018年工业和信息化部令第49号）第二十六条：“民用爆炸物品生产企业有下列行为之一的，由省级民爆行业主管部门责令限期整改，处10万元以上50万元以下罚款；逾期不改正的，责令停产整顿；情节严重的，由省级民爆行业主管部门提请工业和信息化部吊销《民用爆炸物品生产许可证》：（三）民用爆炸物品的质量不符合相关标准的；……。”</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民爆物品生产企业应严格遵守相关法律法规和行业标准规范，现场安全管理符合有关要求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22</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对民用爆炸物品生产企业安全生产的监督管理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年度报告提供虚假材料或者拒绝提供反映其生产经营活动情况真实材料的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1.《民用爆炸物品安全生产许可实施办法》(2015年工业和信息化部令第30号)第三条：“工业和信息化部负责指导、监督全国民用爆炸物品生产企业安全生产许可的审批和管理工作。省、自治区、直辖市人民政府民用爆炸物品行业主管部门（以下简称省级民爆行业主管部门）负责民用爆炸物品生产企业安全生产许可的审批和监督管理。设区的市和县级人民政府民用爆炸物品行业主管部门在各自职责范围内依法对民用爆炸物品安全生产工作实施监督管理。“第十九条：”各级民用爆炸物品行业主管部门应当建立健全监督制度，加强对民用爆炸物品生产企业的日常监督检查，督促其依法进行生产。实施监督检查，不得妨碍民用爆炸物品生产企业正常的生产经营活动，不得索取或者收受企业的财物或者谋取其他利益。”</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2.《民用爆炸物品生产许可实施办法》（2018年工业和信息化部令第49号）第二十六条：“民用爆炸物品生产企业有下列行为之一的，由省级民爆行业主管部门责令限期整改，处10万元以上50万元以下罚款；逾期不改正的，责令停产整顿；情节严重的，由省级民爆行业主管部门提请工业和信息化部吊销《民用爆炸物品生产许可证》：（三）民用爆炸物品的质量不符合相关标准的；……。”</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民爆物品生产企业应严格遵守相关法律法规和行业标准规范，现场安全管理符合有关要求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23</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对民用爆炸物品生产企业安全生产的监督管理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企业未获得《民用爆炸物品安全生产许可证》擅自组织民用爆炸物品生产的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1.《民用爆炸物品安全生产许可实施办法》(2015年工业和信息化部令第30号)第三条：“工业和信息化部负责指导、监督全国民用爆炸物品生产企业安全生产许可的审批和管理工作。省、自治区、直辖市人民政府民用爆炸物品行业主管部门（以下简称省级民爆行业主管部门）负责民用爆炸物品生产企业安全生产许可的审批和监督管理。设区的市和县级人民政府民用爆炸物品行业主管部门在各自职责范围内依法对民用爆炸物品安全生产工作实施监督管理。“第十九条：”各级民用爆炸物品行业主管部门应当建立健全监督制度，加强对民用爆炸物品生产企业的日常监督检查，督促其依法进行生产。实施监督检查，不得妨碍民用爆炸物品生产企业正常的生产经营活动，不得索取或者收受企业的财物或者谋取其他利益。”</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2.《民用爆炸物品生产许可实施办法》（2018年工业和信息化部令第49号）第二十六条：“民用爆炸物品生产企业有下列行为之一的，由省级民爆行业主管部门责令限期整改，处10万元以上50万元以下罚款；逾期不改正的，责令停产整顿；情节严重的，由省级民爆行业主管部门提请工业和信息化部吊销《民用爆炸物品生产许可证》：（三）民用爆炸物品的质量不符合相关标准的；……。”</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民爆物品生产企业应严格遵守相关法律法规和行业标准规范，现场安全管理符合有关要求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24</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对民用爆炸物品生产企业安全生产的监督管理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企业不具备《民用爆炸物品安全生产许可实施办法》规定安全生产条件的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1.《民用爆炸物品安全生产许可实施办法》(2015年工业和信息化部令第30号)第三条：“工业和信息化部负责指导、监督全国民用爆炸物品生产企业安全生产许可的审批和管理工作。省、自治区、直辖市人民政府民用爆炸物品行业主管部门（以下简称省级民爆行业主管部门）负责民用爆炸物品生产企业安全生产许可的审批和监督管理。设区的市和县级人民政府民用爆炸物品行业主管部门在各自职责范围内依法对民用爆炸物品安全生产工作实施监督管理。“第十九条：”各级民用爆炸物品行业主管部门应当建立健全监督制度，加强对民用爆炸物品生产企业的日常监督检查，督促其依法进行生产。实施监督检查，不得妨碍民用爆炸物品生产企业正常的生产经营活动，不得索取或者收受企业的财物或者谋取其他利益。”</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2.《民用爆炸物品生产许可实施办法》（2018年工业和信息化部令第49号）第二十六条：“民用爆炸物品生产企业有下列行为之一的，由省级民爆行业主管部门责令限期整改，处10万元以上50万元以下罚款；逾期不改正的，责令停产整顿；情节严重的，由省级民爆行业主管部门提请工业和信息化部吊销《民用爆炸物品生产许可证》：（三）民用爆炸物品的质量不符合相关标准的；……。”</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民爆物品生产企业应严格遵守相关法律法规和行业标准规范，现场安全管理符合有关要求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25</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对民用爆炸物品生产企业安全生产的监督管理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违反法律、行政法规应予吊销民用爆炸物品生产许可的其他情形</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1.《民用爆炸物品安全生产许可实施办法》(2015年工业和信息化部令第30号)第三条：“工业和信息化部负责指导、监督全国民用爆炸物品生产企业安全生产许可的审批和管理工作。省、自治区、直辖市人民政府民用爆炸物品行业主管部门（以下简称省级民爆行业主管部门）负责民用爆炸物品生产企业安全生产许可的审批和监督管理。设区的市和县级人民政府民用爆炸物品行业主管部门在各自职责范围内依法对民用爆炸物品安全生产工作实施监督管理。“第十九条：”各级民用爆炸物品行业主管部门应当建立健全监督制度，加强对民用爆炸物品生产企业的日常监督检查，督促其依法进行生产。实施监督检查，不得妨碍民用爆炸物品生产企业正常的生产经营活动，不得索取或者收受企业的财物或者谋取其他利益。”</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2.《民用爆炸物品生产许可实施办法》（2018年工业和信息化部令第49号）第二十六条：“民用爆炸物品生产企业有下列行为之一的，由省级民爆行业主管部门责令限期整改，处10万元以上50万元以下罚款；逾期不改正的，责令停产整顿；情节严重的，由省级民爆行业主管部门提请工业和信息化部吊销《民用爆炸物品生产许可证》：（三）民用爆炸物品的质量不符合相关标准的；……。”</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民爆物品生产企业应严格遵守相关法律法规和行业标准规范，现场安全管理符合有关要求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26</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对民用爆炸物品销售企业销售民用爆炸物品行为的监督管理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企业未经许可从事民用爆炸物品销售活动的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民用爆炸物品销售许可实施办法》第二十条民用爆炸物品销售企业应当严格按照《民用爆炸物品销售许可证》核定的销售品种、核定储存能力从事销售活动，不得超范围销售或者超能力储存民用爆炸物品。第二十一条民用爆炸物品生产企业销售本企业生产的民用爆炸物品，不得超出《民用爆炸物品生产许可证》核定的品种、产量。第三十二条企业未经许可从事民用爆炸物品销售活动的，由省级国防科技工业主管部门责令停止非法销售活动，处10万元以上50万元以下的罚款，没收非法销售的民用爆炸物品及其违法所得。第三十三条民用爆炸物品销售企业有下列行为之一的，由省级国防科技工业主管部门责令限期改正，处10万元以上50万元以下的罚款；逾期不改正的，责令停业整顿；情节严重的，吊销《民用爆炸物品销售许可证》</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民爆物品销售企业应该严格按照销售许可实施办法从事民爆物品储存和销售活动，并确保安全条件符合法律规范和行业标准要求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27</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对民用爆炸物品销售企业销售民用爆炸物品行为的监督管理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超出销售许可的品种进行销售的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民用爆炸物品销售许可实施办法》第二十条民用爆炸物品销售企业应当严格按照《民用爆炸物品销售许可证》核定的销售品种、核定储存能力从事销售活动，不得超范围销售或者超能力储存民用爆炸物品。第二十一条民用爆炸物品生产企业销售本企业生产的民用爆炸物品，不得超出《民用爆炸物品生产许可证》核定的品种、产量。第三十二条企业未经许可从事民用爆炸物品销售活动的，由省级国防科技工业主管部门责令停止非法销售活动，处10万元以上50万元以下的罚款，没收非法销售的民用爆炸物品及其违法所得。第三十三条民用爆炸物品销售企业有下列行为之一的，由省级国防科技工业主管部门责令限期改正，处10万元以上50万元以下的罚款；逾期不改正的，责令停业整顿；情节严重的，吊销《民用爆炸物品销售许可证》</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民爆物品销售企业应该严格按照销售许可实施办法从事民爆物品储存和销售活动，并确保安全条件符合法律规范和行业标准要求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28</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对民用爆炸物品销售企业销售民用爆炸物品行为的监督管理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向没有《民用爆炸物品生产许可证》《民用爆炸物品销售许可证》《民用爆炸物品购买许可证》的单位销售民用爆炸物品的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民用爆炸物品销售许可实施办法》第二十条民用爆炸物品销售企业应当严格按照《民用爆炸物品销售许可证》核定的销售品种、核定储存能力从事销售活动，不得超范围销售或者超能力储存民用爆炸物品。第二十一条民用爆炸物品生产企业销售本企业生产的民用爆炸物品，不得超出《民用爆炸物品生产许可证》核定的品种、产量。第三十二条企业未经许可从事民用爆炸物品销售活动的，由省级国防科技工业主管部门责令停止非法销售活动，处10万元以上50万元以下的罚款，没收非法销售的民用爆炸物品及其违法所得。第三十三条民用爆炸物品销售企业有下列行为之一的，由省级国防科技工业主管部门责令限期改正，处10万元以上50万元以下的罚款；逾期不改正的，责令停业整顿；情节严重的，吊销《民用爆炸物品销售许可证》</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民爆物品销售企业应该严格按照销售许可实施办法从事民爆物品储存和销售活动，并确保安全条件符合法律规范和行业标准要求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29</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对民用爆炸物品销售企业销售民用爆炸物品行为的监督管理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因管理不善致使民用爆炸物品丢失或被盗的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民用爆炸物品销售许可实施办法》第二十条民用爆炸物品销售企业应当严格按照《民用爆炸物品销售许可证》核定的销售品种、核定储存能力从事销售活动，不得超范围销售或者超能力储存民用爆炸物品。第二十一条民用爆炸物品生产企业销售本企业生产的民用爆炸物品，不得超出《民用爆炸物品生产许可证》核定的品种、产量。第三十二条企业未经许可从事民用爆炸物品销售活动的，由省级国防科技工业主管部门责令停止非法销售活动，处10万元以上50万元以下的罚款，没收非法销售的民用爆炸物品及其违法所得。第三十三条民用爆炸物品销售企业有下列行为之一的，由省级国防科技工业主管部门责令限期改正，处10万元以上50万元以下的罚款；逾期不改正的，责令停业整顿；情节严重的，吊销《民用爆炸物品销售许可证》</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民爆物品销售企业应该严格按照销售许可实施办法从事民爆物品储存和销售活动，并确保安全条件符合法律规范和行业标准要求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30</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对民用爆炸物品销售企业销售民用爆炸物品行为的监督管理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未按规定程序和手续销售民用爆炸物品的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民用爆炸物品销售许可实施办法》第二十条民用爆炸物品销售企业应当严格按照《民用爆炸物品销售许可证》核定的销售品种、核定储存能力从事销售活动，不得超范围销售或者超能力储存民用爆炸物品。第二十一条民用爆炸物品生产企业销售本企业生产的民用爆炸物品，不得超出《民用爆炸物品生产许可证》核定的品种、产量。第三十二条企业未经许可从事民用爆炸物品销售活动的，由省级国防科技工业主管部门责令停止非法销售活动，处10万元以上50万元以下的罚款，没收非法销售的民用爆炸物品及其违法所得。第三十三条民用爆炸物品销售企业有下列行为之一的，由省级国防科技工业主管部门责令限期改正，处10万元以上50万元以下的罚款；逾期不改正的，责令停业整顿；情节严重的，吊销《民用爆炸物品销售许可证》</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民爆物品销售企业应该严格按照销售许可实施办法从事民爆物品储存和销售活动，并确保安全条件符合法律规范和行业标准要求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31</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对民用爆炸物品销售企业销售民用爆炸物品行为的监督管理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超量储存民用爆炸物品或者将性质相抵触的爆炸物品同处储存的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民用爆炸物品销售许可实施办法》第二十条民用爆炸物品销售企业应当严格按照《民用爆炸物品销售许可证》核定的销售品种、核定储存能力从事销售活动，不得超范围销售或者超能力储存民用爆炸物品。第二十一条民用爆炸物品生产企业销售本企业生产的民用爆炸物品，不得超出《民用爆炸物品生产许可证》核定的品种、产量。第三十二条企业未经许可从事民用爆炸物品销售活动的，由省级国防科技工业主管部门责令停止非法销售活动，处10万元以上50万元以下的罚款，没收非法销售的民用爆炸物品及其违法所得。第三十三条民用爆炸物品销售企业有下列行为之一的，由省级国防科技工业主管部门责令限期改正，处10万元以上50万元以下的罚款；逾期不改正的，责令停业整顿；情节严重的，吊销《民用爆炸物品销售许可证》</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民爆物品销售企业应该严格按照销售许可实施办法从事民爆物品储存和销售活动，并确保安全条件符合法律规范和行业标准要求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32</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对民用爆炸物品销售企业销售民用爆炸物品行为的监督管理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销售民用爆炸物品未按规定向省级国防科技工业主管部门备案的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民用爆炸物品销售许可实施办法》第二十条民用爆炸物品销售企业应当严格按照《民用爆炸物品销售许可证》核定的销售品种、核定储存能力从事销售活动，不得超范围销售或者超能力储存民用爆炸物品。第二十一条民用爆炸物品生产企业销售本企业生产的民用爆炸物品，不得超出《民用爆炸物品生产许可证》核定的品种、产量。第三十二条企业未经许可从事民用爆炸物品销售活动的，由省级国防科技工业主管部门责令停止非法销售活动，处10万元以上50万元以下的罚款，没收非法销售的民用爆炸物品及其违法所得。第三十三条民用爆炸物品销售企业有下列行为之一的，由省级国防科技工业主管部门责令限期改正，处10万元以上50万元以下的罚款；逾期不改正的，责令停业整顿；情节严重的，吊销《民用爆炸物品销售许可证》</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民爆物品销售企业应该严格按照销售许可实施办法从事民爆物品储存和销售活动，并确保安全条件符合法律规范和行业标准要求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33</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对民用爆炸物品销售企业销售民用爆炸物品行为的监督管理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因存在严重安全隐患，整改期限内，仍不能达到要求的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民用爆炸物品销售许可实施办法》第二十条民用爆炸物品销售企业应当严格按照《民用爆炸物品销售许可证》核定的销售品种、核定储存能力从事销售活动，不得超范围销售或者超能力储存民用爆炸物品。第二十一条民用爆炸物品生产企业销售本企业生产的民用爆炸物品，不得超出《民用爆炸物品生产许可证》核定的品种、产量。第三十二条企业未经许可从事民用爆炸物品销售活动的，由省级国防科技工业主管部门责令停止非法销售活动，处10万元以上50万元以下的罚款，没收非法销售的民用爆炸物品及其违法所得。第三十三条民用爆炸物品销售企业有下列行为之一的，由省级国防科技工业主管部门责令限期改正，处10万元以上50万元以下的罚款；逾期不改正的，责令停业整顿；情节严重的，吊销《民用爆炸物品销售许可证》</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民爆物品销售企业应该严格按照销售许可实施办法从事民爆物品储存和销售活动，并确保安全条件符合法律规范和行业标准要求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34</w:t>
            </w:r>
          </w:p>
        </w:tc>
        <w:tc>
          <w:tcPr>
            <w:tcW w:w="1277" w:type="dxa"/>
            <w:tcBorders>
              <w:tl2br w:val="nil"/>
              <w:tr2bl w:val="nil"/>
            </w:tcBorders>
            <w:vAlign w:val="center"/>
          </w:tcPr>
          <w:p>
            <w:pPr>
              <w:keepNext w:val="0"/>
              <w:keepLines w:val="0"/>
              <w:pageBreakBefore w:val="0"/>
              <w:widowControl/>
              <w:suppressLineNumbers w:val="0"/>
              <w:tabs>
                <w:tab w:val="left" w:pos="510"/>
              </w:tabs>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对民用爆炸物品销售企业销售民用爆炸物品行为的监督管理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发生重特大事故不宜恢复销售活动的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民用爆炸物品销售许可实施办法》第二十条民用爆炸物品销售企业应当严格按照《民用爆炸物品销售许可证》核定的销售品种、核定储存能力从事销售活动，不得超范围销售或者超能力储存民用爆炸物品。第二十一条民用爆炸物品生产企业销售本企业生产的民用爆炸物品，不得超出《民用爆炸物品生产许可证》核定的品种、产量。第三十二条企业未经许可从事民用爆炸物品销售活动的，由省级国防科技工业主管部门责令停止非法销售活动，处10万元以上50万元以下的罚款，没收非法销售的民用爆炸物品及其违法所得。第三十三条民用爆炸物品销售企业有下列行为之一的，由省级国防科技工业主管部门责令限期改正，处10万元以上50万元以下的罚款；逾期不改正的，责令停业整顿；情节严重的，吊销《民用爆炸物品销售许可证》</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民爆物品销售企业应该严格按照销售许可实施办法从事民爆物品储存和销售活动，并确保安全条件符合法律规范和行业标准要求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35</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对民用爆炸物品销售企业销售民用爆炸物品行为的监督管理</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销售企业转让、买卖、出租、出借销售许可证的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1"/>
                <w:szCs w:val="21"/>
                <w:lang w:val="en-US" w:eastAsia="zh-CN" w:bidi="ar-SA"/>
              </w:rPr>
              <w:t>民用爆炸物品销售许可实施办法》第二十条民用爆炸物品销售企业应当严格按照《民用爆炸物品销售许可证》核定的销售品种、核定储存能力从事销售活动，不得超范围销售或者超能力储存民用爆炸物品。第二十一条民用爆炸物品生产企业销售本企业生产的民用爆炸物品，不得超出《民用爆炸物品生产许可证》核定的品种、产量。第三十二条企业未经许可从事民用爆炸物品销售活动的，由省级国防科技工业主管部门责令停止非法销售活动，处10万元以上50万元以下的罚款，没收非法销售的民用爆炸物品及其违法所得。第三十三条民用爆炸物品销售企业有下列行为之一的，由省级国防科技工业主管部门责令限期改正，处10万元以上50万元以下的罚款；逾期不改正的，责令停业整顿；情节严重的，吊销《民用爆炸物品销售许可证》</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1"/>
                <w:szCs w:val="21"/>
                <w:lang w:val="en-US" w:eastAsia="zh-CN" w:bidi="ar-SA"/>
              </w:rPr>
            </w:pPr>
            <w:r>
              <w:rPr>
                <w:rFonts w:ascii="仿宋_GB2312" w:eastAsia="仿宋_GB2312" w:cs="仿宋_GB2312" w:hAnsi="仿宋_GB2312" w:hint="eastAsia"/>
                <w:kern w:val="0"/>
                <w:sz w:val="21"/>
                <w:szCs w:val="21"/>
                <w:lang w:val="en-US" w:eastAsia="zh-CN" w:bidi="ar-SA"/>
              </w:rPr>
              <w:t>民爆物品销售企业应该严格按照销售许可实施办法从事民爆物品储存和销售活动，并确保安全条件符合法律规范和行业标准要求</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市工信局民爆科</w:t>
            </w:r>
          </w:p>
        </w:tc>
      </w:tr>
      <w:tr>
        <w:trPr>
          <w:trHeight w:val="402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kern w:val="0"/>
                <w:sz w:val="22"/>
                <w:szCs w:val="22"/>
                <w:lang w:val="en-US" w:eastAsia="zh-CN" w:bidi="ar-SA"/>
              </w:rPr>
            </w:pPr>
            <w:r>
              <w:rPr>
                <w:rFonts w:ascii="仿宋_GB2312" w:eastAsia="仿宋_GB2312" w:cs="仿宋_GB2312" w:hAnsi="仿宋_GB2312" w:hint="eastAsia"/>
                <w:kern w:val="0"/>
                <w:sz w:val="22"/>
                <w:szCs w:val="22"/>
                <w:lang w:val="en-US" w:eastAsia="zh-CN" w:bidi="ar-SA"/>
              </w:rPr>
              <w:t>36</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民用无人驾驶航空器系统生产者是否按照国务院工业和信息化主管部门的规定为其生产的无人驾驶航空器设置唯一产品识别码</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民用无人驾驶航空器系统生产者未按照国务院工业和信息化主管部门的规定为其生产的无人驾驶航空器设置唯一产品识别码</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1.《民用无人驾驶航空器生产管理若干规定》</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第十三条  县级以上人民政府工业和信息化主管部门、省级通信主管部门应当加强对民用无人驾驶航空器生产活动的监督检查；发现有违反本规定行为的，依照《无人驾驶航空器飞行管理暂行条例》以及相关法律、行政法规予以处罚。</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2.《无人驾驶航空器飞行管理暂行条例》第四十五条　违反本条例规定，民用无人驾驶航空器系统生产者未按照国务院工业和信息化主管部门的规定为其生产的无人驾驶航空器设置唯一产品识别码的，由县级以上人民政府工业和信息化主管部门责令改正，没收违法所得，并处3万元以上30万元以下的罚款；拒不改正的，责令停业整顿。</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按照工信部要求，对生产企业进行相关法律法规的学习和宣贯</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hint="eastAsia"/>
                <w:kern w:val="0"/>
                <w:sz w:val="22"/>
                <w:szCs w:val="22"/>
                <w:lang w:val="en-US" w:eastAsia="zh-CN" w:bidi="ar-SA"/>
              </w:rPr>
            </w:pPr>
            <w:r>
              <w:rPr>
                <w:rFonts w:ascii="仿宋_GB2312" w:eastAsia="仿宋_GB2312" w:cs="仿宋_GB2312" w:hAnsi="仿宋_GB2312" w:hint="eastAsia"/>
                <w:kern w:val="0"/>
                <w:sz w:val="22"/>
                <w:szCs w:val="22"/>
                <w:lang w:val="en-US" w:eastAsia="zh-CN" w:bidi="ar-SA"/>
              </w:rPr>
              <w:t>市工信局装备科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kern w:val="0"/>
                <w:sz w:val="22"/>
                <w:szCs w:val="22"/>
                <w:lang w:val="en-US" w:eastAsia="zh-CN" w:bidi="ar-SA"/>
              </w:rPr>
            </w:pPr>
            <w:r>
              <w:rPr>
                <w:rFonts w:ascii="仿宋_GB2312" w:eastAsia="仿宋_GB2312" w:cs="仿宋_GB2312" w:hAnsi="仿宋_GB2312" w:hint="eastAsia"/>
                <w:kern w:val="0"/>
                <w:sz w:val="22"/>
                <w:szCs w:val="22"/>
                <w:lang w:val="en-US" w:eastAsia="zh-CN" w:bidi="ar-SA"/>
              </w:rPr>
              <w:t>37</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对非食盐定点生产企业生产食盐违法行为的处罚</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非食盐定点生产企业生产食盐的。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《食盐专营办法》（2017年修订本）第二十六条   有下列情形之一的，由县级以上地方人民政府盐业主管部门予以取缔，没收违法生产经营的食盐和违法所得。违法生产经营的食盐货值金额不足1万元的，可以处5万元以下的罚款；货值金额1万元以上的，并处货值金额5倍以上10倍以下的罚款：（一）非食盐定点生产企业生产食盐。</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sz w:val="21"/>
                <w:szCs w:val="21"/>
                <w:lang w:val="en-US" w:eastAsia="zh-CN"/>
              </w:rPr>
              <w:t>非食盐定点生产企业不得生产食盐。</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消费品工业科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kern w:val="0"/>
                <w:sz w:val="22"/>
                <w:szCs w:val="22"/>
                <w:lang w:val="en-US" w:eastAsia="zh-CN" w:bidi="ar-SA"/>
              </w:rPr>
            </w:pPr>
            <w:r>
              <w:rPr>
                <w:rFonts w:ascii="仿宋_GB2312" w:eastAsia="仿宋_GB2312" w:cs="仿宋_GB2312" w:hAnsi="仿宋_GB2312" w:hint="eastAsia"/>
                <w:kern w:val="0"/>
                <w:sz w:val="22"/>
                <w:szCs w:val="22"/>
                <w:lang w:val="en-US" w:eastAsia="zh-CN" w:bidi="ar-SA"/>
              </w:rPr>
              <w:t>38</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对非食盐定点批发企业经营食盐批发业务违法行为的处罚</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非食盐定点批发企业经营食盐批发业务的。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《食盐专营办法》（2017年修订本）第二十六条   有下列情形之一的，由县级以上地方人民政府盐业主管部门予以取缔，没收违法生产经营的食盐和违法所得。违法生产经营的食盐货值金额不足1万元的，可以处5万元以下的罚款；货值金额1万元以上的，并处货值金额5倍以上10倍以下的罚款：（二）非食盐定点批发企业经营食盐批发业务。</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sz w:val="21"/>
                <w:szCs w:val="21"/>
                <w:lang w:val="en-US" w:eastAsia="zh-CN"/>
              </w:rPr>
              <w:t>非食盐定点批发企业</w:t>
            </w:r>
            <w:r>
              <w:rPr>
                <w:rFonts w:ascii="Times New Roman" w:eastAsia="仿宋_GB2312" w:cs="Times New Roman" w:hAnsi="Times New Roman" w:hint="eastAsia"/>
                <w:sz w:val="21"/>
                <w:szCs w:val="21"/>
                <w:lang w:val="en-US" w:eastAsia="zh-CN"/>
              </w:rPr>
              <w:t>不得开展</w:t>
            </w:r>
            <w:r>
              <w:rPr>
                <w:rFonts w:ascii="Times New Roman" w:eastAsia="仿宋_GB2312" w:cs="Times New Roman" w:hAnsi="Times New Roman"/>
                <w:sz w:val="21"/>
                <w:szCs w:val="21"/>
                <w:lang w:val="en-US" w:eastAsia="zh-CN"/>
              </w:rPr>
              <w:t>食盐批发业务</w:t>
            </w:r>
            <w:r>
              <w:rPr>
                <w:rFonts w:ascii="Times New Roman" w:eastAsia="仿宋_GB2312" w:cs="Times New Roman" w:hAnsi="Times New Roman" w:hint="eastAsia"/>
                <w:sz w:val="21"/>
                <w:szCs w:val="21"/>
                <w:lang w:val="en-US" w:eastAsia="zh-CN"/>
              </w:rPr>
              <w:t>。</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消费品工业科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kern w:val="0"/>
                <w:sz w:val="22"/>
                <w:szCs w:val="22"/>
                <w:lang w:val="en-US" w:eastAsia="zh-CN" w:bidi="ar-SA"/>
              </w:rPr>
            </w:pPr>
            <w:r>
              <w:rPr>
                <w:rFonts w:ascii="仿宋_GB2312" w:eastAsia="仿宋_GB2312" w:cs="仿宋_GB2312" w:hAnsi="仿宋_GB2312" w:hint="eastAsia"/>
                <w:kern w:val="0"/>
                <w:sz w:val="22"/>
                <w:szCs w:val="22"/>
                <w:lang w:val="en-US" w:eastAsia="zh-CN" w:bidi="ar-SA"/>
              </w:rPr>
              <w:t>39</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对食盐定点生产企业、非食用盐生产企业未按照规定保存生产销售记录违法行为的处罚</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食盐定点生产企业、非食用盐生产企业未按照本办法规定保存生产销售记录的。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《食盐专营办法》（2017年修订本）第二十七条   有下列情形之一的，由县级以上地方人民政府盐业主管部门责令改正，处5000元以上5万元以下的罚款；情节严重的，责令停产停业整顿，直至吊销食盐定点生产、食盐定点批发企业证书：（一）食盐定点生产企业、非食用盐生产企业未按照本办法规定保存生产销售记录。</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sz w:val="21"/>
                <w:szCs w:val="21"/>
                <w:lang w:val="en-US" w:eastAsia="zh-CN"/>
              </w:rPr>
              <w:t>食盐定点生产企业和非食用盐生产企业应当建立生产销售记录制度，如实记录并保存相关凭证。记录和凭证保存期限不得少于2年。</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消费品工业科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kern w:val="0"/>
                <w:sz w:val="22"/>
                <w:szCs w:val="22"/>
                <w:lang w:val="en-US" w:eastAsia="zh-CN" w:bidi="ar-SA"/>
              </w:rPr>
            </w:pPr>
            <w:r>
              <w:rPr>
                <w:rFonts w:ascii="仿宋_GB2312" w:eastAsia="仿宋_GB2312" w:cs="仿宋_GB2312" w:hAnsi="仿宋_GB2312" w:hint="eastAsia"/>
                <w:kern w:val="0"/>
                <w:sz w:val="22"/>
                <w:szCs w:val="22"/>
                <w:lang w:val="en-US" w:eastAsia="zh-CN" w:bidi="ar-SA"/>
              </w:rPr>
              <w:t>40</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对食盐定点批发企业未按照规定保存采购销售记录违法行为的处罚</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食盐定点批发企业未按照本办法规定保存采购销售记录的。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《食盐专营办法》（2017年修订本）第二十七条   有下列情形之一的，由县级以上地方人民政府盐业主管部门责令改正，处5000元以上5万元以下的罚款；情节严重的，责令停产停业整顿，直至吊销食盐定点生产、食盐定点批发企业证书：（二）食盐定点批发企业未按照本办法规定保存采购销售记录。</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sz w:val="21"/>
                <w:szCs w:val="21"/>
                <w:lang w:val="en-US" w:eastAsia="zh-CN"/>
              </w:rPr>
              <w:t>食盐定点批发企业应当建立采购销售记录制度，如实记录并保存相关凭证。记录和凭证保存期限不得少于2年。</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消费品工业科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kern w:val="0"/>
                <w:sz w:val="22"/>
                <w:szCs w:val="22"/>
                <w:lang w:val="en-US" w:eastAsia="zh-CN" w:bidi="ar-SA"/>
              </w:rPr>
            </w:pPr>
            <w:r>
              <w:rPr>
                <w:rFonts w:ascii="仿宋_GB2312" w:eastAsia="仿宋_GB2312" w:cs="仿宋_GB2312" w:hAnsi="仿宋_GB2312" w:hint="eastAsia"/>
                <w:kern w:val="0"/>
                <w:sz w:val="22"/>
                <w:szCs w:val="22"/>
                <w:lang w:val="en-US" w:eastAsia="zh-CN" w:bidi="ar-SA"/>
              </w:rPr>
              <w:t>41</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对食盐定点批发企业超出国家规定的范围销售食盐违法行为的处罚</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食盐定点批发企业超出国家规定的范围销售食盐的。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《食盐专营办法》（2017年修订本）第二十七条   有下列情形之一的，由县级以上地方人民政府盐业主管部门责令改正，处5000元以上5万元以下的罚款；情节严重的，责令停产停业整顿，直至吊销食盐定点生产、食盐定点批发企业证书：（三）食盐定点批发企业超出国家规定的范围销售食盐。</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kern w:val="2"/>
                <w:sz w:val="21"/>
                <w:szCs w:val="21"/>
                <w:lang w:val="en-US" w:eastAsia="zh-CN" w:bidi="ar-SA"/>
              </w:rPr>
            </w:pPr>
            <w:r>
              <w:rPr>
                <w:rFonts w:ascii="Times New Roman" w:eastAsia="仿宋_GB2312" w:cs="Times New Roman" w:hAnsi="Times New Roman"/>
                <w:sz w:val="21"/>
                <w:szCs w:val="21"/>
                <w:lang w:val="en-US" w:eastAsia="zh-CN"/>
              </w:rPr>
              <w:t>食盐定点批发企业应当从食盐定点生产企业或者其他食盐定点批发企业购进食盐，在国家规定的范围内销售。</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消费品工业科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kern w:val="0"/>
                <w:sz w:val="22"/>
                <w:szCs w:val="22"/>
                <w:lang w:val="en-US" w:eastAsia="zh-CN" w:bidi="ar-SA"/>
              </w:rPr>
            </w:pPr>
            <w:r>
              <w:rPr>
                <w:rFonts w:ascii="仿宋_GB2312" w:eastAsia="仿宋_GB2312" w:cs="仿宋_GB2312" w:hAnsi="仿宋_GB2312" w:hint="eastAsia"/>
                <w:kern w:val="0"/>
                <w:sz w:val="22"/>
                <w:szCs w:val="22"/>
                <w:lang w:val="en-US" w:eastAsia="zh-CN" w:bidi="ar-SA"/>
              </w:rPr>
              <w:t>42</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对将非食用盐产品作为食盐销售违法行为的处罚</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将非食用盐产品作为食盐销售的。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《食盐专营办法》（2017年修订本）第二十七条   有下列情形之一的，由县级以上地方人民政府盐业主管部门责令改正，处5000元以上5万元以下的罚款；情节严重的，责令停产停业整顿，直至吊销食盐定点生产、食盐定点批发企业证书：（四）将非食用盐产品作为食盐销售。</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sz w:val="21"/>
                <w:szCs w:val="21"/>
                <w:lang w:val="en-US" w:eastAsia="zh-CN"/>
              </w:rPr>
            </w:pPr>
            <w:r>
              <w:rPr>
                <w:rFonts w:ascii="Times New Roman" w:eastAsia="仿宋_GB2312" w:cs="Times New Roman" w:hAnsi="Times New Roman"/>
                <w:sz w:val="21"/>
                <w:szCs w:val="21"/>
                <w:lang w:val="en-US" w:eastAsia="zh-CN"/>
              </w:rPr>
              <w:t>禁止将下列产品作为食盐销售：</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sz w:val="21"/>
                <w:szCs w:val="21"/>
                <w:lang w:val="en-US" w:eastAsia="zh-CN"/>
              </w:rPr>
            </w:pPr>
            <w:r>
              <w:rPr>
                <w:rFonts w:ascii="Times New Roman" w:eastAsia="仿宋_GB2312" w:cs="Times New Roman" w:hAnsi="Times New Roman"/>
                <w:sz w:val="21"/>
                <w:szCs w:val="21"/>
                <w:lang w:val="en-US" w:eastAsia="zh-CN"/>
              </w:rPr>
              <w:t>(一)液体盐(含天然卤水)；</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sz w:val="21"/>
                <w:szCs w:val="21"/>
                <w:lang w:val="en-US" w:eastAsia="zh-CN"/>
              </w:rPr>
            </w:pPr>
            <w:r>
              <w:rPr>
                <w:rFonts w:ascii="Times New Roman" w:eastAsia="仿宋_GB2312" w:cs="Times New Roman" w:hAnsi="Times New Roman"/>
                <w:sz w:val="21"/>
                <w:szCs w:val="21"/>
                <w:lang w:val="en-US" w:eastAsia="zh-CN"/>
              </w:rPr>
              <w:t>(二)工业用盐和其他非食用盐；</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sz w:val="21"/>
                <w:szCs w:val="21"/>
                <w:lang w:val="en-US" w:eastAsia="zh-CN"/>
              </w:rPr>
            </w:pPr>
            <w:r>
              <w:rPr>
                <w:rFonts w:ascii="Times New Roman" w:eastAsia="仿宋_GB2312" w:cs="Times New Roman" w:hAnsi="Times New Roman"/>
                <w:sz w:val="21"/>
                <w:szCs w:val="21"/>
                <w:lang w:val="en-US" w:eastAsia="zh-CN"/>
              </w:rPr>
              <w:t>(三)利用盐土、硝土或者工业废渣、废液制作的盐；</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sz w:val="21"/>
                <w:szCs w:val="21"/>
                <w:lang w:val="en-US" w:eastAsia="zh-CN"/>
              </w:rPr>
            </w:pPr>
            <w:r>
              <w:rPr>
                <w:rFonts w:ascii="Times New Roman" w:eastAsia="仿宋_GB2312" w:cs="Times New Roman" w:hAnsi="Times New Roman"/>
                <w:sz w:val="21"/>
                <w:szCs w:val="21"/>
                <w:lang w:val="en-US" w:eastAsia="zh-CN"/>
              </w:rPr>
              <w:t>(四)利用井矿盐卤水熬制的盐；</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kern w:val="2"/>
                <w:sz w:val="21"/>
                <w:szCs w:val="21"/>
                <w:lang w:val="en-US" w:eastAsia="zh-CN" w:bidi="ar-SA"/>
              </w:rPr>
            </w:pPr>
            <w:r>
              <w:rPr>
                <w:rFonts w:ascii="Times New Roman" w:eastAsia="仿宋_GB2312" w:cs="Times New Roman" w:hAnsi="Times New Roman"/>
                <w:sz w:val="21"/>
                <w:szCs w:val="21"/>
                <w:lang w:val="en-US" w:eastAsia="zh-CN"/>
              </w:rPr>
              <w:t>(五)外包装上无标识或者标识不符合国家有关规定的盐。</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消费品工业科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kern w:val="0"/>
                <w:sz w:val="22"/>
                <w:szCs w:val="22"/>
                <w:lang w:val="en-US" w:eastAsia="zh-CN" w:bidi="ar-SA"/>
              </w:rPr>
            </w:pPr>
            <w:r>
              <w:rPr>
                <w:rFonts w:ascii="仿宋_GB2312" w:eastAsia="仿宋_GB2312" w:cs="仿宋_GB2312" w:hAnsi="仿宋_GB2312" w:hint="eastAsia"/>
                <w:kern w:val="0"/>
                <w:sz w:val="22"/>
                <w:szCs w:val="22"/>
                <w:lang w:val="en-US" w:eastAsia="zh-CN" w:bidi="ar-SA"/>
              </w:rPr>
              <w:t>43</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对食盐定点批发企业从除食盐定点生产企业、其他食盐定点批发企业以外的单位或者个人购进食盐违法行为的处罚</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食盐定点批发企业从除食盐定点生产企业、其他食盐定点批发企业以外的单位或者个人购进食盐的。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《食盐专营办法》（2017年修订本）第二十八条 　有下列情形之一的，由县级以上地方人民政府盐业主管部门责令改正，没收违法购进的食盐，可以处违法购进的食盐货值金额3倍以下的罚款：（一）食盐定点批发企业从除食盐定点生产企业、其他食盐定点批发企业以外的单位或者个人购进食盐。</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kern w:val="2"/>
                <w:sz w:val="21"/>
                <w:szCs w:val="21"/>
                <w:lang w:val="en-US" w:eastAsia="zh-CN" w:bidi="ar-SA"/>
              </w:rPr>
            </w:pPr>
            <w:r>
              <w:rPr>
                <w:rFonts w:ascii="Times New Roman" w:eastAsia="仿宋_GB2312" w:cs="Times New Roman" w:hAnsi="Times New Roman"/>
                <w:sz w:val="21"/>
                <w:szCs w:val="21"/>
                <w:lang w:val="en-US" w:eastAsia="zh-CN"/>
              </w:rPr>
              <w:t>食盐定点批发企业应当从食盐定点生产企业或者其他食盐定点批发企业购进食盐，在国家规定的范围内销售。</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消费品工业科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kern w:val="0"/>
                <w:sz w:val="22"/>
                <w:szCs w:val="22"/>
                <w:lang w:val="en-US" w:eastAsia="zh-CN" w:bidi="ar-SA"/>
              </w:rPr>
            </w:pPr>
            <w:r>
              <w:rPr>
                <w:rFonts w:ascii="仿宋_GB2312" w:eastAsia="仿宋_GB2312" w:cs="仿宋_GB2312" w:hAnsi="仿宋_GB2312" w:hint="eastAsia"/>
                <w:kern w:val="0"/>
                <w:sz w:val="22"/>
                <w:szCs w:val="22"/>
                <w:lang w:val="en-US" w:eastAsia="zh-CN" w:bidi="ar-SA"/>
              </w:rPr>
              <w:t>44</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对食盐零售单位从食盐定点批发企业以外的单位或者个人购进食盐违法行为的处罚</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食盐零售单位从食盐定点批发企业以外的单位或者个人购进食盐的。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《食盐专营办法》（2017年修订本）第二十八条  　有下列情形之一的，由县级以上地方人民政府盐业主管部门责令改正，没收违法购进的食盐，可以处违法购进的食盐货值金额3倍以下的罚款：（二）食盐零售单位从食盐定点批发企业以外的单位或者个人购进食盐。</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kern w:val="2"/>
                <w:sz w:val="21"/>
                <w:szCs w:val="21"/>
                <w:lang w:val="en-US" w:eastAsia="zh-CN" w:bidi="ar-SA"/>
              </w:rPr>
            </w:pPr>
            <w:r>
              <w:rPr>
                <w:rFonts w:ascii="Times New Roman" w:eastAsia="仿宋_GB2312" w:cs="Times New Roman" w:hAnsi="Times New Roman"/>
                <w:sz w:val="21"/>
                <w:szCs w:val="21"/>
                <w:lang w:val="en-US" w:eastAsia="zh-CN"/>
              </w:rPr>
              <w:t>食盐零售单位应当从食盐定点批发企业购进食盐。</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消费品工业科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kern w:val="0"/>
                <w:sz w:val="22"/>
                <w:szCs w:val="22"/>
                <w:lang w:val="en-US" w:eastAsia="zh-CN" w:bidi="ar-SA"/>
              </w:rPr>
            </w:pPr>
            <w:r>
              <w:rPr>
                <w:rFonts w:ascii="仿宋_GB2312" w:eastAsia="仿宋_GB2312" w:cs="仿宋_GB2312" w:hAnsi="仿宋_GB2312" w:hint="eastAsia"/>
                <w:kern w:val="0"/>
                <w:sz w:val="22"/>
                <w:szCs w:val="22"/>
                <w:lang w:val="en-US" w:eastAsia="zh-CN" w:bidi="ar-SA"/>
              </w:rPr>
              <w:t>45</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对生产企业在食盐、非食盐外包装上未按照规定做出标识违法行为的处罚</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对生产企业在食盐、非食盐外包装上未按照规定做出标识的。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《食盐专营办法》（2017年修订本）第二十九条 　未按照本办法第十条的规定作出标识的，由有关主管部门依据职责分工，责令改正，可以处5万元以下的罚款。</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kern w:val="2"/>
                <w:sz w:val="21"/>
                <w:szCs w:val="21"/>
                <w:lang w:val="en-US" w:eastAsia="zh-CN" w:bidi="ar-SA"/>
              </w:rPr>
            </w:pPr>
            <w:r>
              <w:rPr>
                <w:rFonts w:ascii="Times New Roman" w:eastAsia="仿宋_GB2312" w:cs="Times New Roman" w:hAnsi="Times New Roman"/>
                <w:sz w:val="21"/>
                <w:szCs w:val="21"/>
                <w:lang w:val="en-US" w:eastAsia="zh-CN"/>
              </w:rPr>
              <w:t>食盐应当按照规定在外包装上作出标识，非食用盐的包装、标识应当明显区别于食盐。</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消费品工业科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kern w:val="0"/>
                <w:sz w:val="22"/>
                <w:szCs w:val="22"/>
                <w:lang w:val="en-US" w:eastAsia="zh-CN" w:bidi="ar-SA"/>
              </w:rPr>
            </w:pPr>
            <w:r>
              <w:rPr>
                <w:rFonts w:ascii="仿宋_GB2312" w:eastAsia="仿宋_GB2312" w:cs="仿宋_GB2312" w:hAnsi="仿宋_GB2312" w:hint="eastAsia"/>
                <w:kern w:val="0"/>
                <w:sz w:val="22"/>
                <w:szCs w:val="22"/>
                <w:lang w:val="en-US" w:eastAsia="zh-CN" w:bidi="ar-SA"/>
              </w:rPr>
              <w:t>46</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对食盐定点生产企业、食盐定点批发企业违反规定聘用人员违法行为的处罚</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食盐定点生产企业、食盐定点批发企业违反规定聘用人员的。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《食盐专营办法》（2017年修订本）第三十一条 　食盐定点生产企业、食盐定点批发企业违反本办法的规定，被处以吊销食盐定点生产、食盐定点批发企业证书行政处罚的，其法定代表人、直接负责的主管人员和其他直接责任人员自处罚决定作出之日起5年内不得从事食盐生产经营管理活动，不得担任食盐定点生产企业、食盐定点批发企业的董事、监事或者高级管理人员。食盐定点生产企业、食盐定点批发企业违反前款规定聘用人员的，由盐业主管部门责令改正；拒不改正的，吊销其食盐定点生产、食盐定点批发企业证书。</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kern w:val="2"/>
                <w:sz w:val="21"/>
                <w:szCs w:val="21"/>
                <w:lang w:val="en-US" w:eastAsia="zh-CN" w:bidi="ar-SA"/>
              </w:rPr>
            </w:pPr>
            <w:r>
              <w:rPr>
                <w:rFonts w:ascii="Times New Roman" w:eastAsia="仿宋_GB2312" w:cs="Times New Roman" w:hAnsi="Times New Roman"/>
                <w:sz w:val="21"/>
                <w:szCs w:val="21"/>
                <w:lang w:val="en-US" w:eastAsia="zh-CN"/>
              </w:rPr>
              <w:t>食盐定点生产企业、食盐定点批发企业违反本办法的规定，被处以吊销食盐定点生产、食盐定点批发企业证书行政处罚的，其法定代表人、直接负责的主管人员和其他直接责任人员自处罚决定作出之日起5年内不得从事食盐生产经营管理活动，不得担任食盐定点生产企业、食盐定点批发企业的董事、监事或者高级管理人员。</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消费品工业科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kern w:val="0"/>
                <w:sz w:val="22"/>
                <w:szCs w:val="22"/>
                <w:lang w:val="en-US" w:eastAsia="zh-CN" w:bidi="ar-SA"/>
              </w:rPr>
            </w:pPr>
            <w:r>
              <w:rPr>
                <w:rFonts w:ascii="仿宋_GB2312" w:eastAsia="仿宋_GB2312" w:cs="仿宋_GB2312" w:hAnsi="仿宋_GB2312" w:hint="eastAsia"/>
                <w:kern w:val="0"/>
                <w:sz w:val="22"/>
                <w:szCs w:val="22"/>
                <w:lang w:val="en-US" w:eastAsia="zh-CN" w:bidi="ar-SA"/>
              </w:rPr>
              <w:t>47</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对擅自开办碘盐加工企业或者未经批准从事碘盐批发业务违法行为的处罚</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擅自开办碘盐加工企业或者未经批准从事碘盐批发业务的。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Chars="100" w:firstLine="210"/>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《食盐加碘消除碘缺乏危害管理条例》（2017年修正本）</w:t>
            </w:r>
            <w:r>
              <w:rPr>
                <w:rFonts w:ascii="Times New Roman" w:eastAsia="仿宋_GB2312" w:cs="Times New Roman" w:hAnsi="Times New Roman" w:hint="eastAsia"/>
                <w:sz w:val="21"/>
                <w:szCs w:val="21"/>
                <w:lang w:val="en-US" w:eastAsia="zh-CN"/>
              </w:rPr>
              <w:br/>
            </w:r>
            <w:r>
              <w:rPr>
                <w:rFonts w:ascii="Times New Roman" w:eastAsia="仿宋_GB2312" w:cs="Times New Roman" w:hAnsi="Times New Roman" w:hint="eastAsia"/>
                <w:sz w:val="21"/>
                <w:szCs w:val="21"/>
                <w:lang w:val="en-US" w:eastAsia="zh-CN"/>
              </w:rPr>
              <w:t>第二十四条　　违反本条例的规定，擅自开办碘盐加工企业或者未经批准从事碘盐批发业务的，由县级以上人民政府盐业主管机构责令停止加工或者批发碘盐，没收全部碘盐和违法所得，可以并处该盐产品价值３倍以下的罚款。</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kern w:val="2"/>
                <w:sz w:val="21"/>
                <w:szCs w:val="21"/>
                <w:lang w:val="en-US" w:eastAsia="zh-CN" w:bidi="ar-SA"/>
              </w:rPr>
            </w:pPr>
            <w:r>
              <w:rPr>
                <w:rFonts w:ascii="Times New Roman" w:eastAsia="仿宋_GB2312" w:cs="Times New Roman" w:hAnsi="Times New Roman"/>
                <w:sz w:val="21"/>
                <w:szCs w:val="21"/>
                <w:lang w:val="en-US" w:eastAsia="zh-CN"/>
              </w:rPr>
              <w:t>从事碘盐加工的盐业企业，应当由省、自治区、直辖市人民政府盐业主管机构指定，并取得同级人民政府卫生行政部门卫生许可后，报国务院盐业主管机构批准。</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消费品工业科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kern w:val="0"/>
                <w:sz w:val="22"/>
                <w:szCs w:val="22"/>
                <w:lang w:val="en-US" w:eastAsia="zh-CN" w:bidi="ar-SA"/>
              </w:rPr>
            </w:pPr>
            <w:r>
              <w:rPr>
                <w:rFonts w:ascii="仿宋_GB2312" w:eastAsia="仿宋_GB2312" w:cs="仿宋_GB2312" w:hAnsi="仿宋_GB2312" w:hint="eastAsia"/>
                <w:kern w:val="0"/>
                <w:sz w:val="22"/>
                <w:szCs w:val="22"/>
                <w:lang w:val="en-US" w:eastAsia="zh-CN" w:bidi="ar-SA"/>
              </w:rPr>
              <w:t>48</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对加工、批发不合格碘盐违法行为的处罚</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碘盐的加工企业、批发企业加工、批发不合格碘盐的。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Chars="100" w:firstLine="210"/>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《食盐加碘消除碘缺乏危害管理条例》（2017年修正本）</w:t>
            </w:r>
            <w:r>
              <w:rPr>
                <w:rFonts w:ascii="Times New Roman" w:eastAsia="仿宋_GB2312" w:cs="Times New Roman" w:hAnsi="Times New Roman" w:hint="eastAsia"/>
                <w:sz w:val="21"/>
                <w:szCs w:val="21"/>
                <w:lang w:val="en-US" w:eastAsia="zh-CN"/>
              </w:rPr>
              <w:br/>
            </w:r>
            <w:r>
              <w:rPr>
                <w:rFonts w:ascii="Times New Roman" w:eastAsia="仿宋_GB2312" w:cs="Times New Roman" w:hAnsi="Times New Roman" w:hint="eastAsia"/>
                <w:sz w:val="21"/>
                <w:szCs w:val="21"/>
                <w:lang w:val="en-US" w:eastAsia="zh-CN"/>
              </w:rPr>
              <w:t>第二十五条　　碘盐的加工企业、批发企业违反本条例的规定，加工、批发不合格碘盐的，由县级以上人民政府盐业主管机构责令停止出售并责令责任者按照国家规定标准对食盐补碘，没收违法所得，可以并处该盐产品价值３倍以下的罚款。情节严重的，对加工企业，由省、自治区、直辖市人民政府盐业主管机构报请国务院盐业主管机构批准后，取消其碘盐加工资格；对批发企业，由省、自治区、直辖市人民政府盐业主管机构取消其碘盐批发资格。</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kern w:val="2"/>
                <w:sz w:val="21"/>
                <w:szCs w:val="21"/>
                <w:lang w:val="en-US" w:eastAsia="zh-CN" w:bidi="ar-SA"/>
              </w:rPr>
            </w:pPr>
            <w:r>
              <w:rPr>
                <w:rFonts w:ascii="Times New Roman" w:eastAsia="仿宋_GB2312" w:cs="Times New Roman" w:hAnsi="Times New Roman"/>
                <w:sz w:val="21"/>
                <w:szCs w:val="21"/>
                <w:lang w:val="en-US" w:eastAsia="zh-CN"/>
              </w:rPr>
              <w:t>用于加工碘盐的食盐和碘酸钾必须符合国家卫生标准。碘盐出厂前必须经质量检验，未达到规定含量标准的碘盐不得出厂。</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消费品工业科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kern w:val="0"/>
                <w:sz w:val="22"/>
                <w:szCs w:val="22"/>
                <w:lang w:val="en-US" w:eastAsia="zh-CN" w:bidi="ar-SA"/>
              </w:rPr>
            </w:pPr>
            <w:r>
              <w:rPr>
                <w:rFonts w:ascii="仿宋_GB2312" w:eastAsia="仿宋_GB2312" w:cs="仿宋_GB2312" w:hAnsi="仿宋_GB2312" w:hint="eastAsia"/>
                <w:kern w:val="0"/>
                <w:sz w:val="22"/>
                <w:szCs w:val="22"/>
                <w:lang w:val="en-US" w:eastAsia="zh-CN" w:bidi="ar-SA"/>
              </w:rPr>
              <w:t>49</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对在缺碘地区的食用盐市场销售不合格碘盐或者擅自销售非碘盐违法行为的处罚</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在缺碘地区的食用盐市场销售不合格碘盐或者擅自销售非碘盐的。</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Chars="100" w:firstLine="210"/>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《食盐加碘消除碘缺乏危害管理条例》（2017年修正本）</w:t>
            </w:r>
            <w:r>
              <w:rPr>
                <w:rFonts w:ascii="Times New Roman" w:eastAsia="仿宋_GB2312" w:cs="Times New Roman" w:hAnsi="Times New Roman" w:hint="eastAsia"/>
                <w:sz w:val="21"/>
                <w:szCs w:val="21"/>
                <w:lang w:val="en-US" w:eastAsia="zh-CN"/>
              </w:rPr>
              <w:br/>
            </w:r>
            <w:r>
              <w:rPr>
                <w:rFonts w:ascii="Times New Roman" w:eastAsia="仿宋_GB2312" w:cs="Times New Roman" w:hAnsi="Times New Roman" w:hint="eastAsia"/>
                <w:sz w:val="21"/>
                <w:szCs w:val="21"/>
                <w:lang w:val="en-US" w:eastAsia="zh-CN"/>
              </w:rPr>
              <w:t>第二十六条 　违反本条例的规定，在缺碘地区的食用盐市场销售不合格碘盐或者擅自销售非碘盐的，由县级以上人民政府盐业主管机构没收其经营的全部盐产品和违法所得，可以并处该盐产品价值３倍以下的罚款；情节严重，构成犯罪的，依法追究刑事责任。</w:t>
            </w: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kern w:val="2"/>
                <w:sz w:val="21"/>
                <w:szCs w:val="21"/>
                <w:lang w:val="en-US" w:eastAsia="zh-CN" w:bidi="ar-SA"/>
              </w:rPr>
            </w:pPr>
            <w:r>
              <w:rPr>
                <w:rFonts w:ascii="Times New Roman" w:eastAsia="仿宋_GB2312" w:cs="Times New Roman" w:hAnsi="Times New Roman"/>
                <w:sz w:val="21"/>
                <w:szCs w:val="21"/>
                <w:lang w:val="en-US" w:eastAsia="zh-CN"/>
              </w:rPr>
              <w:t>在缺碘地区销售的碘盐必须达到规定的含碘量，禁止非碘盐和不合格碘盐进入缺碘地区食用盐市场。</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消费品工业科</w:t>
            </w:r>
          </w:p>
        </w:tc>
      </w:tr>
      <w:tr>
        <w:trPr>
          <w:trHeight w:val="1134"/>
        </w:trPr>
        <w:tc>
          <w:tcPr>
            <w:tcW w:w="47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仿宋_GB2312" w:eastAsia="仿宋_GB2312" w:cs="仿宋_GB2312" w:hAnsi="仿宋_GB2312"/>
                <w:kern w:val="0"/>
                <w:sz w:val="22"/>
                <w:szCs w:val="22"/>
                <w:lang w:val="en-US" w:eastAsia="zh-CN" w:bidi="ar-SA"/>
              </w:rPr>
            </w:pPr>
            <w:r>
              <w:rPr>
                <w:rFonts w:ascii="仿宋_GB2312" w:eastAsia="仿宋_GB2312" w:cs="仿宋_GB2312" w:hAnsi="仿宋_GB2312" w:hint="eastAsia"/>
                <w:kern w:val="0"/>
                <w:sz w:val="22"/>
                <w:szCs w:val="22"/>
                <w:lang w:val="en-US" w:eastAsia="zh-CN" w:bidi="ar-SA"/>
              </w:rPr>
              <w:t>50</w:t>
            </w:r>
          </w:p>
        </w:tc>
        <w:tc>
          <w:tcPr>
            <w:tcW w:w="127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对通辽市境内所有从事甘草、麻黄草收购的组织的监督检查</w:t>
            </w:r>
          </w:p>
        </w:tc>
        <w:tc>
          <w:tcPr>
            <w:tcW w:w="28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在</w:t>
            </w:r>
            <w:r>
              <w:rPr>
                <w:rFonts w:ascii="Times New Roman" w:eastAsia="仿宋_GB2312" w:cs="Times New Roman" w:hAnsi="Times New Roman"/>
                <w:sz w:val="21"/>
                <w:szCs w:val="21"/>
                <w:lang w:val="en-US" w:eastAsia="zh-CN"/>
              </w:rPr>
              <w:t>通辽市境内</w:t>
            </w:r>
            <w:r>
              <w:rPr>
                <w:rFonts w:ascii="Times New Roman" w:eastAsia="仿宋_GB2312" w:cs="Times New Roman" w:hAnsi="Times New Roman" w:hint="eastAsia"/>
                <w:sz w:val="21"/>
                <w:szCs w:val="21"/>
                <w:lang w:val="en-US" w:eastAsia="zh-CN"/>
              </w:rPr>
              <w:t>违法</w:t>
            </w:r>
            <w:r>
              <w:rPr>
                <w:rFonts w:ascii="Times New Roman" w:eastAsia="仿宋_GB2312" w:cs="Times New Roman" w:hAnsi="Times New Roman"/>
                <w:sz w:val="21"/>
                <w:szCs w:val="21"/>
                <w:lang w:val="en-US" w:eastAsia="zh-CN"/>
              </w:rPr>
              <w:t>从事甘草、麻黄草收购的</w:t>
            </w:r>
            <w:r>
              <w:rPr>
                <w:rFonts w:ascii="Times New Roman" w:eastAsia="仿宋_GB2312" w:cs="Times New Roman" w:hAnsi="Times New Roman" w:hint="eastAsia"/>
                <w:sz w:val="21"/>
                <w:szCs w:val="21"/>
                <w:lang w:val="en-US" w:eastAsia="zh-CN"/>
              </w:rPr>
              <w:t>。</w:t>
            </w:r>
          </w:p>
        </w:tc>
        <w:tc>
          <w:tcPr>
            <w:tcW w:w="651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Chars="200" w:firstLine="420"/>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【法律】《中华人民共和国行政许可法》（2003年8月27日第十届全国人民代表大会常务委员会第四次会议通过　根据2019年4月23日第十三届全国人民代表大会常务委员会第十次会议《关于修改〈中华人民共和国建筑法〉等八部法律的决定》修正）第六十一条　行政机关应当建立健全监督制度，通过核查反映被许可人从事行政许可事项活动情况的有关材料，履行监督责任。 </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行政机关依法对被许可人从事行政许可事项的活动进行监督检查时，应当将监督检查的情况和处理结果予以记录，由监督检查人员签字后归档。公众有权查阅行政机关监督检查记录。</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    行政机关应当创造条件，实现与被许可人、其他有关行政机关的计算机档案系统互联，核查被许可人从事行政许可事项活动情况。</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第六十二条 行政机关可以对被许可人生产经营的产品依法进行抽样检查、检验、检测，对其生产经营场所依法进行实地检查。检查时，行政机关可以依法查阅或者要求被许可人报送有关材料；被许可人应当如实提供有关情况和材料。</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    行政机关根据法律、行政法规的规定，对直接关系公共安全、人身健康、生命财产安全的重要设备、设施进行定期检验。对检验合格的，行政机关应当发给相应的证明文件。</w:t>
            </w:r>
          </w:p>
          <w:p>
            <w:pPr>
              <w:keepNext w:val="0"/>
              <w:keepLines w:val="0"/>
              <w:pageBreakBefore w:val="0"/>
              <w:widowControl/>
              <w:suppressLineNumbers w:val="0"/>
              <w:kinsoku/>
              <w:wordWrap/>
              <w:overflowPunct/>
              <w:topLinePunct w:val="0"/>
              <w:autoSpaceDE/>
              <w:autoSpaceDN/>
              <w:bidi w:val="0"/>
              <w:adjustRightInd/>
              <w:snapToGrid/>
              <w:spacing w:line="340" w:lineRule="exact"/>
              <w:ind w:firstLineChars="200" w:firstLine="420"/>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【规范性文件】《国务院办公厅关于公布&lt;法律、行政法规、国务院决定设定的行政许可事项清单（2023年版）&gt;的通知》（国办发〔2023〕5号）中第66条；</w:t>
            </w:r>
          </w:p>
          <w:p>
            <w:pPr>
              <w:keepNext w:val="0"/>
              <w:keepLines w:val="0"/>
              <w:pageBreakBefore w:val="0"/>
              <w:widowControl/>
              <w:suppressLineNumbers w:val="0"/>
              <w:kinsoku/>
              <w:wordWrap/>
              <w:overflowPunct/>
              <w:topLinePunct w:val="0"/>
              <w:autoSpaceDE/>
              <w:autoSpaceDN/>
              <w:bidi w:val="0"/>
              <w:adjustRightInd/>
              <w:snapToGrid/>
              <w:spacing w:line="340" w:lineRule="exact"/>
              <w:ind w:firstLineChars="200" w:firstLine="420"/>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【规范性文件】《国务院关于禁止采集和销售发菜制止滥挖甘草和麻黄草有关问题的通知》（国发〔2000〕13号）中“二、严格管理，制止滥挖甘草和麻黄草、(三)实行甘草和麻黄草专营、许可证管理制度。”；</w:t>
            </w:r>
          </w:p>
          <w:p>
            <w:pPr>
              <w:keepNext w:val="0"/>
              <w:keepLines w:val="0"/>
              <w:pageBreakBefore w:val="0"/>
              <w:widowControl/>
              <w:suppressLineNumbers w:val="0"/>
              <w:kinsoku/>
              <w:wordWrap/>
              <w:overflowPunct/>
              <w:topLinePunct w:val="0"/>
              <w:autoSpaceDE/>
              <w:autoSpaceDN/>
              <w:bidi w:val="0"/>
              <w:adjustRightInd/>
              <w:snapToGrid/>
              <w:spacing w:line="340" w:lineRule="exact"/>
              <w:ind w:firstLineChars="200" w:firstLine="420"/>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【地方性法规】《内蒙古自治区禁毒条例》（2022年7月28日内蒙古自治区第十三届人民代表大会常务委员会第三十六次会议通过 自2022年10月1日起施行）第二十二条 旗县级以上人民政府林业和草原、工业和信息化、公安机关等部门应当按照各自职责，依法开展麻黄草采集、收购、运输核查和流向监控等工作，加强麻黄草管理，具体办法由自治区人民政府制定。</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麻黄草的采集许可，由自治区人民政府林业和草原行政主管部门依法实施。麻黄草的收购许可，由自治区人民政府工业和信息化主管部门依法实施。未经许可，任何组织或者个人不得采集、收购麻黄草。未经采集许可或者收购许可，任何组织或者个人不得非法运输麻黄草。</w:t>
            </w:r>
          </w:p>
          <w:p>
            <w:pPr>
              <w:keepNext w:val="0"/>
              <w:keepLines w:val="0"/>
              <w:pageBreakBefore w:val="0"/>
              <w:widowControl/>
              <w:suppressLineNumbers w:val="0"/>
              <w:kinsoku/>
              <w:wordWrap/>
              <w:overflowPunct/>
              <w:topLinePunct w:val="0"/>
              <w:autoSpaceDE/>
              <w:autoSpaceDN/>
              <w:bidi w:val="0"/>
              <w:adjustRightInd/>
              <w:snapToGrid/>
              <w:spacing w:line="340" w:lineRule="exact"/>
              <w:ind w:firstLineChars="200" w:firstLine="420"/>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生产经营企业应当建立麻黄草收购、产品加工和销售台账，保存期限不得少于二年。第五十七条  违反本条例第二十二条规定，非法采集、收购、运输麻黄草的，由旗县级人民政府林业和草原、工业和信息化、公安机关等部门按照职责依法责令停止违法行为，没收非法财物和违法所得，可以并处违法所得一倍以上五倍以下罚款；没有违法所得的，可以并处5万元以下罚款；构成犯罪的，依法追究刑事责任。</w:t>
            </w:r>
          </w:p>
          <w:p>
            <w:pPr>
              <w:keepNext w:val="0"/>
              <w:keepLines w:val="0"/>
              <w:pageBreakBefore w:val="0"/>
              <w:widowControl/>
              <w:suppressLineNumbers w:val="0"/>
              <w:kinsoku/>
              <w:wordWrap/>
              <w:overflowPunct/>
              <w:topLinePunct w:val="0"/>
              <w:autoSpaceDE/>
              <w:autoSpaceDN/>
              <w:bidi w:val="0"/>
              <w:adjustRightInd/>
              <w:snapToGrid/>
              <w:spacing w:line="340" w:lineRule="exact"/>
              <w:ind w:firstLineChars="200" w:firstLine="420"/>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【自治区部门规范性文件】《内蒙古自治区麻黄草收购许可证管理办法》（2023年5月12日内蒙古自治区工业和信息化厅印发）；"</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p>
        </w:tc>
        <w:tc>
          <w:tcPr>
            <w:tcW w:w="5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w:t>
            </w:r>
          </w:p>
        </w:tc>
        <w:tc>
          <w:tcPr>
            <w:tcW w:w="2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sz w:val="21"/>
                <w:szCs w:val="21"/>
                <w:lang w:val="en-US" w:eastAsia="zh-CN"/>
              </w:rPr>
            </w:pPr>
            <w:r>
              <w:rPr>
                <w:rFonts w:ascii="Times New Roman" w:eastAsia="仿宋_GB2312" w:cs="Times New Roman" w:hAnsi="Times New Roman"/>
                <w:sz w:val="21"/>
                <w:szCs w:val="21"/>
                <w:lang w:val="en-US" w:eastAsia="zh-CN"/>
              </w:rPr>
              <w:t>未经许可，任何组织或者个人不得采集、收购麻黄草。</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kern w:val="2"/>
                <w:sz w:val="21"/>
                <w:szCs w:val="21"/>
                <w:lang w:val="en-US" w:eastAsia="zh-CN" w:bidi="ar-SA"/>
              </w:rPr>
            </w:pPr>
            <w:r>
              <w:rPr>
                <w:rFonts w:ascii="Times New Roman" w:eastAsia="仿宋_GB2312" w:cs="Times New Roman" w:hAnsi="Times New Roman"/>
                <w:sz w:val="21"/>
                <w:szCs w:val="21"/>
                <w:lang w:val="en-US" w:eastAsia="zh-CN"/>
              </w:rPr>
              <w:t>生产经营企业应当建立麻黄草收购、产品加工和销售台账，保存期限不得少于二年。</w:t>
            </w:r>
          </w:p>
        </w:tc>
        <w:tc>
          <w:tcPr>
            <w:tcW w:w="11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sz w:val="21"/>
                <w:szCs w:val="21"/>
                <w:lang w:val="en-US" w:eastAsia="zh-CN"/>
              </w:rPr>
            </w:pPr>
            <w:r>
              <w:rPr>
                <w:rFonts w:ascii="Times New Roman" w:eastAsia="仿宋_GB2312" w:cs="Times New Roman" w:hAnsi="Times New Roman" w:hint="eastAsia"/>
                <w:sz w:val="21"/>
                <w:szCs w:val="21"/>
                <w:lang w:val="en-US" w:eastAsia="zh-CN"/>
              </w:rPr>
              <w:t>市工信局</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ascii="Times New Roman" w:eastAsia="仿宋_GB2312" w:cs="Times New Roman" w:hAnsi="Times New Roman" w:hint="eastAsia"/>
                <w:kern w:val="2"/>
                <w:sz w:val="21"/>
                <w:szCs w:val="21"/>
                <w:lang w:val="en-US" w:eastAsia="zh-CN" w:bidi="ar-SA"/>
              </w:rPr>
            </w:pPr>
            <w:r>
              <w:rPr>
                <w:rFonts w:ascii="Times New Roman" w:eastAsia="仿宋_GB2312" w:cs="Times New Roman" w:hAnsi="Times New Roman" w:hint="eastAsia"/>
                <w:sz w:val="21"/>
                <w:szCs w:val="21"/>
                <w:lang w:val="en-US" w:eastAsia="zh-CN"/>
              </w:rPr>
              <w:t>消费品工业科</w:t>
            </w:r>
          </w:p>
        </w:tc>
      </w:tr>
    </w:tbl>
    <w:p>
      <w:pPr>
        <w:jc w:val="center"/>
      </w:pPr>
    </w:p>
    <w:sectPr>
      <w:pgSz w:w="16838" w:h="11906" w:orient="landscape"/>
      <w:pgMar w:top="720" w:right="720" w:bottom="720" w:left="720" w:header="851" w:footer="992" w:gutter="0"/>
      <w:pgNumType/>
      <w:docGrid w:type="lines" w:linePitch="312" w:charSpace="0"/>
    </w:sectPr>
  </w:body>
</w:document>
</file>

<file path=word/fontTable.xml><?xml version="1.0" encoding="utf-8"?>
<w:fonts xmlns:w="http://schemas.openxmlformats.org/wordprocessingml/2006/main" xmlns:r="http://schemas.openxmlformats.org/officeDocument/2006/relationships">
  <w:font w:name="仿宋_GB2312">
    <w:panose1 w:val="02010609030101010101"/>
    <w:charset w:val="86"/>
    <w:family w:val="auto"/>
    <w:pitch w:val="variable"/>
    <w:sig w:usb0="00000001" w:usb1="080E0000" w:usb2="00000000" w:usb3="00000000" w:csb0="00040000" w:csb1="00000000"/>
  </w:font>
  <w:font w:name="方正小标宋简体">
    <w:panose1 w:val="02000000000000000000"/>
    <w:charset w:val="86"/>
    <w:family w:val="auto"/>
    <w:pitch w:val="variable"/>
    <w:sig w:usb0="A00002BF" w:usb1="184F6CFA" w:usb2="00000012" w:usb3="00000000" w:csb0="00040001" w:csb1="00000000"/>
  </w:font>
  <w:font w:name="Times New Roman">
    <w:panose1 w:val="02020603050405020304"/>
    <w:charset w:val="00"/>
    <w:family w:val="auto"/>
    <w:pitch w:val="variable"/>
    <w:sig w:usb0="00007A87" w:usb1="80000000" w:usb2="00000008" w:usb3="00000000" w:csb0="400001FF" w:csb1="FFFF0000"/>
  </w:font>
  <w:font w:name="宋体">
    <w:altName w:val="方正书宋_GBK"/>
    <w:panose1 w:val="02010600030101010101"/>
    <w:charset w:val="86"/>
    <w:family w:val="auto"/>
    <w:pitch w:val="variable"/>
    <w:sig w:usb0="00000003" w:usb1="288F0000" w:usb2="0000000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swiss"/>
    <w:pitch w:val="variable"/>
    <w:sig w:usb0="00000000" w:usb1="00000000" w:usb2="00000001" w:usb3="00000000" w:csb0="0000019F" w:csb1="00000000"/>
  </w:font>
  <w:font w:name="黑体">
    <w:panose1 w:val="02010609060101010101"/>
    <w:charset w:val="86"/>
    <w:family w:val="auto"/>
    <w:pitch w:val="variable"/>
    <w:sig w:usb0="800002BF" w:usb1="38CF7CFA"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val="0"/>
  <w:bordersDoNotSurroundFooter w:val="0"/>
  <w:defaultTabStop w:val="420"/>
  <w:drawingGridHorizontalSpacing w:val="180"/>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1"/>
  </w:compat>
  <w:docVars>
    <w:docVar w:name="commondata" w:val="eyJoZGlkIjoiODVlYTJjZGEyNTlmMDY0OGQzOWIxMmM3NGNjOThmNjM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Calibri" w:eastAsia="宋体" w:cs="Times New Roman" w:hAnsi="Calibri"/>
      <w:kern w:val="2"/>
      <w:sz w:val="21"/>
      <w:szCs w:val="24"/>
      <w:lang w:val="en-US" w:eastAsia="zh-CN" w:bidi="ar-SA"/>
    </w:rPr>
  </w:style>
  <w:style w:type="paragraph" w:styleId="1">
    <w:name w:val="heading 1"/>
    <w:basedOn w:val="0"/>
    <w:next w:val="0"/>
    <w:pPr>
      <w:keepNext/>
      <w:keepLines/>
      <w:spacing w:before="340" w:after="330" w:line="578" w:lineRule="auto"/>
      <w:outlineLvl w:val="0"/>
    </w:pPr>
    <w:rPr>
      <w:b/>
      <w:bCs/>
      <w:kern w:val="44"/>
      <w:sz w:val="44"/>
      <w:szCs w:val="44"/>
    </w:rPr>
  </w:style>
  <w:style w:type="paragraph" w:styleId="2">
    <w:name w:val="heading 2"/>
    <w:basedOn w:val="0"/>
    <w:next w:val="0"/>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spacing w:before="260" w:after="260" w:line="415" w:lineRule="auto"/>
      <w:outlineLvl w:val="2"/>
    </w:pPr>
    <w:rPr>
      <w:b/>
      <w:bCs/>
      <w:sz w:val="32"/>
      <w:szCs w:val="32"/>
    </w:rPr>
  </w:style>
  <w:style w:type="character" w:default="1" w:styleId="10">
    <w:name w:val="Default Paragraph Font"/>
  </w:style>
  <w:style w:type="paragraph" w:styleId="15">
    <w:name w:val="Normal (Web)"/>
    <w:basedOn w:val="0"/>
    <w:pPr>
      <w:spacing w:before="100" w:beforeAutospacing="1" w:after="100" w:afterAutospacing="1"/>
      <w:ind w:left="0" w:right="0"/>
      <w:jc w:val="left"/>
    </w:pPr>
    <w:rPr>
      <w:kern w:val="0"/>
      <w:sz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514142D0-7432-4FEC-81CC-AC47849431EE}">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14095863</TotalTime>
  <Application>Yozo_Office27021597764231179</Application>
  <Pages>21</Pages>
  <Words>0</Words>
  <Characters>15489</Characters>
  <Lines>0</Lines>
  <Paragraphs>3</Paragraphs>
  <CharactersWithSpaces>20652</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tongliao</dc:creator>
  <cp:lastModifiedBy>uos</cp:lastModifiedBy>
  <cp:revision>1</cp:revision>
  <dcterms:created xsi:type="dcterms:W3CDTF">2024-06-13T09:39:00Z</dcterms:created>
  <dcterms:modified xsi:type="dcterms:W3CDTF">2025-08-27T07:55:44Z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2052-12.8.2.1119</vt:lpwstr>
  </property>
  <property fmtid="{D5CDD505-2E9C-101B-9397-08002B2CF9AE}" pid="3" name="ICV  ">
    <vt:lpwstr>73E935E0E0CC081CEB997366620C2F1B</vt:lpwstr>
  </property>
</Properties>
</file>