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16C1AB">
      <w:pPr>
        <w:pStyle w:val="9"/>
        <w:ind w:firstLine="0" w:firstLineChars="0"/>
        <w:rPr>
          <w:rFonts w:hint="eastAsia" w:ascii="黑体" w:hAnsi="黑体" w:eastAsia="黑体" w:cs="黑体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lang w:val="en-US" w:eastAsia="zh-CN"/>
        </w:rPr>
        <w:t>附  件</w:t>
      </w:r>
    </w:p>
    <w:p w14:paraId="2E9811F5">
      <w:pPr>
        <w:pStyle w:val="9"/>
        <w:ind w:firstLine="0" w:firstLineChars="0"/>
        <w:rPr>
          <w:rFonts w:hint="eastAsia" w:ascii="黑体" w:hAnsi="黑体" w:eastAsia="黑体" w:cs="黑体"/>
          <w:lang w:val="en-US" w:eastAsia="zh-CN"/>
        </w:rPr>
      </w:pPr>
    </w:p>
    <w:p w14:paraId="66EB1EA3">
      <w:pPr>
        <w:bidi w:val="0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b/>
          <w:bCs/>
          <w:sz w:val="42"/>
          <w:szCs w:val="4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2"/>
          <w:szCs w:val="42"/>
          <w:lang w:val="en-US" w:eastAsia="zh-CN"/>
        </w:rPr>
        <w:t>河南省工业企业</w:t>
      </w:r>
    </w:p>
    <w:p w14:paraId="63C96BC0">
      <w:pPr>
        <w:bidi w:val="0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b/>
          <w:bCs/>
          <w:sz w:val="42"/>
          <w:szCs w:val="4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2"/>
          <w:szCs w:val="42"/>
          <w:lang w:val="en-US" w:eastAsia="zh-CN"/>
        </w:rPr>
        <w:t>园区工业绿色微电网建设指南</w:t>
      </w:r>
    </w:p>
    <w:p w14:paraId="27CF4F2E">
      <w:pPr>
        <w:pStyle w:val="9"/>
        <w:spacing w:line="760" w:lineRule="exact"/>
        <w:ind w:left="0" w:leftChars="0" w:firstLine="0" w:firstLineChars="0"/>
        <w:jc w:val="center"/>
        <w:rPr>
          <w:rFonts w:hint="eastAsia" w:ascii="楷体" w:hAnsi="楷体" w:eastAsia="楷体" w:cs="楷体"/>
          <w:b w:val="0"/>
          <w:bCs w:val="0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/>
        </w:rPr>
        <w:t>（征求意见稿）</w:t>
      </w:r>
    </w:p>
    <w:p w14:paraId="73C946DA">
      <w:pPr>
        <w:bidi w:val="0"/>
        <w:rPr>
          <w:rFonts w:hint="eastAsia"/>
          <w:lang w:val="en-US" w:eastAsia="zh-CN"/>
        </w:rPr>
      </w:pPr>
    </w:p>
    <w:p w14:paraId="4E415820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工业绿色微电网</w:t>
      </w:r>
      <w:r>
        <w:rPr>
          <w:lang w:val="en-US" w:eastAsia="zh-CN"/>
        </w:rPr>
        <w:t>是基于工业</w:t>
      </w:r>
      <w:r>
        <w:rPr>
          <w:rFonts w:hint="eastAsia"/>
          <w:lang w:val="en-US" w:eastAsia="zh-CN"/>
        </w:rPr>
        <w:t>企业</w:t>
      </w:r>
      <w:r>
        <w:rPr>
          <w:lang w:val="en-US" w:eastAsia="zh-CN"/>
        </w:rPr>
        <w:t>和园区</w:t>
      </w:r>
      <w:r>
        <w:rPr>
          <w:rFonts w:hint="eastAsia"/>
          <w:lang w:val="en-US" w:eastAsia="zh-CN"/>
        </w:rPr>
        <w:t>用能需求特点，采用先进的数字信息以及互联网技术，由分布式能源、用电负荷、配电设施、储能装置、智能管控等组成的发配用电系统；是一种以智慧能源管控为基础，集成应用光伏、风电、高效热泵、工业余热余压、新型储能、氢能等多种能源，以期实现工业企业、园区内电、热、冷、气等多种形式能源高效互补利用的工业用能新载体。工业绿色微电网是降低工业企业用电成本的主要途径，是实现节能降碳目标的重要手段，为指导工业企业、园区建设工业绿色微电网，推动</w:t>
      </w:r>
      <w:r>
        <w:rPr>
          <w:rFonts w:hint="default"/>
          <w:lang w:val="en-US" w:eastAsia="zh-CN"/>
        </w:rPr>
        <w:t>工业企业、园区提高能效，</w:t>
      </w:r>
      <w:r>
        <w:rPr>
          <w:rFonts w:hint="default"/>
        </w:rPr>
        <w:t>保障工业稳增长合理用能需求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制定本指南。</w:t>
      </w:r>
    </w:p>
    <w:p w14:paraId="1A7776C7">
      <w:pPr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一、建设目标</w:t>
      </w:r>
    </w:p>
    <w:p w14:paraId="5FA32143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工业企业和园区通过建设运行工业绿色微电网，</w:t>
      </w:r>
      <w:r>
        <w:t>加快分布式光伏、分散式风电、多元储能、高效热泵、余热余压利用、智慧能源管控等一体化系统开发运行，加强能源系统优化和梯级利用</w:t>
      </w:r>
      <w:r>
        <w:rPr>
          <w:rFonts w:hint="eastAsia"/>
          <w:lang w:eastAsia="zh-CN"/>
        </w:rPr>
        <w:t>，</w:t>
      </w:r>
      <w:r>
        <w:t>因地制宜推广园区集中供热、能源供应中枢等新业态。</w:t>
      </w:r>
      <w:r>
        <w:rPr>
          <w:rFonts w:hint="eastAsia"/>
          <w:lang w:val="en-US" w:eastAsia="zh-CN"/>
        </w:rPr>
        <w:t>促</w:t>
      </w:r>
      <w:r>
        <w:t>进</w:t>
      </w:r>
      <w:r>
        <w:rPr>
          <w:rFonts w:hint="default"/>
          <w:lang w:val="en-US" w:eastAsia="zh-CN"/>
        </w:rPr>
        <w:t>工业企业、园区提高能效</w:t>
      </w:r>
      <w:r>
        <w:rPr>
          <w:rFonts w:hint="eastAsia"/>
          <w:lang w:val="en-US" w:eastAsia="zh-CN"/>
        </w:rPr>
        <w:t>，</w:t>
      </w:r>
      <w:r>
        <w:rPr>
          <w:rFonts w:hint="default"/>
        </w:rPr>
        <w:t>保障工业稳增长合理用能需求</w:t>
      </w:r>
      <w:r>
        <w:rPr>
          <w:rFonts w:hint="default"/>
          <w:lang w:eastAsia="zh-CN"/>
        </w:rPr>
        <w:t>，</w:t>
      </w:r>
      <w:r>
        <w:rPr>
          <w:rFonts w:hint="eastAsia"/>
          <w:lang w:val="en-US" w:eastAsia="zh-CN"/>
        </w:rPr>
        <w:t>实现</w:t>
      </w:r>
      <w:r>
        <w:t>多能高效互补利用，促进就近大规模高比例消纳可再生能源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降低用能成本，</w:t>
      </w:r>
      <w:r>
        <w:rPr>
          <w:lang w:val="en-US" w:eastAsia="zh-CN"/>
        </w:rPr>
        <w:t>推动落实“双碳”目标</w:t>
      </w:r>
      <w:r>
        <w:rPr>
          <w:rFonts w:hint="eastAsia"/>
          <w:lang w:val="en-US" w:eastAsia="zh-CN"/>
        </w:rPr>
        <w:t>实现。</w:t>
      </w:r>
    </w:p>
    <w:p w14:paraId="2C2A5DB3">
      <w:pPr>
        <w:bidi w:val="0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二、建设思路</w:t>
      </w:r>
    </w:p>
    <w:p w14:paraId="5B86AD3F">
      <w:pPr>
        <w:bidi w:val="0"/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  <w:lang w:val="en-US" w:eastAsia="zh-CN"/>
        </w:rPr>
        <w:t>（一）从需求侧出发，主动适配以新能源为主体的新型电力系统</w:t>
      </w:r>
    </w:p>
    <w:p w14:paraId="128EFD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/>
          <w:lang w:val="en-US" w:eastAsia="zh-CN"/>
        </w:rPr>
        <w:t>工业企业和园区要</w:t>
      </w:r>
      <w:r>
        <w:rPr>
          <w:lang w:val="en-US" w:eastAsia="zh-CN"/>
        </w:rPr>
        <w:t>加</w:t>
      </w:r>
      <w:r>
        <w:rPr>
          <w:rFonts w:hint="eastAsia"/>
          <w:lang w:val="en-US" w:eastAsia="zh-CN"/>
        </w:rPr>
        <w:t>强</w:t>
      </w:r>
      <w:r>
        <w:rPr>
          <w:lang w:val="en-US" w:eastAsia="zh-CN"/>
        </w:rPr>
        <w:t>厂房光伏、分布式风电、多元储</w:t>
      </w:r>
      <w:r>
        <w:rPr>
          <w:rFonts w:hint="eastAsia"/>
          <w:lang w:val="en-US" w:eastAsia="zh-CN"/>
        </w:rPr>
        <w:t>能、高效热泵、余热余压利用、智慧能源管控系统等一体化系统应用，增强工业能源供给可靠性，提升用电灵活性和韧性，提高电力需求侧调节响应能力，灵活适配可再生能源大规模发展、促进清洁能源接入和就地消纳，增强工业能源供给可靠性。</w:t>
      </w:r>
    </w:p>
    <w:p w14:paraId="789C64BE">
      <w:pPr>
        <w:bidi w:val="0"/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  <w:lang w:eastAsia="zh-CN"/>
        </w:rPr>
        <w:t>（</w:t>
      </w:r>
      <w:r>
        <w:rPr>
          <w:rFonts w:hint="eastAsia" w:ascii="楷体" w:hAnsi="楷体" w:eastAsia="楷体" w:cs="楷体"/>
          <w:lang w:val="en-US" w:eastAsia="zh-CN"/>
        </w:rPr>
        <w:t>二</w:t>
      </w:r>
      <w:r>
        <w:rPr>
          <w:rFonts w:hint="eastAsia" w:ascii="楷体" w:hAnsi="楷体" w:eastAsia="楷体" w:cs="楷体"/>
          <w:lang w:eastAsia="zh-CN"/>
        </w:rPr>
        <w:t>）</w:t>
      </w:r>
      <w:r>
        <w:rPr>
          <w:rFonts w:hint="eastAsia" w:ascii="楷体" w:hAnsi="楷体" w:eastAsia="楷体" w:cs="楷体"/>
          <w:lang w:val="en-US" w:eastAsia="zh-CN"/>
        </w:rPr>
        <w:t>从过程入手，系统提升工业企业和园区用能效率和水平</w:t>
      </w:r>
    </w:p>
    <w:p w14:paraId="63454DD2">
      <w:pPr>
        <w:bidi w:val="0"/>
      </w:pPr>
      <w:r>
        <w:rPr>
          <w:lang w:val="en-US" w:eastAsia="zh-CN"/>
        </w:rPr>
        <w:t>工业企业和园区要系</w:t>
      </w:r>
      <w:r>
        <w:rPr>
          <w:rFonts w:hint="eastAsia"/>
          <w:lang w:val="en-US" w:eastAsia="zh-CN"/>
        </w:rPr>
        <w:t>统推进现有用能终端设施改造升级，应用智能用电设备，提升能源消费智能化和电气化水平，按照</w:t>
      </w:r>
      <w:r>
        <w:rPr>
          <w:lang w:val="en-US" w:eastAsia="zh-CN"/>
        </w:rPr>
        <w:t>多能协同供应、多元储能设施和智能管控系统的建设要求，</w:t>
      </w:r>
      <w:r>
        <w:rPr>
          <w:rFonts w:hint="eastAsia"/>
          <w:lang w:val="en-US" w:eastAsia="zh-CN"/>
        </w:rPr>
        <w:t>提高工业能源利用效率，促进工业生产过程绿色高质量发展。</w:t>
      </w:r>
    </w:p>
    <w:p w14:paraId="00B9B11F">
      <w:pPr>
        <w:bidi w:val="0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三、建设内容</w:t>
      </w:r>
    </w:p>
    <w:p w14:paraId="0D99EBA7">
      <w:pPr>
        <w:bidi w:val="0"/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  <w:lang w:val="en-US" w:eastAsia="zh-CN"/>
        </w:rPr>
        <w:t>（一）</w:t>
      </w:r>
      <w:r>
        <w:rPr>
          <w:rFonts w:hint="eastAsia" w:ascii="楷体" w:hAnsi="楷体" w:eastAsia="楷体" w:cs="楷体"/>
        </w:rPr>
        <w:t>能源供应多元化</w:t>
      </w:r>
    </w:p>
    <w:p w14:paraId="00BDF87E">
      <w:pPr>
        <w:bidi w:val="0"/>
        <w:rPr>
          <w:rFonts w:hint="eastAsia"/>
        </w:rPr>
      </w:pPr>
      <w:r>
        <w:rPr>
          <w:rFonts w:hint="eastAsia"/>
          <w:lang w:val="en-US" w:eastAsia="zh-CN"/>
        </w:rPr>
        <w:t>1.可再生能源利用：工业企业和园区工业绿色微电网</w:t>
      </w:r>
      <w:r>
        <w:rPr>
          <w:rFonts w:hint="eastAsia"/>
        </w:rPr>
        <w:t>接入能源应以分布式能源为主，</w:t>
      </w:r>
      <w:r>
        <w:t>集成</w:t>
      </w:r>
      <w:r>
        <w:rPr>
          <w:rFonts w:hint="eastAsia"/>
          <w:lang w:val="en-US" w:eastAsia="zh-CN"/>
        </w:rPr>
        <w:t>应用</w:t>
      </w:r>
      <w:r>
        <w:rPr>
          <w:rFonts w:hint="default"/>
        </w:rPr>
        <w:t>能源耦合技术</w:t>
      </w:r>
      <w:r>
        <w:rPr>
          <w:rFonts w:hint="eastAsia"/>
          <w:lang w:eastAsia="zh-CN"/>
        </w:rPr>
        <w:t>、</w:t>
      </w:r>
      <w:r>
        <w:t>太阳能光伏、风力发电等可再生能源发电技术，因地制宜开发</w:t>
      </w:r>
      <w:r>
        <w:rPr>
          <w:rFonts w:hint="eastAsia"/>
          <w:lang w:val="en-US" w:eastAsia="zh-CN"/>
        </w:rPr>
        <w:t>自身</w:t>
      </w:r>
      <w:r>
        <w:t>可再生能源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鼓励</w:t>
      </w:r>
      <w:r>
        <w:t>具备条件的工业</w:t>
      </w:r>
      <w:r>
        <w:rPr>
          <w:rFonts w:hint="eastAsia"/>
          <w:lang w:val="en-US" w:eastAsia="zh-CN"/>
        </w:rPr>
        <w:t>企业和</w:t>
      </w:r>
      <w:r>
        <w:t>园区</w:t>
      </w:r>
      <w:r>
        <w:rPr>
          <w:rFonts w:hint="eastAsia"/>
          <w:lang w:val="en-US" w:eastAsia="zh-CN"/>
        </w:rPr>
        <w:t>利用</w:t>
      </w:r>
      <w:r>
        <w:rPr>
          <w:rFonts w:hint="eastAsia"/>
        </w:rPr>
        <w:t>煤层气（瓦斯）发电、生物质发电、天然气冷热电联合供能，</w:t>
      </w:r>
      <w:r>
        <w:rPr>
          <w:rFonts w:hint="eastAsia"/>
          <w:lang w:val="en-US" w:eastAsia="zh-CN"/>
        </w:rPr>
        <w:t>为工业生产提供绿色能源</w:t>
      </w:r>
      <w:r>
        <w:rPr>
          <w:rFonts w:hint="eastAsia"/>
        </w:rPr>
        <w:t>。</w:t>
      </w:r>
    </w:p>
    <w:p w14:paraId="224A461B">
      <w:pPr>
        <w:bidi w:val="0"/>
      </w:pPr>
      <w:r>
        <w:rPr>
          <w:rFonts w:hint="eastAsia"/>
          <w:lang w:val="en-US" w:eastAsia="zh-CN"/>
        </w:rPr>
        <w:t>2.</w:t>
      </w:r>
      <w:r>
        <w:t>余能回收利用</w:t>
      </w:r>
      <w:r>
        <w:rPr>
          <w:rFonts w:hint="default"/>
        </w:rPr>
        <w:t>：</w:t>
      </w:r>
      <w:r>
        <w:rPr>
          <w:rFonts w:hint="eastAsia"/>
          <w:lang w:val="en-US" w:eastAsia="zh-CN"/>
        </w:rPr>
        <w:t>鼓励工业企业和园区</w:t>
      </w:r>
      <w:r>
        <w:rPr>
          <w:rFonts w:hint="default"/>
        </w:rPr>
        <w:t>回收利用工业生产过程中的余热余压，如钢铁</w:t>
      </w:r>
      <w:r>
        <w:rPr>
          <w:rFonts w:hint="eastAsia"/>
          <w:lang w:val="en-US" w:eastAsia="zh-CN"/>
        </w:rPr>
        <w:t>企业</w:t>
      </w:r>
      <w:r>
        <w:rPr>
          <w:rFonts w:hint="default"/>
        </w:rPr>
        <w:t>的高炉煤气余压、水泥</w:t>
      </w:r>
      <w:r>
        <w:rPr>
          <w:rFonts w:hint="eastAsia"/>
          <w:lang w:val="en-US" w:eastAsia="zh-CN"/>
        </w:rPr>
        <w:t>企业</w:t>
      </w:r>
      <w:r>
        <w:rPr>
          <w:rFonts w:hint="default"/>
        </w:rPr>
        <w:t>的窑尾余热等，将其转换为电能或其他形式的可用能源，提高能源利用效率。</w:t>
      </w:r>
    </w:p>
    <w:p w14:paraId="0C2E225B">
      <w:pPr>
        <w:bidi w:val="0"/>
      </w:pPr>
      <w:r>
        <w:rPr>
          <w:rFonts w:hint="eastAsia"/>
          <w:lang w:val="en-US" w:eastAsia="zh-CN"/>
        </w:rPr>
        <w:t>3.其他能源形式：鼓励</w:t>
      </w:r>
      <w:r>
        <w:rPr>
          <w:rFonts w:hint="eastAsia" w:ascii="仿宋_GB2312" w:hAnsi="仿宋_GB2312" w:eastAsia="仿宋_GB2312" w:cs="仿宋_GB2312"/>
          <w:sz w:val="32"/>
          <w:szCs w:val="32"/>
        </w:rPr>
        <w:t>尝试</w:t>
      </w:r>
      <w:r>
        <w:t>引入高效热泵技术，利用浅层地热能、空气热能等低品位热能为工业生产提供供热、制冷等需求；有条件的</w:t>
      </w:r>
      <w:r>
        <w:rPr>
          <w:rFonts w:hint="eastAsia"/>
          <w:lang w:val="en-US" w:eastAsia="zh-CN"/>
        </w:rPr>
        <w:t>企业和园区</w:t>
      </w:r>
      <w:r>
        <w:t>，</w:t>
      </w:r>
      <w:r>
        <w:rPr>
          <w:rFonts w:hint="eastAsia"/>
          <w:lang w:val="en-US" w:eastAsia="zh-CN"/>
        </w:rPr>
        <w:t>可将</w:t>
      </w:r>
      <w:r>
        <w:t>氢能作为一种补充能源，用于燃料电池发电或为特定工业设备提供动力。</w:t>
      </w:r>
    </w:p>
    <w:p w14:paraId="5EC34CCA">
      <w:pPr>
        <w:bidi w:val="0"/>
        <w:rPr>
          <w:rFonts w:hint="eastAsia" w:ascii="楷体" w:hAnsi="楷体" w:eastAsia="楷体" w:cs="楷体"/>
          <w:lang w:val="en-US"/>
        </w:rPr>
      </w:pPr>
      <w:r>
        <w:rPr>
          <w:rFonts w:hint="eastAsia" w:ascii="楷体" w:hAnsi="楷体" w:eastAsia="楷体" w:cs="楷体"/>
          <w:lang w:eastAsia="zh-CN"/>
        </w:rPr>
        <w:t>（</w:t>
      </w:r>
      <w:r>
        <w:rPr>
          <w:rFonts w:hint="eastAsia" w:ascii="楷体" w:hAnsi="楷体" w:eastAsia="楷体" w:cs="楷体"/>
          <w:lang w:val="en-US" w:eastAsia="zh-CN"/>
        </w:rPr>
        <w:t>二</w:t>
      </w:r>
      <w:r>
        <w:rPr>
          <w:rFonts w:hint="eastAsia" w:ascii="楷体" w:hAnsi="楷体" w:eastAsia="楷体" w:cs="楷体"/>
          <w:lang w:eastAsia="zh-CN"/>
        </w:rPr>
        <w:t>）</w:t>
      </w:r>
      <w:r>
        <w:rPr>
          <w:rFonts w:hint="eastAsia" w:ascii="楷体" w:hAnsi="楷体" w:eastAsia="楷体" w:cs="楷体"/>
          <w:lang w:val="en-US" w:eastAsia="zh-CN"/>
        </w:rPr>
        <w:t>新型储能系统</w:t>
      </w:r>
    </w:p>
    <w:p w14:paraId="7373A6C4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储能作为微电网重要的调节手段之一，配置规模应该通过合理性分析，与电源发电特性、负荷特性相匹配，最大化利用清洁能源。</w:t>
      </w:r>
      <w:r>
        <w:rPr>
          <w:rFonts w:hint="eastAsia"/>
        </w:rPr>
        <w:t>推广用户侧储能，利用峰谷电价差为企业降低用能成本，同时通过与绿色能源出力特性相匹配，建设合理规模的新型储能电站</w:t>
      </w:r>
      <w:r>
        <w:rPr>
          <w:rFonts w:hint="eastAsia"/>
          <w:lang w:eastAsia="zh-CN"/>
        </w:rPr>
        <w:t>。</w:t>
      </w:r>
      <w:r>
        <w:rPr>
          <w:rFonts w:hint="eastAsia"/>
          <w:lang w:val="en-US" w:eastAsia="zh-CN"/>
        </w:rPr>
        <w:t>储能类型以新型储能为主，</w:t>
      </w:r>
      <w:r>
        <w:rPr>
          <w:rFonts w:hint="eastAsia"/>
        </w:rPr>
        <w:t>除电化学储能外，尝试推广</w:t>
      </w:r>
      <w:r>
        <w:t>抽水蓄能</w:t>
      </w:r>
      <w:r>
        <w:rPr>
          <w:rFonts w:hint="eastAsia"/>
          <w:lang w:eastAsia="zh-CN"/>
        </w:rPr>
        <w:t>、</w:t>
      </w:r>
      <w:r>
        <w:rPr>
          <w:rFonts w:hint="eastAsia"/>
        </w:rPr>
        <w:t>飞轮储能、压缩空气储能、氢（氨）储能等多种形式的储能方式。</w:t>
      </w:r>
      <w:r>
        <w:rPr>
          <w:rFonts w:hint="eastAsia"/>
          <w:lang w:val="en-US" w:eastAsia="zh-CN"/>
        </w:rPr>
        <w:t>鼓励</w:t>
      </w:r>
      <w:r>
        <w:t>在有合适的地形条件时，建设小型抽水蓄能电站；</w:t>
      </w:r>
      <w:r>
        <w:rPr>
          <w:rFonts w:hint="eastAsia"/>
          <w:lang w:val="en-US" w:eastAsia="zh-CN"/>
        </w:rPr>
        <w:t>建设</w:t>
      </w:r>
      <w:r>
        <w:t>压缩空气储能可利用低谷电力将空气压缩储存，在需要时释放驱动涡轮机发电。</w:t>
      </w:r>
    </w:p>
    <w:p w14:paraId="48A978CD">
      <w:pPr>
        <w:bidi w:val="0"/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eastAsia="zh-CN"/>
        </w:rPr>
        <w:t>（</w:t>
      </w:r>
      <w:r>
        <w:rPr>
          <w:rFonts w:hint="eastAsia" w:ascii="楷体" w:hAnsi="楷体" w:eastAsia="楷体" w:cs="楷体"/>
          <w:lang w:val="en-US" w:eastAsia="zh-CN"/>
        </w:rPr>
        <w:t>三</w:t>
      </w:r>
      <w:r>
        <w:rPr>
          <w:rFonts w:hint="eastAsia" w:ascii="楷体" w:hAnsi="楷体" w:eastAsia="楷体" w:cs="楷体"/>
          <w:lang w:eastAsia="zh-CN"/>
        </w:rPr>
        <w:t>）</w:t>
      </w:r>
      <w:r>
        <w:rPr>
          <w:rFonts w:hint="eastAsia" w:ascii="楷体" w:hAnsi="楷体" w:eastAsia="楷体" w:cs="楷体"/>
        </w:rPr>
        <w:t>智能电网</w:t>
      </w:r>
      <w:r>
        <w:rPr>
          <w:rFonts w:hint="eastAsia" w:ascii="楷体" w:hAnsi="楷体" w:eastAsia="楷体" w:cs="楷体"/>
          <w:lang w:val="en-US" w:eastAsia="zh-CN"/>
        </w:rPr>
        <w:t>建设</w:t>
      </w:r>
    </w:p>
    <w:p w14:paraId="18E48A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 w:firstLineChars="20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1.网架建设：以工业企业、园区用电侧配电网为中心，清洁能源就近、就地以专变、专线直接接入工业企业、园区配电设施，所发电力电量直接由工业企业、园区利用，鼓励利用屋顶建设分布式光伏项目，</w:t>
      </w:r>
      <w:r>
        <w:rPr>
          <w:rFonts w:hint="eastAsia"/>
        </w:rPr>
        <w:t>原则上</w:t>
      </w:r>
      <w:r>
        <w:rPr>
          <w:rFonts w:hint="eastAsia"/>
          <w:lang w:val="en-US" w:eastAsia="zh-CN"/>
        </w:rPr>
        <w:t>工业园区、工业企业红线外</w:t>
      </w:r>
      <w:r>
        <w:rPr>
          <w:rFonts w:hint="eastAsia"/>
        </w:rPr>
        <w:t>清洁能源</w:t>
      </w:r>
      <w:r>
        <w:rPr>
          <w:rFonts w:hint="eastAsia"/>
          <w:lang w:val="en-US" w:eastAsia="zh-CN"/>
        </w:rPr>
        <w:t>项目</w:t>
      </w:r>
      <w:r>
        <w:rPr>
          <w:rFonts w:hint="eastAsia"/>
        </w:rPr>
        <w:t>汇集点与接入</w:t>
      </w:r>
      <w:r>
        <w:rPr>
          <w:rFonts w:hint="eastAsia"/>
          <w:lang w:val="en-US" w:eastAsia="zh-CN"/>
        </w:rPr>
        <w:t>微电网</w:t>
      </w:r>
      <w:r>
        <w:rPr>
          <w:rFonts w:hint="eastAsia"/>
        </w:rPr>
        <w:t>的距离不超过20公里</w:t>
      </w:r>
      <w:r>
        <w:rPr>
          <w:rFonts w:hint="eastAsia"/>
          <w:lang w:val="en-US" w:eastAsia="zh-CN"/>
        </w:rPr>
        <w:t>。工业绿色微电网应</w:t>
      </w:r>
      <w:r>
        <w:rPr>
          <w:rFonts w:hint="eastAsia"/>
        </w:rPr>
        <w:t>作为整体</w:t>
      </w:r>
      <w:r>
        <w:rPr>
          <w:rFonts w:hint="eastAsia"/>
          <w:lang w:val="en-US" w:eastAsia="zh-CN"/>
        </w:rPr>
        <w:t>接入</w:t>
      </w:r>
      <w:r>
        <w:rPr>
          <w:rFonts w:hint="eastAsia"/>
        </w:rPr>
        <w:t>公共电网，与公共电网</w:t>
      </w:r>
      <w:r>
        <w:rPr>
          <w:rFonts w:hint="eastAsia"/>
          <w:lang w:val="en-US" w:eastAsia="zh-CN"/>
        </w:rPr>
        <w:t>电气断面清晰，断面之间交换功率和交换时间段应可观、可测、可调、可控</w:t>
      </w:r>
      <w:r>
        <w:rPr>
          <w:rFonts w:hint="eastAsia"/>
        </w:rPr>
        <w:t>。</w:t>
      </w:r>
    </w:p>
    <w:p w14:paraId="081639E4">
      <w:pPr>
        <w:bidi w:val="0"/>
      </w:pPr>
      <w:r>
        <w:rPr>
          <w:rFonts w:hint="eastAsia"/>
          <w:lang w:val="en-US" w:eastAsia="zh-CN"/>
        </w:rPr>
        <w:t>2.</w:t>
      </w:r>
      <w:r>
        <w:t>智能电网技术</w:t>
      </w:r>
      <w:r>
        <w:rPr>
          <w:rFonts w:hint="default"/>
        </w:rPr>
        <w:t>：利用传感器技术、通信技术和智能控制技术，对微电网内的电力设备和线路进行实时监测和控制，实现电力的智能调度和分配，提高电网运行效率和可靠性，确保各能源供应环节与负荷需求的精准匹配。</w:t>
      </w:r>
    </w:p>
    <w:p w14:paraId="30DBD7E9">
      <w:pPr>
        <w:bidi w:val="0"/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（四）</w:t>
      </w:r>
      <w:r>
        <w:rPr>
          <w:rFonts w:hint="eastAsia" w:ascii="楷体" w:hAnsi="楷体" w:eastAsia="楷体" w:cs="楷体"/>
        </w:rPr>
        <w:t>负荷管理</w:t>
      </w:r>
    </w:p>
    <w:p w14:paraId="2EB8CA01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</w:t>
      </w:r>
      <w:r>
        <w:t>智能用电设备应用</w:t>
      </w:r>
      <w:r>
        <w:rPr>
          <w:rFonts w:hint="default"/>
        </w:rPr>
        <w:t>：</w:t>
      </w:r>
      <w:r>
        <w:t>推进工业用能电气化，扩大电锅炉、电窑炉、电动力等应用</w:t>
      </w:r>
      <w:r>
        <w:rPr>
          <w:rFonts w:hint="eastAsia"/>
        </w:rPr>
        <w:t>，并推荐采用高效电动机、风机、变压器等节能产品</w:t>
      </w:r>
      <w:r>
        <w:rPr>
          <w:rFonts w:hint="default"/>
        </w:rPr>
        <w:t>，根据实际负荷需求自动调整运行状态，降低能耗。</w:t>
      </w:r>
    </w:p>
    <w:p w14:paraId="37C15773">
      <w:pPr>
        <w:bidi w:val="0"/>
      </w:pPr>
      <w:r>
        <w:rPr>
          <w:rFonts w:hint="eastAsia"/>
          <w:lang w:val="en-US" w:eastAsia="zh-CN"/>
        </w:rPr>
        <w:t>2.</w:t>
      </w:r>
      <w:r>
        <w:t>需求侧响应</w:t>
      </w:r>
      <w:r>
        <w:rPr>
          <w:rFonts w:hint="eastAsia"/>
          <w:lang w:eastAsia="zh-CN"/>
        </w:rPr>
        <w:t>：</w:t>
      </w:r>
      <w:r>
        <w:t>实施需求侧响应策略</w:t>
      </w:r>
      <w:r>
        <w:rPr>
          <w:rFonts w:hint="eastAsia"/>
          <w:lang w:eastAsia="zh-CN"/>
        </w:rPr>
        <w:t>，</w:t>
      </w:r>
      <w:r>
        <w:t>通过需求侧管理，</w:t>
      </w:r>
      <w:r>
        <w:rPr>
          <w:lang w:val="en-US" w:eastAsia="zh-CN"/>
        </w:rPr>
        <w:t>充分发挥工业企业和工业园区负荷</w:t>
      </w:r>
      <w:r>
        <w:rPr>
          <w:rFonts w:hint="eastAsia"/>
          <w:lang w:val="en-US" w:eastAsia="zh-CN"/>
        </w:rPr>
        <w:t>侧调节能力，</w:t>
      </w:r>
      <w:r>
        <w:t>在电网负荷高峰或能源供应紧张时，调整生产计划，减少非关键设备的用电负荷，或调整生产工艺，将部分用电负荷转移至低谷时段，实现削峰填谷，提高电力系统整体运行效率。</w:t>
      </w:r>
    </w:p>
    <w:p w14:paraId="43A71FDC">
      <w:pPr>
        <w:bidi w:val="0"/>
      </w:pPr>
      <w:r>
        <w:rPr>
          <w:rFonts w:hint="eastAsia"/>
          <w:lang w:val="en-US" w:eastAsia="zh-CN"/>
        </w:rPr>
        <w:t>3.加强</w:t>
      </w:r>
      <w:r>
        <w:t>冷热电三联供</w:t>
      </w:r>
      <w:r>
        <w:rPr>
          <w:rFonts w:hint="eastAsia"/>
          <w:lang w:val="en-US" w:eastAsia="zh-CN"/>
        </w:rPr>
        <w:t>技术、风光储互补技术、</w:t>
      </w:r>
      <w:r>
        <w:rPr>
          <w:rFonts w:hint="eastAsia"/>
        </w:rPr>
        <w:t>系统能量梯级利用技术</w:t>
      </w:r>
      <w:r>
        <w:rPr>
          <w:rFonts w:hint="eastAsia"/>
          <w:lang w:val="en-US" w:eastAsia="zh-CN"/>
        </w:rPr>
        <w:t>应用，通过多能互补和能源梯级利用，实现工业能效提升。</w:t>
      </w:r>
    </w:p>
    <w:p w14:paraId="0E8746D4">
      <w:pPr>
        <w:bidi w:val="0"/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（五）智慧能源管控系统</w:t>
      </w:r>
    </w:p>
    <w:p w14:paraId="08B07541">
      <w:pPr>
        <w:bidi w:val="0"/>
      </w:pPr>
      <w:r>
        <w:t>构建</w:t>
      </w:r>
      <w:r>
        <w:rPr>
          <w:rFonts w:hint="eastAsia"/>
          <w:lang w:val="en-US" w:eastAsia="zh-CN"/>
        </w:rPr>
        <w:t>智慧</w:t>
      </w:r>
      <w:r>
        <w:t>能源管</w:t>
      </w:r>
      <w:r>
        <w:rPr>
          <w:rFonts w:hint="eastAsia"/>
          <w:lang w:val="en-US" w:eastAsia="zh-CN"/>
        </w:rPr>
        <w:t>控</w:t>
      </w:r>
      <w:r>
        <w:t>系统，对</w:t>
      </w:r>
      <w:r>
        <w:rPr>
          <w:rFonts w:hint="eastAsia"/>
          <w:lang w:val="en-US" w:eastAsia="zh-CN"/>
        </w:rPr>
        <w:t>工业绿色</w:t>
      </w:r>
      <w:r>
        <w:t>微电网内的多种能源进行统一管理和优化调度。通过大数据分析、预测算法等，根据工业生产的负荷特性和能源需求，制定最优的能源供应方案，实现能源的高效利用和成本最小化。</w:t>
      </w:r>
    </w:p>
    <w:p w14:paraId="67E9DE59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管控系统应具有能源监控（包括运行监控、数据管理、告警管理等）、能源分析（包括统计分析、能源报表等）、碳排分析（包括碳管理、碳分析、碳评价等）、能源预测（预测未来的能源需求和供应情况）、源网荷储协调控制、最优调度策略、需求侧响应、运行状态全景分析、智能安全分析等功能。</w:t>
      </w:r>
    </w:p>
    <w:p w14:paraId="3793F7AC">
      <w:pPr>
        <w:pStyle w:val="9"/>
        <w:numPr>
          <w:ilvl w:val="0"/>
          <w:numId w:val="0"/>
        </w:numPr>
        <w:ind w:leftChars="200"/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（六）开发模式</w:t>
      </w:r>
    </w:p>
    <w:p w14:paraId="41B0AA47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工业绿色微电网项目可以业主自主开发建设，可以委托专业队伍以合同能源管理模式开发建设；依据建设规模和能源类型，可以自主开发+合同能源管理混合模式开发建设。根据自身条件，可以一次性全部建设，也可以分阶段开发建设。</w:t>
      </w:r>
    </w:p>
    <w:p w14:paraId="21856090">
      <w:pPr>
        <w:bidi w:val="0"/>
        <w:rPr>
          <w:rFonts w:hint="default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四、实施成效</w:t>
      </w:r>
    </w:p>
    <w:p w14:paraId="1C42E3CE">
      <w:pPr>
        <w:bidi w:val="0"/>
        <w:rPr>
          <w:rFonts w:hint="eastAsia"/>
          <w:lang w:eastAsia="zh-CN"/>
        </w:rPr>
      </w:pPr>
      <w:r>
        <w:rPr>
          <w:rFonts w:hint="eastAsia"/>
          <w:lang w:eastAsia="zh-CN"/>
        </w:rPr>
        <w:t>（一）</w:t>
      </w:r>
      <w:r>
        <w:rPr>
          <w:rFonts w:hint="default"/>
        </w:rPr>
        <w:t>可再生能源消费量占本企业、园区能源消费总量的比例达到15%以上，或可再生能源、工业余热余压等余能利用、能源梯级利用（含热电联产、燃气分布式能源等）等合计占本企业、园区能源消费总量的比例达到30%以上</w:t>
      </w:r>
      <w:r>
        <w:rPr>
          <w:rFonts w:hint="eastAsia"/>
          <w:lang w:eastAsia="zh-CN"/>
        </w:rPr>
        <w:t>。</w:t>
      </w:r>
    </w:p>
    <w:p w14:paraId="2B0F3FF0">
      <w:pPr>
        <w:bidi w:val="0"/>
        <w:rPr>
          <w:rFonts w:hint="eastAsia"/>
          <w:lang w:eastAsia="zh-CN"/>
        </w:rPr>
      </w:pPr>
      <w:r>
        <w:rPr>
          <w:rFonts w:hint="eastAsia"/>
          <w:lang w:eastAsia="zh-CN"/>
        </w:rPr>
        <w:t>（二）</w:t>
      </w:r>
      <w:r>
        <w:rPr>
          <w:rFonts w:hint="default"/>
        </w:rPr>
        <w:t>工业企业可再生能源装机规模达到2MW以上，工业园区可再生能源装机规模达到10MW以上</w:t>
      </w:r>
      <w:r>
        <w:rPr>
          <w:rFonts w:hint="eastAsia"/>
          <w:lang w:eastAsia="zh-CN"/>
        </w:rPr>
        <w:t>。</w:t>
      </w:r>
    </w:p>
    <w:p w14:paraId="2BD44FF7">
      <w:pPr>
        <w:bidi w:val="0"/>
        <w:rPr>
          <w:rFonts w:hint="eastAsia"/>
          <w:lang w:eastAsia="zh-CN"/>
        </w:rPr>
      </w:pPr>
      <w:r>
        <w:rPr>
          <w:rFonts w:hint="eastAsia"/>
          <w:lang w:eastAsia="zh-CN"/>
        </w:rPr>
        <w:t>（三）</w:t>
      </w:r>
      <w:r>
        <w:rPr>
          <w:rFonts w:hint="default"/>
        </w:rPr>
        <w:t>可再生能源就地消纳比例（可再生能源消费量占可再生能源发电量的比例）达到80%以上</w:t>
      </w:r>
      <w:r>
        <w:rPr>
          <w:rFonts w:hint="eastAsia"/>
          <w:lang w:eastAsia="zh-CN"/>
        </w:rPr>
        <w:t>。</w:t>
      </w:r>
    </w:p>
    <w:p w14:paraId="0057F82D">
      <w:pPr>
        <w:bidi w:val="0"/>
        <w:rPr>
          <w:rFonts w:hint="eastAsia"/>
          <w:lang w:eastAsia="zh-CN"/>
        </w:rPr>
      </w:pPr>
      <w:r>
        <w:rPr>
          <w:rFonts w:hint="eastAsia"/>
          <w:lang w:eastAsia="zh-CN"/>
        </w:rPr>
        <w:t>（四）</w:t>
      </w:r>
      <w:r>
        <w:rPr>
          <w:rFonts w:hint="default"/>
        </w:rPr>
        <w:t>电力负荷调节能力（可根据电力系统需要变动其输出功率的负荷占电力最大负荷的比例）达到5%以上</w:t>
      </w:r>
      <w:r>
        <w:rPr>
          <w:rFonts w:hint="eastAsia"/>
          <w:lang w:eastAsia="zh-CN"/>
        </w:rPr>
        <w:t>。</w:t>
      </w:r>
    </w:p>
    <w:p w14:paraId="03BF7ADD">
      <w:pPr>
        <w:bidi w:val="0"/>
        <w:rPr>
          <w:rFonts w:hint="eastAsia"/>
          <w:lang w:eastAsia="zh-CN"/>
        </w:rPr>
      </w:pPr>
      <w:r>
        <w:rPr>
          <w:rFonts w:hint="eastAsia"/>
          <w:lang w:eastAsia="zh-CN"/>
        </w:rPr>
        <w:t>（五）</w:t>
      </w:r>
      <w:r>
        <w:rPr>
          <w:rFonts w:hint="default"/>
        </w:rPr>
        <w:t>新型储能装机规模（包括电化学储能、飞轮储能、压缩空气储能、氢（氨）储能等）达到1MW以上</w:t>
      </w:r>
      <w:r>
        <w:rPr>
          <w:rFonts w:hint="eastAsia"/>
          <w:lang w:eastAsia="zh-CN"/>
        </w:rPr>
        <w:t>。</w:t>
      </w:r>
    </w:p>
    <w:p w14:paraId="2ACF6A1E">
      <w:pPr>
        <w:bidi w:val="0"/>
        <w:rPr>
          <w:rFonts w:hint="eastAsia"/>
          <w:lang w:eastAsia="zh-CN"/>
        </w:rPr>
      </w:pPr>
      <w:r>
        <w:rPr>
          <w:rFonts w:hint="eastAsia"/>
          <w:lang w:eastAsia="zh-CN"/>
        </w:rPr>
        <w:t>（六）</w:t>
      </w:r>
      <w:r>
        <w:rPr>
          <w:rFonts w:hint="default"/>
        </w:rPr>
        <w:t>可再生能源制氢或工业副产氢年生产规模达到5000吨以上，并实现就近利用</w:t>
      </w:r>
      <w:r>
        <w:rPr>
          <w:rFonts w:hint="eastAsia"/>
          <w:lang w:eastAsia="zh-CN"/>
        </w:rPr>
        <w:t>。</w:t>
      </w:r>
    </w:p>
    <w:p w14:paraId="7C56308E">
      <w:pPr>
        <w:bidi w:val="0"/>
        <w:rPr>
          <w:rFonts w:hint="default"/>
        </w:rPr>
      </w:pPr>
      <w:r>
        <w:rPr>
          <w:rFonts w:hint="eastAsia"/>
          <w:lang w:eastAsia="zh-CN"/>
        </w:rPr>
        <w:t>（七）</w:t>
      </w:r>
      <w:r>
        <w:rPr>
          <w:rFonts w:hint="default"/>
        </w:rPr>
        <w:t>工业余能利用率（实现回收利用的工业余热、余压、化学余能、余冷及其他余能占理论可利用余能量的比例）达到60%以上。</w:t>
      </w:r>
    </w:p>
    <w:p w14:paraId="1E3BC78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/>
        <w:jc w:val="left"/>
        <w:textAlignment w:val="auto"/>
        <w:rPr>
          <w:highlight w:val="none"/>
        </w:rPr>
      </w:pPr>
      <w:r>
        <w:rPr>
          <w:rFonts w:hint="eastAsia" w:ascii="黑体" w:hAnsi="宋体" w:eastAsia="黑体" w:cs="黑体"/>
          <w:color w:val="000000"/>
          <w:kern w:val="0"/>
          <w:sz w:val="31"/>
          <w:szCs w:val="31"/>
          <w:highlight w:val="none"/>
          <w:lang w:val="en-US" w:eastAsia="zh-CN" w:bidi="ar"/>
        </w:rPr>
        <w:t>五</w:t>
      </w:r>
      <w:r>
        <w:rPr>
          <w:rFonts w:ascii="黑体" w:hAnsi="宋体" w:eastAsia="黑体" w:cs="黑体"/>
          <w:color w:val="000000"/>
          <w:kern w:val="0"/>
          <w:sz w:val="31"/>
          <w:szCs w:val="31"/>
          <w:highlight w:val="none"/>
          <w:lang w:val="en-US" w:eastAsia="zh-CN" w:bidi="ar"/>
        </w:rPr>
        <w:t>、</w:t>
      </w:r>
      <w:r>
        <w:rPr>
          <w:rFonts w:hint="eastAsia" w:ascii="黑体" w:hAnsi="宋体" w:eastAsia="黑体" w:cs="黑体"/>
          <w:color w:val="000000"/>
          <w:kern w:val="0"/>
          <w:sz w:val="31"/>
          <w:szCs w:val="31"/>
          <w:highlight w:val="none"/>
          <w:lang w:val="en-US" w:eastAsia="zh-CN" w:bidi="ar"/>
        </w:rPr>
        <w:t>组织实施</w:t>
      </w:r>
    </w:p>
    <w:p w14:paraId="35AA9311">
      <w:pPr>
        <w:bidi w:val="0"/>
        <w:rPr>
          <w:rFonts w:hint="eastAsia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（一）加强统筹协调。</w:t>
      </w:r>
      <w:r>
        <w:rPr>
          <w:rFonts w:hint="eastAsia"/>
          <w:lang w:val="en-US" w:eastAsia="zh-CN"/>
        </w:rPr>
        <w:t>工业企业和园区应</w:t>
      </w:r>
      <w:r>
        <w:rPr>
          <w:rFonts w:hint="eastAsia"/>
        </w:rPr>
        <w:t>设立</w:t>
      </w:r>
      <w:r>
        <w:rPr>
          <w:rFonts w:hint="eastAsia"/>
          <w:lang w:val="en-US" w:eastAsia="zh-CN"/>
        </w:rPr>
        <w:t>工业绿色微电网建设</w:t>
      </w:r>
      <w:r>
        <w:rPr>
          <w:rFonts w:hint="eastAsia"/>
        </w:rPr>
        <w:t>领导小组，</w:t>
      </w:r>
      <w:r>
        <w:rPr>
          <w:rFonts w:hint="eastAsia"/>
          <w:lang w:val="en-US" w:eastAsia="zh-CN"/>
        </w:rPr>
        <w:t>并设置专职或兼职</w:t>
      </w:r>
      <w:r>
        <w:rPr>
          <w:rFonts w:hint="eastAsia"/>
        </w:rPr>
        <w:t>的节能管理人员</w:t>
      </w:r>
      <w:r>
        <w:rPr>
          <w:rFonts w:hint="eastAsia"/>
          <w:lang w:eastAsia="zh-CN"/>
        </w:rPr>
        <w:t>，</w:t>
      </w:r>
      <w:r>
        <w:t>强化部门间协同合作，</w:t>
      </w:r>
      <w:r>
        <w:rPr>
          <w:rFonts w:hint="eastAsia"/>
          <w:lang w:val="en-US" w:eastAsia="zh-CN"/>
        </w:rPr>
        <w:t>统筹各部门资源，</w:t>
      </w:r>
      <w:r>
        <w:t>推动形成工作合力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确保工业绿色微电网项目建设顺利实施。</w:t>
      </w:r>
    </w:p>
    <w:p w14:paraId="525762AB">
      <w:pPr>
        <w:bidi w:val="0"/>
        <w:rPr>
          <w:rFonts w:hint="eastAsia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（二）强化团队建设。</w:t>
      </w:r>
      <w:r>
        <w:rPr>
          <w:rFonts w:hint="eastAsia"/>
          <w:lang w:val="en-US" w:eastAsia="zh-CN"/>
        </w:rPr>
        <w:t>鼓励工业园区和企业组建工业绿色微电网的建设和运维团队，提供专业化的建设和运维服务。通过培训和技术引进，提升团队成员的专业技能和知识水平，确保工业绿色微电网的稳定运行和持续优化。同时，加强与外部专业机构的合作，引入先进的管理经验和技术支持，确保工业绿色微电网安全稳定运行。</w:t>
      </w:r>
    </w:p>
    <w:p w14:paraId="74AF925F">
      <w:pPr>
        <w:pStyle w:val="9"/>
        <w:rPr>
          <w:rFonts w:hint="default"/>
          <w:lang w:val="en-US" w:eastAsia="zh-CN"/>
        </w:rPr>
      </w:pPr>
    </w:p>
    <w:sectPr>
      <w:footerReference r:id="rId5" w:type="default"/>
      <w:pgSz w:w="11906" w:h="16838"/>
      <w:pgMar w:top="1417" w:right="1417" w:bottom="1417" w:left="1417" w:header="851" w:footer="992" w:gutter="0"/>
      <w:pgNumType w:fmt="decimal" w:start="2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E8619A6-979D-4B00-ABE9-672331376C9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25B23AE6-11E9-43EE-B700-E66CB42A0696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EDDFD210-D134-4D59-9BDD-48C8EDE2EC12}"/>
  </w:font>
  <w:font w:name="长城小标宋体">
    <w:panose1 w:val="02010609010101010101"/>
    <w:charset w:val="86"/>
    <w:family w:val="modern"/>
    <w:pitch w:val="default"/>
    <w:sig w:usb0="00000000" w:usb1="00000000" w:usb2="00000000" w:usb3="00000000" w:csb0="0000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83403D62-F6D5-4369-BC00-38AA7D21FF3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A37749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4895E2C">
                          <w:pPr>
                            <w:pStyle w:val="7"/>
                            <w:rPr>
                              <w:rFonts w:hint="default" w:ascii="Times New Roman" w:hAnsi="Times New Roman" w:eastAsia="仿宋" w:cs="Times New Roman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4895E2C">
                    <w:pPr>
                      <w:pStyle w:val="7"/>
                      <w:rPr>
                        <w:rFonts w:hint="default" w:ascii="Times New Roman" w:hAnsi="Times New Roman" w:eastAsia="仿宋" w:cs="Times New Roman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liNmFiM2YyYjE1MjJmZWE2MDQxYWQzMzQxMjFmYTAifQ=="/>
  </w:docVars>
  <w:rsids>
    <w:rsidRoot w:val="61BF5FFF"/>
    <w:rsid w:val="036F6B27"/>
    <w:rsid w:val="12463148"/>
    <w:rsid w:val="14F84906"/>
    <w:rsid w:val="15823A55"/>
    <w:rsid w:val="24E2169A"/>
    <w:rsid w:val="25EA0A4A"/>
    <w:rsid w:val="28957762"/>
    <w:rsid w:val="289B5D70"/>
    <w:rsid w:val="2ABA24CE"/>
    <w:rsid w:val="2D776454"/>
    <w:rsid w:val="2DEC3B0E"/>
    <w:rsid w:val="2F416D1A"/>
    <w:rsid w:val="2F72638C"/>
    <w:rsid w:val="33BD4A14"/>
    <w:rsid w:val="350F7F73"/>
    <w:rsid w:val="36251143"/>
    <w:rsid w:val="387737AC"/>
    <w:rsid w:val="3A804B9A"/>
    <w:rsid w:val="3D8B55F5"/>
    <w:rsid w:val="3DE33DA2"/>
    <w:rsid w:val="3F7E48D9"/>
    <w:rsid w:val="457F56ED"/>
    <w:rsid w:val="4C55433E"/>
    <w:rsid w:val="519F5DF6"/>
    <w:rsid w:val="55C37BD9"/>
    <w:rsid w:val="5E652EE2"/>
    <w:rsid w:val="5F2B6F1B"/>
    <w:rsid w:val="61BF5FFF"/>
    <w:rsid w:val="64C45A2B"/>
    <w:rsid w:val="64CE6393"/>
    <w:rsid w:val="65A60391"/>
    <w:rsid w:val="6700036A"/>
    <w:rsid w:val="67114C48"/>
    <w:rsid w:val="68F12B54"/>
    <w:rsid w:val="6B0D1295"/>
    <w:rsid w:val="6B9F6A40"/>
    <w:rsid w:val="6EC92954"/>
    <w:rsid w:val="6F3E2352"/>
    <w:rsid w:val="72552034"/>
    <w:rsid w:val="787224B8"/>
    <w:rsid w:val="79A202CF"/>
    <w:rsid w:val="79CA3F87"/>
    <w:rsid w:val="7E09681C"/>
    <w:rsid w:val="F7C6D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640" w:lineRule="exact"/>
      <w:ind w:firstLine="420" w:firstLineChars="200"/>
      <w:jc w:val="both"/>
    </w:pPr>
    <w:rPr>
      <w:rFonts w:ascii="Times New Roman" w:hAnsi="Times New Roman" w:eastAsia="仿宋" w:cstheme="minorBidi"/>
      <w:kern w:val="2"/>
      <w:sz w:val="32"/>
      <w:szCs w:val="24"/>
      <w:lang w:val="en-US" w:eastAsia="zh-CN" w:bidi="ar-SA"/>
    </w:rPr>
  </w:style>
  <w:style w:type="paragraph" w:styleId="3">
    <w:name w:val="heading 1"/>
    <w:basedOn w:val="1"/>
    <w:next w:val="1"/>
    <w:link w:val="14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4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qFormat/>
    <w:uiPriority w:val="0"/>
    <w:pPr>
      <w:widowControl w:val="0"/>
      <w:spacing w:before="40" w:after="40" w:line="240" w:lineRule="auto"/>
      <w:ind w:firstLine="420"/>
      <w:jc w:val="both"/>
    </w:pPr>
    <w:rPr>
      <w:rFonts w:ascii="Calibri" w:hAnsi="Calibri" w:eastAsia="宋体" w:cs="Times New Roman"/>
      <w:b/>
      <w:bCs/>
      <w:kern w:val="2"/>
      <w:sz w:val="21"/>
      <w:szCs w:val="24"/>
      <w:lang w:val="en-US" w:eastAsia="zh-CN" w:bidi="ar-SA"/>
    </w:rPr>
  </w:style>
  <w:style w:type="paragraph" w:styleId="5">
    <w:name w:val="Body Text"/>
    <w:basedOn w:val="1"/>
    <w:next w:val="1"/>
    <w:semiHidden/>
    <w:qFormat/>
    <w:uiPriority w:val="0"/>
    <w:rPr>
      <w:rFonts w:eastAsia="楷体" w:cs="微软雅黑"/>
      <w:b/>
      <w:szCs w:val="30"/>
    </w:rPr>
  </w:style>
  <w:style w:type="paragraph" w:styleId="6">
    <w:name w:val="Body Text Indent"/>
    <w:basedOn w:val="1"/>
    <w:qFormat/>
    <w:uiPriority w:val="0"/>
    <w:pPr>
      <w:spacing w:afterLines="0" w:afterAutospacing="0"/>
      <w:ind w:left="0" w:leftChars="0"/>
    </w:pPr>
    <w:rPr>
      <w:rFonts w:ascii="Calibri" w:hAnsi="Calibri" w:eastAsia="宋体" w:cs="Times New Roman"/>
      <w:szCs w:val="22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Body Text First Indent 2"/>
    <w:basedOn w:val="6"/>
    <w:qFormat/>
    <w:uiPriority w:val="0"/>
    <w:pPr>
      <w:spacing w:line="360" w:lineRule="auto"/>
      <w:ind w:firstLine="420" w:firstLineChars="200"/>
    </w:pPr>
    <w:rPr>
      <w:rFonts w:ascii="Times New Roman" w:hAnsi="Times New Roman" w:eastAsia="宋体"/>
      <w:sz w:val="32"/>
      <w:szCs w:val="32"/>
    </w:rPr>
  </w:style>
  <w:style w:type="character" w:styleId="12">
    <w:name w:val="Strong"/>
    <w:basedOn w:val="11"/>
    <w:qFormat/>
    <w:uiPriority w:val="0"/>
    <w:rPr>
      <w:b/>
    </w:rPr>
  </w:style>
  <w:style w:type="paragraph" w:customStyle="1" w:styleId="13">
    <w:name w:val="表格"/>
    <w:basedOn w:val="1"/>
    <w:qFormat/>
    <w:uiPriority w:val="0"/>
    <w:pPr>
      <w:spacing w:line="240" w:lineRule="auto"/>
      <w:ind w:firstLine="0" w:firstLineChars="0"/>
    </w:pPr>
    <w:rPr>
      <w:rFonts w:ascii="Times New Roman" w:hAnsi="Times New Roman"/>
      <w:sz w:val="24"/>
    </w:rPr>
  </w:style>
  <w:style w:type="character" w:customStyle="1" w:styleId="14">
    <w:name w:val="标题 1 Char"/>
    <w:link w:val="3"/>
    <w:qFormat/>
    <w:uiPriority w:val="0"/>
    <w:rPr>
      <w:b/>
      <w:kern w:val="44"/>
      <w:sz w:val="4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3197</Words>
  <Characters>3258</Characters>
  <Lines>0</Lines>
  <Paragraphs>0</Paragraphs>
  <TotalTime>16</TotalTime>
  <ScaleCrop>false</ScaleCrop>
  <LinksUpToDate>false</LinksUpToDate>
  <CharactersWithSpaces>3295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2024-10-28T21:36:00Z</dcterms:created>
  <dc:creator>摇到外婆桥。</dc:creator>
  <cp:lastModifiedBy>holly</cp:lastModifiedBy>
  <cp:lastPrinted>2025-02-08T10:49:00Z</cp:lastPrinted>
  <dcterms:modified xsi:type="dcterms:W3CDTF">2025-02-10T13:32:46Z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3F936E7353DB46309DD86EFF42443E68_13</vt:lpwstr>
  </property>
  <property fmtid="{D5CDD505-2E9C-101B-9397-08002B2CF9AE}" pid="4" name="KSOTemplateDocerSaveRecord">
    <vt:lpwstr>eyJoZGlkIjoiODliNmFiM2YyYjE1MjJmZWE2MDQxYWQzMzQxMjFmYTAiLCJ1c2VySWQiOiIzNDQ0Mzc3MjMifQ==</vt:lpwstr>
  </property>
</Properties>
</file>