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附件6</w:t>
      </w:r>
    </w:p>
    <w:p>
      <w:pP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化工新材料产业链绿色化升级改造实施指南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lang w:eastAsia="zh-CN"/>
        </w:rPr>
        <w:t>重点领域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先进高分子材料、电子化学品、生物基材料、氟基新材料、绿色涂料、钛基新材料等重点产品生产过程绿色化改造。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eastAsia="zh-CN"/>
        </w:rPr>
        <w:t>技术升级路径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提升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乙烯单体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－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副产物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－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衍生物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－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聚合物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－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下游应用产业链条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绿色化发展水平，加快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硅基电子化学品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含氟电子特气关键材料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含氟电子化学品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含氟精细化学品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氟碳化学品、氟聚合物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、生物基材料、绿色涂料、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高端海绵钛原材料</w:t>
      </w:r>
      <w:r>
        <w:rPr>
          <w:rFonts w:hint="default" w:ascii="Times New Roman" w:hAnsi="Times New Roman" w:cs="Times New Roman"/>
          <w:lang w:val="en-US" w:eastAsia="zh-CN"/>
        </w:rPr>
        <w:t>等产品关键技术装备应用。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二）</w:t>
      </w:r>
      <w:r>
        <w:rPr>
          <w:rFonts w:hint="default" w:ascii="Times New Roman" w:hAnsi="Times New Roman" w:eastAsia="楷体" w:cs="Times New Roman"/>
          <w:lang w:eastAsia="zh-CN"/>
        </w:rPr>
        <w:t>工艺改造路径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高效换热技术、CO燃烧控制技术、冷再生剂循环催化裂化技术、电裂解炉技术、电气化与绿色能源耦合利用技术、裂解炉在线烧焦技术、先进减粘塔减粘技术、国产模拟移动床吸附分离成套技术、大型化二甲苯塔、二甲苯重沸炉、二甲苯液相异构化技术、合成气一步法制烯烃技术、绿氢与煤化工项目耦合技术、大型先进煤气化技术、半/全废锅流程气化技术、合成气联产联供技术、高效合成气净化技术、高效甲醇合成技术、节能型甲醇精馏技术、新一代甲醇制烯烃技术、高效草酸酯合成技术、乙二醇加氢技术等绿色低碳先进适用技术改造。加强石化节水减排成套集成工艺、石化污水气浮生化过滤再生回用成套技术、化工废水双碱法化学除硬技术等先进节水工艺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新型储能、氢能、高效热泵、余热余压利用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高效空气预热器、高效换热器、高效回收催化裂化装置、分凝分馏塔、扭曲片管、裂解气空压机段间低压力降水冷器、高效转子、高效煤气化炉、合成反应器、高效精馏系统、智能控制系统、高效降膜蒸发器、等温变换炉、空分空压机及增压机、合成气空压机、带式过滤机、大型碳化塔、水平带式过滤机、大型冷盐析结晶器、大型煅烧炉、高效尾气吸收塔等关键装备升级改造。</w:t>
      </w:r>
      <w:r>
        <w:rPr>
          <w:rFonts w:hint="default" w:ascii="Times New Roman" w:hAnsi="Times New Roman" w:cs="Times New Roman"/>
        </w:rPr>
        <w:t>实施电机、风机、锅炉、泵、</w:t>
      </w:r>
      <w:r>
        <w:rPr>
          <w:rFonts w:hint="default" w:ascii="Times New Roman" w:hAnsi="Times New Roman" w:cs="Times New Roman"/>
          <w:lang w:eastAsia="zh-CN"/>
        </w:rPr>
        <w:t>空压机</w:t>
      </w:r>
      <w:r>
        <w:rPr>
          <w:rFonts w:hint="default" w:ascii="Times New Roman" w:hAnsi="Times New Roman" w:cs="Times New Roman"/>
        </w:rPr>
        <w:t>、变压器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空调、照明器具</w:t>
      </w:r>
      <w:r>
        <w:rPr>
          <w:rFonts w:hint="default" w:ascii="Times New Roman" w:hAnsi="Times New Roman" w:cs="Times New Roman"/>
        </w:rPr>
        <w:t>等重点用能产品设备更新升级改造，改造后</w:t>
      </w:r>
      <w:r>
        <w:rPr>
          <w:rFonts w:hint="default" w:ascii="Times New Roman" w:hAnsi="Times New Roman" w:cs="Times New Roman"/>
          <w:lang w:val="en-US" w:eastAsia="zh-CN"/>
        </w:rPr>
        <w:t>通用设备能效</w:t>
      </w:r>
      <w:r>
        <w:rPr>
          <w:rFonts w:hint="default" w:ascii="Times New Roman" w:hAnsi="Times New Roman" w:cs="Times New Roman"/>
        </w:rPr>
        <w:t>达到强制性能效标准2级及以上。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80FB86-E895-4CBF-9DDE-8B816CF562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3BAD9F9-8710-46DA-BD88-1527610B965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5E723DD-19B6-47D6-BBC9-7FB5F5E72FB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8AEF129-262B-450D-8502-9D689902DC4C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A4B34B3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2024-02-19T09:30:38Z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