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综合委托业务费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苏州市工业和信息化局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310.2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310.2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310.2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206.79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103.41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103.41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310.2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206.79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第三方委托业务费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117.4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91.86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劳务费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192.8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114.93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66.66%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节能审查意见出具率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民爆船舶安全排查报告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=1份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1份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“回头看”核查报告提交率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民爆船舶安全查出问题隐患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106个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工控系统监测误报率&lt;=1%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达成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专家费标准执行率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工控监测项目完成及时性（监测报告）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上年度各类档案整理归档完成时限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12月底前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12月底前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法律顾问咨询或建议反馈时间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&lt;=5工作日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2工作日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年度内审计划完成率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第三方机构及专家评审、审核对项目的支撑程度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59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为满足职能需要，提高管理效率和水平，委托具备专业优势和经验的第三方及个人开展各类专项业务。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有效保障职能工作的顺利完成，提升单位管理效率和水平。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委托具备专业优势和经验的第三方及个人开展各类专项业务，有效保障职能工作的顺利完成。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根据项目要求，委托具备专业优势和经验的第三方及个人开展各类专项业务。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有效保障职能工作的顺利完成，提升单位管理效率和水平。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因部分工作调整及企业申报变动，经费支出及个别指标未达预期。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进一步细化预算安排、绩效目标设置。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