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t>20</w:t>
      </w:r>
      <w:r>
        <w:rPr>
          <w:rFonts w:hint="eastAsia" w:ascii="宋体" w:hAnsi="宋体" w:eastAsia="宋体" w:cs="宋体"/>
          <w:b/>
          <w:bCs w:val="0"/>
          <w:color w:val="auto"/>
          <w:sz w:val="44"/>
          <w:szCs w:val="44"/>
          <w:lang w:val="en-US" w:eastAsia="zh-CN"/>
        </w:rPr>
        <w:t>2</w:t>
      </w:r>
      <w:r>
        <w:rPr>
          <w:rFonts w:hint="eastAsia" w:ascii="宋体" w:hAnsi="宋体" w:cs="宋体"/>
          <w:b/>
          <w:bCs w:val="0"/>
          <w:color w:val="auto"/>
          <w:sz w:val="44"/>
          <w:szCs w:val="44"/>
          <w:lang w:val="en-US" w:eastAsia="zh-CN"/>
        </w:rPr>
        <w:t>3</w:t>
      </w:r>
      <w:r>
        <w:rPr>
          <w:rFonts w:hint="eastAsia" w:ascii="宋体" w:hAnsi="宋体" w:eastAsia="宋体" w:cs="宋体"/>
          <w:b/>
          <w:bCs w:val="0"/>
          <w:color w:val="auto"/>
          <w:sz w:val="44"/>
          <w:szCs w:val="44"/>
        </w:rPr>
        <w:t>年葫芦岛市有序用电方案</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宋体" w:hAnsi="宋体" w:cs="宋体"/>
          <w:b/>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eastAsia="zh-CN"/>
        </w:rPr>
        <w:t>保障全市</w:t>
      </w:r>
      <w:r>
        <w:rPr>
          <w:rFonts w:hint="eastAsia" w:ascii="仿宋_GB2312" w:hAnsi="仿宋_GB2312" w:eastAsia="仿宋_GB2312" w:cs="仿宋_GB2312"/>
          <w:color w:val="auto"/>
          <w:sz w:val="32"/>
          <w:szCs w:val="32"/>
        </w:rPr>
        <w:t>经济快速可持续发展</w:t>
      </w:r>
      <w:r>
        <w:rPr>
          <w:rFonts w:hint="eastAsia" w:ascii="仿宋_GB2312" w:hAnsi="仿宋_GB2312" w:eastAsia="仿宋_GB2312" w:cs="仿宋_GB2312"/>
          <w:color w:val="auto"/>
          <w:sz w:val="32"/>
          <w:szCs w:val="32"/>
          <w:lang w:eastAsia="zh-CN"/>
        </w:rPr>
        <w:t>，满足</w:t>
      </w:r>
      <w:r>
        <w:rPr>
          <w:rFonts w:hint="eastAsia" w:ascii="仿宋_GB2312" w:hAnsi="仿宋_GB2312" w:eastAsia="仿宋_GB2312" w:cs="仿宋_GB2312"/>
          <w:color w:val="auto"/>
          <w:sz w:val="32"/>
          <w:szCs w:val="32"/>
        </w:rPr>
        <w:t>人民</w:t>
      </w:r>
      <w:r>
        <w:rPr>
          <w:rFonts w:hint="eastAsia" w:ascii="仿宋_GB2312" w:hAnsi="仿宋_GB2312" w:eastAsia="仿宋_GB2312" w:cs="仿宋_GB2312"/>
          <w:color w:val="auto"/>
          <w:sz w:val="32"/>
          <w:szCs w:val="32"/>
          <w:lang w:eastAsia="zh-CN"/>
        </w:rPr>
        <w:t>群众美好生活用电需求</w:t>
      </w:r>
      <w:r>
        <w:rPr>
          <w:rFonts w:hint="eastAsia" w:ascii="仿宋_GB2312" w:hAnsi="仿宋_GB2312" w:eastAsia="仿宋_GB2312" w:cs="仿宋_GB2312"/>
          <w:color w:val="auto"/>
          <w:sz w:val="32"/>
          <w:szCs w:val="32"/>
        </w:rPr>
        <w:t>，确保电网</w:t>
      </w:r>
      <w:r>
        <w:rPr>
          <w:rFonts w:hint="eastAsia" w:ascii="仿宋_GB2312" w:hAnsi="仿宋_GB2312" w:eastAsia="仿宋_GB2312" w:cs="仿宋_GB2312"/>
          <w:color w:val="auto"/>
          <w:sz w:val="32"/>
          <w:szCs w:val="32"/>
          <w:lang w:eastAsia="zh-CN"/>
        </w:rPr>
        <w:t>运行</w:t>
      </w:r>
      <w:r>
        <w:rPr>
          <w:rFonts w:hint="eastAsia" w:ascii="仿宋_GB2312" w:hAnsi="仿宋_GB2312" w:eastAsia="仿宋_GB2312" w:cs="仿宋_GB2312"/>
          <w:color w:val="auto"/>
          <w:sz w:val="32"/>
          <w:szCs w:val="32"/>
        </w:rPr>
        <w:t>安全</w:t>
      </w:r>
      <w:r>
        <w:rPr>
          <w:rFonts w:hint="eastAsia" w:ascii="仿宋_GB2312" w:hAnsi="仿宋_GB2312" w:eastAsia="仿宋_GB2312" w:cs="仿宋_GB2312"/>
          <w:color w:val="auto"/>
          <w:sz w:val="32"/>
          <w:szCs w:val="32"/>
          <w:lang w:eastAsia="zh-CN"/>
        </w:rPr>
        <w:t>可靠</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实现</w:t>
      </w:r>
      <w:r>
        <w:rPr>
          <w:rFonts w:hint="eastAsia" w:ascii="仿宋_GB2312" w:hAnsi="仿宋_GB2312" w:eastAsia="仿宋_GB2312" w:cs="仿宋_GB2312"/>
          <w:color w:val="auto"/>
          <w:sz w:val="32"/>
          <w:szCs w:val="32"/>
        </w:rPr>
        <w:t>电力供应平稳有序，</w:t>
      </w:r>
      <w:r>
        <w:rPr>
          <w:rFonts w:hint="eastAsia" w:ascii="仿宋_GB2312" w:hAnsi="仿宋_GB2312" w:eastAsia="仿宋_GB2312" w:cs="仿宋_GB2312"/>
          <w:color w:val="auto"/>
          <w:sz w:val="32"/>
          <w:szCs w:val="32"/>
          <w:lang w:val="en-US" w:eastAsia="zh-CN"/>
        </w:rPr>
        <w:t>葫芦岛</w:t>
      </w:r>
      <w:r>
        <w:rPr>
          <w:rFonts w:hint="eastAsia" w:ascii="仿宋_GB2312" w:hAnsi="仿宋_GB2312" w:eastAsia="仿宋_GB2312" w:cs="仿宋_GB2312"/>
          <w:color w:val="auto"/>
          <w:sz w:val="32"/>
          <w:szCs w:val="32"/>
        </w:rPr>
        <w:t>市工业和信息化局</w:t>
      </w:r>
      <w:r>
        <w:rPr>
          <w:rFonts w:hint="eastAsia" w:ascii="仿宋_GB2312" w:hAnsi="仿宋_GB2312" w:eastAsia="仿宋_GB2312" w:cs="仿宋_GB2312"/>
          <w:color w:val="auto"/>
          <w:sz w:val="32"/>
          <w:szCs w:val="32"/>
          <w:lang w:eastAsia="zh-CN"/>
        </w:rPr>
        <w:t>依据《有序用电管理办法》（发改运行〔2011〕832号）、《辽宁省工业和信息化厅关于组织编制202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年有序用电方案的通知》（辽工信电力〔202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lang w:eastAsia="zh-CN"/>
        </w:rPr>
        <w:t>号），编制</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年葫芦岛市有序用电方案</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一、总体要求</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jc w:val="both"/>
        <w:textAlignment w:val="auto"/>
        <w:rPr>
          <w:rFonts w:hint="eastAsia"/>
          <w:color w:val="auto"/>
          <w:lang w:eastAsia="zh-CN"/>
        </w:rPr>
      </w:pPr>
      <w:r>
        <w:rPr>
          <w:rFonts w:hint="eastAsia" w:ascii="仿宋_GB2312" w:hAnsi="仿宋_GB2312" w:eastAsia="仿宋_GB2312" w:cs="仿宋_GB2312"/>
          <w:color w:val="auto"/>
          <w:sz w:val="32"/>
          <w:szCs w:val="32"/>
          <w:lang w:eastAsia="zh-CN"/>
        </w:rPr>
        <w:t>践行习近平</w:t>
      </w:r>
      <w:bookmarkStart w:id="2" w:name="_GoBack"/>
      <w:bookmarkEnd w:id="2"/>
      <w:r>
        <w:rPr>
          <w:rFonts w:hint="eastAsia" w:ascii="仿宋_GB2312" w:hAnsi="仿宋_GB2312" w:eastAsia="仿宋_GB2312" w:cs="仿宋_GB2312"/>
          <w:color w:val="auto"/>
          <w:sz w:val="32"/>
          <w:szCs w:val="32"/>
          <w:lang w:eastAsia="zh-CN"/>
        </w:rPr>
        <w:t>生态文明思想，立足新发展阶段，贯彻新发展理念，落实省委省政府关于电力供应保障工作部署，科学研判电力供需形势，统筹地区产业结构、用电特性、发电能力等因素，推进电力需求响应和新型电力负荷管理系统建设，兜牢限电不拉闸、限电不限民用底线，切实保障群众生活、城市运行和基本公共服务用电。促进工商业用户节能减排，坚决遏制“两高”（高耗能、高排放）项目盲目发展，安全、有序实施“两高”用户限电，着力推动绿色低碳高质量发展。</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lang w:eastAsia="zh-CN"/>
        </w:rPr>
      </w:pPr>
      <w:r>
        <w:rPr>
          <w:rFonts w:hint="eastAsia" w:ascii="黑体" w:hAnsi="黑体" w:eastAsia="黑体" w:cs="黑体"/>
          <w:b/>
          <w:bCs/>
          <w:color w:val="auto"/>
          <w:sz w:val="32"/>
          <w:szCs w:val="32"/>
          <w:lang w:eastAsia="zh-CN"/>
        </w:rPr>
        <w:t>二、工作原则</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坚持区域协调、行业平衡，坚持用户知情、事先约定，坚持限电不拉闸、科学有序安排。要定用户、定负荷、定周期、定线路，确保可操作、可执行、可考核、可追溯。</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1.安全稳定。</w:t>
      </w:r>
      <w:r>
        <w:rPr>
          <w:rFonts w:hint="eastAsia" w:ascii="仿宋_GB2312" w:hAnsi="仿宋_GB2312" w:eastAsia="仿宋_GB2312" w:cs="仿宋_GB2312"/>
          <w:color w:val="auto"/>
          <w:sz w:val="32"/>
          <w:szCs w:val="32"/>
          <w:lang w:eastAsia="zh-CN"/>
        </w:rPr>
        <w:t>坚持“总量控制、结构优化”，供电紧张时期，统筹电网运行安全、电力设备安全、供用电秩序稳定，将有序用电对全省经济社会发展的影响控制在最小限度。</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2.有保有限。</w:t>
      </w:r>
      <w:r>
        <w:rPr>
          <w:rFonts w:hint="eastAsia" w:ascii="仿宋_GB2312" w:hAnsi="仿宋_GB2312" w:eastAsia="仿宋_GB2312" w:cs="仿宋_GB2312"/>
          <w:color w:val="auto"/>
          <w:sz w:val="32"/>
          <w:szCs w:val="32"/>
          <w:lang w:eastAsia="zh-CN"/>
        </w:rPr>
        <w:t>坚持“先生活、后生产、有保有限”，优先保障居民生活和涉及公众利益、国家安全的重要用户用电需求。以工业用电为管控重点，首先限制违规建成或在建项目、产业结构调整目录中淘汰类、限制类企业、单位产品能耗高于国家或地方强制性能耗限额标准的企业、景观照明、亮化工程</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lang w:eastAsia="zh-CN"/>
        </w:rPr>
        <w:t>其他高耗能、高排放企业。</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3.注重预防。</w:t>
      </w:r>
      <w:r>
        <w:rPr>
          <w:rFonts w:hint="eastAsia" w:ascii="仿宋_GB2312" w:hAnsi="仿宋_GB2312" w:eastAsia="仿宋_GB2312" w:cs="仿宋_GB2312"/>
          <w:color w:val="auto"/>
          <w:sz w:val="32"/>
          <w:szCs w:val="32"/>
          <w:lang w:eastAsia="zh-CN"/>
        </w:rPr>
        <w:t>坚持“科学调度、提前准备”，加强电力供需平衡预测分析，及时发布电力供需预警信息，提前做好有序用电各项准备，有效提升应急响应能力。</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eastAsia="zh-CN"/>
        </w:rPr>
        <w:t>政府主导。</w:t>
      </w:r>
      <w:r>
        <w:rPr>
          <w:rFonts w:hint="eastAsia" w:ascii="仿宋_GB2312" w:hAnsi="仿宋_GB2312" w:eastAsia="仿宋_GB2312" w:cs="仿宋_GB2312"/>
          <w:color w:val="auto"/>
          <w:sz w:val="32"/>
          <w:szCs w:val="32"/>
          <w:lang w:eastAsia="zh-CN"/>
        </w:rPr>
        <w:t>政府负责有序用电管理工作，明确管理标准，审定限电范围，督导有序用电执行，惩戒执行不力单位。供电企业为重要实施主体，在政府组织下配合开展有序用电工作。</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5.综合施策。</w:t>
      </w:r>
      <w:r>
        <w:rPr>
          <w:rFonts w:hint="eastAsia" w:ascii="仿宋_GB2312" w:hAnsi="仿宋_GB2312" w:eastAsia="仿宋_GB2312" w:cs="仿宋_GB2312"/>
          <w:color w:val="auto"/>
          <w:sz w:val="32"/>
          <w:szCs w:val="32"/>
          <w:lang w:val="en-US" w:eastAsia="zh-CN"/>
        </w:rPr>
        <w:t>坚持需求响应优先、有序用电保底、节约用电助力原则，</w:t>
      </w:r>
      <w:r>
        <w:rPr>
          <w:rStyle w:val="22"/>
          <w:color w:val="auto"/>
        </w:rPr>
        <w:t>激励需求侧主动参与系统调节</w:t>
      </w:r>
      <w:r>
        <w:rPr>
          <w:rFonts w:hint="eastAsia" w:ascii="仿宋_GB2312" w:hAnsi="仿宋_GB2312" w:eastAsia="仿宋_GB2312" w:cs="仿宋_GB2312"/>
          <w:color w:val="auto"/>
          <w:sz w:val="32"/>
          <w:szCs w:val="32"/>
          <w:lang w:val="en-US" w:eastAsia="zh-CN"/>
        </w:rPr>
        <w:t>。推广新型电力负荷管理系统，保障有序用电精准执行。</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三、有序用电负荷调控原则</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（一）贯彻国家产业和环保政策重点限制特定项目用电</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auto"/>
          <w:sz w:val="32"/>
          <w:szCs w:val="32"/>
          <w:lang w:val="en-US" w:eastAsia="zh-CN"/>
        </w:rPr>
        <w:t>1.原则上重点限制以下用电：</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违规建成或在建项目。</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产业结构调整目录中淘汰类、限制类企业。</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单位产品能耗高于国家或地方强制性能耗限额标准的企业。</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景观照明、亮化工程。</w:t>
      </w:r>
      <w:r>
        <w:rPr>
          <w:rFonts w:hint="eastAsia" w:ascii="仿宋_GB2312" w:hAnsi="仿宋_GB2312" w:eastAsia="仿宋_GB2312" w:cs="仿宋_GB2312"/>
          <w:b/>
          <w:bCs/>
          <w:color w:val="auto"/>
          <w:sz w:val="32"/>
          <w:szCs w:val="32"/>
          <w:lang w:val="en-US" w:eastAsia="zh-CN"/>
        </w:rPr>
        <w:t>五是</w:t>
      </w:r>
      <w:r>
        <w:rPr>
          <w:rFonts w:hint="eastAsia" w:ascii="仿宋_GB2312" w:hAnsi="仿宋_GB2312" w:eastAsia="仿宋_GB2312" w:cs="仿宋_GB2312"/>
          <w:b w:val="0"/>
          <w:bCs w:val="0"/>
          <w:color w:val="auto"/>
          <w:sz w:val="32"/>
          <w:szCs w:val="32"/>
          <w:lang w:val="en-US" w:eastAsia="zh-CN"/>
        </w:rPr>
        <w:t>其他高耗能、高排放企业。</w:t>
      </w:r>
      <w:r>
        <w:rPr>
          <w:rFonts w:hint="eastAsia" w:ascii="仿宋_GB2312" w:hAnsi="仿宋_GB2312" w:eastAsia="仿宋_GB2312" w:cs="仿宋_GB2312"/>
          <w:b/>
          <w:bCs/>
          <w:color w:val="auto"/>
          <w:sz w:val="32"/>
          <w:szCs w:val="32"/>
          <w:lang w:eastAsia="zh-CN"/>
        </w:rPr>
        <w:t>高能耗项目</w:t>
      </w:r>
      <w:r>
        <w:rPr>
          <w:rFonts w:hint="eastAsia" w:ascii="仿宋_GB2312" w:hAnsi="仿宋_GB2312" w:eastAsia="仿宋_GB2312" w:cs="仿宋_GB2312"/>
          <w:color w:val="auto"/>
          <w:sz w:val="32"/>
          <w:szCs w:val="32"/>
          <w:lang w:eastAsia="zh-CN"/>
        </w:rPr>
        <w:t>以政府确定名录为准，包括黑色金属冶炼和压延加工业</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有色金属冶炼和压延加工业；非金属矿物制品业；石油、煤炭及其他燃料加工业；化学原料和化学制品制造业（不含肥料制造）等行业项目。</w:t>
      </w:r>
      <w:r>
        <w:rPr>
          <w:rFonts w:hint="eastAsia" w:ascii="仿宋_GB2312" w:hAnsi="仿宋_GB2312" w:eastAsia="仿宋_GB2312" w:cs="仿宋_GB2312"/>
          <w:b/>
          <w:bCs/>
          <w:color w:val="auto"/>
          <w:sz w:val="32"/>
          <w:szCs w:val="32"/>
          <w:lang w:eastAsia="zh-CN"/>
        </w:rPr>
        <w:t>高排放项目</w:t>
      </w:r>
      <w:r>
        <w:rPr>
          <w:rFonts w:hint="eastAsia" w:ascii="仿宋_GB2312" w:hAnsi="仿宋_GB2312" w:eastAsia="仿宋_GB2312" w:cs="仿宋_GB2312"/>
          <w:color w:val="auto"/>
          <w:sz w:val="32"/>
          <w:szCs w:val="32"/>
          <w:lang w:eastAsia="zh-CN"/>
        </w:rPr>
        <w:t>以政府确定名录为准。</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当全省启动Ⅲ级及以下有序用电时，有序用电范围全部为</w:t>
      </w:r>
      <w:r>
        <w:rPr>
          <w:rFonts w:hint="eastAsia" w:ascii="仿宋_GB2312" w:hAnsi="仿宋_GB2312" w:eastAsia="仿宋_GB2312" w:cs="仿宋_GB2312"/>
          <w:b w:val="0"/>
          <w:bCs w:val="0"/>
          <w:color w:val="auto"/>
          <w:sz w:val="32"/>
          <w:szCs w:val="32"/>
          <w:lang w:val="en-US" w:eastAsia="zh-CN"/>
        </w:rPr>
        <w:t>上述五类</w:t>
      </w:r>
      <w:r>
        <w:rPr>
          <w:rFonts w:hint="eastAsia" w:ascii="仿宋_GB2312" w:hAnsi="仿宋_GB2312" w:eastAsia="仿宋_GB2312" w:cs="仿宋_GB2312"/>
          <w:b w:val="0"/>
          <w:bCs w:val="0"/>
          <w:color w:val="auto"/>
          <w:sz w:val="32"/>
          <w:szCs w:val="32"/>
        </w:rPr>
        <w:t>项目</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不对其他用户限电。</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当全省实施Ⅱ级及以上有序用电措施，</w:t>
      </w:r>
      <w:r>
        <w:rPr>
          <w:rFonts w:hint="eastAsia" w:ascii="仿宋_GB2312" w:hAnsi="仿宋_GB2312" w:eastAsia="仿宋_GB2312" w:cs="仿宋_GB2312"/>
          <w:b w:val="0"/>
          <w:bCs w:val="0"/>
          <w:color w:val="auto"/>
          <w:sz w:val="32"/>
          <w:szCs w:val="32"/>
          <w:lang w:val="en-US" w:eastAsia="zh-CN"/>
        </w:rPr>
        <w:t>上述五类</w:t>
      </w:r>
      <w:r>
        <w:rPr>
          <w:rFonts w:hint="eastAsia" w:ascii="仿宋_GB2312" w:hAnsi="仿宋_GB2312" w:eastAsia="仿宋_GB2312" w:cs="仿宋_GB2312"/>
          <w:b w:val="0"/>
          <w:bCs w:val="0"/>
          <w:color w:val="auto"/>
          <w:sz w:val="32"/>
          <w:szCs w:val="32"/>
        </w:rPr>
        <w:t>项目用电负荷全部限制到位后仍存在电力电量平衡缺口，对其他用户实施有序用电。</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（二）优先保障民用和涉及公众利益、国家安全的重要负荷</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不得</w:t>
      </w:r>
      <w:r>
        <w:rPr>
          <w:rFonts w:hint="eastAsia" w:ascii="仿宋_GB2312" w:hAnsi="仿宋_GB2312" w:eastAsia="仿宋_GB2312" w:cs="仿宋_GB2312"/>
          <w:b w:val="0"/>
          <w:bCs w:val="0"/>
          <w:color w:val="auto"/>
          <w:sz w:val="32"/>
          <w:szCs w:val="32"/>
        </w:rPr>
        <w:t>列入有序用电调控</w:t>
      </w:r>
      <w:r>
        <w:rPr>
          <w:rFonts w:hint="eastAsia" w:ascii="仿宋_GB2312" w:hAnsi="仿宋_GB2312" w:eastAsia="仿宋_GB2312" w:cs="仿宋_GB2312"/>
          <w:b w:val="0"/>
          <w:bCs w:val="0"/>
          <w:color w:val="auto"/>
          <w:sz w:val="32"/>
          <w:szCs w:val="32"/>
          <w:lang w:eastAsia="zh-CN"/>
        </w:rPr>
        <w:t>的负荷包括：</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1.应急指挥和处置部门，主要党政军机关，广播、电视、电信、交通、监狱等关系国家安全和社会秩序的用户。</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2.危险化学品生产、矿井等停电将导致重大人身伤害或设备严重损坏企业的保安负荷。</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3.重大社会活动场所、医院、金融机构、学校等关系群众生命财产安全的用户。</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4.供水、供热、供能等基础设施用户。</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5.居民生活，排灌、化肥生产等农业生产用电。</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6.国家重点工程、军工企业。</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四、电力供需形势分析</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rPr>
        <w:t>（一）</w:t>
      </w:r>
      <w:r>
        <w:rPr>
          <w:rFonts w:hint="eastAsia" w:ascii="楷体_GB2312" w:hAnsi="楷体_GB2312" w:eastAsia="楷体_GB2312" w:cs="楷体_GB2312"/>
          <w:b/>
          <w:bCs/>
          <w:color w:val="auto"/>
          <w:sz w:val="32"/>
          <w:szCs w:val="32"/>
          <w:lang w:eastAsia="zh-CN"/>
        </w:rPr>
        <w:t>供电能力</w:t>
      </w:r>
    </w:p>
    <w:p>
      <w:pPr>
        <w:pStyle w:val="8"/>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bCs/>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1.葫芦岛电网供电能力“整体充裕，局部紧张”</w:t>
      </w:r>
    </w:p>
    <w:p>
      <w:pPr>
        <w:pStyle w:val="8"/>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val="0"/>
          <w:bCs w:val="0"/>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220千伏电网供电能力方面，</w:t>
      </w:r>
      <w:r>
        <w:rPr>
          <w:rFonts w:hint="eastAsia" w:ascii="仿宋_GB2312" w:hAnsi="仿宋_GB2312" w:eastAsia="仿宋_GB2312" w:cs="仿宋_GB2312"/>
          <w:b w:val="0"/>
          <w:bCs w:val="0"/>
          <w:color w:val="auto"/>
          <w:kern w:val="2"/>
          <w:sz w:val="32"/>
          <w:szCs w:val="32"/>
          <w:lang w:val="en-US" w:eastAsia="zh-CN"/>
        </w:rPr>
        <w:t>团山子、葫芦岛、兴城、绥中220千伏变电站负载率较高，其中团山子220千伏变电站在双赢开关站投运及后续改接工程完成后负荷将大幅减轻，其它地区仍需通过新增电源布点、对变电站增容改造和加快负荷转移工程建设来解决供电能力紧张情况，马道岭、杨杖子、暖东220千伏变电站整体负荷较轻，造成葫芦岛地区220千伏容载比偏高。其他地区供电能力较好，但随着打渔山地区、东戴河地区大负荷项目落地实施，未来仍需新增220千伏电源布点。</w:t>
      </w:r>
    </w:p>
    <w:p>
      <w:pPr>
        <w:pStyle w:val="8"/>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val="0"/>
          <w:bCs w:val="0"/>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66千伏电网供电能力方面，</w:t>
      </w:r>
      <w:r>
        <w:rPr>
          <w:rFonts w:hint="eastAsia" w:ascii="仿宋_GB2312" w:hAnsi="仿宋_GB2312" w:eastAsia="仿宋_GB2312" w:cs="仿宋_GB2312"/>
          <w:b w:val="0"/>
          <w:bCs w:val="0"/>
          <w:color w:val="auto"/>
          <w:kern w:val="2"/>
          <w:sz w:val="32"/>
          <w:szCs w:val="32"/>
          <w:lang w:val="en-US" w:eastAsia="zh-CN"/>
        </w:rPr>
        <w:t>连山北部、南票、建昌、兴城西南部和绥中北部地区因用电负荷整体偏低和新能源大规模接入，造成容载比较高。而南部沿海地区，特别是兴城、绥中沿海地区负荷发展较快，部分变电站已出现不满足N-1和负载率偏高的情况，如温泉、侯家、沙后所、塔山屯等66千伏变电站负载率均已接近和超过60%，发展较快地区66千伏变电站已出现业扩报装接入受限情况，其中，较为突出的为绥中县城区、东戴河新区和兴城市城区，急需通过新增电源布点及变电站增容扩建等工程来提升地区供电能力。</w:t>
      </w:r>
    </w:p>
    <w:p>
      <w:pPr>
        <w:pStyle w:val="8"/>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2.迎峰度夏、迎峰度冬形势相对严峻</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近年葫芦岛地区负荷不断增长，特别是迎峰度夏期间的旅游负荷以及迎峰度冬期间的供热负荷增长较快，对电网承载能力构成挑战。</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部分区域内的变电站和线路负载率同步增长，10千伏负荷转移困难，</w:t>
      </w:r>
      <w:r>
        <w:rPr>
          <w:rFonts w:hint="eastAsia" w:ascii="仿宋_GB2312" w:hAnsi="仿宋_GB2312" w:eastAsia="仿宋_GB2312" w:cs="仿宋_GB2312"/>
          <w:color w:val="auto"/>
          <w:sz w:val="32"/>
          <w:szCs w:val="32"/>
          <w:lang w:val="en-US" w:eastAsia="zh-CN"/>
        </w:rPr>
        <w:t>互相支援能力较差。</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新能源的大量接入对电网影响逐渐显现，在迎峰度夏期间大负荷往往出现在晚上，此时光伏电站上网电量下降；迎峰度冬期间大负荷往往出现在天气恶劣时，此时光伏及风电上网电量都大幅下降。特定时段发电侧和用电侧负荷的此消彼长，容易形成电力缺口。</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（二）电力供应能力分析</w:t>
      </w:r>
    </w:p>
    <w:p>
      <w:pPr>
        <w:pStyle w:val="8"/>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bCs/>
          <w:color w:val="auto"/>
          <w:sz w:val="32"/>
          <w:szCs w:val="32"/>
          <w:lang w:val="en-US" w:eastAsia="zh-CN"/>
        </w:rPr>
      </w:pPr>
      <w:bookmarkStart w:id="0" w:name="_Toc19734"/>
      <w:bookmarkStart w:id="1" w:name="_Toc279234558"/>
      <w:r>
        <w:rPr>
          <w:rFonts w:hint="eastAsia" w:ascii="仿宋_GB2312" w:hAnsi="仿宋_GB2312" w:eastAsia="仿宋_GB2312" w:cs="仿宋_GB2312"/>
          <w:b/>
          <w:bCs/>
          <w:color w:val="auto"/>
          <w:sz w:val="32"/>
          <w:szCs w:val="32"/>
          <w:lang w:val="en-US" w:eastAsia="zh-CN"/>
        </w:rPr>
        <w:t>1.葫芦岛地区发电企业情况</w:t>
      </w:r>
    </w:p>
    <w:bookmarkEnd w:id="0"/>
    <w:bookmarkEnd w:id="1"/>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葫芦岛地区共有4家企业自备电厂，装机13台，总容量16.1万kW。地方风电场6家，装机140台，总容量27.19万kW。水电厂5家，装机8台，总容量0.4万kW。光伏集中式电源10家，总容量25万kW。</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葫芦岛地区4家企业自备电厂在葫芦岛地区处于有序用电状态时，应保持最大发电出力。</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由于省电力调度按照220kV电压等级安排有序用电负荷，而葫芦岛地区风电发电负荷主要在电网谷段时间通过66kV电压上网，影响葫芦岛地区有序用电调控，需要安排相应容量的可调控负荷。</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bCs/>
          <w:color w:val="FF0000"/>
          <w:sz w:val="32"/>
          <w:szCs w:val="32"/>
          <w:lang w:val="en-US" w:eastAsia="zh-CN"/>
        </w:rPr>
      </w:pPr>
      <w:r>
        <w:rPr>
          <w:rFonts w:hint="eastAsia" w:ascii="仿宋_GB2312" w:hAnsi="仿宋_GB2312" w:eastAsia="仿宋_GB2312" w:cs="仿宋_GB2312"/>
          <w:b/>
          <w:bCs/>
          <w:color w:val="auto"/>
          <w:sz w:val="32"/>
          <w:szCs w:val="32"/>
          <w:lang w:val="en-US" w:eastAsia="zh-CN"/>
        </w:rPr>
        <w:t>2.葫芦岛地区变电能力</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outlineLvl w:val="9"/>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国网葫芦岛供电公司直属变电站93座，变压器台数180台，总容量727.88万kVA；其中220kV变电站13座，变压器台数23台，总容量390万kVA；66kV变电站80座，变压器台数157台，总容量337.88万kVA；</w:t>
      </w:r>
    </w:p>
    <w:p>
      <w:pPr>
        <w:pStyle w:val="20"/>
        <w:keepNext w:val="0"/>
        <w:keepLines w:val="0"/>
        <w:pageBreakBefore w:val="0"/>
        <w:kinsoku/>
        <w:wordWrap/>
        <w:overflowPunct/>
        <w:topLinePunct w:val="0"/>
        <w:autoSpaceDE/>
        <w:autoSpaceDN/>
        <w:bidi w:val="0"/>
        <w:spacing w:line="580" w:lineRule="exact"/>
        <w:ind w:firstLine="560"/>
        <w:textAlignment w:val="auto"/>
        <w:outlineLvl w:val="9"/>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葫芦岛电网用户变电站67座，变压器台数123台，总容量237.578万kVA；其中220kV用户变电站8座，变压器台数16台，总容量45.8万kVA；66kV用户变电站59座，变压器台数107台，总容量191.778万kVA。</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3.葫芦岛地区输电线路情况</w:t>
      </w:r>
    </w:p>
    <w:p>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outlineLvl w:val="9"/>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葫芦岛电网66千伏及以上输电线路198条，总长度2935.8公里，分歧线路长度418.7公里。其中220千伏输电线路54条,总长度1138.9公里，66千伏输电主线路144条,总长度1796.9公里，包含用户主线66千伏线路21条，总长度241.15公里。220kV左昌线、何南线为朝阳、葫芦岛供电公司共同维护，线路条数分别计入；220kV和女线、66kV女沙线为锦州、葫芦岛供电公司共同维护，线路条数分别计入。</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eastAsia="zh-CN"/>
        </w:rPr>
        <w:t>（三）用电需求分析</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年葫芦岛市经济社会发展的主要预期目标是：地区生产总值增长6%，一般公共预算收入增长</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规上工业增加值增长6%以上，固定资产投资增长1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%以上，社会消费品零售总额增长</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%左右，居民消费价格涨幅</w:t>
      </w:r>
      <w:r>
        <w:rPr>
          <w:rFonts w:hint="eastAsia" w:ascii="仿宋_GB2312" w:hAnsi="仿宋_GB2312" w:eastAsia="仿宋_GB2312" w:cs="仿宋_GB2312"/>
          <w:color w:val="auto"/>
          <w:sz w:val="32"/>
          <w:szCs w:val="32"/>
          <w:lang w:val="en-US" w:eastAsia="zh-CN"/>
        </w:rPr>
        <w:t>3%左右，居民收入增长与经济增长协调同步；主要污染物排放总量继续下降，单位地区生产总值耗能降低2%，生态环境持续改善。</w:t>
      </w:r>
      <w:r>
        <w:rPr>
          <w:rFonts w:hint="eastAsia" w:ascii="仿宋_GB2312" w:hAnsi="仿宋_GB2312" w:eastAsia="仿宋_GB2312" w:cs="仿宋_GB2312"/>
          <w:color w:val="auto"/>
          <w:sz w:val="32"/>
          <w:szCs w:val="32"/>
          <w:lang w:eastAsia="zh-CN"/>
        </w:rPr>
        <w:t>预测202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年葫芦岛地区网供最大负荷将达到</w:t>
      </w:r>
      <w:r>
        <w:rPr>
          <w:rFonts w:hint="eastAsia" w:ascii="仿宋_GB2312" w:hAnsi="仿宋_GB2312" w:eastAsia="仿宋_GB2312" w:cs="仿宋_GB2312"/>
          <w:color w:val="auto"/>
          <w:sz w:val="32"/>
          <w:szCs w:val="32"/>
          <w:lang w:val="en-US" w:eastAsia="zh-CN"/>
        </w:rPr>
        <w:t>152</w:t>
      </w:r>
      <w:r>
        <w:rPr>
          <w:rFonts w:hint="eastAsia" w:ascii="仿宋_GB2312" w:hAnsi="仿宋_GB2312" w:eastAsia="仿宋_GB2312" w:cs="仿宋_GB2312"/>
          <w:color w:val="auto"/>
          <w:sz w:val="32"/>
          <w:szCs w:val="32"/>
          <w:lang w:eastAsia="zh-CN"/>
        </w:rPr>
        <w:t>万千瓦。</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（四）电力供需平衡情况分析预测</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在考虑负荷增长、新机投产、直调风电容量以及机炉缺陷等多种因素后，202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年，若不发生机组大规模非计划停机或大面积缺煤停机情况，全年电力供需平衡形势良好</w:t>
      </w:r>
      <w:r>
        <w:rPr>
          <w:rFonts w:hint="eastAsia" w:ascii="仿宋_GB2312" w:hAnsi="仿宋_GB2312" w:eastAsia="仿宋_GB2312" w:cs="仿宋_GB2312"/>
          <w:color w:val="auto"/>
          <w:sz w:val="32"/>
          <w:szCs w:val="32"/>
          <w:lang w:eastAsia="zh-CN"/>
        </w:rPr>
        <w:t>，但迎峰度夏、迎峰度冬期间或存在电力供应紧张情况</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lang w:eastAsia="zh-CN"/>
        </w:rPr>
        <w:t>五、</w:t>
      </w:r>
      <w:r>
        <w:rPr>
          <w:rFonts w:hint="eastAsia" w:ascii="黑体" w:hAnsi="黑体" w:eastAsia="黑体" w:cs="黑体"/>
          <w:b/>
          <w:bCs/>
          <w:color w:val="auto"/>
          <w:sz w:val="32"/>
          <w:szCs w:val="32"/>
        </w:rPr>
        <w:t>负荷指标分配</w:t>
      </w:r>
    </w:p>
    <w:p>
      <w:pPr>
        <w:pStyle w:val="8"/>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一</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全市负荷缺口指标分配</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根据国家发改委《有序用电管理办法》相关规定和辽宁省</w:t>
      </w:r>
      <w:r>
        <w:rPr>
          <w:rFonts w:hint="eastAsia" w:ascii="仿宋_GB2312" w:hAnsi="仿宋_GB2312" w:eastAsia="仿宋_GB2312" w:cs="仿宋_GB2312"/>
          <w:color w:val="auto"/>
          <w:sz w:val="32"/>
          <w:szCs w:val="32"/>
          <w:lang w:eastAsia="zh-CN"/>
        </w:rPr>
        <w:t>工业</w:t>
      </w:r>
      <w:r>
        <w:rPr>
          <w:rFonts w:hint="eastAsia" w:ascii="仿宋_GB2312" w:hAnsi="仿宋_GB2312" w:eastAsia="仿宋_GB2312" w:cs="仿宋_GB2312"/>
          <w:color w:val="auto"/>
          <w:sz w:val="32"/>
          <w:szCs w:val="32"/>
        </w:rPr>
        <w:t>和信息化</w:t>
      </w:r>
      <w:r>
        <w:rPr>
          <w:rFonts w:hint="eastAsia" w:ascii="仿宋_GB2312" w:hAnsi="仿宋_GB2312" w:eastAsia="仿宋_GB2312" w:cs="仿宋_GB2312"/>
          <w:color w:val="auto"/>
          <w:sz w:val="32"/>
          <w:szCs w:val="32"/>
          <w:lang w:eastAsia="zh-CN"/>
        </w:rPr>
        <w:t>厅</w:t>
      </w:r>
      <w:r>
        <w:rPr>
          <w:rFonts w:hint="eastAsia" w:ascii="仿宋_GB2312" w:hAnsi="仿宋_GB2312" w:eastAsia="仿宋_GB2312" w:cs="仿宋_GB2312"/>
          <w:color w:val="auto"/>
          <w:sz w:val="32"/>
          <w:szCs w:val="32"/>
        </w:rPr>
        <w:t>下发的</w:t>
      </w: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年有序用电负荷调控指标</w:t>
      </w:r>
      <w:r>
        <w:rPr>
          <w:rFonts w:hint="eastAsia" w:ascii="仿宋_GB2312" w:hAnsi="仿宋_GB2312" w:eastAsia="仿宋_GB2312" w:cs="仿宋_GB2312"/>
          <w:color w:val="auto"/>
          <w:sz w:val="32"/>
          <w:szCs w:val="32"/>
        </w:rPr>
        <w:t>，将葫芦岛市有序用电预警等级划分为以下</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级：</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Ⅰ</w:t>
      </w:r>
      <w:r>
        <w:rPr>
          <w:rFonts w:hint="eastAsia" w:ascii="仿宋_GB2312" w:hAnsi="仿宋_GB2312" w:eastAsia="仿宋_GB2312" w:cs="仿宋_GB2312"/>
          <w:color w:val="auto"/>
          <w:sz w:val="32"/>
          <w:szCs w:val="32"/>
          <w:lang w:val="en-US" w:eastAsia="zh-CN"/>
        </w:rPr>
        <w:t>-A</w:t>
      </w:r>
      <w:r>
        <w:rPr>
          <w:rFonts w:hint="eastAsia" w:ascii="仿宋_GB2312" w:hAnsi="仿宋_GB2312" w:eastAsia="仿宋_GB2312" w:cs="仿宋_GB2312"/>
          <w:color w:val="auto"/>
          <w:sz w:val="32"/>
          <w:szCs w:val="32"/>
        </w:rPr>
        <w:t>级（红色预警）：特别严重，电力缺口</w:t>
      </w:r>
      <w:r>
        <w:rPr>
          <w:rFonts w:hint="eastAsia" w:ascii="仿宋_GB2312" w:hAnsi="仿宋_GB2312" w:eastAsia="仿宋_GB2312" w:cs="仿宋_GB2312"/>
          <w:color w:val="auto"/>
          <w:sz w:val="32"/>
          <w:szCs w:val="32"/>
          <w:lang w:val="en-US" w:eastAsia="zh-CN"/>
        </w:rPr>
        <w:t>41</w:t>
      </w:r>
      <w:r>
        <w:rPr>
          <w:rFonts w:hint="eastAsia" w:ascii="仿宋_GB2312" w:hAnsi="仿宋_GB2312" w:eastAsia="仿宋_GB2312" w:cs="仿宋_GB2312"/>
          <w:color w:val="auto"/>
          <w:sz w:val="32"/>
          <w:szCs w:val="32"/>
        </w:rPr>
        <w:t>万千瓦（2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-30%之间</w:t>
      </w:r>
      <w:r>
        <w:rPr>
          <w:rFonts w:hint="eastAsia" w:ascii="仿宋_GB2312" w:hAnsi="仿宋_GB2312" w:eastAsia="仿宋_GB2312" w:cs="仿宋_GB2312"/>
          <w:color w:val="auto"/>
          <w:sz w:val="32"/>
          <w:szCs w:val="32"/>
        </w:rPr>
        <w:t>，按30%考虑）。</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Ⅰ</w:t>
      </w:r>
      <w:r>
        <w:rPr>
          <w:rFonts w:hint="eastAsia" w:ascii="仿宋_GB2312" w:hAnsi="仿宋_GB2312" w:eastAsia="仿宋_GB2312" w:cs="仿宋_GB2312"/>
          <w:color w:val="auto"/>
          <w:sz w:val="32"/>
          <w:szCs w:val="32"/>
          <w:lang w:val="en-US" w:eastAsia="zh-CN"/>
        </w:rPr>
        <w:t>-B</w:t>
      </w:r>
      <w:r>
        <w:rPr>
          <w:rFonts w:hint="eastAsia" w:ascii="仿宋_GB2312" w:hAnsi="仿宋_GB2312" w:eastAsia="仿宋_GB2312" w:cs="仿宋_GB2312"/>
          <w:color w:val="auto"/>
          <w:sz w:val="32"/>
          <w:szCs w:val="32"/>
        </w:rPr>
        <w:t>级（红色预警）：特别严重，电力缺口</w:t>
      </w:r>
      <w:r>
        <w:rPr>
          <w:rFonts w:hint="eastAsia"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rPr>
        <w:t>万千瓦（2</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-25%之间</w:t>
      </w:r>
      <w:r>
        <w:rPr>
          <w:rFonts w:hint="eastAsia" w:ascii="仿宋_GB2312" w:hAnsi="仿宋_GB2312" w:eastAsia="仿宋_GB2312" w:cs="仿宋_GB2312"/>
          <w:color w:val="auto"/>
          <w:sz w:val="32"/>
          <w:szCs w:val="32"/>
        </w:rPr>
        <w:t>，按</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%考虑）。</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Ⅱ</w:t>
      </w:r>
      <w:r>
        <w:rPr>
          <w:rFonts w:hint="eastAsia" w:ascii="仿宋_GB2312" w:hAnsi="仿宋_GB2312" w:eastAsia="仿宋_GB2312" w:cs="仿宋_GB2312"/>
          <w:color w:val="auto"/>
          <w:sz w:val="32"/>
          <w:szCs w:val="32"/>
          <w:lang w:val="en-US" w:eastAsia="zh-CN"/>
        </w:rPr>
        <w:t>-A</w:t>
      </w:r>
      <w:r>
        <w:rPr>
          <w:rFonts w:hint="eastAsia" w:ascii="仿宋_GB2312" w:hAnsi="仿宋_GB2312" w:eastAsia="仿宋_GB2312" w:cs="仿宋_GB2312"/>
          <w:color w:val="auto"/>
          <w:sz w:val="32"/>
          <w:szCs w:val="32"/>
        </w:rPr>
        <w:t>级（橙色预警）：严重，电力缺口</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rPr>
        <w:t>万千瓦（1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％-20％之间，按20%考虑）。</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Ⅱ</w:t>
      </w:r>
      <w:r>
        <w:rPr>
          <w:rFonts w:hint="eastAsia" w:ascii="仿宋_GB2312" w:hAnsi="仿宋_GB2312" w:eastAsia="仿宋_GB2312" w:cs="仿宋_GB2312"/>
          <w:color w:val="auto"/>
          <w:sz w:val="32"/>
          <w:szCs w:val="32"/>
          <w:lang w:val="en-US" w:eastAsia="zh-CN"/>
        </w:rPr>
        <w:t>-B</w:t>
      </w:r>
      <w:r>
        <w:rPr>
          <w:rFonts w:hint="eastAsia" w:ascii="仿宋_GB2312" w:hAnsi="仿宋_GB2312" w:eastAsia="仿宋_GB2312" w:cs="仿宋_GB2312"/>
          <w:color w:val="auto"/>
          <w:sz w:val="32"/>
          <w:szCs w:val="32"/>
        </w:rPr>
        <w:t>级（橙色预警）：严重，电力缺口</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万千瓦（10％-</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％之间，按</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%考虑）。</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Ⅲ级（黄色预警）：较重，电力缺口</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万千瓦（5％--10％之间，按10%考虑）。</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黑体" w:hAnsi="黑体" w:eastAsia="黑体" w:cs="黑体"/>
          <w:b/>
          <w:bCs/>
          <w:color w:val="auto"/>
          <w:sz w:val="32"/>
          <w:szCs w:val="32"/>
          <w:lang w:eastAsia="zh-CN"/>
        </w:rPr>
      </w:pPr>
      <w:r>
        <w:rPr>
          <w:rFonts w:hint="eastAsia" w:ascii="仿宋_GB2312" w:hAnsi="仿宋_GB2312" w:eastAsia="仿宋_GB2312" w:cs="仿宋_GB2312"/>
          <w:color w:val="auto"/>
          <w:sz w:val="32"/>
          <w:szCs w:val="32"/>
        </w:rPr>
        <w:t>Ⅳ级（蓝色预警）：一般，电力缺口</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万千瓦（5％以下，按5%考虑）。</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lang w:eastAsia="zh-CN"/>
        </w:rPr>
        <w:t>六、</w:t>
      </w:r>
      <w:r>
        <w:rPr>
          <w:rFonts w:hint="eastAsia" w:ascii="黑体" w:hAnsi="黑体" w:eastAsia="黑体" w:cs="黑体"/>
          <w:b/>
          <w:bCs/>
          <w:color w:val="auto"/>
          <w:sz w:val="32"/>
          <w:szCs w:val="32"/>
        </w:rPr>
        <w:t>葫芦岛市有序用电调控负荷计划指标</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20</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年葫芦岛市共有</w:t>
      </w:r>
      <w:r>
        <w:rPr>
          <w:rFonts w:hint="eastAsia" w:ascii="仿宋_GB2312" w:hAnsi="仿宋_GB2312" w:eastAsia="仿宋_GB2312" w:cs="仿宋_GB2312"/>
          <w:color w:val="auto"/>
          <w:sz w:val="32"/>
          <w:szCs w:val="32"/>
          <w:highlight w:val="none"/>
          <w:lang w:val="en-US" w:eastAsia="zh-CN"/>
        </w:rPr>
        <w:t>612</w:t>
      </w:r>
      <w:r>
        <w:rPr>
          <w:rFonts w:hint="eastAsia" w:ascii="仿宋_GB2312" w:hAnsi="仿宋_GB2312" w:eastAsia="仿宋_GB2312" w:cs="仿宋_GB2312"/>
          <w:color w:val="auto"/>
          <w:sz w:val="32"/>
          <w:szCs w:val="32"/>
        </w:rPr>
        <w:t>户参与有序用电，供电总容量</w:t>
      </w:r>
      <w:r>
        <w:rPr>
          <w:rFonts w:hint="eastAsia" w:ascii="仿宋_GB2312" w:hAnsi="仿宋_GB2312" w:eastAsia="仿宋_GB2312" w:cs="仿宋_GB2312"/>
          <w:color w:val="auto"/>
          <w:sz w:val="32"/>
          <w:szCs w:val="32"/>
          <w:highlight w:val="none"/>
          <w:lang w:val="en-US" w:eastAsia="zh-CN"/>
        </w:rPr>
        <w:t>152.35</w:t>
      </w:r>
      <w:r>
        <w:rPr>
          <w:rFonts w:hint="eastAsia" w:ascii="仿宋_GB2312" w:hAnsi="仿宋_GB2312" w:eastAsia="仿宋_GB2312" w:cs="仿宋_GB2312"/>
          <w:color w:val="auto"/>
          <w:sz w:val="32"/>
          <w:szCs w:val="32"/>
          <w:highlight w:val="none"/>
        </w:rPr>
        <w:t>万</w:t>
      </w:r>
      <w:r>
        <w:rPr>
          <w:rFonts w:hint="eastAsia" w:ascii="仿宋_GB2312" w:hAnsi="仿宋_GB2312" w:eastAsia="仿宋_GB2312" w:cs="仿宋_GB2312"/>
          <w:color w:val="auto"/>
          <w:sz w:val="32"/>
          <w:szCs w:val="32"/>
        </w:rPr>
        <w:t>千</w:t>
      </w:r>
      <w:r>
        <w:rPr>
          <w:rFonts w:hint="eastAsia" w:ascii="仿宋_GB2312" w:hAnsi="仿宋_GB2312" w:eastAsia="仿宋_GB2312" w:cs="仿宋_GB2312"/>
          <w:color w:val="auto"/>
          <w:sz w:val="32"/>
          <w:szCs w:val="32"/>
          <w:lang w:eastAsia="zh-CN"/>
        </w:rPr>
        <w:t>伏安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参与有序用电客户单户容量均超过</w:t>
      </w:r>
      <w:r>
        <w:rPr>
          <w:rFonts w:hint="eastAsia" w:ascii="仿宋_GB2312" w:hAnsi="仿宋_GB2312" w:eastAsia="仿宋_GB2312" w:cs="仿宋_GB2312"/>
          <w:color w:val="auto"/>
          <w:sz w:val="32"/>
          <w:szCs w:val="32"/>
          <w:lang w:val="en-US" w:eastAsia="zh-CN"/>
        </w:rPr>
        <w:t>100千伏安（千瓦）。</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年度葫芦岛市有序用电所采取的电措施主要有</w:t>
      </w:r>
      <w:r>
        <w:rPr>
          <w:rFonts w:hint="eastAsia" w:ascii="仿宋_GB2312" w:hAnsi="仿宋_GB2312" w:eastAsia="仿宋_GB2312" w:cs="仿宋_GB2312"/>
          <w:color w:val="auto"/>
          <w:sz w:val="32"/>
          <w:szCs w:val="32"/>
          <w:lang w:eastAsia="zh-CN"/>
        </w:rPr>
        <w:t>错峰</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避峰</w:t>
      </w:r>
      <w:r>
        <w:rPr>
          <w:rFonts w:hint="eastAsia" w:ascii="仿宋_GB2312" w:hAnsi="仿宋_GB2312" w:eastAsia="仿宋_GB2312" w:cs="仿宋_GB2312"/>
          <w:color w:val="auto"/>
          <w:sz w:val="32"/>
          <w:szCs w:val="32"/>
        </w:rPr>
        <w:t>等措施。</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eastAsia="zh-CN"/>
        </w:rPr>
        <w:t>其中“两高”等五类重点限制类用户：</w:t>
      </w:r>
      <w:r>
        <w:rPr>
          <w:rFonts w:hint="eastAsia" w:ascii="仿宋_GB2312" w:hAnsi="仿宋_GB2312" w:eastAsia="仿宋_GB2312" w:cs="仿宋_GB2312"/>
          <w:color w:val="auto"/>
          <w:sz w:val="32"/>
          <w:szCs w:val="32"/>
          <w:highlight w:val="none"/>
          <w:lang w:val="en-US" w:eastAsia="zh-CN"/>
        </w:rPr>
        <w:t>277户参与有序用电，供电总容量86.59万千伏安，单户供电容量均超过100千伏安。</w:t>
      </w:r>
      <w:r>
        <w:rPr>
          <w:rFonts w:hint="eastAsia" w:ascii="仿宋_GB2312" w:hAnsi="仿宋_GB2312" w:eastAsia="仿宋_GB2312" w:cs="仿宋_GB2312"/>
          <w:b w:val="0"/>
          <w:bCs w:val="0"/>
          <w:color w:val="auto"/>
          <w:sz w:val="32"/>
          <w:szCs w:val="32"/>
          <w:lang w:eastAsia="zh-CN"/>
        </w:rPr>
        <w:t>压降负荷</w:t>
      </w:r>
      <w:r>
        <w:rPr>
          <w:rFonts w:hint="eastAsia" w:ascii="仿宋_GB2312" w:hAnsi="仿宋_GB2312" w:eastAsia="仿宋_GB2312" w:cs="仿宋_GB2312"/>
          <w:b w:val="0"/>
          <w:bCs w:val="0"/>
          <w:color w:val="auto"/>
          <w:sz w:val="32"/>
          <w:szCs w:val="32"/>
          <w:lang w:val="en-US" w:eastAsia="zh-CN"/>
        </w:rPr>
        <w:t>24.09万千瓦。</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级层面普通工业及一般工商业：</w:t>
      </w:r>
      <w:r>
        <w:rPr>
          <w:rFonts w:hint="eastAsia" w:ascii="仿宋_GB2312" w:hAnsi="仿宋_GB2312" w:eastAsia="仿宋_GB2312" w:cs="仿宋_GB2312"/>
          <w:color w:val="auto"/>
          <w:sz w:val="32"/>
          <w:szCs w:val="32"/>
          <w:lang w:val="en-US" w:eastAsia="zh-CN"/>
        </w:rPr>
        <w:t>335</w:t>
      </w:r>
      <w:r>
        <w:rPr>
          <w:rFonts w:hint="eastAsia" w:ascii="仿宋_GB2312" w:hAnsi="仿宋_GB2312" w:eastAsia="仿宋_GB2312" w:cs="仿宋_GB2312"/>
          <w:color w:val="auto"/>
          <w:sz w:val="32"/>
          <w:szCs w:val="32"/>
        </w:rPr>
        <w:t>户参与</w:t>
      </w:r>
      <w:r>
        <w:rPr>
          <w:rFonts w:hint="eastAsia" w:ascii="仿宋_GB2312" w:hAnsi="仿宋_GB2312" w:eastAsia="仿宋_GB2312" w:cs="仿宋_GB2312"/>
          <w:color w:val="auto"/>
          <w:sz w:val="32"/>
          <w:szCs w:val="32"/>
          <w:lang w:eastAsia="zh-CN"/>
        </w:rPr>
        <w:t>有序用电</w:t>
      </w:r>
      <w:r>
        <w:rPr>
          <w:rFonts w:hint="eastAsia" w:ascii="仿宋_GB2312" w:hAnsi="仿宋_GB2312" w:eastAsia="仿宋_GB2312" w:cs="仿宋_GB2312"/>
          <w:color w:val="auto"/>
          <w:sz w:val="32"/>
          <w:szCs w:val="32"/>
          <w:lang w:val="en-US" w:eastAsia="zh-CN"/>
        </w:rPr>
        <w:t>，供电总容量65.76</w:t>
      </w:r>
      <w:r>
        <w:rPr>
          <w:rFonts w:hint="eastAsia" w:ascii="仿宋_GB2312" w:hAnsi="仿宋_GB2312" w:eastAsia="仿宋_GB2312" w:cs="仿宋_GB2312"/>
          <w:color w:val="auto"/>
          <w:sz w:val="32"/>
          <w:szCs w:val="32"/>
          <w:highlight w:val="none"/>
        </w:rPr>
        <w:t>万</w:t>
      </w:r>
      <w:r>
        <w:rPr>
          <w:rFonts w:hint="eastAsia" w:ascii="仿宋_GB2312" w:hAnsi="仿宋_GB2312" w:eastAsia="仿宋_GB2312" w:cs="仿宋_GB2312"/>
          <w:color w:val="auto"/>
          <w:sz w:val="32"/>
          <w:szCs w:val="32"/>
        </w:rPr>
        <w:t>千</w:t>
      </w:r>
      <w:r>
        <w:rPr>
          <w:rFonts w:hint="eastAsia" w:ascii="仿宋_GB2312" w:hAnsi="仿宋_GB2312" w:eastAsia="仿宋_GB2312" w:cs="仿宋_GB2312"/>
          <w:color w:val="auto"/>
          <w:sz w:val="32"/>
          <w:szCs w:val="32"/>
          <w:lang w:eastAsia="zh-CN"/>
        </w:rPr>
        <w:t>伏安</w:t>
      </w:r>
      <w:r>
        <w:rPr>
          <w:rFonts w:hint="eastAsia" w:ascii="仿宋_GB2312" w:hAnsi="仿宋_GB2312" w:eastAsia="仿宋_GB2312" w:cs="仿宋_GB2312"/>
          <w:color w:val="auto"/>
          <w:sz w:val="32"/>
          <w:szCs w:val="32"/>
          <w:highlight w:val="none"/>
          <w:lang w:val="en-US" w:eastAsia="zh-CN"/>
        </w:rPr>
        <w:t>，单户供电容量均超过100千伏安</w:t>
      </w:r>
      <w:r>
        <w:rPr>
          <w:rFonts w:hint="eastAsia" w:ascii="仿宋_GB2312" w:hAnsi="仿宋_GB2312" w:eastAsia="仿宋_GB2312" w:cs="仿宋_GB2312"/>
          <w:b w:val="0"/>
          <w:bCs w:val="0"/>
          <w:color w:val="auto"/>
          <w:sz w:val="32"/>
          <w:szCs w:val="32"/>
          <w:lang w:eastAsia="zh-CN"/>
        </w:rPr>
        <w:t>。压降负荷</w:t>
      </w:r>
      <w:r>
        <w:rPr>
          <w:rFonts w:hint="eastAsia" w:ascii="仿宋_GB2312" w:hAnsi="仿宋_GB2312" w:eastAsia="仿宋_GB2312" w:cs="仿宋_GB2312"/>
          <w:b w:val="0"/>
          <w:bCs w:val="0"/>
          <w:color w:val="auto"/>
          <w:sz w:val="32"/>
          <w:szCs w:val="32"/>
          <w:lang w:val="en-US" w:eastAsia="zh-CN"/>
        </w:rPr>
        <w:t>17.31万千瓦。</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葫芦岛市总计可压降负荷41.40万千瓦。满足省工业和信息化厅下达葫芦岛市“两高”用户限制负荷。</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Ⅳ级（蓝色预警）</w:t>
      </w:r>
      <w:r>
        <w:rPr>
          <w:rFonts w:hint="eastAsia" w:ascii="仿宋_GB2312" w:hAnsi="仿宋_GB2312" w:eastAsia="仿宋_GB2312" w:cs="仿宋_GB2312"/>
          <w:color w:val="auto"/>
          <w:sz w:val="32"/>
          <w:szCs w:val="32"/>
        </w:rPr>
        <w:t>：一般，电力缺口</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万千瓦（5％以下，按5%考虑）。</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措施：</w:t>
      </w:r>
      <w:r>
        <w:rPr>
          <w:rFonts w:hint="eastAsia" w:ascii="仿宋_GB2312" w:hAnsi="仿宋_GB2312" w:eastAsia="仿宋_GB2312" w:cs="仿宋_GB2312"/>
          <w:b w:val="0"/>
          <w:bCs w:val="0"/>
          <w:color w:val="auto"/>
          <w:kern w:val="2"/>
          <w:sz w:val="32"/>
          <w:szCs w:val="32"/>
          <w:lang w:val="en-US" w:eastAsia="zh-CN"/>
        </w:rPr>
        <w:t>63户</w:t>
      </w:r>
      <w:r>
        <w:rPr>
          <w:rFonts w:hint="eastAsia" w:ascii="仿宋_GB2312" w:hAnsi="仿宋_GB2312" w:eastAsia="仿宋_GB2312" w:cs="仿宋_GB2312"/>
          <w:color w:val="auto"/>
          <w:kern w:val="2"/>
          <w:sz w:val="32"/>
          <w:szCs w:val="32"/>
          <w:lang w:val="en-US" w:eastAsia="zh-CN"/>
        </w:rPr>
        <w:t>参与有序用电，均为单户容量630千伏安及以上</w:t>
      </w:r>
      <w:r>
        <w:rPr>
          <w:rFonts w:hint="eastAsia" w:ascii="仿宋_GB2312" w:hAnsi="仿宋_GB2312" w:eastAsia="仿宋_GB2312" w:cs="仿宋_GB2312"/>
          <w:b w:val="0"/>
          <w:bCs w:val="0"/>
          <w:color w:val="auto"/>
          <w:kern w:val="2"/>
          <w:sz w:val="32"/>
          <w:szCs w:val="32"/>
          <w:lang w:val="en-US" w:eastAsia="zh-CN"/>
        </w:rPr>
        <w:t>“两高”等五类重点限制类用户</w:t>
      </w:r>
      <w:r>
        <w:rPr>
          <w:rFonts w:hint="eastAsia" w:ascii="仿宋_GB2312" w:hAnsi="仿宋_GB2312" w:eastAsia="仿宋_GB2312" w:cs="仿宋_GB2312"/>
          <w:color w:val="auto"/>
          <w:kern w:val="2"/>
          <w:sz w:val="32"/>
          <w:szCs w:val="32"/>
          <w:lang w:val="en-US" w:eastAsia="zh-CN"/>
        </w:rPr>
        <w:t>。按顺序压降负荷27.57万千瓦满足</w:t>
      </w:r>
      <w:r>
        <w:rPr>
          <w:rFonts w:hint="eastAsia" w:ascii="仿宋_GB2312" w:hAnsi="仿宋_GB2312" w:eastAsia="仿宋_GB2312" w:cs="仿宋_GB2312"/>
          <w:b/>
          <w:bCs/>
          <w:color w:val="auto"/>
          <w:sz w:val="32"/>
          <w:szCs w:val="32"/>
        </w:rPr>
        <w:t>Ⅳ级</w:t>
      </w:r>
      <w:r>
        <w:rPr>
          <w:rFonts w:hint="eastAsia" w:ascii="仿宋_GB2312" w:hAnsi="仿宋_GB2312" w:eastAsia="仿宋_GB2312" w:cs="仿宋_GB2312"/>
          <w:color w:val="auto"/>
          <w:kern w:val="2"/>
          <w:sz w:val="32"/>
          <w:szCs w:val="32"/>
          <w:lang w:val="en-US" w:eastAsia="zh-CN"/>
        </w:rPr>
        <w:t>有序用电需求。</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Ⅲ级（黄色预警）</w:t>
      </w:r>
      <w:r>
        <w:rPr>
          <w:rFonts w:hint="eastAsia" w:ascii="仿宋_GB2312" w:hAnsi="仿宋_GB2312" w:eastAsia="仿宋_GB2312" w:cs="仿宋_GB2312"/>
          <w:color w:val="auto"/>
          <w:sz w:val="32"/>
          <w:szCs w:val="32"/>
        </w:rPr>
        <w:t>：较重，电力缺口</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万千瓦（5％-10％之间，按10%考虑）。</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措施：</w:t>
      </w:r>
      <w:r>
        <w:rPr>
          <w:rFonts w:hint="eastAsia" w:ascii="仿宋_GB2312" w:hAnsi="仿宋_GB2312" w:eastAsia="仿宋_GB2312" w:cs="仿宋_GB2312"/>
          <w:b w:val="0"/>
          <w:bCs w:val="0"/>
          <w:color w:val="auto"/>
          <w:kern w:val="2"/>
          <w:sz w:val="32"/>
          <w:szCs w:val="32"/>
          <w:lang w:val="en-US" w:eastAsia="zh-CN"/>
        </w:rPr>
        <w:t>76户</w:t>
      </w:r>
      <w:r>
        <w:rPr>
          <w:rFonts w:hint="eastAsia" w:ascii="仿宋_GB2312" w:hAnsi="仿宋_GB2312" w:eastAsia="仿宋_GB2312" w:cs="仿宋_GB2312"/>
          <w:color w:val="auto"/>
          <w:kern w:val="2"/>
          <w:sz w:val="32"/>
          <w:szCs w:val="32"/>
          <w:lang w:val="en-US" w:eastAsia="zh-CN"/>
        </w:rPr>
        <w:t>参与有序用电，均为单户容量315千伏安及以上</w:t>
      </w:r>
      <w:r>
        <w:rPr>
          <w:rFonts w:hint="eastAsia" w:ascii="仿宋_GB2312" w:hAnsi="仿宋_GB2312" w:eastAsia="仿宋_GB2312" w:cs="仿宋_GB2312"/>
          <w:b w:val="0"/>
          <w:bCs w:val="0"/>
          <w:color w:val="auto"/>
          <w:kern w:val="2"/>
          <w:sz w:val="32"/>
          <w:szCs w:val="32"/>
          <w:lang w:val="en-US" w:eastAsia="zh-CN"/>
        </w:rPr>
        <w:t>“两高”等五类重点限制类用户</w:t>
      </w:r>
      <w:r>
        <w:rPr>
          <w:rFonts w:hint="eastAsia" w:ascii="仿宋_GB2312" w:hAnsi="仿宋_GB2312" w:eastAsia="仿宋_GB2312" w:cs="仿宋_GB2312"/>
          <w:color w:val="auto"/>
          <w:kern w:val="2"/>
          <w:sz w:val="32"/>
          <w:szCs w:val="32"/>
          <w:lang w:val="en-US" w:eastAsia="zh-CN"/>
        </w:rPr>
        <w:t>。按顺序压降负荷27.80万千瓦满足</w:t>
      </w:r>
      <w:r>
        <w:rPr>
          <w:rFonts w:hint="eastAsia" w:ascii="仿宋_GB2312" w:hAnsi="仿宋_GB2312" w:eastAsia="仿宋_GB2312" w:cs="仿宋_GB2312"/>
          <w:b/>
          <w:bCs/>
          <w:color w:val="auto"/>
          <w:sz w:val="32"/>
          <w:szCs w:val="32"/>
        </w:rPr>
        <w:t>Ⅲ级</w:t>
      </w:r>
      <w:r>
        <w:rPr>
          <w:rFonts w:hint="eastAsia" w:ascii="仿宋_GB2312" w:hAnsi="仿宋_GB2312" w:eastAsia="仿宋_GB2312" w:cs="仿宋_GB2312"/>
          <w:color w:val="auto"/>
          <w:kern w:val="2"/>
          <w:sz w:val="32"/>
          <w:szCs w:val="32"/>
          <w:lang w:val="en-US" w:eastAsia="zh-CN"/>
        </w:rPr>
        <w:t>有序用电需求。</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Ⅱ级</w:t>
      </w:r>
      <w:r>
        <w:rPr>
          <w:rFonts w:hint="eastAsia" w:ascii="仿宋_GB2312" w:hAnsi="仿宋_GB2312" w:eastAsia="仿宋_GB2312" w:cs="仿宋_GB2312"/>
          <w:b/>
          <w:bCs/>
          <w:color w:val="auto"/>
          <w:sz w:val="32"/>
          <w:szCs w:val="32"/>
          <w:lang w:val="en-US" w:eastAsia="zh-CN"/>
        </w:rPr>
        <w:t>-B</w:t>
      </w:r>
      <w:r>
        <w:rPr>
          <w:rFonts w:hint="eastAsia" w:ascii="仿宋_GB2312" w:hAnsi="仿宋_GB2312" w:eastAsia="仿宋_GB2312" w:cs="仿宋_GB2312"/>
          <w:b/>
          <w:bCs/>
          <w:color w:val="auto"/>
          <w:sz w:val="32"/>
          <w:szCs w:val="32"/>
        </w:rPr>
        <w:t>（橙色预警）</w:t>
      </w:r>
      <w:r>
        <w:rPr>
          <w:rFonts w:hint="eastAsia" w:ascii="仿宋_GB2312" w:hAnsi="仿宋_GB2312" w:eastAsia="仿宋_GB2312" w:cs="仿宋_GB2312"/>
          <w:color w:val="auto"/>
          <w:sz w:val="32"/>
          <w:szCs w:val="32"/>
        </w:rPr>
        <w:t>：严重，电力缺口</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万千瓦（10％-</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％之间，按</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%考虑）。</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措施：</w:t>
      </w:r>
      <w:r>
        <w:rPr>
          <w:rFonts w:hint="eastAsia" w:ascii="仿宋_GB2312" w:hAnsi="仿宋_GB2312" w:eastAsia="仿宋_GB2312" w:cs="仿宋_GB2312"/>
          <w:b w:val="0"/>
          <w:bCs w:val="0"/>
          <w:color w:val="auto"/>
          <w:kern w:val="2"/>
          <w:sz w:val="32"/>
          <w:szCs w:val="32"/>
          <w:lang w:val="en-US" w:eastAsia="zh-CN"/>
        </w:rPr>
        <w:t>（1）“两高”等五类重点限制类用户56户参与有序用电，单户供电容量均不少于630千伏安，按顺序压降负荷26.08万千瓦。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（2）普通工业及一般工商业用户22户参与有序用电，单户供电容量均不少于630千伏安，按顺序压降负荷5.10万千瓦。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color w:val="auto"/>
          <w:lang w:val="en-US" w:eastAsia="zh-CN"/>
        </w:rPr>
      </w:pPr>
      <w:r>
        <w:rPr>
          <w:rFonts w:hint="eastAsia" w:ascii="仿宋_GB2312" w:hAnsi="仿宋_GB2312" w:eastAsia="仿宋_GB2312" w:cs="仿宋_GB2312"/>
          <w:color w:val="auto"/>
          <w:sz w:val="32"/>
          <w:szCs w:val="32"/>
          <w:lang w:val="en-US" w:eastAsia="zh-CN"/>
        </w:rPr>
        <w:t>78</w:t>
      </w:r>
      <w:r>
        <w:rPr>
          <w:rFonts w:hint="eastAsia" w:ascii="仿宋_GB2312" w:hAnsi="仿宋_GB2312" w:eastAsia="仿宋_GB2312" w:cs="仿宋_GB2312"/>
          <w:color w:val="auto"/>
          <w:sz w:val="32"/>
          <w:szCs w:val="32"/>
          <w:lang w:eastAsia="zh-CN"/>
        </w:rPr>
        <w:t>户参与有序用电，按照</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lang w:eastAsia="zh-CN"/>
        </w:rPr>
        <w:t>裕度考虑，</w:t>
      </w:r>
      <w:r>
        <w:rPr>
          <w:rFonts w:hint="eastAsia" w:ascii="仿宋_GB2312" w:hAnsi="仿宋_GB2312" w:eastAsia="仿宋_GB2312" w:cs="仿宋_GB2312"/>
          <w:color w:val="auto"/>
          <w:kern w:val="2"/>
          <w:sz w:val="32"/>
          <w:szCs w:val="32"/>
          <w:lang w:val="en-US" w:eastAsia="zh-CN"/>
        </w:rPr>
        <w:t>按顺序压降负荷31.18万千瓦满足</w:t>
      </w:r>
      <w:r>
        <w:rPr>
          <w:rFonts w:hint="eastAsia" w:ascii="仿宋_GB2312" w:hAnsi="仿宋_GB2312" w:eastAsia="仿宋_GB2312" w:cs="仿宋_GB2312"/>
          <w:b/>
          <w:bCs/>
          <w:color w:val="auto"/>
          <w:sz w:val="32"/>
          <w:szCs w:val="32"/>
        </w:rPr>
        <w:t>Ⅱ级</w:t>
      </w:r>
      <w:r>
        <w:rPr>
          <w:rFonts w:hint="eastAsia" w:ascii="仿宋_GB2312" w:hAnsi="仿宋_GB2312" w:eastAsia="仿宋_GB2312" w:cs="仿宋_GB2312"/>
          <w:b/>
          <w:bCs/>
          <w:color w:val="auto"/>
          <w:sz w:val="32"/>
          <w:szCs w:val="32"/>
          <w:lang w:val="en-US" w:eastAsia="zh-CN"/>
        </w:rPr>
        <w:t>-B</w:t>
      </w:r>
      <w:r>
        <w:rPr>
          <w:rFonts w:hint="eastAsia" w:ascii="仿宋_GB2312" w:hAnsi="仿宋_GB2312" w:eastAsia="仿宋_GB2312" w:cs="仿宋_GB2312"/>
          <w:color w:val="auto"/>
          <w:kern w:val="2"/>
          <w:sz w:val="32"/>
          <w:szCs w:val="32"/>
          <w:lang w:val="en-US" w:eastAsia="zh-CN"/>
        </w:rPr>
        <w:t>有序用电需求。</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Ⅱ级</w:t>
      </w:r>
      <w:r>
        <w:rPr>
          <w:rFonts w:hint="eastAsia" w:ascii="仿宋_GB2312" w:hAnsi="仿宋_GB2312" w:eastAsia="仿宋_GB2312" w:cs="仿宋_GB2312"/>
          <w:b/>
          <w:bCs/>
          <w:color w:val="auto"/>
          <w:sz w:val="32"/>
          <w:szCs w:val="32"/>
          <w:lang w:val="en-US" w:eastAsia="zh-CN"/>
        </w:rPr>
        <w:t>-A</w:t>
      </w:r>
      <w:r>
        <w:rPr>
          <w:rFonts w:hint="eastAsia" w:ascii="仿宋_GB2312" w:hAnsi="仿宋_GB2312" w:eastAsia="仿宋_GB2312" w:cs="仿宋_GB2312"/>
          <w:b/>
          <w:bCs/>
          <w:color w:val="auto"/>
          <w:sz w:val="32"/>
          <w:szCs w:val="32"/>
        </w:rPr>
        <w:t>（橙色预警）</w:t>
      </w:r>
      <w:r>
        <w:rPr>
          <w:rFonts w:hint="eastAsia" w:ascii="仿宋_GB2312" w:hAnsi="仿宋_GB2312" w:eastAsia="仿宋_GB2312" w:cs="仿宋_GB2312"/>
          <w:color w:val="auto"/>
          <w:sz w:val="32"/>
          <w:szCs w:val="32"/>
        </w:rPr>
        <w:t>：严重，电力缺口</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rPr>
        <w:t>万千瓦（</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-20%之间</w:t>
      </w:r>
      <w:r>
        <w:rPr>
          <w:rFonts w:hint="eastAsia" w:ascii="仿宋_GB2312" w:hAnsi="仿宋_GB2312" w:eastAsia="仿宋_GB2312" w:cs="仿宋_GB2312"/>
          <w:color w:val="auto"/>
          <w:sz w:val="32"/>
          <w:szCs w:val="32"/>
        </w:rPr>
        <w:t>，按</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%考虑）。</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措施：</w:t>
      </w:r>
      <w:r>
        <w:rPr>
          <w:rFonts w:hint="eastAsia" w:ascii="仿宋_GB2312" w:hAnsi="仿宋_GB2312" w:eastAsia="仿宋_GB2312" w:cs="仿宋_GB2312"/>
          <w:b w:val="0"/>
          <w:bCs w:val="0"/>
          <w:color w:val="auto"/>
          <w:kern w:val="2"/>
          <w:sz w:val="32"/>
          <w:szCs w:val="32"/>
          <w:lang w:val="en-US" w:eastAsia="zh-CN"/>
        </w:rPr>
        <w:t>（1）“两高”等五类重点限制类用户56户参与有序用电，单户供电容量均不少于630千伏安，按顺序压降负荷21.93万千瓦。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（2）普通工业及一般工商业用户28户参与有序用电，单户供电容量均不少于630千伏安，按顺序压降负荷10.08万千瓦。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color w:val="auto"/>
          <w:lang w:val="en-US" w:eastAsia="zh-CN"/>
        </w:rPr>
      </w:pPr>
      <w:r>
        <w:rPr>
          <w:rFonts w:hint="eastAsia" w:ascii="仿宋_GB2312" w:hAnsi="仿宋_GB2312" w:eastAsia="仿宋_GB2312" w:cs="仿宋_GB2312"/>
          <w:color w:val="auto"/>
          <w:sz w:val="32"/>
          <w:szCs w:val="32"/>
          <w:lang w:val="en-US" w:eastAsia="zh-CN"/>
        </w:rPr>
        <w:t>84</w:t>
      </w:r>
      <w:r>
        <w:rPr>
          <w:rFonts w:hint="eastAsia" w:ascii="仿宋_GB2312" w:hAnsi="仿宋_GB2312" w:eastAsia="仿宋_GB2312" w:cs="仿宋_GB2312"/>
          <w:color w:val="auto"/>
          <w:sz w:val="32"/>
          <w:szCs w:val="32"/>
          <w:lang w:eastAsia="zh-CN"/>
        </w:rPr>
        <w:t>户参与有序用电，按照</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lang w:eastAsia="zh-CN"/>
        </w:rPr>
        <w:t>裕度考虑，</w:t>
      </w:r>
      <w:r>
        <w:rPr>
          <w:rFonts w:hint="eastAsia" w:ascii="仿宋_GB2312" w:hAnsi="仿宋_GB2312" w:eastAsia="仿宋_GB2312" w:cs="仿宋_GB2312"/>
          <w:color w:val="auto"/>
          <w:kern w:val="2"/>
          <w:sz w:val="32"/>
          <w:szCs w:val="32"/>
          <w:lang w:val="en-US" w:eastAsia="zh-CN"/>
        </w:rPr>
        <w:t>按顺序压降负荷32.01万千瓦满足</w:t>
      </w:r>
      <w:r>
        <w:rPr>
          <w:rFonts w:hint="eastAsia" w:ascii="仿宋_GB2312" w:hAnsi="仿宋_GB2312" w:eastAsia="仿宋_GB2312" w:cs="仿宋_GB2312"/>
          <w:b/>
          <w:bCs/>
          <w:color w:val="auto"/>
          <w:sz w:val="32"/>
          <w:szCs w:val="32"/>
        </w:rPr>
        <w:t>Ⅱ级</w:t>
      </w:r>
      <w:r>
        <w:rPr>
          <w:rFonts w:hint="eastAsia" w:ascii="仿宋_GB2312" w:hAnsi="仿宋_GB2312" w:eastAsia="仿宋_GB2312" w:cs="仿宋_GB2312"/>
          <w:b/>
          <w:bCs/>
          <w:color w:val="auto"/>
          <w:sz w:val="32"/>
          <w:szCs w:val="32"/>
          <w:lang w:val="en-US" w:eastAsia="zh-CN"/>
        </w:rPr>
        <w:t>-A</w:t>
      </w:r>
      <w:r>
        <w:rPr>
          <w:rFonts w:hint="eastAsia" w:ascii="仿宋_GB2312" w:hAnsi="仿宋_GB2312" w:eastAsia="仿宋_GB2312" w:cs="仿宋_GB2312"/>
          <w:color w:val="auto"/>
          <w:kern w:val="2"/>
          <w:sz w:val="32"/>
          <w:szCs w:val="32"/>
          <w:lang w:val="en-US" w:eastAsia="zh-CN"/>
        </w:rPr>
        <w:t>有序用电需求。</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Ⅰ</w:t>
      </w:r>
      <w:r>
        <w:rPr>
          <w:rFonts w:hint="eastAsia" w:ascii="仿宋_GB2312" w:hAnsi="仿宋_GB2312" w:eastAsia="仿宋_GB2312" w:cs="仿宋_GB2312"/>
          <w:b/>
          <w:bCs/>
          <w:color w:val="auto"/>
          <w:sz w:val="32"/>
          <w:szCs w:val="32"/>
          <w:lang w:val="en-US" w:eastAsia="zh-CN"/>
        </w:rPr>
        <w:t>-B</w:t>
      </w:r>
      <w:r>
        <w:rPr>
          <w:rFonts w:hint="eastAsia" w:ascii="仿宋_GB2312" w:hAnsi="仿宋_GB2312" w:eastAsia="仿宋_GB2312" w:cs="仿宋_GB2312"/>
          <w:b/>
          <w:bCs/>
          <w:color w:val="auto"/>
          <w:sz w:val="32"/>
          <w:szCs w:val="32"/>
        </w:rPr>
        <w:t>级（红色预警）</w:t>
      </w:r>
      <w:r>
        <w:rPr>
          <w:rFonts w:hint="eastAsia" w:ascii="仿宋_GB2312" w:hAnsi="仿宋_GB2312" w:eastAsia="仿宋_GB2312" w:cs="仿宋_GB2312"/>
          <w:color w:val="auto"/>
          <w:sz w:val="32"/>
          <w:szCs w:val="32"/>
        </w:rPr>
        <w:t>：特别严重，电力缺口</w:t>
      </w:r>
      <w:r>
        <w:rPr>
          <w:rFonts w:hint="eastAsia"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rPr>
        <w:t>万千瓦（20％</w:t>
      </w:r>
      <w:r>
        <w:rPr>
          <w:rFonts w:hint="eastAsia" w:ascii="仿宋_GB2312" w:hAnsi="仿宋_GB2312" w:eastAsia="仿宋_GB2312" w:cs="仿宋_GB2312"/>
          <w:color w:val="auto"/>
          <w:sz w:val="32"/>
          <w:szCs w:val="32"/>
          <w:lang w:val="en-US" w:eastAsia="zh-CN"/>
        </w:rPr>
        <w:t>-25%之间</w:t>
      </w:r>
      <w:r>
        <w:rPr>
          <w:rFonts w:hint="eastAsia" w:ascii="仿宋_GB2312" w:hAnsi="仿宋_GB2312" w:eastAsia="仿宋_GB2312" w:cs="仿宋_GB2312"/>
          <w:color w:val="auto"/>
          <w:sz w:val="32"/>
          <w:szCs w:val="32"/>
        </w:rPr>
        <w:t>，按</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%考虑）。</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措施：</w:t>
      </w:r>
      <w:r>
        <w:rPr>
          <w:rFonts w:hint="eastAsia" w:ascii="仿宋_GB2312" w:hAnsi="仿宋_GB2312" w:eastAsia="仿宋_GB2312" w:cs="仿宋_GB2312"/>
          <w:b w:val="0"/>
          <w:bCs w:val="0"/>
          <w:color w:val="auto"/>
          <w:kern w:val="2"/>
          <w:sz w:val="32"/>
          <w:szCs w:val="32"/>
          <w:lang w:val="en-US" w:eastAsia="zh-CN"/>
        </w:rPr>
        <w:t>（1）“两高”等五类重点限制类用户106户参与有序用电，单户供电容量均不少于200千伏安，按顺序压降负荷23.09万千瓦。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（2）普通工业及一般工商业用户56户参与有序用电，单户供电容量均不少于630千伏安，按顺序压降负荷12.50万千瓦。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color w:val="auto"/>
          <w:lang w:val="en-US" w:eastAsia="zh-CN"/>
        </w:rPr>
      </w:pPr>
      <w:r>
        <w:rPr>
          <w:rFonts w:hint="eastAsia" w:ascii="仿宋_GB2312" w:hAnsi="仿宋_GB2312" w:eastAsia="仿宋_GB2312" w:cs="仿宋_GB2312"/>
          <w:color w:val="auto"/>
          <w:sz w:val="32"/>
          <w:szCs w:val="32"/>
          <w:lang w:val="en-US" w:eastAsia="zh-CN"/>
        </w:rPr>
        <w:t>162</w:t>
      </w:r>
      <w:r>
        <w:rPr>
          <w:rFonts w:hint="eastAsia" w:ascii="仿宋_GB2312" w:hAnsi="仿宋_GB2312" w:eastAsia="仿宋_GB2312" w:cs="仿宋_GB2312"/>
          <w:color w:val="auto"/>
          <w:sz w:val="32"/>
          <w:szCs w:val="32"/>
          <w:lang w:eastAsia="zh-CN"/>
        </w:rPr>
        <w:t>户参与有序用电，按照</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lang w:eastAsia="zh-CN"/>
        </w:rPr>
        <w:t>裕度考虑，</w:t>
      </w:r>
      <w:r>
        <w:rPr>
          <w:rFonts w:hint="eastAsia" w:ascii="仿宋_GB2312" w:hAnsi="仿宋_GB2312" w:eastAsia="仿宋_GB2312" w:cs="仿宋_GB2312"/>
          <w:color w:val="auto"/>
          <w:kern w:val="2"/>
          <w:sz w:val="32"/>
          <w:szCs w:val="32"/>
          <w:lang w:val="en-US" w:eastAsia="zh-CN"/>
        </w:rPr>
        <w:t>按顺序压降负荷35.59万千瓦满足</w:t>
      </w:r>
      <w:r>
        <w:rPr>
          <w:rFonts w:hint="eastAsia" w:ascii="仿宋_GB2312" w:hAnsi="仿宋_GB2312" w:eastAsia="仿宋_GB2312" w:cs="仿宋_GB2312"/>
          <w:b/>
          <w:bCs/>
          <w:color w:val="auto"/>
          <w:sz w:val="32"/>
          <w:szCs w:val="32"/>
        </w:rPr>
        <w:t>Ⅰ</w:t>
      </w:r>
      <w:r>
        <w:rPr>
          <w:rFonts w:hint="eastAsia" w:ascii="仿宋_GB2312" w:hAnsi="仿宋_GB2312" w:eastAsia="仿宋_GB2312" w:cs="仿宋_GB2312"/>
          <w:b/>
          <w:bCs/>
          <w:color w:val="auto"/>
          <w:sz w:val="32"/>
          <w:szCs w:val="32"/>
          <w:lang w:val="en-US" w:eastAsia="zh-CN"/>
        </w:rPr>
        <w:t>-B</w:t>
      </w:r>
      <w:r>
        <w:rPr>
          <w:rFonts w:hint="eastAsia" w:ascii="仿宋_GB2312" w:hAnsi="仿宋_GB2312" w:eastAsia="仿宋_GB2312" w:cs="仿宋_GB2312"/>
          <w:b/>
          <w:bCs/>
          <w:color w:val="auto"/>
          <w:sz w:val="32"/>
          <w:szCs w:val="32"/>
        </w:rPr>
        <w:t>级</w:t>
      </w:r>
      <w:r>
        <w:rPr>
          <w:rFonts w:hint="eastAsia" w:ascii="仿宋_GB2312" w:hAnsi="仿宋_GB2312" w:eastAsia="仿宋_GB2312" w:cs="仿宋_GB2312"/>
          <w:color w:val="auto"/>
          <w:kern w:val="2"/>
          <w:sz w:val="32"/>
          <w:szCs w:val="32"/>
          <w:lang w:val="en-US" w:eastAsia="zh-CN"/>
        </w:rPr>
        <w:t>有序用电需求。</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Ⅰ</w:t>
      </w:r>
      <w:r>
        <w:rPr>
          <w:rFonts w:hint="eastAsia" w:ascii="仿宋_GB2312" w:hAnsi="仿宋_GB2312" w:eastAsia="仿宋_GB2312" w:cs="仿宋_GB2312"/>
          <w:b/>
          <w:bCs/>
          <w:color w:val="auto"/>
          <w:sz w:val="32"/>
          <w:szCs w:val="32"/>
          <w:lang w:val="en-US" w:eastAsia="zh-CN"/>
        </w:rPr>
        <w:t>-A</w:t>
      </w:r>
      <w:r>
        <w:rPr>
          <w:rFonts w:hint="eastAsia" w:ascii="仿宋_GB2312" w:hAnsi="仿宋_GB2312" w:eastAsia="仿宋_GB2312" w:cs="仿宋_GB2312"/>
          <w:b/>
          <w:bCs/>
          <w:color w:val="auto"/>
          <w:sz w:val="32"/>
          <w:szCs w:val="32"/>
        </w:rPr>
        <w:t>级（红色预警）</w:t>
      </w:r>
      <w:r>
        <w:rPr>
          <w:rFonts w:hint="eastAsia" w:ascii="仿宋_GB2312" w:hAnsi="仿宋_GB2312" w:eastAsia="仿宋_GB2312" w:cs="仿宋_GB2312"/>
          <w:color w:val="auto"/>
          <w:sz w:val="32"/>
          <w:szCs w:val="32"/>
        </w:rPr>
        <w:t>：特别严重，电力缺口</w:t>
      </w:r>
      <w:r>
        <w:rPr>
          <w:rFonts w:hint="eastAsia" w:ascii="仿宋_GB2312" w:hAnsi="仿宋_GB2312" w:eastAsia="仿宋_GB2312" w:cs="仿宋_GB2312"/>
          <w:color w:val="auto"/>
          <w:sz w:val="32"/>
          <w:szCs w:val="32"/>
          <w:lang w:val="en-US" w:eastAsia="zh-CN"/>
        </w:rPr>
        <w:t>41</w:t>
      </w:r>
      <w:r>
        <w:rPr>
          <w:rFonts w:hint="eastAsia" w:ascii="仿宋_GB2312" w:hAnsi="仿宋_GB2312" w:eastAsia="仿宋_GB2312" w:cs="仿宋_GB2312"/>
          <w:color w:val="auto"/>
          <w:sz w:val="32"/>
          <w:szCs w:val="32"/>
        </w:rPr>
        <w:t>万千瓦（2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-30%之间</w:t>
      </w:r>
      <w:r>
        <w:rPr>
          <w:rFonts w:hint="eastAsia" w:ascii="仿宋_GB2312" w:hAnsi="仿宋_GB2312" w:eastAsia="仿宋_GB2312" w:cs="仿宋_GB2312"/>
          <w:color w:val="auto"/>
          <w:sz w:val="32"/>
          <w:szCs w:val="32"/>
        </w:rPr>
        <w:t>，按30%考虑）。</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lang w:val="en-US" w:eastAsia="zh-CN"/>
        </w:rPr>
        <w:t>措施：</w:t>
      </w:r>
      <w:r>
        <w:rPr>
          <w:rFonts w:hint="eastAsia" w:ascii="仿宋_GB2312" w:hAnsi="仿宋_GB2312" w:eastAsia="仿宋_GB2312" w:cs="仿宋_GB2312"/>
          <w:b w:val="0"/>
          <w:bCs w:val="0"/>
          <w:color w:val="auto"/>
          <w:kern w:val="2"/>
          <w:sz w:val="32"/>
          <w:szCs w:val="32"/>
          <w:lang w:val="en-US" w:eastAsia="zh-CN"/>
        </w:rPr>
        <w:t>（1）“两高”等五类重点限制类用户</w:t>
      </w:r>
      <w:r>
        <w:rPr>
          <w:rFonts w:hint="eastAsia" w:ascii="仿宋_GB2312" w:hAnsi="仿宋_GB2312" w:eastAsia="仿宋_GB2312" w:cs="仿宋_GB2312"/>
          <w:color w:val="auto"/>
          <w:sz w:val="32"/>
          <w:szCs w:val="32"/>
          <w:highlight w:val="none"/>
          <w:lang w:val="en-US" w:eastAsia="zh-CN"/>
        </w:rPr>
        <w:t>277</w:t>
      </w:r>
      <w:r>
        <w:rPr>
          <w:rFonts w:hint="eastAsia" w:ascii="仿宋_GB2312" w:hAnsi="仿宋_GB2312" w:eastAsia="仿宋_GB2312" w:cs="仿宋_GB2312"/>
          <w:b w:val="0"/>
          <w:bCs w:val="0"/>
          <w:color w:val="auto"/>
          <w:kern w:val="2"/>
          <w:sz w:val="32"/>
          <w:szCs w:val="32"/>
          <w:lang w:val="en-US" w:eastAsia="zh-CN"/>
        </w:rPr>
        <w:t>户</w:t>
      </w:r>
      <w:r>
        <w:rPr>
          <w:rFonts w:hint="eastAsia" w:ascii="仿宋_GB2312" w:hAnsi="仿宋_GB2312" w:eastAsia="仿宋_GB2312" w:cs="仿宋_GB2312"/>
          <w:color w:val="auto"/>
          <w:kern w:val="2"/>
          <w:sz w:val="32"/>
          <w:szCs w:val="32"/>
          <w:lang w:val="en-US" w:eastAsia="zh-CN"/>
        </w:rPr>
        <w:t>参与有序用电，单户供电容量均超过100千伏安，按顺序压降负荷</w:t>
      </w:r>
      <w:r>
        <w:rPr>
          <w:rFonts w:hint="eastAsia" w:ascii="仿宋_GB2312" w:hAnsi="仿宋_GB2312" w:eastAsia="仿宋_GB2312" w:cs="仿宋_GB2312"/>
          <w:b w:val="0"/>
          <w:bCs w:val="0"/>
          <w:color w:val="auto"/>
          <w:sz w:val="32"/>
          <w:szCs w:val="32"/>
          <w:lang w:val="en-US" w:eastAsia="zh-CN"/>
        </w:rPr>
        <w:t>24.09</w:t>
      </w:r>
      <w:r>
        <w:rPr>
          <w:rFonts w:hint="eastAsia" w:ascii="仿宋_GB2312" w:hAnsi="仿宋_GB2312" w:eastAsia="仿宋_GB2312" w:cs="仿宋_GB2312"/>
          <w:color w:val="auto"/>
          <w:kern w:val="2"/>
          <w:sz w:val="32"/>
          <w:szCs w:val="32"/>
          <w:lang w:val="en-US" w:eastAsia="zh-CN"/>
        </w:rPr>
        <w:t>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（2）普通工业及一般工商业用户</w:t>
      </w:r>
      <w:r>
        <w:rPr>
          <w:rFonts w:hint="eastAsia" w:ascii="仿宋_GB2312" w:hAnsi="仿宋_GB2312" w:eastAsia="仿宋_GB2312" w:cs="仿宋_GB2312"/>
          <w:color w:val="auto"/>
          <w:sz w:val="32"/>
          <w:szCs w:val="32"/>
          <w:lang w:val="en-US" w:eastAsia="zh-CN"/>
        </w:rPr>
        <w:t>336</w:t>
      </w:r>
      <w:r>
        <w:rPr>
          <w:rFonts w:hint="eastAsia" w:ascii="仿宋_GB2312" w:hAnsi="仿宋_GB2312" w:eastAsia="仿宋_GB2312" w:cs="仿宋_GB2312"/>
          <w:color w:val="auto"/>
          <w:kern w:val="2"/>
          <w:sz w:val="32"/>
          <w:szCs w:val="32"/>
          <w:lang w:val="en-US" w:eastAsia="zh-CN"/>
        </w:rPr>
        <w:t>户参与有序用电，单户供电容量均超过100千伏安，按顺序压降负荷17.31万千瓦。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黑体" w:hAnsi="黑体" w:eastAsia="黑体" w:cs="黑体"/>
          <w:b/>
          <w:bCs/>
          <w:color w:val="auto"/>
          <w:sz w:val="32"/>
          <w:szCs w:val="32"/>
          <w:lang w:eastAsia="zh-CN"/>
        </w:rPr>
      </w:pPr>
      <w:r>
        <w:rPr>
          <w:rFonts w:hint="eastAsia" w:ascii="仿宋_GB2312" w:hAnsi="仿宋_GB2312" w:eastAsia="仿宋_GB2312" w:cs="仿宋_GB2312"/>
          <w:color w:val="auto"/>
          <w:sz w:val="32"/>
          <w:szCs w:val="32"/>
          <w:lang w:val="en-US" w:eastAsia="zh-CN"/>
        </w:rPr>
        <w:t>613</w:t>
      </w:r>
      <w:r>
        <w:rPr>
          <w:rFonts w:hint="eastAsia" w:ascii="仿宋_GB2312" w:hAnsi="仿宋_GB2312" w:eastAsia="仿宋_GB2312" w:cs="仿宋_GB2312"/>
          <w:color w:val="auto"/>
          <w:sz w:val="32"/>
          <w:szCs w:val="32"/>
          <w:lang w:eastAsia="zh-CN"/>
        </w:rPr>
        <w:t>户参与有序用电，按照</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lang w:eastAsia="zh-CN"/>
        </w:rPr>
        <w:t>裕度考虑，</w:t>
      </w:r>
      <w:r>
        <w:rPr>
          <w:rFonts w:hint="eastAsia" w:ascii="仿宋_GB2312" w:hAnsi="仿宋_GB2312" w:eastAsia="仿宋_GB2312" w:cs="仿宋_GB2312"/>
          <w:color w:val="auto"/>
          <w:kern w:val="2"/>
          <w:sz w:val="32"/>
          <w:szCs w:val="32"/>
          <w:lang w:val="en-US" w:eastAsia="zh-CN"/>
        </w:rPr>
        <w:t>按顺序压降负荷41.40万千瓦满足</w:t>
      </w:r>
      <w:r>
        <w:rPr>
          <w:rFonts w:hint="eastAsia" w:ascii="仿宋_GB2312" w:hAnsi="仿宋_GB2312" w:eastAsia="仿宋_GB2312" w:cs="仿宋_GB2312"/>
          <w:b/>
          <w:bCs/>
          <w:color w:val="auto"/>
          <w:sz w:val="32"/>
          <w:szCs w:val="32"/>
        </w:rPr>
        <w:t>Ⅰ</w:t>
      </w:r>
      <w:r>
        <w:rPr>
          <w:rFonts w:hint="eastAsia" w:ascii="仿宋_GB2312" w:hAnsi="仿宋_GB2312" w:eastAsia="仿宋_GB2312" w:cs="仿宋_GB2312"/>
          <w:b/>
          <w:bCs/>
          <w:color w:val="auto"/>
          <w:sz w:val="32"/>
          <w:szCs w:val="32"/>
          <w:lang w:val="en-US" w:eastAsia="zh-CN"/>
        </w:rPr>
        <w:t>-A</w:t>
      </w:r>
      <w:r>
        <w:rPr>
          <w:rFonts w:hint="eastAsia" w:ascii="仿宋_GB2312" w:hAnsi="仿宋_GB2312" w:eastAsia="仿宋_GB2312" w:cs="仿宋_GB2312"/>
          <w:b/>
          <w:bCs/>
          <w:color w:val="auto"/>
          <w:sz w:val="32"/>
          <w:szCs w:val="32"/>
        </w:rPr>
        <w:t>级</w:t>
      </w:r>
      <w:r>
        <w:rPr>
          <w:rFonts w:hint="eastAsia" w:ascii="仿宋_GB2312" w:hAnsi="仿宋_GB2312" w:eastAsia="仿宋_GB2312" w:cs="仿宋_GB2312"/>
          <w:color w:val="auto"/>
          <w:kern w:val="2"/>
          <w:sz w:val="32"/>
          <w:szCs w:val="32"/>
          <w:lang w:val="en-US" w:eastAsia="zh-CN"/>
        </w:rPr>
        <w:t>有序用电需求。</w:t>
      </w:r>
    </w:p>
    <w:p>
      <w:pPr>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lang w:eastAsia="zh-CN"/>
        </w:rPr>
        <w:t>七、</w:t>
      </w:r>
      <w:r>
        <w:rPr>
          <w:rFonts w:hint="eastAsia" w:ascii="黑体" w:hAnsi="黑体" w:eastAsia="黑体" w:cs="黑体"/>
          <w:b/>
          <w:bCs/>
          <w:color w:val="auto"/>
          <w:sz w:val="32"/>
          <w:szCs w:val="32"/>
        </w:rPr>
        <w:t>工作要求</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Cs/>
          <w:color w:val="auto"/>
          <w:sz w:val="32"/>
          <w:szCs w:val="32"/>
        </w:rPr>
        <w:t>各县（市）区、经济开发区工业和信息化局、经济发展局要加强组织领导，充分认识有序用电工作的重大意义，组织做好本地区有序用电工作。</w:t>
      </w:r>
    </w:p>
    <w:p>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国网葫芦岛</w:t>
      </w:r>
      <w:r>
        <w:rPr>
          <w:rFonts w:hint="eastAsia" w:ascii="仿宋_GB2312" w:hAnsi="仿宋_GB2312" w:eastAsia="仿宋_GB2312" w:cs="仿宋_GB2312"/>
          <w:bCs/>
          <w:color w:val="auto"/>
          <w:sz w:val="32"/>
          <w:szCs w:val="32"/>
        </w:rPr>
        <w:t>供电公司作为有序用电工作的重要实施主体，</w:t>
      </w:r>
      <w:r>
        <w:rPr>
          <w:rFonts w:hint="eastAsia" w:ascii="仿宋_GB2312" w:hAnsi="仿宋_GB2312" w:eastAsia="仿宋_GB2312" w:cs="仿宋_GB2312"/>
          <w:bCs/>
          <w:color w:val="auto"/>
          <w:sz w:val="32"/>
          <w:szCs w:val="32"/>
          <w:lang w:eastAsia="zh-CN"/>
        </w:rPr>
        <w:t>配合市</w:t>
      </w:r>
      <w:r>
        <w:rPr>
          <w:rFonts w:hint="eastAsia" w:ascii="仿宋_GB2312" w:hAnsi="仿宋_GB2312" w:eastAsia="仿宋_GB2312" w:cs="仿宋_GB2312"/>
          <w:bCs/>
          <w:color w:val="auto"/>
          <w:sz w:val="32"/>
          <w:szCs w:val="32"/>
        </w:rPr>
        <w:t>工业和信息化局确保有序用电方案的有力执行，在安排有序用电任务时，对同行业用户要公平公正。</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电力用户要严格执行有序用电方案，并制定非电保安措施。重要用户应按照国家有关规定配置应急保安电源。</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对执行方案不力、擅自超额用电的电力用户，责令改正；情节严重的，可根据国家规定程序停止供电。</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对符合有序用电执行原则的新上或恢复用电以及用电变更的电力用户，要及时纳入有序用电方案。</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有序用电实施期间，电网企业应开展有序用电影响用电负荷、用电量等相关统计工作，并及时报市工业和信息化局。</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黑体" w:hAnsi="黑体" w:eastAsia="黑体" w:cs="黑体"/>
          <w:b/>
          <w:bCs/>
          <w:color w:val="auto"/>
          <w:kern w:val="2"/>
          <w:sz w:val="32"/>
          <w:szCs w:val="32"/>
          <w:lang w:val="en-US" w:eastAsia="zh-CN"/>
        </w:rPr>
      </w:pPr>
      <w:r>
        <w:rPr>
          <w:rFonts w:hint="eastAsia" w:ascii="黑体" w:hAnsi="黑体" w:eastAsia="黑体" w:cs="黑体"/>
          <w:b/>
          <w:bCs/>
          <w:color w:val="auto"/>
          <w:kern w:val="2"/>
          <w:sz w:val="32"/>
          <w:szCs w:val="32"/>
          <w:lang w:val="en-US" w:eastAsia="zh-CN"/>
        </w:rPr>
        <w:t>八、附则</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Cs/>
          <w:color w:val="auto"/>
          <w:sz w:val="32"/>
          <w:szCs w:val="32"/>
        </w:rPr>
        <w:t>本方案由葫芦岛市工业和信息化局负责解释。自发布之日起执行，在新的年度有序用电方案发布前按本方案执行。</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rPr>
        <w:t>附件：</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color w:val="auto"/>
          <w:sz w:val="32"/>
          <w:szCs w:val="32"/>
        </w:rPr>
        <w:t>葫芦岛市Ⅰ</w:t>
      </w:r>
      <w:r>
        <w:rPr>
          <w:rFonts w:hint="eastAsia" w:ascii="仿宋_GB2312" w:hAnsi="仿宋_GB2312" w:eastAsia="仿宋_GB2312" w:cs="仿宋_GB2312"/>
          <w:color w:val="auto"/>
          <w:sz w:val="32"/>
          <w:szCs w:val="32"/>
          <w:lang w:val="en-US" w:eastAsia="zh-CN"/>
        </w:rPr>
        <w:t>-A</w:t>
      </w:r>
      <w:r>
        <w:rPr>
          <w:rFonts w:hint="eastAsia" w:ascii="仿宋_GB2312" w:hAnsi="仿宋_GB2312" w:eastAsia="仿宋_GB2312" w:cs="仿宋_GB2312"/>
          <w:color w:val="auto"/>
          <w:sz w:val="32"/>
          <w:szCs w:val="32"/>
        </w:rPr>
        <w:t>级有序用电</w:t>
      </w:r>
      <w:r>
        <w:rPr>
          <w:rFonts w:hint="eastAsia" w:ascii="仿宋_GB2312" w:hAnsi="仿宋_GB2312" w:eastAsia="仿宋_GB2312" w:cs="仿宋_GB2312"/>
          <w:color w:val="auto"/>
          <w:sz w:val="32"/>
          <w:szCs w:val="32"/>
          <w:lang w:eastAsia="zh-CN"/>
        </w:rPr>
        <w:t>负荷调控措施安排</w:t>
      </w:r>
      <w:r>
        <w:rPr>
          <w:rFonts w:hint="eastAsia" w:ascii="仿宋_GB2312" w:hAnsi="仿宋_GB2312" w:eastAsia="仿宋_GB2312" w:cs="仿宋_GB2312"/>
          <w:color w:val="auto"/>
          <w:sz w:val="32"/>
          <w:szCs w:val="32"/>
        </w:rPr>
        <w:t>表</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1600" w:firstLineChars="5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color w:val="auto"/>
          <w:sz w:val="32"/>
          <w:szCs w:val="32"/>
        </w:rPr>
        <w:t>葫芦岛市Ⅰ</w:t>
      </w:r>
      <w:r>
        <w:rPr>
          <w:rFonts w:hint="eastAsia" w:ascii="仿宋_GB2312" w:hAnsi="仿宋_GB2312" w:eastAsia="仿宋_GB2312" w:cs="仿宋_GB2312"/>
          <w:color w:val="auto"/>
          <w:sz w:val="32"/>
          <w:szCs w:val="32"/>
          <w:lang w:val="en-US" w:eastAsia="zh-CN"/>
        </w:rPr>
        <w:t>-B</w:t>
      </w:r>
      <w:r>
        <w:rPr>
          <w:rFonts w:hint="eastAsia" w:ascii="仿宋_GB2312" w:hAnsi="仿宋_GB2312" w:eastAsia="仿宋_GB2312" w:cs="仿宋_GB2312"/>
          <w:color w:val="auto"/>
          <w:sz w:val="32"/>
          <w:szCs w:val="32"/>
        </w:rPr>
        <w:t>级有序用电</w:t>
      </w:r>
      <w:r>
        <w:rPr>
          <w:rFonts w:hint="eastAsia" w:ascii="仿宋_GB2312" w:hAnsi="仿宋_GB2312" w:eastAsia="仿宋_GB2312" w:cs="仿宋_GB2312"/>
          <w:color w:val="auto"/>
          <w:sz w:val="32"/>
          <w:szCs w:val="32"/>
          <w:lang w:eastAsia="zh-CN"/>
        </w:rPr>
        <w:t>负荷调控措施安排</w:t>
      </w:r>
      <w:r>
        <w:rPr>
          <w:rFonts w:hint="eastAsia" w:ascii="仿宋_GB2312" w:hAnsi="仿宋_GB2312" w:eastAsia="仿宋_GB2312" w:cs="仿宋_GB2312"/>
          <w:color w:val="auto"/>
          <w:sz w:val="32"/>
          <w:szCs w:val="32"/>
        </w:rPr>
        <w:t>表</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1600" w:firstLineChars="5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color w:val="auto"/>
          <w:sz w:val="32"/>
          <w:szCs w:val="32"/>
        </w:rPr>
        <w:t>葫芦岛市Ⅱ</w:t>
      </w:r>
      <w:r>
        <w:rPr>
          <w:rFonts w:hint="eastAsia" w:ascii="仿宋_GB2312" w:hAnsi="仿宋_GB2312" w:eastAsia="仿宋_GB2312" w:cs="仿宋_GB2312"/>
          <w:color w:val="auto"/>
          <w:sz w:val="32"/>
          <w:szCs w:val="32"/>
          <w:lang w:val="en-US" w:eastAsia="zh-CN"/>
        </w:rPr>
        <w:t>-A</w:t>
      </w:r>
      <w:r>
        <w:rPr>
          <w:rFonts w:hint="eastAsia" w:ascii="仿宋_GB2312" w:hAnsi="仿宋_GB2312" w:eastAsia="仿宋_GB2312" w:cs="仿宋_GB2312"/>
          <w:color w:val="auto"/>
          <w:sz w:val="32"/>
          <w:szCs w:val="32"/>
        </w:rPr>
        <w:t>级有序用电</w:t>
      </w:r>
      <w:r>
        <w:rPr>
          <w:rFonts w:hint="eastAsia" w:ascii="仿宋_GB2312" w:hAnsi="仿宋_GB2312" w:eastAsia="仿宋_GB2312" w:cs="仿宋_GB2312"/>
          <w:color w:val="auto"/>
          <w:sz w:val="32"/>
          <w:szCs w:val="32"/>
          <w:lang w:eastAsia="zh-CN"/>
        </w:rPr>
        <w:t>负荷调控措施安排</w:t>
      </w:r>
      <w:r>
        <w:rPr>
          <w:rFonts w:hint="eastAsia" w:ascii="仿宋_GB2312" w:hAnsi="仿宋_GB2312" w:eastAsia="仿宋_GB2312" w:cs="仿宋_GB2312"/>
          <w:color w:val="auto"/>
          <w:sz w:val="32"/>
          <w:szCs w:val="32"/>
        </w:rPr>
        <w:t>表</w:t>
      </w:r>
    </w:p>
    <w:p>
      <w:pPr>
        <w:pStyle w:val="2"/>
        <w:keepNext w:val="0"/>
        <w:keepLines w:val="0"/>
        <w:pageBreakBefore w:val="0"/>
        <w:kinsoku/>
        <w:wordWrap/>
        <w:overflowPunct/>
        <w:topLinePunct w:val="0"/>
        <w:autoSpaceDE/>
        <w:autoSpaceDN/>
        <w:bidi w:val="0"/>
        <w:adjustRightInd w:val="0"/>
        <w:snapToGrid w:val="0"/>
        <w:spacing w:line="580" w:lineRule="exact"/>
        <w:ind w:left="0" w:leftChars="0" w:firstLine="1600" w:firstLineChars="5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color w:val="auto"/>
          <w:sz w:val="32"/>
          <w:szCs w:val="32"/>
        </w:rPr>
        <w:t>葫芦岛市Ⅱ</w:t>
      </w:r>
      <w:r>
        <w:rPr>
          <w:rFonts w:hint="eastAsia" w:ascii="仿宋_GB2312" w:hAnsi="仿宋_GB2312" w:eastAsia="仿宋_GB2312" w:cs="仿宋_GB2312"/>
          <w:color w:val="auto"/>
          <w:sz w:val="32"/>
          <w:szCs w:val="32"/>
          <w:lang w:val="en-US" w:eastAsia="zh-CN"/>
        </w:rPr>
        <w:t>-B</w:t>
      </w:r>
      <w:r>
        <w:rPr>
          <w:rFonts w:hint="eastAsia" w:ascii="仿宋_GB2312" w:hAnsi="仿宋_GB2312" w:eastAsia="仿宋_GB2312" w:cs="仿宋_GB2312"/>
          <w:color w:val="auto"/>
          <w:sz w:val="32"/>
          <w:szCs w:val="32"/>
        </w:rPr>
        <w:t>级有序用电</w:t>
      </w:r>
      <w:r>
        <w:rPr>
          <w:rFonts w:hint="eastAsia" w:ascii="仿宋_GB2312" w:hAnsi="仿宋_GB2312" w:eastAsia="仿宋_GB2312" w:cs="仿宋_GB2312"/>
          <w:color w:val="auto"/>
          <w:sz w:val="32"/>
          <w:szCs w:val="32"/>
          <w:lang w:eastAsia="zh-CN"/>
        </w:rPr>
        <w:t>负荷调控措施安排</w:t>
      </w:r>
      <w:r>
        <w:rPr>
          <w:rFonts w:hint="eastAsia" w:ascii="仿宋_GB2312" w:hAnsi="仿宋_GB2312" w:eastAsia="仿宋_GB2312" w:cs="仿宋_GB2312"/>
          <w:color w:val="auto"/>
          <w:sz w:val="32"/>
          <w:szCs w:val="32"/>
        </w:rPr>
        <w:t>表</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1600" w:firstLineChars="5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color w:val="auto"/>
          <w:sz w:val="32"/>
          <w:szCs w:val="32"/>
        </w:rPr>
        <w:t>葫芦岛市Ⅲ级有序用电</w:t>
      </w:r>
      <w:r>
        <w:rPr>
          <w:rFonts w:hint="eastAsia" w:ascii="仿宋_GB2312" w:hAnsi="仿宋_GB2312" w:eastAsia="仿宋_GB2312" w:cs="仿宋_GB2312"/>
          <w:color w:val="auto"/>
          <w:sz w:val="32"/>
          <w:szCs w:val="32"/>
          <w:lang w:eastAsia="zh-CN"/>
        </w:rPr>
        <w:t>负荷调控措施安排</w:t>
      </w:r>
      <w:r>
        <w:rPr>
          <w:rFonts w:hint="eastAsia" w:ascii="仿宋_GB2312" w:hAnsi="仿宋_GB2312" w:eastAsia="仿宋_GB2312" w:cs="仿宋_GB2312"/>
          <w:color w:val="auto"/>
          <w:sz w:val="32"/>
          <w:szCs w:val="32"/>
        </w:rPr>
        <w:t>表</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left="0" w:leftChars="0" w:firstLine="1600" w:firstLineChars="5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color w:val="auto"/>
          <w:sz w:val="32"/>
          <w:szCs w:val="32"/>
        </w:rPr>
        <w:t>葫芦岛市Ⅳ级有序用电</w:t>
      </w:r>
      <w:r>
        <w:rPr>
          <w:rFonts w:hint="eastAsia" w:ascii="仿宋_GB2312" w:hAnsi="仿宋_GB2312" w:eastAsia="仿宋_GB2312" w:cs="仿宋_GB2312"/>
          <w:color w:val="auto"/>
          <w:sz w:val="32"/>
          <w:szCs w:val="32"/>
          <w:lang w:eastAsia="zh-CN"/>
        </w:rPr>
        <w:t>负荷调控措施安排</w:t>
      </w:r>
      <w:r>
        <w:rPr>
          <w:rFonts w:hint="eastAsia" w:ascii="仿宋_GB2312" w:hAnsi="仿宋_GB2312" w:eastAsia="仿宋_GB2312" w:cs="仿宋_GB2312"/>
          <w:color w:val="auto"/>
          <w:sz w:val="32"/>
          <w:szCs w:val="32"/>
        </w:rPr>
        <w:t>表</w:t>
      </w:r>
    </w:p>
    <w:sectPr>
      <w:headerReference r:id="rId3" w:type="default"/>
      <w:footerReference r:id="rId4" w:type="default"/>
      <w:footerReference r:id="rId5" w:type="even"/>
      <w:pgSz w:w="11906" w:h="16838"/>
      <w:pgMar w:top="1984" w:right="1587" w:bottom="1984" w:left="1587" w:header="851" w:footer="1417"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Style w:val="15"/>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DegLNd4AEAALoDAAAO&#10;AAAAAAAAAAEAIAAAACIBAABkcnMvZTJvRG9jLnhtbFBLBQYAAAAABgAGAFkBAAB0BQAAAAA=&#10;">
              <v:fill on="f" focussize="0,0"/>
              <v:stroke on="f" weight="1.2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5"/>
      </w:rPr>
    </w:pPr>
    <w:r>
      <w:fldChar w:fldCharType="begin"/>
    </w:r>
    <w:r>
      <w:rPr>
        <w:rStyle w:val="15"/>
      </w:rPr>
      <w:instrText xml:space="preserve">PAGE  </w:instrText>
    </w:r>
    <w:r>
      <w:fldChar w:fldCharType="separate"/>
    </w:r>
    <w:r>
      <w:rPr>
        <w:rStyle w:val="15"/>
      </w:rPr>
      <w:t>9</w:t>
    </w:r>
    <w:r>
      <w:fldChar w:fldCharType="end"/>
    </w:r>
  </w:p>
  <w:p>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iMzdiYmM3NjgwNGQ1MDdjMzdhZmJkOWIzYzM2MzcifQ=="/>
  </w:docVars>
  <w:rsids>
    <w:rsidRoot w:val="00172A27"/>
    <w:rsid w:val="00DA4D59"/>
    <w:rsid w:val="029F1BFD"/>
    <w:rsid w:val="02B323DA"/>
    <w:rsid w:val="02C3749F"/>
    <w:rsid w:val="034311A7"/>
    <w:rsid w:val="044A4008"/>
    <w:rsid w:val="04B979D7"/>
    <w:rsid w:val="06693BE6"/>
    <w:rsid w:val="07DC6840"/>
    <w:rsid w:val="08615848"/>
    <w:rsid w:val="09947BDC"/>
    <w:rsid w:val="09F61475"/>
    <w:rsid w:val="0A20223A"/>
    <w:rsid w:val="0AA620DD"/>
    <w:rsid w:val="0AFC42A6"/>
    <w:rsid w:val="0B3F418F"/>
    <w:rsid w:val="0B4A0D6A"/>
    <w:rsid w:val="0C464A2C"/>
    <w:rsid w:val="0C51344E"/>
    <w:rsid w:val="0C8D0837"/>
    <w:rsid w:val="0CA8469D"/>
    <w:rsid w:val="0CC91324"/>
    <w:rsid w:val="0CD7350B"/>
    <w:rsid w:val="0D6A1151"/>
    <w:rsid w:val="0E200AC1"/>
    <w:rsid w:val="0E9D607A"/>
    <w:rsid w:val="0FF31419"/>
    <w:rsid w:val="10123539"/>
    <w:rsid w:val="10822B61"/>
    <w:rsid w:val="11512A45"/>
    <w:rsid w:val="11525C1A"/>
    <w:rsid w:val="11A84351"/>
    <w:rsid w:val="11BF0335"/>
    <w:rsid w:val="11C07043"/>
    <w:rsid w:val="14093E6C"/>
    <w:rsid w:val="144E0C7C"/>
    <w:rsid w:val="152A01F3"/>
    <w:rsid w:val="159536F3"/>
    <w:rsid w:val="15E02BBB"/>
    <w:rsid w:val="17EF6030"/>
    <w:rsid w:val="1849019B"/>
    <w:rsid w:val="188459DF"/>
    <w:rsid w:val="1A3369D2"/>
    <w:rsid w:val="1B5D4DBF"/>
    <w:rsid w:val="1BA73489"/>
    <w:rsid w:val="1C423AB4"/>
    <w:rsid w:val="1DC21783"/>
    <w:rsid w:val="1E18033B"/>
    <w:rsid w:val="1E4207D6"/>
    <w:rsid w:val="1E6732E7"/>
    <w:rsid w:val="1F497861"/>
    <w:rsid w:val="1F7C0C28"/>
    <w:rsid w:val="1FF15B64"/>
    <w:rsid w:val="20FF00E6"/>
    <w:rsid w:val="21C20DA7"/>
    <w:rsid w:val="21DE04BF"/>
    <w:rsid w:val="22052F84"/>
    <w:rsid w:val="23145707"/>
    <w:rsid w:val="23CE0B2B"/>
    <w:rsid w:val="24112C88"/>
    <w:rsid w:val="244D7BF3"/>
    <w:rsid w:val="24972A57"/>
    <w:rsid w:val="25136486"/>
    <w:rsid w:val="25354254"/>
    <w:rsid w:val="25361749"/>
    <w:rsid w:val="26823FF1"/>
    <w:rsid w:val="27310F6C"/>
    <w:rsid w:val="2748320F"/>
    <w:rsid w:val="27BC56FA"/>
    <w:rsid w:val="280000CC"/>
    <w:rsid w:val="29276BDB"/>
    <w:rsid w:val="292E067F"/>
    <w:rsid w:val="2A3633EC"/>
    <w:rsid w:val="2A9C00BD"/>
    <w:rsid w:val="2C2A6E9E"/>
    <w:rsid w:val="2C3D7D14"/>
    <w:rsid w:val="2C833EB6"/>
    <w:rsid w:val="2CFB721C"/>
    <w:rsid w:val="2DF52B1E"/>
    <w:rsid w:val="2EC446AB"/>
    <w:rsid w:val="2ED96AA7"/>
    <w:rsid w:val="2EF0425F"/>
    <w:rsid w:val="2F84412C"/>
    <w:rsid w:val="2FB56B01"/>
    <w:rsid w:val="31195E54"/>
    <w:rsid w:val="32824ACF"/>
    <w:rsid w:val="32EA7EB7"/>
    <w:rsid w:val="334A0E25"/>
    <w:rsid w:val="33B255A9"/>
    <w:rsid w:val="344F6D5F"/>
    <w:rsid w:val="34706DAA"/>
    <w:rsid w:val="34DD68FC"/>
    <w:rsid w:val="35F115CC"/>
    <w:rsid w:val="38172D69"/>
    <w:rsid w:val="38653AE0"/>
    <w:rsid w:val="39997BC0"/>
    <w:rsid w:val="3AE17681"/>
    <w:rsid w:val="3B3768AC"/>
    <w:rsid w:val="3B670C20"/>
    <w:rsid w:val="3BAA528A"/>
    <w:rsid w:val="3C2349C4"/>
    <w:rsid w:val="3C5C1A12"/>
    <w:rsid w:val="3D8F184A"/>
    <w:rsid w:val="3E7F39FC"/>
    <w:rsid w:val="3F233EB5"/>
    <w:rsid w:val="40941B87"/>
    <w:rsid w:val="40A661D4"/>
    <w:rsid w:val="40DC5DD9"/>
    <w:rsid w:val="42BE2CB7"/>
    <w:rsid w:val="44C05740"/>
    <w:rsid w:val="450164AE"/>
    <w:rsid w:val="465D7C2D"/>
    <w:rsid w:val="466B2C62"/>
    <w:rsid w:val="46910254"/>
    <w:rsid w:val="49030652"/>
    <w:rsid w:val="49306030"/>
    <w:rsid w:val="49B50843"/>
    <w:rsid w:val="4A084D10"/>
    <w:rsid w:val="4A57042B"/>
    <w:rsid w:val="4AC42BA6"/>
    <w:rsid w:val="4AC777E8"/>
    <w:rsid w:val="4BB40204"/>
    <w:rsid w:val="4BB965F2"/>
    <w:rsid w:val="4C0E74BB"/>
    <w:rsid w:val="4CD124E8"/>
    <w:rsid w:val="4D3B7924"/>
    <w:rsid w:val="4DF71895"/>
    <w:rsid w:val="4E632C75"/>
    <w:rsid w:val="4EBE0ED6"/>
    <w:rsid w:val="506369F4"/>
    <w:rsid w:val="50A1725E"/>
    <w:rsid w:val="50F35BB5"/>
    <w:rsid w:val="519F312E"/>
    <w:rsid w:val="533B5FCC"/>
    <w:rsid w:val="535E53A8"/>
    <w:rsid w:val="537351D7"/>
    <w:rsid w:val="53915FA6"/>
    <w:rsid w:val="53C16DB2"/>
    <w:rsid w:val="53C34D6E"/>
    <w:rsid w:val="54162ACE"/>
    <w:rsid w:val="54BB6AE8"/>
    <w:rsid w:val="56864C6E"/>
    <w:rsid w:val="56E05463"/>
    <w:rsid w:val="56EE13B9"/>
    <w:rsid w:val="57E82BC8"/>
    <w:rsid w:val="59903389"/>
    <w:rsid w:val="5B3679B6"/>
    <w:rsid w:val="5B9143AF"/>
    <w:rsid w:val="5CA6120D"/>
    <w:rsid w:val="5CE31EB6"/>
    <w:rsid w:val="5DC32894"/>
    <w:rsid w:val="5E3E2A2D"/>
    <w:rsid w:val="6103186D"/>
    <w:rsid w:val="627723AF"/>
    <w:rsid w:val="62D13A82"/>
    <w:rsid w:val="62FC0494"/>
    <w:rsid w:val="638D629D"/>
    <w:rsid w:val="64C65B4A"/>
    <w:rsid w:val="659A26E9"/>
    <w:rsid w:val="66272497"/>
    <w:rsid w:val="663A322F"/>
    <w:rsid w:val="670078F9"/>
    <w:rsid w:val="671605FC"/>
    <w:rsid w:val="67846AFE"/>
    <w:rsid w:val="67F162F6"/>
    <w:rsid w:val="6867390E"/>
    <w:rsid w:val="6B1379C7"/>
    <w:rsid w:val="6B3501A6"/>
    <w:rsid w:val="6B5D1880"/>
    <w:rsid w:val="6C221F62"/>
    <w:rsid w:val="6D651FF1"/>
    <w:rsid w:val="6DA826C1"/>
    <w:rsid w:val="6DFE6869"/>
    <w:rsid w:val="6EB107A7"/>
    <w:rsid w:val="6F99710B"/>
    <w:rsid w:val="6FE804FF"/>
    <w:rsid w:val="70242DE0"/>
    <w:rsid w:val="703C3987"/>
    <w:rsid w:val="71057BBF"/>
    <w:rsid w:val="715B2CC4"/>
    <w:rsid w:val="729F75CD"/>
    <w:rsid w:val="72BC33C4"/>
    <w:rsid w:val="74613D36"/>
    <w:rsid w:val="746A14A0"/>
    <w:rsid w:val="74881BED"/>
    <w:rsid w:val="752B7FEB"/>
    <w:rsid w:val="7549682F"/>
    <w:rsid w:val="75772750"/>
    <w:rsid w:val="758F6C85"/>
    <w:rsid w:val="759404C7"/>
    <w:rsid w:val="76BD1501"/>
    <w:rsid w:val="772D41EF"/>
    <w:rsid w:val="774A1C96"/>
    <w:rsid w:val="77843636"/>
    <w:rsid w:val="79323190"/>
    <w:rsid w:val="7A123CFF"/>
    <w:rsid w:val="7C5537B3"/>
    <w:rsid w:val="7C7435E7"/>
    <w:rsid w:val="7D1A4855"/>
    <w:rsid w:val="7D276056"/>
    <w:rsid w:val="7ECC58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lang w:val="en-US" w:eastAsia="zh-CN"/>
    </w:rPr>
  </w:style>
  <w:style w:type="paragraph" w:styleId="3">
    <w:name w:val="heading 1"/>
    <w:basedOn w:val="1"/>
    <w:next w:val="1"/>
    <w:uiPriority w:val="0"/>
    <w:pPr>
      <w:keepNext/>
      <w:jc w:val="center"/>
      <w:outlineLvl w:val="0"/>
    </w:pPr>
    <w:rPr>
      <w:rFonts w:ascii="黑体" w:eastAsia="黑体"/>
      <w:b/>
      <w:kern w:val="2"/>
      <w:sz w:val="30"/>
      <w:lang w:val="en-GB"/>
    </w:rPr>
  </w:style>
  <w:style w:type="paragraph" w:styleId="4">
    <w:name w:val="heading 2"/>
    <w:basedOn w:val="1"/>
    <w:next w:val="1"/>
    <w:uiPriority w:val="0"/>
    <w:pPr>
      <w:keepNext/>
      <w:keepLines/>
      <w:jc w:val="left"/>
      <w:outlineLvl w:val="1"/>
    </w:pPr>
    <w:rPr>
      <w:rFonts w:eastAsia="黑体"/>
      <w:b/>
      <w:sz w:val="30"/>
    </w:rPr>
  </w:style>
  <w:style w:type="paragraph" w:styleId="5">
    <w:name w:val="heading 3"/>
    <w:basedOn w:val="1"/>
    <w:next w:val="1"/>
    <w:qFormat/>
    <w:uiPriority w:val="0"/>
    <w:pPr>
      <w:keepNext/>
      <w:keepLines/>
      <w:outlineLvl w:val="2"/>
    </w:pPr>
    <w:rPr>
      <w:rFonts w:eastAsia="黑体"/>
      <w:b/>
      <w:sz w:val="28"/>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0"/>
    <w:pPr>
      <w:ind w:firstLine="420"/>
    </w:pPr>
  </w:style>
  <w:style w:type="paragraph" w:styleId="6">
    <w:name w:val="Body Text"/>
    <w:basedOn w:val="1"/>
    <w:qFormat/>
    <w:uiPriority w:val="0"/>
    <w:pPr>
      <w:spacing w:line="20" w:lineRule="atLeast"/>
      <w:jc w:val="center"/>
    </w:pPr>
    <w:rPr>
      <w:rFonts w:ascii="楷体_GB2312" w:eastAsia="楷体_GB2312"/>
      <w:b/>
      <w:kern w:val="2"/>
      <w:sz w:val="32"/>
    </w:rPr>
  </w:style>
  <w:style w:type="paragraph" w:styleId="7">
    <w:name w:val="Body Text Indent"/>
    <w:basedOn w:val="1"/>
    <w:qFormat/>
    <w:uiPriority w:val="0"/>
    <w:pPr>
      <w:spacing w:after="120" w:afterLines="0" w:afterAutospacing="0"/>
      <w:ind w:left="420" w:leftChars="200"/>
    </w:pPr>
    <w:rPr>
      <w:rFonts w:eastAsia="楷体_GB2312"/>
      <w:kern w:val="2"/>
      <w:sz w:val="24"/>
    </w:rPr>
  </w:style>
  <w:style w:type="paragraph" w:styleId="8">
    <w:name w:val="Plain Text"/>
    <w:basedOn w:val="1"/>
    <w:qFormat/>
    <w:uiPriority w:val="0"/>
    <w:rPr>
      <w:rFonts w:ascii="宋体" w:hAnsi="Courier New" w:eastAsia="隶书"/>
      <w:kern w:val="2"/>
      <w:sz w:val="32"/>
      <w:lang w:val="en-US" w:eastAsia="zh-CN"/>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1">
    <w:name w:val="Normal (Web)"/>
    <w:basedOn w:val="1"/>
    <w:qFormat/>
    <w:uiPriority w:val="0"/>
    <w:pPr>
      <w:widowControl/>
      <w:spacing w:before="100" w:beforeLines="0" w:beforeAutospacing="1" w:after="100" w:afterLines="0" w:afterAutospacing="1"/>
      <w:jc w:val="left"/>
    </w:pPr>
    <w:rPr>
      <w:rFonts w:ascii="宋体" w:hAnsi="宋体" w:eastAsia="宋体"/>
      <w:kern w:val="0"/>
      <w:sz w:val="24"/>
    </w:r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qFormat/>
    <w:uiPriority w:val="0"/>
    <w:rPr>
      <w:color w:val="000000"/>
      <w:u w:val="none"/>
    </w:rPr>
  </w:style>
  <w:style w:type="paragraph" w:customStyle="1" w:styleId="17">
    <w:name w:val="样式 五号"/>
    <w:basedOn w:val="1"/>
    <w:qFormat/>
    <w:uiPriority w:val="0"/>
    <w:pPr>
      <w:spacing w:before="156" w:beforeLines="50" w:beforeAutospacing="0"/>
    </w:pPr>
    <w:rPr>
      <w:sz w:val="21"/>
    </w:rPr>
  </w:style>
  <w:style w:type="paragraph" w:customStyle="1" w:styleId="18">
    <w:name w:val="样式1"/>
    <w:basedOn w:val="7"/>
    <w:qFormat/>
    <w:uiPriority w:val="0"/>
    <w:pPr>
      <w:spacing w:after="0" w:afterLines="0" w:afterAutospacing="0"/>
      <w:ind w:left="0" w:leftChars="0" w:firstLine="200" w:firstLineChars="200"/>
    </w:pPr>
  </w:style>
  <w:style w:type="paragraph" w:customStyle="1" w:styleId="19">
    <w:name w:val="header"/>
    <w:basedOn w:val="1"/>
    <w:qFormat/>
    <w:uiPriority w:val="0"/>
    <w:pPr>
      <w:pBdr>
        <w:bottom w:val="single" w:color="auto" w:sz="6" w:space="1"/>
      </w:pBdr>
      <w:tabs>
        <w:tab w:val="center" w:pos="4153"/>
        <w:tab w:val="right" w:pos="8306"/>
      </w:tabs>
      <w:snapToGrid w:val="0"/>
      <w:jc w:val="center"/>
    </w:pPr>
    <w:rPr>
      <w:sz w:val="18"/>
    </w:rPr>
  </w:style>
  <w:style w:type="paragraph" w:customStyle="1" w:styleId="20">
    <w:name w:val="p0"/>
    <w:basedOn w:val="1"/>
    <w:qFormat/>
    <w:uiPriority w:val="0"/>
    <w:pPr>
      <w:widowControl/>
    </w:pPr>
    <w:rPr>
      <w:rFonts w:eastAsia="楷体_GB2312"/>
      <w:kern w:val="0"/>
      <w:sz w:val="24"/>
    </w:rPr>
  </w:style>
  <w:style w:type="character" w:customStyle="1" w:styleId="21">
    <w:name w:val="样式 样式1 + 首行缩进:  2 字符"/>
    <w:basedOn w:val="13"/>
    <w:qFormat/>
    <w:uiPriority w:val="0"/>
    <w:rPr>
      <w:rFonts w:eastAsia="楷体_GB2312"/>
      <w:kern w:val="0"/>
      <w:sz w:val="24"/>
    </w:rPr>
  </w:style>
  <w:style w:type="character" w:customStyle="1" w:styleId="22">
    <w:name w:val="fontstyle01"/>
    <w:basedOn w:val="13"/>
    <w:qFormat/>
    <w:uiPriority w:val="0"/>
    <w:rPr>
      <w:rFonts w:ascii="仿宋" w:hAnsi="仿宋" w:eastAsia="仿宋" w:cs="仿宋"/>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SGCC</Company>
  <Pages>11</Pages>
  <Words>4994</Words>
  <Characters>5475</Characters>
  <Lines>26</Lines>
  <Paragraphs>7</Paragraphs>
  <TotalTime>27</TotalTime>
  <ScaleCrop>false</ScaleCrop>
  <LinksUpToDate>false</LinksUpToDate>
  <CharactersWithSpaces>5475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2012-03-16T10:02:00Z</dcterms:created>
  <dc:creator>unknown</dc:creator>
  <cp:lastModifiedBy>包工头</cp:lastModifiedBy>
  <cp:lastPrinted>2023-03-17T04:24:00Z</cp:lastPrinted>
  <dcterms:modified xsi:type="dcterms:W3CDTF">2023-05-26T04:07:15Z</dcterms:modified>
  <dc:title>2012年葫芦岛市有序用电方案</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50252646825041CAAFE1A48A38B1730A</vt:lpwstr>
  </property>
</Properties>
</file>