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hd w:val="clear"/>
        <w:kinsoku/>
        <w:wordWrap/>
        <w:overflowPunct/>
        <w:topLinePunct w:val="0"/>
        <w:autoSpaceDE/>
        <w:autoSpaceDN/>
        <w:bidi w:val="0"/>
        <w:adjustRightInd/>
        <w:snapToGrid/>
        <w:spacing w:line="560" w:lineRule="exact"/>
        <w:ind w:left="0"/>
        <w:jc w:val="center"/>
        <w:textAlignment w:val="auto"/>
        <w:rPr>
          <w:rFonts w:hint="default" w:ascii="Times New Roman" w:hAnsi="Times New Roman" w:eastAsia="方正小标宋简体" w:cs="Times New Roman"/>
          <w:color w:val="auto"/>
          <w:sz w:val="44"/>
          <w:szCs w:val="44"/>
          <w:highlight w:val="none"/>
          <w:lang w:val="en-US" w:eastAsia="zh-CN"/>
        </w:rPr>
      </w:pPr>
      <w:r>
        <w:rPr>
          <w:rFonts w:hint="default" w:ascii="Times New Roman" w:hAnsi="Times New Roman" w:eastAsia="方正小标宋简体" w:cs="Times New Roman"/>
          <w:color w:val="auto"/>
          <w:sz w:val="44"/>
          <w:szCs w:val="44"/>
          <w:highlight w:val="none"/>
          <w:lang w:val="en-US" w:eastAsia="zh-CN"/>
        </w:rPr>
        <w:t>云南思茅产业园区管理制度</w:t>
      </w:r>
    </w:p>
    <w:p>
      <w:pPr>
        <w:keepNext w:val="0"/>
        <w:keepLines w:val="0"/>
        <w:pageBreakBefore w:val="0"/>
        <w:widowControl w:val="0"/>
        <w:shd w:val="clear"/>
        <w:kinsoku/>
        <w:wordWrap/>
        <w:overflowPunct/>
        <w:topLinePunct w:val="0"/>
        <w:autoSpaceDE/>
        <w:autoSpaceDN/>
        <w:bidi w:val="0"/>
        <w:adjustRightInd/>
        <w:snapToGrid/>
        <w:spacing w:line="560" w:lineRule="exact"/>
        <w:ind w:left="0"/>
        <w:jc w:val="center"/>
        <w:textAlignment w:val="auto"/>
        <w:rPr>
          <w:rFonts w:hint="eastAsia" w:ascii="楷体_GB2312" w:hAnsi="楷体_GB2312" w:eastAsia="楷体_GB2312" w:cs="楷体_GB2312"/>
          <w:color w:val="auto"/>
          <w:sz w:val="32"/>
          <w:szCs w:val="32"/>
          <w:highlight w:val="none"/>
          <w:lang w:val="en-US" w:eastAsia="zh-CN"/>
        </w:rPr>
      </w:pPr>
      <w:r>
        <w:rPr>
          <w:rFonts w:hint="eastAsia" w:ascii="楷体_GB2312" w:hAnsi="楷体_GB2312" w:eastAsia="楷体_GB2312" w:cs="楷体_GB2312"/>
          <w:color w:val="auto"/>
          <w:sz w:val="32"/>
          <w:szCs w:val="32"/>
          <w:highlight w:val="none"/>
          <w:lang w:val="en-US" w:eastAsia="zh-CN"/>
        </w:rPr>
        <w:t>（征求意见稿）</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jc w:val="center"/>
        <w:textAlignment w:val="auto"/>
        <w:rPr>
          <w:rFonts w:hint="default" w:ascii="Times New Roman" w:hAnsi="Times New Roman" w:eastAsia="黑体" w:cs="Times New Roman"/>
          <w:color w:val="auto"/>
          <w:sz w:val="32"/>
          <w:szCs w:val="32"/>
          <w:highlight w:val="none"/>
          <w:lang w:val="en-US" w:eastAsia="zh-CN"/>
        </w:rPr>
      </w:pP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jc w:val="center"/>
        <w:textAlignment w:val="auto"/>
        <w:rPr>
          <w:rFonts w:hint="default" w:ascii="Times New Roman" w:hAnsi="Times New Roman" w:eastAsia="黑体" w:cs="Times New Roman"/>
          <w:color w:val="auto"/>
          <w:sz w:val="32"/>
          <w:szCs w:val="32"/>
          <w:highlight w:val="none"/>
          <w:lang w:val="en-US" w:eastAsia="zh-CN"/>
        </w:rPr>
      </w:pPr>
      <w:r>
        <w:rPr>
          <w:rFonts w:hint="default" w:ascii="Times New Roman" w:hAnsi="Times New Roman" w:eastAsia="黑体" w:cs="Times New Roman"/>
          <w:color w:val="auto"/>
          <w:sz w:val="32"/>
          <w:szCs w:val="32"/>
          <w:highlight w:val="none"/>
          <w:lang w:val="en-US" w:eastAsia="zh-CN"/>
        </w:rPr>
        <w:t>第一章 总则</w:t>
      </w:r>
    </w:p>
    <w:p>
      <w:pPr>
        <w:keepNext w:val="0"/>
        <w:keepLines w:val="0"/>
        <w:pageBreakBefore w:val="0"/>
        <w:widowControl w:val="0"/>
        <w:shd w:val="clear"/>
        <w:kinsoku/>
        <w:wordWrap/>
        <w:overflowPunct/>
        <w:topLinePunct w:val="0"/>
        <w:autoSpaceDE/>
        <w:autoSpaceDN/>
        <w:bidi w:val="0"/>
        <w:adjustRightInd/>
        <w:snapToGrid/>
        <w:spacing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楷体_GB2312" w:cs="Times New Roman"/>
          <w:color w:val="auto"/>
          <w:sz w:val="32"/>
          <w:szCs w:val="32"/>
          <w:highlight w:val="none"/>
          <w:lang w:val="en-US" w:eastAsia="zh-CN"/>
        </w:rPr>
        <w:t>第一条</w:t>
      </w:r>
      <w:r>
        <w:rPr>
          <w:rFonts w:hint="eastAsia" w:ascii="Times New Roman" w:hAnsi="Times New Roman" w:eastAsia="楷体_GB2312" w:cs="Times New Roman"/>
          <w:color w:val="auto"/>
          <w:sz w:val="32"/>
          <w:szCs w:val="32"/>
          <w:highlight w:val="none"/>
          <w:lang w:val="en-US" w:eastAsia="zh-CN"/>
        </w:rPr>
        <w:t xml:space="preserve"> </w:t>
      </w:r>
      <w:r>
        <w:rPr>
          <w:rFonts w:hint="eastAsia" w:ascii="Times New Roman" w:hAnsi="Times New Roman" w:eastAsia="仿宋_GB2312" w:cs="Times New Roman"/>
          <w:color w:val="auto"/>
          <w:kern w:val="2"/>
          <w:sz w:val="32"/>
          <w:szCs w:val="32"/>
          <w:highlight w:val="none"/>
          <w:lang w:val="en-US" w:eastAsia="zh-CN" w:bidi="ar-SA"/>
        </w:rPr>
        <w:t xml:space="preserve"> </w:t>
      </w:r>
      <w:r>
        <w:rPr>
          <w:rFonts w:hint="default" w:ascii="Times New Roman" w:hAnsi="Times New Roman" w:eastAsia="仿宋_GB2312" w:cs="Times New Roman"/>
          <w:color w:val="auto"/>
          <w:sz w:val="32"/>
          <w:szCs w:val="32"/>
          <w:highlight w:val="none"/>
          <w:lang w:val="en-US" w:eastAsia="zh-CN"/>
        </w:rPr>
        <w:t>为规范入园企业</w:t>
      </w:r>
      <w:r>
        <w:rPr>
          <w:rFonts w:hint="eastAsia" w:ascii="Times New Roman" w:hAnsi="Times New Roman" w:eastAsia="仿宋_GB2312" w:cs="Times New Roman"/>
          <w:color w:val="auto"/>
          <w:sz w:val="32"/>
          <w:szCs w:val="32"/>
          <w:highlight w:val="none"/>
          <w:lang w:val="en-US" w:eastAsia="zh-CN"/>
        </w:rPr>
        <w:t>、项目、</w:t>
      </w:r>
      <w:r>
        <w:rPr>
          <w:rFonts w:hint="default" w:ascii="Times New Roman" w:hAnsi="Times New Roman" w:eastAsia="仿宋_GB2312" w:cs="Times New Roman"/>
          <w:color w:val="auto"/>
          <w:sz w:val="32"/>
          <w:szCs w:val="32"/>
          <w:highlight w:val="none"/>
          <w:lang w:val="en-US" w:eastAsia="zh-CN"/>
        </w:rPr>
        <w:t>人才</w:t>
      </w:r>
      <w:r>
        <w:rPr>
          <w:rFonts w:hint="eastAsia" w:ascii="Times New Roman" w:hAnsi="Times New Roman" w:eastAsia="仿宋_GB2312" w:cs="Times New Roman"/>
          <w:color w:val="auto"/>
          <w:sz w:val="32"/>
          <w:szCs w:val="32"/>
          <w:highlight w:val="none"/>
          <w:lang w:val="en-US" w:eastAsia="zh-CN"/>
        </w:rPr>
        <w:t>等</w:t>
      </w:r>
      <w:r>
        <w:rPr>
          <w:rFonts w:hint="default" w:ascii="Times New Roman" w:hAnsi="Times New Roman" w:eastAsia="仿宋_GB2312" w:cs="Times New Roman"/>
          <w:color w:val="auto"/>
          <w:sz w:val="32"/>
          <w:szCs w:val="32"/>
          <w:highlight w:val="none"/>
          <w:lang w:val="en-US" w:eastAsia="zh-CN"/>
        </w:rPr>
        <w:t>管理，</w:t>
      </w:r>
      <w:r>
        <w:rPr>
          <w:rFonts w:hint="eastAsia" w:ascii="Times New Roman" w:hAnsi="Times New Roman" w:eastAsia="仿宋_GB2312" w:cs="Times New Roman"/>
          <w:color w:val="auto"/>
          <w:sz w:val="32"/>
          <w:szCs w:val="32"/>
          <w:highlight w:val="none"/>
          <w:lang w:val="en-US" w:eastAsia="zh-CN"/>
        </w:rPr>
        <w:t>进一步优化营商环境，</w:t>
      </w:r>
      <w:r>
        <w:rPr>
          <w:rFonts w:hint="default" w:ascii="Times New Roman" w:hAnsi="Times New Roman" w:eastAsia="仿宋_GB2312" w:cs="Times New Roman"/>
          <w:color w:val="auto"/>
          <w:sz w:val="32"/>
          <w:szCs w:val="32"/>
          <w:highlight w:val="none"/>
          <w:lang w:val="en-US" w:eastAsia="zh-CN"/>
        </w:rPr>
        <w:t>打造法治化、便利化营商环境，</w:t>
      </w:r>
      <w:r>
        <w:rPr>
          <w:rFonts w:hint="eastAsia" w:ascii="Times New Roman" w:hAnsi="Times New Roman" w:eastAsia="仿宋_GB2312" w:cs="Times New Roman"/>
          <w:color w:val="auto"/>
          <w:sz w:val="32"/>
          <w:szCs w:val="32"/>
          <w:highlight w:val="none"/>
          <w:lang w:val="en-US" w:eastAsia="zh-CN"/>
        </w:rPr>
        <w:t>构建亲清政商关系</w:t>
      </w:r>
      <w:r>
        <w:rPr>
          <w:rFonts w:hint="default" w:ascii="Times New Roman" w:hAnsi="Times New Roman" w:eastAsia="仿宋_GB2312" w:cs="Times New Roman"/>
          <w:color w:val="auto"/>
          <w:sz w:val="32"/>
          <w:szCs w:val="32"/>
          <w:highlight w:val="none"/>
          <w:lang w:val="en-US" w:eastAsia="zh-CN"/>
        </w:rPr>
        <w:t>，推动园区经济高质量发展，根据有关法律法规，结合园区实际，制定本制度。</w:t>
      </w:r>
    </w:p>
    <w:p>
      <w:pPr>
        <w:keepNext w:val="0"/>
        <w:keepLines w:val="0"/>
        <w:pageBreakBefore w:val="0"/>
        <w:widowControl w:val="0"/>
        <w:shd w:val="clear"/>
        <w:kinsoku/>
        <w:wordWrap/>
        <w:overflowPunct/>
        <w:topLinePunct w:val="0"/>
        <w:autoSpaceDE/>
        <w:autoSpaceDN/>
        <w:bidi w:val="0"/>
        <w:adjustRightInd/>
        <w:snapToGrid/>
        <w:spacing w:line="560" w:lineRule="exact"/>
        <w:ind w:left="0" w:firstLine="640" w:firstLineChars="200"/>
        <w:textAlignment w:val="auto"/>
        <w:rPr>
          <w:rFonts w:hint="eastAsia"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楷体_GB2312" w:cs="Times New Roman"/>
          <w:color w:val="auto"/>
          <w:sz w:val="32"/>
          <w:szCs w:val="32"/>
          <w:highlight w:val="none"/>
          <w:lang w:val="en-US" w:eastAsia="zh-CN"/>
        </w:rPr>
        <w:t>第二条</w:t>
      </w:r>
      <w:r>
        <w:rPr>
          <w:rFonts w:hint="eastAsia" w:ascii="Times New Roman" w:hAnsi="Times New Roman" w:eastAsia="楷体_GB2312" w:cs="Times New Roman"/>
          <w:color w:val="auto"/>
          <w:sz w:val="32"/>
          <w:szCs w:val="32"/>
          <w:highlight w:val="none"/>
          <w:lang w:val="en-US" w:eastAsia="zh-CN"/>
        </w:rPr>
        <w:t xml:space="preserve">  </w:t>
      </w:r>
      <w:r>
        <w:rPr>
          <w:rFonts w:hint="eastAsia" w:ascii="Times New Roman" w:hAnsi="Times New Roman" w:eastAsia="仿宋_GB2312" w:cs="Times New Roman"/>
          <w:color w:val="auto"/>
          <w:sz w:val="32"/>
          <w:szCs w:val="32"/>
          <w:highlight w:val="none"/>
          <w:lang w:val="en-US" w:eastAsia="zh-CN"/>
        </w:rPr>
        <w:t>云南</w:t>
      </w:r>
      <w:r>
        <w:rPr>
          <w:rFonts w:hint="eastAsia" w:ascii="Times New Roman" w:hAnsi="Times New Roman" w:eastAsia="仿宋_GB2312" w:cs="Times New Roman"/>
          <w:color w:val="auto"/>
          <w:kern w:val="2"/>
          <w:sz w:val="32"/>
          <w:szCs w:val="32"/>
          <w:highlight w:val="none"/>
          <w:lang w:val="en-US" w:eastAsia="zh-CN" w:bidi="ar-SA"/>
        </w:rPr>
        <w:t>思茅产业园区党工委、管委会在市委、市人民政府的领导下工作，履行园区建设和发展主体责任，贯彻落实市委、市政府工作要求，在市委办、市政府办、市发改委、市工信局的指导下开展工作。</w:t>
      </w:r>
    </w:p>
    <w:p>
      <w:pPr>
        <w:keepNext w:val="0"/>
        <w:keepLines w:val="0"/>
        <w:pageBreakBefore w:val="0"/>
        <w:widowControl w:val="0"/>
        <w:shd w:val="clear"/>
        <w:kinsoku/>
        <w:wordWrap/>
        <w:overflowPunct/>
        <w:topLinePunct w:val="0"/>
        <w:autoSpaceDE/>
        <w:autoSpaceDN/>
        <w:bidi w:val="0"/>
        <w:adjustRightInd/>
        <w:snapToGrid/>
        <w:spacing w:line="560" w:lineRule="exact"/>
        <w:ind w:left="0" w:firstLine="640" w:firstLineChars="200"/>
        <w:textAlignment w:val="auto"/>
        <w:rPr>
          <w:rFonts w:hint="eastAsia"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楷体_GB2312" w:cs="Times New Roman"/>
          <w:color w:val="auto"/>
          <w:sz w:val="32"/>
          <w:szCs w:val="32"/>
          <w:highlight w:val="none"/>
          <w:lang w:val="en-US" w:eastAsia="zh-CN"/>
        </w:rPr>
        <w:t>第三条　</w:t>
      </w:r>
      <w:r>
        <w:rPr>
          <w:rFonts w:hint="eastAsia" w:ascii="Times New Roman" w:hAnsi="Times New Roman" w:eastAsia="仿宋_GB2312" w:cs="Times New Roman"/>
          <w:color w:val="auto"/>
          <w:kern w:val="2"/>
          <w:sz w:val="32"/>
          <w:szCs w:val="32"/>
          <w:highlight w:val="none"/>
          <w:lang w:val="en-US" w:eastAsia="zh-CN" w:bidi="ar-SA"/>
        </w:rPr>
        <w:t>园区建设和发展要完整准确全面贯彻新发展理念，统筹发展和安全，主动服务和融入新发展格局，遵循改革创新、产业集聚、开放合作、节约集约、特色发展的原则，通过运营管理和发展模式创新，努力实现园区高质量发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楷体_GB2312" w:cs="Times New Roman"/>
          <w:color w:val="auto"/>
          <w:kern w:val="2"/>
          <w:sz w:val="32"/>
          <w:szCs w:val="32"/>
          <w:highlight w:val="none"/>
          <w:lang w:val="en-US" w:eastAsia="zh-CN" w:bidi="ar-SA"/>
        </w:rPr>
        <w:t>第四条</w:t>
      </w:r>
      <w:r>
        <w:rPr>
          <w:rFonts w:hint="eastAsia" w:ascii="Microsoft YaHei UI" w:hAnsi="Microsoft YaHei UI" w:eastAsia="Microsoft YaHei UI" w:cs="Microsoft YaHei UI"/>
          <w:i w:val="0"/>
          <w:iCs w:val="0"/>
          <w:caps w:val="0"/>
          <w:color w:val="auto"/>
          <w:spacing w:val="8"/>
          <w:sz w:val="24"/>
          <w:szCs w:val="24"/>
          <w:highlight w:val="none"/>
          <w:shd w:val="clear" w:color="auto" w:fill="FFFFFF"/>
        </w:rPr>
        <w:t>　</w:t>
      </w:r>
      <w:r>
        <w:rPr>
          <w:rFonts w:hint="eastAsia" w:ascii="Times New Roman" w:hAnsi="Times New Roman" w:eastAsia="仿宋_GB2312" w:cs="Times New Roman"/>
          <w:color w:val="auto"/>
          <w:kern w:val="2"/>
          <w:sz w:val="32"/>
          <w:szCs w:val="32"/>
          <w:highlight w:val="none"/>
          <w:lang w:val="en-US" w:eastAsia="zh-CN" w:bidi="ar-SA"/>
        </w:rPr>
        <w:t>坚持党建引领园区发展，加强党对园区工作的全面领导，通过党建工作与园区发展中心工作相融合，将党工委领导贯穿于园区发展建设各环节。</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eastAsia" w:ascii="Times New Roman" w:hAnsi="Times New Roman" w:eastAsia="楷体_GB2312" w:cs="Times New Roman"/>
          <w:color w:val="auto"/>
          <w:kern w:val="2"/>
          <w:sz w:val="32"/>
          <w:szCs w:val="32"/>
          <w:highlight w:val="none"/>
          <w:lang w:val="en-US" w:eastAsia="zh-CN" w:bidi="ar-SA"/>
        </w:rPr>
        <w:t xml:space="preserve">第五条 </w:t>
      </w:r>
      <w:r>
        <w:rPr>
          <w:rFonts w:hint="eastAsia" w:ascii="Times New Roman" w:hAnsi="Times New Roman" w:eastAsia="仿宋_GB2312" w:cs="Times New Roman"/>
          <w:color w:val="auto"/>
          <w:kern w:val="2"/>
          <w:sz w:val="32"/>
          <w:szCs w:val="32"/>
          <w:highlight w:val="none"/>
          <w:lang w:val="en-US" w:eastAsia="zh-CN" w:bidi="ar-SA"/>
        </w:rPr>
        <w:t xml:space="preserve"> </w:t>
      </w:r>
      <w:r>
        <w:rPr>
          <w:rFonts w:hint="default" w:ascii="Times New Roman" w:hAnsi="Times New Roman" w:eastAsia="仿宋_GB2312" w:cs="Times New Roman"/>
          <w:color w:val="auto"/>
          <w:sz w:val="32"/>
          <w:szCs w:val="32"/>
          <w:highlight w:val="none"/>
          <w:lang w:val="en-US" w:eastAsia="zh-CN"/>
        </w:rPr>
        <w:t>云南思茅产业园区</w:t>
      </w:r>
      <w:r>
        <w:rPr>
          <w:rFonts w:hint="eastAsia" w:ascii="Times New Roman" w:hAnsi="Times New Roman" w:eastAsia="仿宋_GB2312" w:cs="Times New Roman"/>
          <w:color w:val="auto"/>
          <w:sz w:val="32"/>
          <w:szCs w:val="32"/>
          <w:highlight w:val="none"/>
          <w:lang w:val="en-US" w:eastAsia="zh-CN"/>
        </w:rPr>
        <w:t>发展建设、招商引资、项目入园、企业培育、服务保障、清理退出等</w:t>
      </w:r>
      <w:r>
        <w:rPr>
          <w:rFonts w:hint="default" w:ascii="Times New Roman" w:hAnsi="Times New Roman" w:eastAsia="仿宋_GB2312" w:cs="Times New Roman"/>
          <w:color w:val="auto"/>
          <w:sz w:val="32"/>
          <w:szCs w:val="32"/>
          <w:highlight w:val="none"/>
          <w:lang w:val="en-US" w:eastAsia="zh-CN"/>
        </w:rPr>
        <w:t>，</w:t>
      </w:r>
      <w:r>
        <w:rPr>
          <w:rFonts w:hint="eastAsia" w:ascii="Times New Roman" w:hAnsi="Times New Roman" w:eastAsia="仿宋_GB2312" w:cs="Times New Roman"/>
          <w:color w:val="auto"/>
          <w:sz w:val="32"/>
          <w:szCs w:val="32"/>
          <w:highlight w:val="none"/>
          <w:lang w:val="en-US" w:eastAsia="zh-CN"/>
        </w:rPr>
        <w:t>适用本制度</w:t>
      </w:r>
      <w:r>
        <w:rPr>
          <w:rFonts w:hint="default" w:ascii="Times New Roman" w:hAnsi="Times New Roman" w:eastAsia="仿宋_GB2312" w:cs="Times New Roman"/>
          <w:color w:val="auto"/>
          <w:sz w:val="32"/>
          <w:szCs w:val="32"/>
          <w:highlight w:val="none"/>
          <w:lang w:val="en-US" w:eastAsia="zh-CN"/>
        </w:rPr>
        <w:t>。</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jc w:val="center"/>
        <w:textAlignment w:val="auto"/>
        <w:rPr>
          <w:rFonts w:hint="default" w:ascii="Times New Roman" w:hAnsi="Times New Roman" w:eastAsia="黑体" w:cs="Times New Roman"/>
          <w:color w:val="auto"/>
          <w:sz w:val="32"/>
          <w:szCs w:val="32"/>
          <w:highlight w:val="none"/>
          <w:lang w:val="en-US" w:eastAsia="zh-CN"/>
        </w:rPr>
      </w:pP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jc w:val="center"/>
        <w:textAlignment w:val="auto"/>
        <w:rPr>
          <w:rFonts w:hint="default" w:ascii="Times New Roman" w:hAnsi="Times New Roman" w:eastAsia="黑体" w:cs="Times New Roman"/>
          <w:color w:val="auto"/>
          <w:sz w:val="32"/>
          <w:szCs w:val="32"/>
          <w:highlight w:val="none"/>
          <w:lang w:val="en-US" w:eastAsia="zh-CN"/>
        </w:rPr>
      </w:pP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jc w:val="center"/>
        <w:textAlignment w:val="auto"/>
        <w:rPr>
          <w:rFonts w:hint="default" w:ascii="Times New Roman" w:hAnsi="Times New Roman" w:eastAsia="黑体" w:cs="Times New Roman"/>
          <w:color w:val="auto"/>
          <w:sz w:val="32"/>
          <w:szCs w:val="32"/>
          <w:highlight w:val="none"/>
          <w:lang w:val="en-US" w:eastAsia="zh-CN"/>
        </w:rPr>
      </w:pPr>
      <w:r>
        <w:rPr>
          <w:rFonts w:hint="default" w:ascii="Times New Roman" w:hAnsi="Times New Roman" w:eastAsia="黑体" w:cs="Times New Roman"/>
          <w:color w:val="auto"/>
          <w:sz w:val="32"/>
          <w:szCs w:val="32"/>
          <w:highlight w:val="none"/>
          <w:lang w:val="en-US" w:eastAsia="zh-CN"/>
        </w:rPr>
        <w:t>第二章 项目准入</w:t>
      </w:r>
      <w:r>
        <w:rPr>
          <w:rFonts w:hint="eastAsia" w:ascii="Times New Roman" w:hAnsi="Times New Roman" w:eastAsia="黑体" w:cs="Times New Roman"/>
          <w:color w:val="auto"/>
          <w:sz w:val="32"/>
          <w:szCs w:val="32"/>
          <w:highlight w:val="none"/>
          <w:lang w:val="en-US" w:eastAsia="zh-CN"/>
        </w:rPr>
        <w:t>管理</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楷体_GB2312" w:cs="Times New Roman"/>
          <w:color w:val="auto"/>
          <w:sz w:val="32"/>
          <w:szCs w:val="32"/>
          <w:highlight w:val="none"/>
          <w:lang w:val="en-US" w:eastAsia="zh-CN"/>
        </w:rPr>
      </w:pPr>
      <w:r>
        <w:rPr>
          <w:rFonts w:hint="default" w:ascii="Times New Roman" w:hAnsi="Times New Roman" w:eastAsia="楷体_GB2312" w:cs="Times New Roman"/>
          <w:color w:val="auto"/>
          <w:sz w:val="32"/>
          <w:szCs w:val="32"/>
          <w:highlight w:val="none"/>
          <w:lang w:val="en-US" w:eastAsia="zh-CN"/>
        </w:rPr>
        <w:t>第</w:t>
      </w:r>
      <w:r>
        <w:rPr>
          <w:rFonts w:hint="eastAsia" w:ascii="Times New Roman" w:hAnsi="Times New Roman" w:eastAsia="楷体_GB2312" w:cs="Times New Roman"/>
          <w:color w:val="auto"/>
          <w:sz w:val="32"/>
          <w:szCs w:val="32"/>
          <w:highlight w:val="none"/>
          <w:lang w:val="en-US" w:eastAsia="zh-CN"/>
        </w:rPr>
        <w:t>六</w:t>
      </w:r>
      <w:r>
        <w:rPr>
          <w:rFonts w:hint="default" w:ascii="Times New Roman" w:hAnsi="Times New Roman" w:eastAsia="楷体_GB2312" w:cs="Times New Roman"/>
          <w:color w:val="auto"/>
          <w:sz w:val="32"/>
          <w:szCs w:val="32"/>
          <w:highlight w:val="none"/>
          <w:lang w:val="en-US" w:eastAsia="zh-CN"/>
        </w:rPr>
        <w:t>条 通用准入条件（供地类、租厂房类均适用）</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1.规划</w:t>
      </w:r>
      <w:r>
        <w:rPr>
          <w:rFonts w:hint="eastAsia" w:ascii="Times New Roman" w:hAnsi="Times New Roman" w:eastAsia="仿宋_GB2312" w:cs="Times New Roman"/>
          <w:color w:val="auto"/>
          <w:sz w:val="32"/>
          <w:szCs w:val="32"/>
          <w:highlight w:val="none"/>
          <w:lang w:val="en-US" w:eastAsia="zh-CN"/>
        </w:rPr>
        <w:t>符合。</w:t>
      </w:r>
      <w:r>
        <w:rPr>
          <w:rFonts w:hint="default" w:ascii="Times New Roman" w:hAnsi="Times New Roman" w:eastAsia="仿宋_GB2312" w:cs="Times New Roman"/>
          <w:color w:val="auto"/>
          <w:sz w:val="32"/>
          <w:szCs w:val="32"/>
          <w:highlight w:val="none"/>
          <w:lang w:val="en-US" w:eastAsia="zh-CN"/>
        </w:rPr>
        <w:t>符合园区国土空间规划、产业发展规划及功能分区要求，不突破生态保护红线、永久基本农田等管控边界。</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2.产业</w:t>
      </w:r>
      <w:r>
        <w:rPr>
          <w:rFonts w:hint="eastAsia" w:ascii="Times New Roman" w:hAnsi="Times New Roman" w:eastAsia="仿宋_GB2312" w:cs="Times New Roman"/>
          <w:color w:val="auto"/>
          <w:sz w:val="32"/>
          <w:szCs w:val="32"/>
          <w:highlight w:val="none"/>
          <w:lang w:val="en-US" w:eastAsia="zh-CN"/>
        </w:rPr>
        <w:t>契合。</w:t>
      </w:r>
      <w:r>
        <w:rPr>
          <w:rFonts w:hint="default" w:ascii="Times New Roman" w:hAnsi="Times New Roman" w:eastAsia="仿宋_GB2312" w:cs="Times New Roman"/>
          <w:color w:val="auto"/>
          <w:sz w:val="32"/>
          <w:szCs w:val="32"/>
          <w:highlight w:val="none"/>
          <w:lang w:val="en-US" w:eastAsia="zh-CN"/>
        </w:rPr>
        <w:t>符合国家《产业结构调整指导目录》《西部地区鼓励类产业目录》及省、市产业政策，聚焦主导产业，符合各个片区产业规划</w:t>
      </w:r>
      <w:r>
        <w:rPr>
          <w:rFonts w:hint="eastAsia"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严禁投资建设国家及云南省《市场准入负面清单》中禁止或限制准入的项目</w:t>
      </w:r>
      <w:r>
        <w:rPr>
          <w:rFonts w:hint="eastAsia"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禁止淘汰类、限制类及与园区产业定位不符的项目入驻</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3.环保达标</w:t>
      </w:r>
      <w:r>
        <w:rPr>
          <w:rFonts w:hint="eastAsia"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严格遵守“三线一单”生态环境分区管控要求，符合园区规划环评与绿色发展定位</w:t>
      </w:r>
      <w:r>
        <w:rPr>
          <w:rFonts w:hint="eastAsia"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不涉及有毒有害污染物排放，“三废”处理方案明确，排放符合国家及地方标准</w:t>
      </w:r>
      <w:r>
        <w:rPr>
          <w:rFonts w:hint="eastAsia" w:ascii="Times New Roman" w:hAnsi="Times New Roman" w:eastAsia="仿宋_GB2312" w:cs="Times New Roman"/>
          <w:color w:val="auto"/>
          <w:sz w:val="32"/>
          <w:szCs w:val="32"/>
          <w:highlight w:val="none"/>
          <w:lang w:val="en-US" w:eastAsia="zh-CN"/>
        </w:rPr>
        <w:t>。</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4.安全可控</w:t>
      </w:r>
      <w:r>
        <w:rPr>
          <w:rFonts w:hint="eastAsia"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生产工艺安全可靠，涉及“两重点一重大”的项目需完成安全风险评估，严禁使用落后安全技术装备</w:t>
      </w:r>
      <w:r>
        <w:rPr>
          <w:rFonts w:hint="eastAsia" w:ascii="Times New Roman" w:hAnsi="Times New Roman" w:eastAsia="仿宋_GB2312" w:cs="Times New Roman"/>
          <w:color w:val="auto"/>
          <w:sz w:val="32"/>
          <w:szCs w:val="32"/>
          <w:highlight w:val="none"/>
          <w:lang w:val="en-US" w:eastAsia="zh-CN"/>
        </w:rPr>
        <w:t>。</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5.主体合格</w:t>
      </w:r>
      <w:r>
        <w:rPr>
          <w:rFonts w:hint="eastAsia"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投资主体股权清晰、资金实力充足，无</w:t>
      </w:r>
      <w:r>
        <w:rPr>
          <w:rFonts w:hint="eastAsia" w:ascii="Times New Roman" w:hAnsi="Times New Roman" w:eastAsia="仿宋_GB2312" w:cs="Times New Roman"/>
          <w:color w:val="auto"/>
          <w:sz w:val="32"/>
          <w:szCs w:val="32"/>
          <w:highlight w:val="none"/>
          <w:lang w:val="en-US" w:eastAsia="zh-CN"/>
        </w:rPr>
        <w:t>严重（重大）</w:t>
      </w:r>
      <w:r>
        <w:rPr>
          <w:rFonts w:hint="default" w:ascii="Times New Roman" w:hAnsi="Times New Roman" w:eastAsia="仿宋_GB2312" w:cs="Times New Roman"/>
          <w:color w:val="auto"/>
          <w:sz w:val="32"/>
          <w:szCs w:val="32"/>
          <w:highlight w:val="none"/>
          <w:lang w:val="en-US" w:eastAsia="zh-CN"/>
        </w:rPr>
        <w:t>违法失信记录</w:t>
      </w:r>
      <w:r>
        <w:rPr>
          <w:rFonts w:hint="eastAsia" w:ascii="Times New Roman" w:hAnsi="Times New Roman" w:eastAsia="仿宋_GB2312" w:cs="Times New Roman"/>
          <w:color w:val="auto"/>
          <w:sz w:val="32"/>
          <w:szCs w:val="32"/>
          <w:highlight w:val="none"/>
          <w:lang w:val="en-US" w:eastAsia="zh-CN"/>
        </w:rPr>
        <w:t>。</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auto"/>
          <w:sz w:val="32"/>
          <w:szCs w:val="32"/>
          <w:highlight w:val="none"/>
          <w:lang w:val="en-US" w:eastAsia="zh-CN"/>
        </w:rPr>
        <w:t>6.</w:t>
      </w:r>
      <w:r>
        <w:rPr>
          <w:rFonts w:hint="default" w:ascii="Times New Roman" w:hAnsi="Times New Roman" w:eastAsia="仿宋_GB2312" w:cs="Times New Roman"/>
          <w:color w:val="auto"/>
          <w:sz w:val="32"/>
          <w:szCs w:val="32"/>
          <w:highlight w:val="none"/>
          <w:lang w:val="en-US" w:eastAsia="zh-CN"/>
        </w:rPr>
        <w:t>动态管控</w:t>
      </w:r>
      <w:r>
        <w:rPr>
          <w:rFonts w:hint="eastAsia"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建立“准入评估—事中监管—退出清理”全流程管理机制，实现优进劣出。</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楷体_GB2312" w:cs="Times New Roman"/>
          <w:color w:val="auto"/>
          <w:sz w:val="32"/>
          <w:szCs w:val="32"/>
          <w:highlight w:val="none"/>
          <w:lang w:val="en-US" w:eastAsia="zh-CN"/>
        </w:rPr>
        <w:t>第</w:t>
      </w:r>
      <w:r>
        <w:rPr>
          <w:rFonts w:hint="eastAsia" w:ascii="Times New Roman" w:hAnsi="Times New Roman" w:eastAsia="楷体_GB2312" w:cs="Times New Roman"/>
          <w:color w:val="auto"/>
          <w:sz w:val="32"/>
          <w:szCs w:val="32"/>
          <w:highlight w:val="none"/>
          <w:lang w:val="en-US" w:eastAsia="zh-CN"/>
        </w:rPr>
        <w:t>七</w:t>
      </w:r>
      <w:r>
        <w:rPr>
          <w:rFonts w:hint="default" w:ascii="Times New Roman" w:hAnsi="Times New Roman" w:eastAsia="楷体_GB2312" w:cs="Times New Roman"/>
          <w:color w:val="auto"/>
          <w:sz w:val="32"/>
          <w:szCs w:val="32"/>
          <w:highlight w:val="none"/>
          <w:lang w:val="en-US" w:eastAsia="zh-CN"/>
        </w:rPr>
        <w:t>条 供地类项目准入条件</w:t>
      </w:r>
    </w:p>
    <w:p>
      <w:pPr>
        <w:shd w:val="clear"/>
        <w:ind w:firstLine="640" w:firstLineChars="200"/>
        <w:rPr>
          <w:rFonts w:hint="default" w:ascii="Times New Roman" w:hAnsi="Times New Roman" w:eastAsia="方正仿宋_GB2312" w:cs="Times New Roman"/>
          <w:color w:val="auto"/>
          <w:sz w:val="32"/>
          <w:szCs w:val="32"/>
          <w:highlight w:val="none"/>
          <w:lang w:val="en-US" w:eastAsia="zh-CN"/>
        </w:rPr>
      </w:pPr>
      <w:r>
        <w:rPr>
          <w:rFonts w:hint="default" w:ascii="Times New Roman" w:hAnsi="Times New Roman" w:eastAsia="方正仿宋_GB2312" w:cs="Times New Roman"/>
          <w:color w:val="auto"/>
          <w:sz w:val="32"/>
          <w:szCs w:val="32"/>
          <w:highlight w:val="none"/>
          <w:lang w:val="en-US" w:eastAsia="zh-CN"/>
        </w:rPr>
        <w:t>1.出让方式。</w:t>
      </w:r>
      <w:r>
        <w:rPr>
          <w:rFonts w:hint="default" w:ascii="Times New Roman" w:hAnsi="Times New Roman" w:eastAsia="方正仿宋_GB2312" w:cs="Times New Roman"/>
          <w:color w:val="auto"/>
          <w:sz w:val="32"/>
          <w:szCs w:val="32"/>
          <w:highlight w:val="none"/>
          <w:lang w:val="en-US" w:eastAsia="zh-CN" w:bidi="ar"/>
        </w:rPr>
        <w:t>推进工业用地由出让（50年）为主向租赁、出让并重转变，工业用地可采取长期租赁、先租后让、租让结合、弹性年期出让方式使用土地</w:t>
      </w:r>
      <w:r>
        <w:rPr>
          <w:rFonts w:hint="eastAsia" w:ascii="Times New Roman" w:hAnsi="Times New Roman" w:eastAsia="方正仿宋_GB2312" w:cs="Times New Roman"/>
          <w:color w:val="auto"/>
          <w:sz w:val="32"/>
          <w:szCs w:val="32"/>
          <w:highlight w:val="none"/>
          <w:lang w:val="en-US" w:eastAsia="zh-CN" w:bidi="ar"/>
        </w:rPr>
        <w:t>，推行工业用地“标准地”出让</w:t>
      </w:r>
      <w:r>
        <w:rPr>
          <w:rFonts w:hint="default" w:ascii="Times New Roman" w:hAnsi="Times New Roman" w:eastAsia="方正仿宋_GB2312" w:cs="Times New Roman"/>
          <w:color w:val="auto"/>
          <w:sz w:val="32"/>
          <w:szCs w:val="32"/>
          <w:highlight w:val="none"/>
          <w:lang w:val="en-US" w:eastAsia="zh-CN" w:bidi="ar"/>
        </w:rPr>
        <w:t>。</w:t>
      </w:r>
      <w:r>
        <w:rPr>
          <w:rFonts w:hint="eastAsia" w:ascii="Times New Roman" w:hAnsi="Times New Roman" w:eastAsia="仿宋_GB2312" w:cs="Times New Roman"/>
          <w:color w:val="auto"/>
          <w:sz w:val="32"/>
          <w:szCs w:val="32"/>
          <w:highlight w:val="none"/>
          <w:lang w:val="en-US" w:eastAsia="zh-CN" w:bidi="ar"/>
        </w:rPr>
        <w:t>根据云南省自然资源厅、云南省发展和改革委、云南省工业和信息化厅等12部门关于印发《云南省工业项目“标准地”出让改革工作指引》的通知</w:t>
      </w:r>
      <w:r>
        <w:rPr>
          <w:rFonts w:hint="eastAsia" w:ascii="仿宋_GB2312" w:hAnsi="仿宋_GB2312" w:eastAsia="仿宋_GB2312" w:cs="仿宋_GB2312"/>
          <w:color w:val="auto"/>
          <w:sz w:val="32"/>
          <w:szCs w:val="32"/>
          <w:highlight w:val="none"/>
          <w:lang w:val="en-US" w:eastAsia="zh-CN" w:bidi="ar"/>
        </w:rPr>
        <w:t>(云自然资〔2023〕32号)，</w:t>
      </w:r>
      <w:r>
        <w:rPr>
          <w:rFonts w:hint="eastAsia" w:ascii="Times New Roman" w:hAnsi="Times New Roman" w:eastAsia="仿宋_GB2312" w:cs="Times New Roman"/>
          <w:color w:val="auto"/>
          <w:sz w:val="32"/>
          <w:szCs w:val="32"/>
          <w:highlight w:val="none"/>
          <w:lang w:val="en-US" w:eastAsia="zh-CN" w:bidi="ar"/>
        </w:rPr>
        <w:t>企业竞得土地后，在与自然资源主管部门签订《国有建设用地使用权出让合同》的同时，与园区管委会签订《工业项目“标准地”投资建设协议》，</w:t>
      </w:r>
      <w:r>
        <w:rPr>
          <w:rFonts w:hint="eastAsia" w:ascii="仿宋_GB2312" w:hAnsi="仿宋_GB2312" w:eastAsia="仿宋_GB2312" w:cs="仿宋_GB2312"/>
          <w:color w:val="auto"/>
          <w:sz w:val="32"/>
          <w:szCs w:val="32"/>
          <w:highlight w:val="none"/>
        </w:rPr>
        <w:t>建立协议备案和合法性审查机制，</w:t>
      </w:r>
      <w:r>
        <w:rPr>
          <w:rFonts w:hint="eastAsia" w:ascii="Times New Roman" w:hAnsi="Times New Roman" w:eastAsia="仿宋_GB2312" w:cs="Times New Roman"/>
          <w:color w:val="auto"/>
          <w:sz w:val="32"/>
          <w:szCs w:val="32"/>
          <w:highlight w:val="none"/>
          <w:lang w:val="en-US" w:eastAsia="zh-CN" w:bidi="ar"/>
        </w:rPr>
        <w:t>明确</w:t>
      </w:r>
      <w:r>
        <w:rPr>
          <w:rFonts w:hint="eastAsia" w:ascii="仿宋_GB2312" w:hAnsi="仿宋_GB2312" w:eastAsia="仿宋_GB2312" w:cs="仿宋_GB2312"/>
          <w:color w:val="auto"/>
          <w:sz w:val="32"/>
          <w:szCs w:val="32"/>
          <w:highlight w:val="none"/>
        </w:rPr>
        <w:t>通过行政诉讼渠道解决</w:t>
      </w:r>
      <w:r>
        <w:rPr>
          <w:rFonts w:hint="eastAsia" w:ascii="仿宋_GB2312" w:hAnsi="仿宋_GB2312" w:eastAsia="仿宋_GB2312" w:cs="仿宋_GB2312"/>
          <w:color w:val="auto"/>
          <w:sz w:val="32"/>
          <w:szCs w:val="32"/>
          <w:highlight w:val="none"/>
          <w:lang w:val="en-US" w:eastAsia="zh-CN"/>
        </w:rPr>
        <w:t>有关争议</w:t>
      </w:r>
      <w:r>
        <w:rPr>
          <w:rFonts w:hint="eastAsia" w:ascii="Times New Roman" w:hAnsi="Times New Roman" w:eastAsia="仿宋_GB2312" w:cs="Times New Roman"/>
          <w:color w:val="auto"/>
          <w:sz w:val="32"/>
          <w:szCs w:val="32"/>
          <w:highlight w:val="none"/>
          <w:lang w:val="en-US" w:eastAsia="zh-CN" w:bidi="ar"/>
        </w:rPr>
        <w:t>。</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2.亩均效益。</w:t>
      </w:r>
      <w:r>
        <w:rPr>
          <w:rFonts w:hint="default" w:ascii="Times New Roman" w:hAnsi="Times New Roman" w:eastAsia="仿宋_GB2312" w:cs="Times New Roman"/>
          <w:color w:val="auto"/>
          <w:sz w:val="32"/>
          <w:szCs w:val="32"/>
          <w:highlight w:val="none"/>
          <w:lang w:val="en-US" w:eastAsia="zh-CN" w:bidi="ar"/>
        </w:rPr>
        <w:t>为提高土地利用质量和效益，原则上新引入项目的亩均投资强度、亩均营业收入不得低于现有同类项目平均水平</w:t>
      </w:r>
      <w:r>
        <w:rPr>
          <w:rFonts w:hint="eastAsia" w:ascii="Times New Roman" w:hAnsi="Times New Roman" w:eastAsia="仿宋_GB2312" w:cs="Times New Roman"/>
          <w:color w:val="auto"/>
          <w:sz w:val="32"/>
          <w:szCs w:val="32"/>
          <w:highlight w:val="none"/>
          <w:lang w:val="en-US" w:eastAsia="zh-CN" w:bidi="ar"/>
        </w:rPr>
        <w:t>。</w:t>
      </w:r>
    </w:p>
    <w:p>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textAlignment w:val="auto"/>
        <w:rPr>
          <w:rFonts w:hint="default" w:ascii="Times New Roman" w:hAnsi="Times New Roman" w:eastAsia="仿宋_GB2312" w:cs="Times New Roman"/>
          <w:color w:val="auto"/>
          <w:sz w:val="32"/>
          <w:szCs w:val="32"/>
          <w:highlight w:val="none"/>
          <w:lang w:val="en-US" w:eastAsia="zh-CN" w:bidi="ar"/>
        </w:rPr>
      </w:pPr>
      <w:r>
        <w:rPr>
          <w:rFonts w:hint="default"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b/>
          <w:bCs/>
          <w:i w:val="0"/>
          <w:iCs w:val="0"/>
          <w:caps w:val="0"/>
          <w:color w:val="auto"/>
          <w:spacing w:val="0"/>
          <w:sz w:val="32"/>
          <w:szCs w:val="32"/>
          <w:highlight w:val="none"/>
          <w:shd w:val="clear" w:color="auto" w:fill="FFFFFF"/>
        </w:rPr>
        <w:t>亩均投资=项目固定资产总投资÷项目总用地面积（亩）</w:t>
      </w:r>
      <w:r>
        <w:rPr>
          <w:rFonts w:hint="default" w:ascii="Times New Roman" w:hAnsi="Times New Roman" w:eastAsia="仿宋_GB2312" w:cs="Times New Roman"/>
          <w:b/>
          <w:bCs/>
          <w:i w:val="0"/>
          <w:iCs w:val="0"/>
          <w:caps w:val="0"/>
          <w:color w:val="auto"/>
          <w:spacing w:val="0"/>
          <w:sz w:val="32"/>
          <w:szCs w:val="32"/>
          <w:highlight w:val="none"/>
          <w:shd w:val="clear" w:color="auto" w:fill="FFFFFF"/>
          <w:lang w:eastAsia="zh-CN"/>
        </w:rPr>
        <w:t>。</w:t>
      </w:r>
      <w:r>
        <w:rPr>
          <w:rFonts w:hint="default" w:ascii="Times New Roman" w:hAnsi="Times New Roman" w:eastAsia="仿宋_GB2312" w:cs="Times New Roman"/>
          <w:i w:val="0"/>
          <w:iCs w:val="0"/>
          <w:caps w:val="0"/>
          <w:color w:val="auto"/>
          <w:spacing w:val="0"/>
          <w:sz w:val="32"/>
          <w:szCs w:val="32"/>
          <w:highlight w:val="none"/>
          <w:shd w:val="clear" w:color="auto" w:fill="FFFFFF"/>
        </w:rPr>
        <w:t>固定资产总投资通常包含建筑工程费、设备购置费、安装工程费及</w:t>
      </w:r>
      <w:r>
        <w:rPr>
          <w:rFonts w:hint="default" w:ascii="Times New Roman" w:hAnsi="Times New Roman" w:eastAsia="仿宋_GB2312" w:cs="Times New Roman"/>
          <w:i w:val="0"/>
          <w:iCs w:val="0"/>
          <w:caps w:val="0"/>
          <w:color w:val="auto"/>
          <w:spacing w:val="0"/>
          <w:sz w:val="32"/>
          <w:szCs w:val="32"/>
          <w:highlight w:val="none"/>
          <w:shd w:val="clear" w:color="auto" w:fill="FFFFFF"/>
          <w:lang w:eastAsia="zh-CN"/>
        </w:rPr>
        <w:t>土地费等</w:t>
      </w:r>
      <w:r>
        <w:rPr>
          <w:rFonts w:hint="default" w:ascii="Times New Roman" w:hAnsi="Times New Roman" w:eastAsia="仿宋_GB2312" w:cs="Times New Roman"/>
          <w:i w:val="0"/>
          <w:iCs w:val="0"/>
          <w:caps w:val="0"/>
          <w:color w:val="auto"/>
          <w:spacing w:val="0"/>
          <w:sz w:val="32"/>
          <w:szCs w:val="32"/>
          <w:highlight w:val="none"/>
          <w:shd w:val="clear" w:color="auto" w:fill="FFFFFF"/>
        </w:rPr>
        <w:t>其他与项目建设直接相关的费用，不含流动资金。项目总用地面积以土地出让合同或规划审批的用地面积为准</w:t>
      </w:r>
      <w:r>
        <w:rPr>
          <w:rFonts w:hint="default" w:ascii="Times New Roman" w:hAnsi="Times New Roman" w:eastAsia="仿宋_GB2312" w:cs="Times New Roman"/>
          <w:i w:val="0"/>
          <w:iCs w:val="0"/>
          <w:caps w:val="0"/>
          <w:color w:val="auto"/>
          <w:spacing w:val="0"/>
          <w:sz w:val="32"/>
          <w:szCs w:val="32"/>
          <w:highlight w:val="none"/>
          <w:shd w:val="clear" w:color="auto" w:fill="FFFFFF"/>
          <w:lang w:eastAsia="zh-CN"/>
        </w:rPr>
        <w:t>。</w:t>
      </w:r>
    </w:p>
    <w:p>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2" w:firstLineChars="200"/>
        <w:textAlignment w:val="auto"/>
        <w:rPr>
          <w:rFonts w:hint="default" w:ascii="Times New Roman" w:hAnsi="Times New Roman" w:eastAsia="仿宋_GB2312" w:cs="Times New Roman"/>
          <w:color w:val="auto"/>
          <w:sz w:val="32"/>
          <w:szCs w:val="32"/>
          <w:highlight w:val="none"/>
          <w:lang w:val="en-US" w:eastAsia="zh-CN" w:bidi="ar"/>
        </w:rPr>
      </w:pPr>
      <w:r>
        <w:rPr>
          <w:rFonts w:hint="default" w:ascii="Times New Roman" w:hAnsi="Times New Roman" w:eastAsia="仿宋_GB2312" w:cs="Times New Roman"/>
          <w:b/>
          <w:bCs/>
          <w:color w:val="auto"/>
          <w:sz w:val="32"/>
          <w:szCs w:val="32"/>
          <w:highlight w:val="none"/>
          <w:lang w:val="en-US" w:eastAsia="zh-CN" w:bidi="ar"/>
        </w:rPr>
        <w:t>亩均工业产值=工业总产值÷项目总用地面积（亩）。</w:t>
      </w:r>
      <w:r>
        <w:rPr>
          <w:rFonts w:hint="default" w:ascii="Times New Roman" w:hAnsi="Times New Roman" w:eastAsia="仿宋_GB2312" w:cs="Times New Roman"/>
          <w:i w:val="0"/>
          <w:iCs w:val="0"/>
          <w:caps w:val="0"/>
          <w:color w:val="auto"/>
          <w:spacing w:val="0"/>
          <w:sz w:val="32"/>
          <w:szCs w:val="32"/>
          <w:highlight w:val="none"/>
          <w:shd w:val="clear" w:color="auto" w:fill="FFFFFF"/>
        </w:rPr>
        <w:t>工业总产值是指企业在一定时期内生产的以货币形式表现的工业最终产品和提供工业劳务活动的总价值量，包括成品价值、加工费收入、自制半成品在制品期末期初差额价值等。项目总用地面积以土地出让合同或规划审批的用地面积为准。</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3.用地标准</w:t>
      </w:r>
      <w:r>
        <w:rPr>
          <w:rFonts w:hint="eastAsia"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容积率、建筑密度等建筑指标达到相关标准；严禁在工业用地范围内建设成套住宅、宾馆等非生产性设施。</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4.能耗与排放</w:t>
      </w:r>
      <w:r>
        <w:rPr>
          <w:rFonts w:hint="eastAsia"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单位增加值能耗低于行业平均水平，主要污染物排放符合园区总量控制要求，无重大环境风险隐患。</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楷体_GB2312" w:cs="Times New Roman"/>
          <w:color w:val="auto"/>
          <w:sz w:val="32"/>
          <w:szCs w:val="32"/>
          <w:highlight w:val="none"/>
          <w:lang w:val="en-US" w:eastAsia="zh-CN"/>
        </w:rPr>
      </w:pPr>
      <w:r>
        <w:rPr>
          <w:rFonts w:hint="default" w:ascii="Times New Roman" w:hAnsi="Times New Roman" w:eastAsia="楷体_GB2312" w:cs="Times New Roman"/>
          <w:color w:val="auto"/>
          <w:sz w:val="32"/>
          <w:szCs w:val="32"/>
          <w:highlight w:val="none"/>
          <w:lang w:val="en-US" w:eastAsia="zh-CN"/>
        </w:rPr>
        <w:t>第</w:t>
      </w:r>
      <w:r>
        <w:rPr>
          <w:rFonts w:hint="eastAsia" w:ascii="Times New Roman" w:hAnsi="Times New Roman" w:eastAsia="楷体_GB2312" w:cs="Times New Roman"/>
          <w:color w:val="auto"/>
          <w:sz w:val="32"/>
          <w:szCs w:val="32"/>
          <w:highlight w:val="none"/>
          <w:lang w:val="en-US" w:eastAsia="zh-CN"/>
        </w:rPr>
        <w:t>八</w:t>
      </w:r>
      <w:r>
        <w:rPr>
          <w:rFonts w:hint="default" w:ascii="Times New Roman" w:hAnsi="Times New Roman" w:eastAsia="楷体_GB2312" w:cs="Times New Roman"/>
          <w:color w:val="auto"/>
          <w:sz w:val="32"/>
          <w:szCs w:val="32"/>
          <w:highlight w:val="none"/>
          <w:lang w:val="en-US" w:eastAsia="zh-CN"/>
        </w:rPr>
        <w:t>条 租厂房类项目准入条件</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eastAsia"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bidi="ar"/>
        </w:rPr>
        <w:t>园区标准化厂房作为重要的企业孵化平台，旨在吸纳和培育高成长性项目，通过提供“缓冲培育期”，助力企业加速成长，为园区构建规上企业梯度培育体系提供重要保障</w:t>
      </w:r>
      <w:r>
        <w:rPr>
          <w:rFonts w:hint="default" w:ascii="Times New Roman" w:hAnsi="Times New Roman" w:eastAsia="仿宋_GB2312" w:cs="Times New Roman"/>
          <w:color w:val="auto"/>
          <w:sz w:val="32"/>
          <w:szCs w:val="32"/>
          <w:highlight w:val="none"/>
          <w:lang w:val="en-US" w:eastAsia="zh-CN"/>
        </w:rPr>
        <w:t>。</w:t>
      </w:r>
      <w:r>
        <w:rPr>
          <w:rFonts w:hint="eastAsia" w:ascii="仿宋_GB2312" w:hAnsi="仿宋_GB2312" w:eastAsia="仿宋_GB2312" w:cs="仿宋_GB2312"/>
          <w:color w:val="auto"/>
          <w:sz w:val="32"/>
          <w:szCs w:val="32"/>
          <w:highlight w:val="none"/>
        </w:rPr>
        <w:t>入驻企业单位产出强度不低于行业平均水平</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鼓励入驻企业制定合理的产值增长目标，园区管委会对高成长性项目给予重点支持</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jc w:val="center"/>
        <w:textAlignment w:val="auto"/>
        <w:rPr>
          <w:rFonts w:hint="default" w:ascii="Times New Roman" w:hAnsi="Times New Roman" w:eastAsia="黑体" w:cs="Times New Roman"/>
          <w:color w:val="auto"/>
          <w:sz w:val="32"/>
          <w:szCs w:val="32"/>
          <w:highlight w:val="none"/>
          <w:lang w:val="en-US" w:eastAsia="zh-CN"/>
        </w:rPr>
      </w:pP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jc w:val="center"/>
        <w:textAlignment w:val="auto"/>
        <w:rPr>
          <w:rFonts w:hint="default" w:ascii="Times New Roman" w:hAnsi="Times New Roman" w:eastAsia="黑体" w:cs="Times New Roman"/>
          <w:color w:val="auto"/>
          <w:sz w:val="32"/>
          <w:szCs w:val="32"/>
          <w:highlight w:val="none"/>
          <w:lang w:val="en-US" w:eastAsia="zh-CN"/>
        </w:rPr>
      </w:pPr>
      <w:r>
        <w:rPr>
          <w:rFonts w:hint="default" w:ascii="Times New Roman" w:hAnsi="Times New Roman" w:eastAsia="黑体" w:cs="Times New Roman"/>
          <w:color w:val="auto"/>
          <w:sz w:val="32"/>
          <w:szCs w:val="32"/>
          <w:highlight w:val="none"/>
          <w:lang w:val="en-US" w:eastAsia="zh-CN"/>
        </w:rPr>
        <w:t>第三章 项目审批</w:t>
      </w:r>
      <w:r>
        <w:rPr>
          <w:rFonts w:hint="eastAsia" w:ascii="Times New Roman" w:hAnsi="Times New Roman" w:eastAsia="黑体" w:cs="Times New Roman"/>
          <w:color w:val="auto"/>
          <w:sz w:val="32"/>
          <w:szCs w:val="32"/>
          <w:highlight w:val="none"/>
          <w:lang w:val="en-US" w:eastAsia="zh-CN"/>
        </w:rPr>
        <w:t>管理</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楷体_GB2312" w:cs="Times New Roman"/>
          <w:color w:val="auto"/>
          <w:sz w:val="32"/>
          <w:szCs w:val="32"/>
          <w:highlight w:val="none"/>
          <w:lang w:val="en-US" w:eastAsia="zh-CN"/>
        </w:rPr>
        <w:t>第</w:t>
      </w:r>
      <w:r>
        <w:rPr>
          <w:rFonts w:hint="eastAsia" w:ascii="Times New Roman" w:hAnsi="Times New Roman" w:eastAsia="楷体_GB2312" w:cs="Times New Roman"/>
          <w:color w:val="auto"/>
          <w:sz w:val="32"/>
          <w:szCs w:val="32"/>
          <w:highlight w:val="none"/>
          <w:lang w:val="en-US" w:eastAsia="zh-CN"/>
        </w:rPr>
        <w:t>九</w:t>
      </w:r>
      <w:r>
        <w:rPr>
          <w:rFonts w:hint="default" w:ascii="Times New Roman" w:hAnsi="Times New Roman" w:eastAsia="楷体_GB2312" w:cs="Times New Roman"/>
          <w:color w:val="auto"/>
          <w:sz w:val="32"/>
          <w:szCs w:val="32"/>
          <w:highlight w:val="none"/>
          <w:lang w:val="en-US" w:eastAsia="zh-CN"/>
        </w:rPr>
        <w:t xml:space="preserve">条 </w:t>
      </w:r>
      <w:r>
        <w:rPr>
          <w:rFonts w:hint="eastAsia" w:ascii="Times New Roman" w:hAnsi="Times New Roman" w:eastAsia="楷体_GB2312" w:cs="Times New Roman"/>
          <w:color w:val="auto"/>
          <w:sz w:val="32"/>
          <w:szCs w:val="32"/>
          <w:highlight w:val="none"/>
          <w:lang w:val="en-US" w:eastAsia="zh-CN"/>
        </w:rPr>
        <w:t xml:space="preserve"> </w:t>
      </w:r>
      <w:r>
        <w:rPr>
          <w:rFonts w:hint="eastAsia" w:ascii="Times New Roman" w:hAnsi="Times New Roman" w:eastAsia="仿宋_GB2312" w:cs="Times New Roman"/>
          <w:color w:val="auto"/>
          <w:sz w:val="32"/>
          <w:szCs w:val="32"/>
          <w:highlight w:val="none"/>
          <w:lang w:val="en-US" w:eastAsia="zh-CN"/>
        </w:rPr>
        <w:t>入园企业需向园区管委会提交</w:t>
      </w:r>
      <w:r>
        <w:rPr>
          <w:rFonts w:hint="default" w:ascii="Times New Roman" w:hAnsi="Times New Roman" w:eastAsia="仿宋_GB2312" w:cs="Times New Roman"/>
          <w:color w:val="auto"/>
          <w:sz w:val="32"/>
          <w:szCs w:val="32"/>
          <w:highlight w:val="none"/>
          <w:lang w:val="en-US" w:eastAsia="zh-CN"/>
        </w:rPr>
        <w:t>项目入园申请</w:t>
      </w:r>
      <w:r>
        <w:rPr>
          <w:rFonts w:hint="eastAsia" w:ascii="Times New Roman" w:hAnsi="Times New Roman" w:eastAsia="仿宋_GB2312" w:cs="Times New Roman"/>
          <w:color w:val="auto"/>
          <w:sz w:val="32"/>
          <w:szCs w:val="32"/>
          <w:highlight w:val="none"/>
          <w:lang w:val="en-US" w:eastAsia="zh-CN"/>
        </w:rPr>
        <w:t>，并附</w:t>
      </w:r>
      <w:r>
        <w:rPr>
          <w:rFonts w:hint="default" w:ascii="Times New Roman" w:hAnsi="Times New Roman" w:eastAsia="仿宋_GB2312" w:cs="Times New Roman"/>
          <w:color w:val="auto"/>
          <w:sz w:val="32"/>
          <w:szCs w:val="32"/>
          <w:highlight w:val="none"/>
          <w:lang w:val="en-US" w:eastAsia="zh-CN"/>
        </w:rPr>
        <w:t>营业执照</w:t>
      </w:r>
      <w:r>
        <w:rPr>
          <w:rFonts w:hint="eastAsia"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税务登记证明</w:t>
      </w:r>
      <w:r>
        <w:rPr>
          <w:rFonts w:hint="eastAsia"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法定代表人及股东身份证明文件</w:t>
      </w:r>
      <w:r>
        <w:rPr>
          <w:rFonts w:hint="eastAsia" w:ascii="Times New Roman" w:hAnsi="Times New Roman" w:eastAsia="仿宋_GB2312" w:cs="Times New Roman"/>
          <w:color w:val="auto"/>
          <w:sz w:val="32"/>
          <w:szCs w:val="32"/>
          <w:highlight w:val="none"/>
          <w:lang w:val="en-US" w:eastAsia="zh-CN"/>
        </w:rPr>
        <w:t>、其他</w:t>
      </w:r>
      <w:r>
        <w:rPr>
          <w:rFonts w:hint="default" w:ascii="Times New Roman" w:hAnsi="Times New Roman" w:eastAsia="仿宋_GB2312" w:cs="Times New Roman"/>
          <w:color w:val="auto"/>
          <w:sz w:val="32"/>
          <w:szCs w:val="32"/>
          <w:highlight w:val="none"/>
          <w:lang w:val="en-US" w:eastAsia="zh-CN"/>
        </w:rPr>
        <w:t>相关资信证明材料。</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楷体_GB2312" w:cs="Times New Roman"/>
          <w:color w:val="auto"/>
          <w:sz w:val="32"/>
          <w:szCs w:val="32"/>
          <w:highlight w:val="none"/>
          <w:lang w:val="en-US" w:eastAsia="zh-CN"/>
        </w:rPr>
        <w:t>第</w:t>
      </w:r>
      <w:r>
        <w:rPr>
          <w:rFonts w:hint="eastAsia" w:ascii="Times New Roman" w:hAnsi="Times New Roman" w:eastAsia="楷体_GB2312" w:cs="Times New Roman"/>
          <w:color w:val="auto"/>
          <w:sz w:val="32"/>
          <w:szCs w:val="32"/>
          <w:highlight w:val="none"/>
          <w:lang w:val="en-US" w:eastAsia="zh-CN"/>
        </w:rPr>
        <w:t>十</w:t>
      </w:r>
      <w:r>
        <w:rPr>
          <w:rFonts w:hint="default" w:ascii="Times New Roman" w:hAnsi="Times New Roman" w:eastAsia="楷体_GB2312" w:cs="Times New Roman"/>
          <w:color w:val="auto"/>
          <w:sz w:val="32"/>
          <w:szCs w:val="32"/>
          <w:highlight w:val="none"/>
          <w:lang w:val="en-US" w:eastAsia="zh-CN"/>
        </w:rPr>
        <w:t>条</w:t>
      </w:r>
      <w:r>
        <w:rPr>
          <w:rFonts w:hint="eastAsia" w:ascii="Times New Roman" w:hAnsi="Times New Roman" w:eastAsia="楷体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lang w:val="en-US" w:eastAsia="zh-CN"/>
        </w:rPr>
        <w:t>园区管委会收到申请材料后，组织相关部门进行初审。供地类项目重点审查用地规划、投资强度、产出效益等；租厂房类项目重点审查业态适配性、绩效承诺等。符合条件且发展潜力较好的项目，提交党工委会议审议。</w:t>
      </w:r>
    </w:p>
    <w:p>
      <w:pPr>
        <w:shd w:val="clear"/>
        <w:ind w:firstLine="640" w:firstLineChars="200"/>
        <w:rPr>
          <w:rFonts w:hint="eastAsia" w:ascii="仿宋_GB2312" w:hAnsi="仿宋_GB2312" w:eastAsia="仿宋_GB2312" w:cs="仿宋_GB2312"/>
          <w:color w:val="auto"/>
          <w:sz w:val="32"/>
          <w:szCs w:val="32"/>
          <w:highlight w:val="none"/>
        </w:rPr>
      </w:pPr>
      <w:r>
        <w:rPr>
          <w:rFonts w:hint="default" w:ascii="Times New Roman" w:hAnsi="Times New Roman" w:eastAsia="楷体_GB2312" w:cs="Times New Roman"/>
          <w:color w:val="auto"/>
          <w:sz w:val="32"/>
          <w:szCs w:val="32"/>
          <w:highlight w:val="none"/>
          <w:lang w:val="en-US" w:eastAsia="zh-CN"/>
        </w:rPr>
        <w:t>第</w:t>
      </w:r>
      <w:r>
        <w:rPr>
          <w:rFonts w:hint="eastAsia" w:ascii="Times New Roman" w:hAnsi="Times New Roman" w:eastAsia="楷体_GB2312" w:cs="Times New Roman"/>
          <w:color w:val="auto"/>
          <w:sz w:val="32"/>
          <w:szCs w:val="32"/>
          <w:highlight w:val="none"/>
          <w:lang w:val="en-US" w:eastAsia="zh-CN"/>
        </w:rPr>
        <w:t>十一</w:t>
      </w:r>
      <w:r>
        <w:rPr>
          <w:rFonts w:hint="default" w:ascii="Times New Roman" w:hAnsi="Times New Roman" w:eastAsia="楷体_GB2312" w:cs="Times New Roman"/>
          <w:color w:val="auto"/>
          <w:sz w:val="32"/>
          <w:szCs w:val="32"/>
          <w:highlight w:val="none"/>
          <w:lang w:val="en-US" w:eastAsia="zh-CN"/>
        </w:rPr>
        <w:t xml:space="preserve">条 </w:t>
      </w:r>
      <w:r>
        <w:rPr>
          <w:rFonts w:hint="eastAsia" w:ascii="Times New Roman" w:hAnsi="Times New Roman" w:eastAsia="楷体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lang w:val="en-US" w:eastAsia="zh-CN"/>
        </w:rPr>
        <w:t>项目审查通过后，园区管委会出具入园批复，并签订《项目投资协议》。供地类项目按程序上报县（区）人民政府审批后，以招拍挂方式供地；租厂房类项目与园区管委会下属国企签订《标准厂房租赁合同》后入驻。</w:t>
      </w:r>
      <w:r>
        <w:rPr>
          <w:rFonts w:hint="eastAsia" w:ascii="Times New Roman" w:hAnsi="Times New Roman" w:eastAsia="仿宋_GB2312" w:cs="Times New Roman"/>
          <w:color w:val="auto"/>
          <w:sz w:val="32"/>
          <w:szCs w:val="32"/>
          <w:highlight w:val="none"/>
          <w:lang w:val="en-US" w:eastAsia="zh-CN"/>
        </w:rPr>
        <w:t>相关</w:t>
      </w:r>
      <w:r>
        <w:rPr>
          <w:rFonts w:hint="default" w:ascii="Times New Roman" w:hAnsi="Times New Roman" w:eastAsia="仿宋_GB2312" w:cs="Times New Roman"/>
          <w:color w:val="auto"/>
          <w:sz w:val="32"/>
          <w:szCs w:val="32"/>
          <w:highlight w:val="none"/>
          <w:lang w:val="en-US" w:eastAsia="zh-CN"/>
        </w:rPr>
        <w:t>协议签订前须完成合法性</w:t>
      </w:r>
      <w:r>
        <w:rPr>
          <w:rFonts w:hint="eastAsia" w:ascii="Times New Roman" w:hAnsi="Times New Roman" w:eastAsia="仿宋_GB2312" w:cs="Times New Roman"/>
          <w:color w:val="auto"/>
          <w:sz w:val="32"/>
          <w:szCs w:val="32"/>
          <w:highlight w:val="none"/>
          <w:lang w:val="en-US" w:eastAsia="zh-CN"/>
        </w:rPr>
        <w:t>、公平性</w:t>
      </w:r>
      <w:r>
        <w:rPr>
          <w:rFonts w:hint="default" w:ascii="Times New Roman" w:hAnsi="Times New Roman" w:eastAsia="仿宋_GB2312" w:cs="Times New Roman"/>
          <w:color w:val="auto"/>
          <w:sz w:val="32"/>
          <w:szCs w:val="32"/>
          <w:highlight w:val="none"/>
          <w:lang w:val="en-US" w:eastAsia="zh-CN"/>
        </w:rPr>
        <w:t>审查，统一采用行政协议形式签订明确约定争议解决方式，确保协议内容不超越园区管委会法定职权</w:t>
      </w:r>
      <w:r>
        <w:rPr>
          <w:rFonts w:hint="eastAsia" w:ascii="Times New Roman" w:hAnsi="Times New Roman" w:eastAsia="仿宋_GB2312" w:cs="Times New Roman"/>
          <w:color w:val="auto"/>
          <w:sz w:val="32"/>
          <w:szCs w:val="32"/>
          <w:highlight w:val="none"/>
          <w:lang w:val="en-US" w:eastAsia="zh-CN"/>
        </w:rPr>
        <w:t>。</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jc w:val="center"/>
        <w:textAlignment w:val="auto"/>
        <w:rPr>
          <w:rFonts w:hint="default" w:ascii="Times New Roman" w:hAnsi="Times New Roman" w:eastAsia="黑体" w:cs="Times New Roman"/>
          <w:color w:val="auto"/>
          <w:sz w:val="32"/>
          <w:szCs w:val="32"/>
          <w:highlight w:val="none"/>
          <w:lang w:val="en-US" w:eastAsia="zh-CN"/>
        </w:rPr>
      </w:pPr>
      <w:r>
        <w:rPr>
          <w:rFonts w:hint="default" w:ascii="Times New Roman" w:hAnsi="Times New Roman" w:eastAsia="黑体" w:cs="Times New Roman"/>
          <w:color w:val="auto"/>
          <w:sz w:val="32"/>
          <w:szCs w:val="32"/>
          <w:highlight w:val="none"/>
          <w:lang w:val="en-US" w:eastAsia="zh-CN"/>
        </w:rPr>
        <w:t>第四章 项目规划管理</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楷体_GB2312" w:cs="Times New Roman"/>
          <w:color w:val="auto"/>
          <w:sz w:val="32"/>
          <w:szCs w:val="32"/>
          <w:highlight w:val="none"/>
          <w:lang w:val="en-US" w:eastAsia="zh-CN"/>
        </w:rPr>
        <w:t>第</w:t>
      </w:r>
      <w:r>
        <w:rPr>
          <w:rFonts w:hint="eastAsia" w:ascii="Times New Roman" w:hAnsi="Times New Roman" w:eastAsia="楷体_GB2312" w:cs="Times New Roman"/>
          <w:color w:val="auto"/>
          <w:sz w:val="32"/>
          <w:szCs w:val="32"/>
          <w:highlight w:val="none"/>
          <w:lang w:val="en-US" w:eastAsia="zh-CN"/>
        </w:rPr>
        <w:t>十二</w:t>
      </w:r>
      <w:r>
        <w:rPr>
          <w:rFonts w:hint="default" w:ascii="Times New Roman" w:hAnsi="Times New Roman" w:eastAsia="楷体_GB2312" w:cs="Times New Roman"/>
          <w:color w:val="auto"/>
          <w:sz w:val="32"/>
          <w:szCs w:val="32"/>
          <w:highlight w:val="none"/>
          <w:lang w:val="en-US" w:eastAsia="zh-CN"/>
        </w:rPr>
        <w:t>条</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kern w:val="0"/>
          <w:sz w:val="32"/>
          <w:szCs w:val="32"/>
          <w:highlight w:val="none"/>
          <w:lang w:bidi="ar"/>
        </w:rPr>
        <w:t>园区</w:t>
      </w:r>
      <w:r>
        <w:rPr>
          <w:rFonts w:hint="eastAsia" w:ascii="Times New Roman" w:hAnsi="Times New Roman" w:eastAsia="仿宋_GB2312" w:cs="Times New Roman"/>
          <w:color w:val="auto"/>
          <w:kern w:val="0"/>
          <w:sz w:val="32"/>
          <w:szCs w:val="32"/>
          <w:highlight w:val="none"/>
          <w:lang w:eastAsia="zh-CN" w:bidi="ar"/>
        </w:rPr>
        <w:t>管委会</w:t>
      </w:r>
      <w:r>
        <w:rPr>
          <w:rFonts w:hint="default" w:ascii="Times New Roman" w:hAnsi="Times New Roman" w:eastAsia="仿宋_GB2312" w:cs="Times New Roman"/>
          <w:color w:val="auto"/>
          <w:kern w:val="0"/>
          <w:sz w:val="32"/>
          <w:szCs w:val="32"/>
          <w:highlight w:val="none"/>
          <w:lang w:bidi="ar"/>
        </w:rPr>
        <w:t>对入园企业建设项目规划</w:t>
      </w:r>
      <w:r>
        <w:rPr>
          <w:rFonts w:hint="default" w:ascii="Times New Roman" w:hAnsi="Times New Roman" w:eastAsia="仿宋_GB2312" w:cs="Times New Roman"/>
          <w:color w:val="auto"/>
          <w:kern w:val="0"/>
          <w:sz w:val="32"/>
          <w:szCs w:val="32"/>
          <w:highlight w:val="none"/>
          <w:lang w:eastAsia="zh-CN" w:bidi="ar"/>
        </w:rPr>
        <w:t>设计方案编制和实施</w:t>
      </w:r>
      <w:r>
        <w:rPr>
          <w:rFonts w:hint="default" w:ascii="Times New Roman" w:hAnsi="Times New Roman" w:eastAsia="仿宋_GB2312" w:cs="Times New Roman"/>
          <w:color w:val="auto"/>
          <w:kern w:val="0"/>
          <w:sz w:val="32"/>
          <w:szCs w:val="32"/>
          <w:highlight w:val="none"/>
          <w:lang w:bidi="ar"/>
        </w:rPr>
        <w:t>给予指导服务，企业</w:t>
      </w:r>
      <w:r>
        <w:rPr>
          <w:rFonts w:hint="default" w:ascii="Times New Roman" w:hAnsi="Times New Roman" w:eastAsia="仿宋_GB2312" w:cs="Times New Roman"/>
          <w:color w:val="auto"/>
          <w:kern w:val="0"/>
          <w:sz w:val="32"/>
          <w:szCs w:val="32"/>
          <w:highlight w:val="none"/>
          <w:lang w:eastAsia="zh-CN" w:bidi="ar"/>
        </w:rPr>
        <w:t>自行</w:t>
      </w:r>
      <w:r>
        <w:rPr>
          <w:rFonts w:hint="default" w:ascii="Times New Roman" w:hAnsi="Times New Roman" w:eastAsia="仿宋_GB2312" w:cs="Times New Roman"/>
          <w:color w:val="auto"/>
          <w:kern w:val="0"/>
          <w:sz w:val="32"/>
          <w:szCs w:val="32"/>
          <w:highlight w:val="none"/>
          <w:lang w:bidi="ar"/>
        </w:rPr>
        <w:t>选择具有相应资质的</w:t>
      </w:r>
      <w:r>
        <w:rPr>
          <w:rFonts w:hint="default" w:ascii="Times New Roman" w:hAnsi="Times New Roman" w:eastAsia="仿宋_GB2312" w:cs="Times New Roman"/>
          <w:color w:val="auto"/>
          <w:kern w:val="0"/>
          <w:sz w:val="32"/>
          <w:szCs w:val="32"/>
          <w:highlight w:val="none"/>
          <w:lang w:eastAsia="zh-CN" w:bidi="ar"/>
        </w:rPr>
        <w:t>规划设计单位编制</w:t>
      </w:r>
      <w:r>
        <w:rPr>
          <w:rFonts w:hint="default" w:ascii="Times New Roman" w:hAnsi="Times New Roman" w:eastAsia="仿宋_GB2312" w:cs="Times New Roman"/>
          <w:color w:val="auto"/>
          <w:kern w:val="0"/>
          <w:sz w:val="32"/>
          <w:szCs w:val="32"/>
          <w:highlight w:val="none"/>
          <w:lang w:bidi="ar"/>
        </w:rPr>
        <w:t>规划设计</w:t>
      </w:r>
      <w:r>
        <w:rPr>
          <w:rFonts w:hint="default" w:ascii="Times New Roman" w:hAnsi="Times New Roman" w:eastAsia="仿宋_GB2312" w:cs="Times New Roman"/>
          <w:color w:val="auto"/>
          <w:kern w:val="0"/>
          <w:sz w:val="32"/>
          <w:szCs w:val="32"/>
          <w:highlight w:val="none"/>
          <w:lang w:eastAsia="zh-CN" w:bidi="ar"/>
        </w:rPr>
        <w:t>方案，规划设计方案应符合相关技术标准、详细规划和规划设计条件</w:t>
      </w:r>
      <w:r>
        <w:rPr>
          <w:rFonts w:hint="default" w:ascii="Times New Roman" w:hAnsi="Times New Roman" w:eastAsia="仿宋_GB2312" w:cs="Times New Roman"/>
          <w:color w:val="auto"/>
          <w:kern w:val="0"/>
          <w:sz w:val="32"/>
          <w:szCs w:val="32"/>
          <w:highlight w:val="none"/>
          <w:lang w:bidi="ar"/>
        </w:rPr>
        <w:t>要求，企业</w:t>
      </w:r>
      <w:r>
        <w:rPr>
          <w:rFonts w:hint="default" w:ascii="Times New Roman" w:hAnsi="Times New Roman" w:eastAsia="仿宋_GB2312" w:cs="Times New Roman"/>
          <w:color w:val="auto"/>
          <w:kern w:val="0"/>
          <w:sz w:val="32"/>
          <w:szCs w:val="32"/>
          <w:highlight w:val="none"/>
          <w:lang w:eastAsia="zh-CN" w:bidi="ar"/>
        </w:rPr>
        <w:t>用水、用电、用气、排污等基础设施</w:t>
      </w:r>
      <w:r>
        <w:rPr>
          <w:rFonts w:hint="default" w:ascii="Times New Roman" w:hAnsi="Times New Roman" w:eastAsia="仿宋_GB2312" w:cs="Times New Roman"/>
          <w:color w:val="auto"/>
          <w:kern w:val="0"/>
          <w:sz w:val="32"/>
          <w:szCs w:val="32"/>
          <w:highlight w:val="none"/>
          <w:lang w:bidi="ar"/>
        </w:rPr>
        <w:t>符合相关规定</w:t>
      </w:r>
      <w:r>
        <w:rPr>
          <w:rFonts w:hint="default" w:ascii="Times New Roman" w:hAnsi="Times New Roman" w:eastAsia="仿宋_GB2312" w:cs="Times New Roman"/>
          <w:color w:val="auto"/>
          <w:kern w:val="0"/>
          <w:sz w:val="32"/>
          <w:szCs w:val="32"/>
          <w:highlight w:val="none"/>
          <w:lang w:eastAsia="zh-CN" w:bidi="ar"/>
        </w:rPr>
        <w:t>并纳入规划设计方案统一规划和建设。建设项目规划设计方案</w:t>
      </w:r>
      <w:r>
        <w:rPr>
          <w:rFonts w:hint="eastAsia" w:ascii="Times New Roman" w:hAnsi="Times New Roman" w:eastAsia="仿宋_GB2312" w:cs="Times New Roman"/>
          <w:color w:val="auto"/>
          <w:kern w:val="0"/>
          <w:sz w:val="32"/>
          <w:szCs w:val="32"/>
          <w:highlight w:val="none"/>
          <w:lang w:val="en-US" w:eastAsia="zh-CN" w:bidi="ar"/>
        </w:rPr>
        <w:t>经</w:t>
      </w:r>
      <w:r>
        <w:rPr>
          <w:rFonts w:hint="default" w:ascii="Times New Roman" w:hAnsi="Times New Roman" w:eastAsia="仿宋_GB2312" w:cs="Times New Roman"/>
          <w:color w:val="auto"/>
          <w:kern w:val="0"/>
          <w:sz w:val="32"/>
          <w:szCs w:val="32"/>
          <w:highlight w:val="none"/>
          <w:lang w:val="en-US" w:eastAsia="zh-CN" w:bidi="ar"/>
        </w:rPr>
        <w:t>园区</w:t>
      </w:r>
      <w:r>
        <w:rPr>
          <w:rFonts w:hint="default" w:ascii="Times New Roman" w:hAnsi="Times New Roman" w:eastAsia="仿宋_GB2312" w:cs="Times New Roman"/>
          <w:color w:val="auto"/>
          <w:kern w:val="0"/>
          <w:sz w:val="32"/>
          <w:szCs w:val="32"/>
          <w:highlight w:val="none"/>
          <w:lang w:bidi="ar"/>
        </w:rPr>
        <w:t>规划</w:t>
      </w:r>
      <w:r>
        <w:rPr>
          <w:rFonts w:hint="default" w:ascii="Times New Roman" w:hAnsi="Times New Roman" w:eastAsia="仿宋_GB2312" w:cs="Times New Roman"/>
          <w:color w:val="auto"/>
          <w:kern w:val="0"/>
          <w:sz w:val="32"/>
          <w:szCs w:val="32"/>
          <w:highlight w:val="none"/>
          <w:lang w:eastAsia="zh-CN" w:bidi="ar"/>
        </w:rPr>
        <w:t>管理</w:t>
      </w:r>
      <w:r>
        <w:rPr>
          <w:rFonts w:hint="default" w:ascii="Times New Roman" w:hAnsi="Times New Roman" w:eastAsia="仿宋_GB2312" w:cs="Times New Roman"/>
          <w:color w:val="auto"/>
          <w:kern w:val="0"/>
          <w:sz w:val="32"/>
          <w:szCs w:val="32"/>
          <w:highlight w:val="none"/>
          <w:lang w:bidi="ar"/>
        </w:rPr>
        <w:t>部门</w:t>
      </w:r>
      <w:r>
        <w:rPr>
          <w:rFonts w:hint="default" w:ascii="Times New Roman" w:hAnsi="Times New Roman" w:eastAsia="仿宋_GB2312" w:cs="Times New Roman"/>
          <w:color w:val="auto"/>
          <w:kern w:val="0"/>
          <w:sz w:val="32"/>
          <w:szCs w:val="32"/>
          <w:highlight w:val="none"/>
          <w:lang w:eastAsia="zh-CN" w:bidi="ar"/>
        </w:rPr>
        <w:t>审批</w:t>
      </w:r>
      <w:r>
        <w:rPr>
          <w:rFonts w:hint="eastAsia" w:ascii="Times New Roman" w:hAnsi="Times New Roman" w:eastAsia="仿宋_GB2312" w:cs="Times New Roman"/>
          <w:color w:val="auto"/>
          <w:kern w:val="0"/>
          <w:sz w:val="32"/>
          <w:szCs w:val="32"/>
          <w:highlight w:val="none"/>
          <w:lang w:val="en-US" w:eastAsia="zh-CN" w:bidi="ar"/>
        </w:rPr>
        <w:t>通过后</w:t>
      </w:r>
      <w:r>
        <w:rPr>
          <w:rFonts w:hint="default" w:ascii="Times New Roman" w:hAnsi="Times New Roman" w:eastAsia="仿宋_GB2312" w:cs="Times New Roman"/>
          <w:color w:val="auto"/>
          <w:kern w:val="0"/>
          <w:sz w:val="32"/>
          <w:szCs w:val="32"/>
          <w:highlight w:val="none"/>
          <w:lang w:eastAsia="zh-CN" w:bidi="ar"/>
        </w:rPr>
        <w:t>办理建设工程规划许可证</w:t>
      </w:r>
      <w:r>
        <w:rPr>
          <w:rFonts w:hint="default" w:ascii="Times New Roman" w:hAnsi="Times New Roman" w:eastAsia="仿宋_GB2312" w:cs="Times New Roman"/>
          <w:color w:val="auto"/>
          <w:kern w:val="0"/>
          <w:sz w:val="32"/>
          <w:szCs w:val="32"/>
          <w:highlight w:val="none"/>
          <w:lang w:bidi="ar"/>
        </w:rPr>
        <w:t>。</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jc w:val="center"/>
        <w:textAlignment w:val="auto"/>
        <w:rPr>
          <w:rFonts w:hint="default" w:ascii="Times New Roman" w:hAnsi="Times New Roman" w:eastAsia="黑体" w:cs="Times New Roman"/>
          <w:color w:val="auto"/>
          <w:sz w:val="32"/>
          <w:szCs w:val="32"/>
          <w:highlight w:val="none"/>
          <w:lang w:val="en-US" w:eastAsia="zh-CN"/>
        </w:rPr>
      </w:pP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jc w:val="center"/>
        <w:textAlignment w:val="auto"/>
        <w:rPr>
          <w:rFonts w:hint="default" w:ascii="Times New Roman" w:hAnsi="Times New Roman" w:eastAsia="黑体" w:cs="Times New Roman"/>
          <w:color w:val="auto"/>
          <w:sz w:val="32"/>
          <w:szCs w:val="32"/>
          <w:highlight w:val="none"/>
          <w:lang w:val="en-US" w:eastAsia="zh-CN"/>
        </w:rPr>
      </w:pPr>
      <w:r>
        <w:rPr>
          <w:rFonts w:hint="default" w:ascii="Times New Roman" w:hAnsi="Times New Roman" w:eastAsia="黑体" w:cs="Times New Roman"/>
          <w:color w:val="auto"/>
          <w:sz w:val="32"/>
          <w:szCs w:val="32"/>
          <w:highlight w:val="none"/>
          <w:lang w:val="en-US" w:eastAsia="zh-CN"/>
        </w:rPr>
        <w:t>第五章 项目建设管理</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kern w:val="0"/>
          <w:sz w:val="32"/>
          <w:szCs w:val="32"/>
          <w:highlight w:val="none"/>
          <w:lang w:val="en-US" w:eastAsia="zh-CN" w:bidi="ar"/>
        </w:rPr>
      </w:pPr>
      <w:r>
        <w:rPr>
          <w:rFonts w:hint="default" w:ascii="Times New Roman" w:hAnsi="Times New Roman" w:eastAsia="楷体_GB2312" w:cs="Times New Roman"/>
          <w:color w:val="auto"/>
          <w:sz w:val="32"/>
          <w:szCs w:val="32"/>
          <w:highlight w:val="none"/>
          <w:lang w:val="en-US" w:eastAsia="zh-CN"/>
        </w:rPr>
        <w:t>第十</w:t>
      </w:r>
      <w:r>
        <w:rPr>
          <w:rFonts w:hint="eastAsia" w:ascii="Times New Roman" w:hAnsi="Times New Roman" w:eastAsia="楷体_GB2312" w:cs="Times New Roman"/>
          <w:color w:val="auto"/>
          <w:sz w:val="32"/>
          <w:szCs w:val="32"/>
          <w:highlight w:val="none"/>
          <w:lang w:val="en-US" w:eastAsia="zh-CN"/>
        </w:rPr>
        <w:t>三</w:t>
      </w:r>
      <w:r>
        <w:rPr>
          <w:rFonts w:hint="default" w:ascii="Times New Roman" w:hAnsi="Times New Roman" w:eastAsia="楷体_GB2312" w:cs="Times New Roman"/>
          <w:color w:val="auto"/>
          <w:sz w:val="32"/>
          <w:szCs w:val="32"/>
          <w:highlight w:val="none"/>
          <w:lang w:val="en-US" w:eastAsia="zh-CN"/>
        </w:rPr>
        <w:t>条</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kern w:val="0"/>
          <w:sz w:val="32"/>
          <w:szCs w:val="32"/>
          <w:highlight w:val="none"/>
          <w:lang w:eastAsia="zh-CN" w:bidi="ar"/>
        </w:rPr>
        <w:t>入园企业项目</w:t>
      </w:r>
      <w:r>
        <w:rPr>
          <w:rFonts w:hint="default" w:ascii="Times New Roman" w:hAnsi="Times New Roman" w:eastAsia="仿宋_GB2312" w:cs="Times New Roman"/>
          <w:color w:val="auto"/>
          <w:kern w:val="0"/>
          <w:sz w:val="32"/>
          <w:szCs w:val="32"/>
          <w:highlight w:val="none"/>
          <w:lang w:val="en-US" w:eastAsia="zh-CN" w:bidi="ar"/>
        </w:rPr>
        <w:t>须</w:t>
      </w:r>
      <w:r>
        <w:rPr>
          <w:rFonts w:hint="default" w:ascii="Times New Roman" w:hAnsi="Times New Roman" w:eastAsia="仿宋_GB2312" w:cs="Times New Roman"/>
          <w:color w:val="auto"/>
          <w:kern w:val="0"/>
          <w:sz w:val="32"/>
          <w:szCs w:val="32"/>
          <w:highlight w:val="none"/>
          <w:lang w:eastAsia="zh-CN" w:bidi="ar"/>
        </w:rPr>
        <w:t>按照《</w:t>
      </w:r>
      <w:r>
        <w:rPr>
          <w:rFonts w:hint="eastAsia" w:ascii="Times New Roman" w:hAnsi="Times New Roman" w:eastAsia="仿宋_GB2312" w:cs="Times New Roman"/>
          <w:color w:val="auto"/>
          <w:kern w:val="0"/>
          <w:sz w:val="32"/>
          <w:szCs w:val="32"/>
          <w:highlight w:val="none"/>
          <w:lang w:val="en-US" w:eastAsia="zh-CN" w:bidi="ar"/>
        </w:rPr>
        <w:t>项目投资</w:t>
      </w:r>
      <w:r>
        <w:rPr>
          <w:rFonts w:hint="default" w:ascii="Times New Roman" w:hAnsi="Times New Roman" w:eastAsia="仿宋_GB2312" w:cs="Times New Roman"/>
          <w:color w:val="auto"/>
          <w:kern w:val="0"/>
          <w:sz w:val="32"/>
          <w:szCs w:val="32"/>
          <w:highlight w:val="none"/>
          <w:lang w:eastAsia="zh-CN" w:bidi="ar"/>
        </w:rPr>
        <w:t>协议》约定的期限开工建设，如遇特殊情况需顺延建设期的，须经园区管委会批准。入园企业建设项目须按照《</w:t>
      </w:r>
      <w:r>
        <w:rPr>
          <w:rFonts w:hint="default" w:ascii="Times New Roman" w:hAnsi="Times New Roman" w:eastAsia="仿宋_GB2312" w:cs="Times New Roman"/>
          <w:color w:val="auto"/>
          <w:kern w:val="0"/>
          <w:sz w:val="32"/>
          <w:szCs w:val="32"/>
          <w:highlight w:val="none"/>
          <w:lang w:val="en-US" w:eastAsia="zh-CN" w:bidi="ar"/>
        </w:rPr>
        <w:t>中华人民共和国建筑法》《建筑工程施工许可管理办法》的相关规定办理建筑工程施工许可证，并根据《中华人民共和国大气污染防治法》《建设工程质量管理条例》《建设工程安全</w:t>
      </w:r>
      <w:r>
        <w:rPr>
          <w:rFonts w:hint="eastAsia" w:ascii="Times New Roman" w:hAnsi="Times New Roman" w:eastAsia="仿宋_GB2312" w:cs="Times New Roman"/>
          <w:color w:val="auto"/>
          <w:kern w:val="0"/>
          <w:sz w:val="32"/>
          <w:szCs w:val="32"/>
          <w:highlight w:val="none"/>
          <w:lang w:val="en-US" w:eastAsia="zh-CN" w:bidi="ar"/>
        </w:rPr>
        <w:t>生产</w:t>
      </w:r>
      <w:r>
        <w:rPr>
          <w:rFonts w:hint="default" w:ascii="Times New Roman" w:hAnsi="Times New Roman" w:eastAsia="仿宋_GB2312" w:cs="Times New Roman"/>
          <w:color w:val="auto"/>
          <w:kern w:val="0"/>
          <w:sz w:val="32"/>
          <w:szCs w:val="32"/>
          <w:highlight w:val="none"/>
          <w:lang w:val="en-US" w:eastAsia="zh-CN" w:bidi="ar"/>
        </w:rPr>
        <w:t>管理条例》的规定开展工程建设，项目完工后，按相关规定开展项目联合验收及建设工程竣工验收备案。</w:t>
      </w:r>
    </w:p>
    <w:p>
      <w:pPr>
        <w:keepNext w:val="0"/>
        <w:keepLines w:val="0"/>
        <w:pageBreakBefore w:val="0"/>
        <w:widowControl/>
        <w:suppressLineNumbers w:val="0"/>
        <w:shd w:val="clear"/>
        <w:kinsoku/>
        <w:wordWrap/>
        <w:overflowPunct/>
        <w:topLinePunct w:val="0"/>
        <w:autoSpaceDE/>
        <w:autoSpaceDN/>
        <w:bidi w:val="0"/>
        <w:adjustRightInd/>
        <w:snapToGrid/>
        <w:spacing w:line="560" w:lineRule="exact"/>
        <w:ind w:left="0" w:firstLine="640" w:firstLineChars="200"/>
        <w:jc w:val="left"/>
        <w:textAlignment w:val="auto"/>
        <w:rPr>
          <w:rFonts w:hint="default" w:ascii="Times New Roman" w:hAnsi="Times New Roman" w:eastAsia="仿宋_GB2312" w:cs="Times New Roman"/>
          <w:color w:val="auto"/>
          <w:kern w:val="0"/>
          <w:sz w:val="32"/>
          <w:szCs w:val="32"/>
          <w:highlight w:val="none"/>
          <w:lang w:val="en-US" w:eastAsia="zh-CN" w:bidi="ar"/>
        </w:rPr>
      </w:pPr>
      <w:r>
        <w:rPr>
          <w:rFonts w:hint="eastAsia" w:ascii="Times New Roman" w:hAnsi="Times New Roman" w:eastAsia="楷体_GB2312" w:cs="Times New Roman"/>
          <w:color w:val="auto"/>
          <w:sz w:val="32"/>
          <w:szCs w:val="32"/>
          <w:highlight w:val="none"/>
          <w:lang w:val="en-US" w:eastAsia="zh-CN"/>
        </w:rPr>
        <w:t xml:space="preserve">第十四条 </w:t>
      </w:r>
      <w:r>
        <w:rPr>
          <w:rFonts w:hint="default" w:ascii="Times New Roman" w:hAnsi="Times New Roman" w:eastAsia="仿宋_GB2312" w:cs="Times New Roman"/>
          <w:color w:val="auto"/>
          <w:kern w:val="0"/>
          <w:sz w:val="32"/>
          <w:szCs w:val="32"/>
          <w:highlight w:val="none"/>
          <w:lang w:val="en-US" w:eastAsia="zh-CN" w:bidi="ar"/>
        </w:rPr>
        <w:t>入园企业须严格遵守安全生产相关法律法规，落实安全生产主体责任，建设项目安全生产设施必须与主体工程同时设计、同时施工、同时投入生产和使用（</w:t>
      </w:r>
      <w:bookmarkStart w:id="0" w:name="OLE_LINK1"/>
      <w:r>
        <w:rPr>
          <w:rFonts w:hint="default" w:ascii="Times New Roman" w:hAnsi="Times New Roman" w:eastAsia="仿宋_GB2312" w:cs="Times New Roman"/>
          <w:color w:val="auto"/>
          <w:kern w:val="0"/>
          <w:sz w:val="32"/>
          <w:szCs w:val="32"/>
          <w:highlight w:val="none"/>
          <w:lang w:val="en-US" w:eastAsia="zh-CN" w:bidi="ar"/>
        </w:rPr>
        <w:t>安全生产 “三同时”</w:t>
      </w:r>
      <w:bookmarkEnd w:id="0"/>
      <w:r>
        <w:rPr>
          <w:rFonts w:hint="default" w:ascii="Times New Roman" w:hAnsi="Times New Roman" w:eastAsia="仿宋_GB2312" w:cs="Times New Roman"/>
          <w:color w:val="auto"/>
          <w:kern w:val="0"/>
          <w:sz w:val="32"/>
          <w:szCs w:val="32"/>
          <w:highlight w:val="none"/>
          <w:lang w:val="en-US" w:eastAsia="zh-CN" w:bidi="ar"/>
        </w:rPr>
        <w:t>），依法完成安全设施设计审查</w:t>
      </w:r>
      <w:r>
        <w:rPr>
          <w:rFonts w:hint="eastAsia" w:ascii="Times New Roman" w:hAnsi="Times New Roman" w:eastAsia="仿宋_GB2312" w:cs="Times New Roman"/>
          <w:color w:val="auto"/>
          <w:kern w:val="0"/>
          <w:sz w:val="32"/>
          <w:szCs w:val="32"/>
          <w:highlight w:val="none"/>
          <w:lang w:val="en-US" w:eastAsia="zh-CN" w:bidi="ar"/>
        </w:rPr>
        <w:t>、制定安全生产应急预案并向应急管理部门进行备案，</w:t>
      </w:r>
      <w:r>
        <w:rPr>
          <w:rFonts w:hint="default" w:ascii="Times New Roman" w:hAnsi="Times New Roman" w:eastAsia="仿宋_GB2312" w:cs="Times New Roman"/>
          <w:color w:val="auto"/>
          <w:kern w:val="0"/>
          <w:sz w:val="32"/>
          <w:szCs w:val="32"/>
          <w:highlight w:val="none"/>
          <w:lang w:val="en-US" w:eastAsia="zh-CN" w:bidi="ar"/>
        </w:rPr>
        <w:t>未履行 “三同时” 程序或相关手续未通过审查、</w:t>
      </w:r>
      <w:r>
        <w:rPr>
          <w:rFonts w:hint="eastAsia" w:ascii="Times New Roman" w:hAnsi="Times New Roman" w:eastAsia="仿宋_GB2312" w:cs="Times New Roman"/>
          <w:color w:val="auto"/>
          <w:kern w:val="0"/>
          <w:sz w:val="32"/>
          <w:szCs w:val="32"/>
          <w:highlight w:val="none"/>
          <w:lang w:val="en-US" w:eastAsia="zh-CN" w:bidi="ar"/>
        </w:rPr>
        <w:t>备案的</w:t>
      </w:r>
      <w:r>
        <w:rPr>
          <w:rFonts w:hint="default" w:ascii="Times New Roman" w:hAnsi="Times New Roman" w:eastAsia="仿宋_GB2312" w:cs="Times New Roman"/>
          <w:color w:val="auto"/>
          <w:kern w:val="0"/>
          <w:sz w:val="32"/>
          <w:szCs w:val="32"/>
          <w:highlight w:val="none"/>
          <w:lang w:val="en-US" w:eastAsia="zh-CN" w:bidi="ar"/>
        </w:rPr>
        <w:t>，项目一律不得开工建设</w:t>
      </w:r>
      <w:r>
        <w:rPr>
          <w:rFonts w:hint="eastAsia" w:ascii="Times New Roman" w:hAnsi="Times New Roman" w:eastAsia="仿宋_GB2312" w:cs="Times New Roman"/>
          <w:color w:val="auto"/>
          <w:kern w:val="0"/>
          <w:sz w:val="32"/>
          <w:szCs w:val="32"/>
          <w:highlight w:val="none"/>
          <w:lang w:val="en-US" w:eastAsia="zh-CN" w:bidi="ar"/>
        </w:rPr>
        <w:t>；项目建成后，未通过</w:t>
      </w:r>
      <w:r>
        <w:rPr>
          <w:rFonts w:hint="default" w:ascii="Times New Roman" w:hAnsi="Times New Roman" w:eastAsia="仿宋_GB2312" w:cs="Times New Roman"/>
          <w:color w:val="auto"/>
          <w:kern w:val="0"/>
          <w:sz w:val="32"/>
          <w:szCs w:val="32"/>
          <w:highlight w:val="none"/>
          <w:lang w:val="en-US" w:eastAsia="zh-CN" w:bidi="ar"/>
        </w:rPr>
        <w:t xml:space="preserve"> “三同时”竣工验收</w:t>
      </w:r>
      <w:r>
        <w:rPr>
          <w:rFonts w:hint="eastAsia" w:ascii="Times New Roman" w:hAnsi="Times New Roman" w:eastAsia="仿宋_GB2312" w:cs="Times New Roman"/>
          <w:color w:val="auto"/>
          <w:kern w:val="0"/>
          <w:sz w:val="32"/>
          <w:szCs w:val="32"/>
          <w:highlight w:val="none"/>
          <w:lang w:val="en-US" w:eastAsia="zh-CN" w:bidi="ar"/>
        </w:rPr>
        <w:t>的</w:t>
      </w:r>
      <w:r>
        <w:rPr>
          <w:rFonts w:hint="default" w:ascii="Times New Roman" w:hAnsi="Times New Roman" w:eastAsia="仿宋_GB2312" w:cs="Times New Roman"/>
          <w:color w:val="auto"/>
          <w:kern w:val="0"/>
          <w:sz w:val="32"/>
          <w:szCs w:val="32"/>
          <w:highlight w:val="none"/>
          <w:lang w:val="en-US" w:eastAsia="zh-CN" w:bidi="ar"/>
        </w:rPr>
        <w:t>不得投入生产运营。</w:t>
      </w:r>
    </w:p>
    <w:p>
      <w:pPr>
        <w:keepNext w:val="0"/>
        <w:keepLines w:val="0"/>
        <w:pageBreakBefore w:val="0"/>
        <w:widowControl/>
        <w:suppressLineNumbers w:val="0"/>
        <w:shd w:val="clear"/>
        <w:kinsoku/>
        <w:wordWrap/>
        <w:overflowPunct/>
        <w:topLinePunct w:val="0"/>
        <w:autoSpaceDE/>
        <w:autoSpaceDN/>
        <w:bidi w:val="0"/>
        <w:adjustRightInd/>
        <w:snapToGrid/>
        <w:spacing w:line="560" w:lineRule="exact"/>
        <w:ind w:left="0" w:firstLine="640" w:firstLineChars="200"/>
        <w:jc w:val="left"/>
        <w:textAlignment w:val="auto"/>
        <w:rPr>
          <w:rFonts w:hint="default" w:ascii="Times New Roman" w:hAnsi="Times New Roman" w:eastAsia="仿宋_GB2312" w:cs="Times New Roman"/>
          <w:color w:val="auto"/>
          <w:kern w:val="0"/>
          <w:sz w:val="32"/>
          <w:szCs w:val="32"/>
          <w:highlight w:val="none"/>
          <w:lang w:val="en-US" w:eastAsia="zh-CN" w:bidi="ar"/>
        </w:rPr>
      </w:pPr>
      <w:r>
        <w:rPr>
          <w:rFonts w:hint="eastAsia" w:ascii="Times New Roman" w:hAnsi="Times New Roman" w:eastAsia="楷体_GB2312" w:cs="Times New Roman"/>
          <w:color w:val="auto"/>
          <w:sz w:val="32"/>
          <w:szCs w:val="32"/>
          <w:highlight w:val="none"/>
          <w:lang w:val="en-US" w:eastAsia="zh-CN"/>
        </w:rPr>
        <w:t xml:space="preserve">第十五条 </w:t>
      </w:r>
      <w:r>
        <w:rPr>
          <w:rFonts w:hint="default" w:ascii="Times New Roman" w:hAnsi="Times New Roman" w:eastAsia="仿宋_GB2312" w:cs="Times New Roman"/>
          <w:color w:val="auto"/>
          <w:kern w:val="0"/>
          <w:sz w:val="32"/>
          <w:szCs w:val="32"/>
          <w:highlight w:val="none"/>
          <w:lang w:val="en-US" w:eastAsia="zh-CN" w:bidi="ar"/>
        </w:rPr>
        <w:t>入园企业须严格遵守生态环境保护相关法律法规，依法完成建设项目环境影响评价审批手续，未取得环评批复的项目一律不得开工建设，建设过程中须严格落实环评批复要求；项目建成后，应按规定完成环境保护设施竣工验收，依法向生态环境部门申领排污许可证，验收合格且取得排污许可证后方可正式投入生产运营；生产经营期间，须严格按照环评批复及排污许可证核定要求规范排污，严禁无证排污、超标准、超总量排污。</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kern w:val="0"/>
          <w:sz w:val="32"/>
          <w:szCs w:val="32"/>
          <w:highlight w:val="none"/>
          <w:lang w:val="en-US" w:eastAsia="zh-CN" w:bidi="ar"/>
        </w:rPr>
      </w:pP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jc w:val="center"/>
        <w:textAlignment w:val="auto"/>
        <w:rPr>
          <w:rFonts w:hint="default" w:ascii="Times New Roman" w:hAnsi="Times New Roman" w:eastAsia="黑体" w:cs="Times New Roman"/>
          <w:color w:val="auto"/>
          <w:sz w:val="32"/>
          <w:szCs w:val="32"/>
          <w:highlight w:val="none"/>
          <w:lang w:val="en-US" w:eastAsia="zh-CN"/>
        </w:rPr>
      </w:pPr>
      <w:r>
        <w:rPr>
          <w:rFonts w:hint="default" w:ascii="Times New Roman" w:hAnsi="Times New Roman" w:eastAsia="黑体" w:cs="Times New Roman"/>
          <w:color w:val="auto"/>
          <w:sz w:val="32"/>
          <w:szCs w:val="32"/>
          <w:highlight w:val="none"/>
          <w:lang w:val="en-US" w:eastAsia="zh-CN"/>
        </w:rPr>
        <w:t>第六章 企业生产经营服务管理</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楷体_GB2312" w:cs="Times New Roman"/>
          <w:color w:val="auto"/>
          <w:sz w:val="32"/>
          <w:szCs w:val="32"/>
          <w:highlight w:val="none"/>
          <w:lang w:val="en-US" w:eastAsia="zh-CN"/>
        </w:rPr>
        <w:t>第十</w:t>
      </w:r>
      <w:r>
        <w:rPr>
          <w:rFonts w:hint="eastAsia" w:ascii="Times New Roman" w:hAnsi="Times New Roman" w:eastAsia="楷体_GB2312" w:cs="Times New Roman"/>
          <w:color w:val="auto"/>
          <w:sz w:val="32"/>
          <w:szCs w:val="32"/>
          <w:highlight w:val="none"/>
          <w:lang w:val="en-US" w:eastAsia="zh-CN"/>
        </w:rPr>
        <w:t>六</w:t>
      </w:r>
      <w:r>
        <w:rPr>
          <w:rFonts w:hint="default" w:ascii="Times New Roman" w:hAnsi="Times New Roman" w:eastAsia="楷体_GB2312" w:cs="Times New Roman"/>
          <w:color w:val="auto"/>
          <w:sz w:val="32"/>
          <w:szCs w:val="32"/>
          <w:highlight w:val="none"/>
          <w:lang w:val="en-US" w:eastAsia="zh-CN"/>
        </w:rPr>
        <w:t xml:space="preserve">条 </w:t>
      </w:r>
      <w:r>
        <w:rPr>
          <w:rFonts w:hint="default" w:ascii="Times New Roman" w:hAnsi="Times New Roman" w:eastAsia="仿宋_GB2312" w:cs="Times New Roman"/>
          <w:color w:val="auto"/>
          <w:sz w:val="32"/>
          <w:szCs w:val="32"/>
          <w:highlight w:val="none"/>
          <w:lang w:val="en-US" w:eastAsia="zh-CN" w:bidi="ar"/>
        </w:rPr>
        <w:t>为规范园区内企业的生产经营活动，及时掌握经济运行情况，提升园区服务效能，优化营商环境，促进园区高质量发展。企业项目在建期间及竣工投产后，应及时、准确、完整地向园区</w:t>
      </w:r>
      <w:r>
        <w:rPr>
          <w:rFonts w:hint="eastAsia" w:ascii="Times New Roman" w:hAnsi="Times New Roman" w:eastAsia="仿宋_GB2312" w:cs="Times New Roman"/>
          <w:color w:val="auto"/>
          <w:sz w:val="32"/>
          <w:szCs w:val="32"/>
          <w:highlight w:val="none"/>
          <w:lang w:val="en-US" w:eastAsia="zh-CN" w:bidi="ar"/>
        </w:rPr>
        <w:t>管委会</w:t>
      </w:r>
      <w:r>
        <w:rPr>
          <w:rFonts w:hint="default" w:ascii="Times New Roman" w:hAnsi="Times New Roman" w:eastAsia="仿宋_GB2312" w:cs="Times New Roman"/>
          <w:color w:val="auto"/>
          <w:sz w:val="32"/>
          <w:szCs w:val="32"/>
          <w:highlight w:val="none"/>
          <w:lang w:val="en-US" w:eastAsia="zh-CN" w:bidi="ar"/>
        </w:rPr>
        <w:t>报送与投资及生产经营相关的经济指标和数据，部分指标必须依照统计相关制度定期报送。包含但不仅限于固定资产投资、工业产值、营业收入等经济指标及与园区绿色发展、安全生产相关的数据</w:t>
      </w:r>
      <w:r>
        <w:rPr>
          <w:rFonts w:hint="default" w:ascii="Times New Roman" w:hAnsi="Times New Roman" w:eastAsia="仿宋_GB2312" w:cs="Times New Roman"/>
          <w:color w:val="auto"/>
          <w:sz w:val="32"/>
          <w:szCs w:val="32"/>
          <w:highlight w:val="none"/>
          <w:lang w:val="en-US" w:eastAsia="zh-CN"/>
        </w:rPr>
        <w:t>。</w:t>
      </w:r>
      <w:r>
        <w:rPr>
          <w:rFonts w:hint="eastAsia" w:ascii="Times New Roman" w:hAnsi="Times New Roman" w:eastAsia="仿宋_GB2312" w:cs="Times New Roman"/>
          <w:color w:val="auto"/>
          <w:sz w:val="32"/>
          <w:szCs w:val="32"/>
          <w:highlight w:val="none"/>
          <w:lang w:val="en-US" w:eastAsia="zh-CN"/>
        </w:rPr>
        <w:t>园区</w:t>
      </w:r>
      <w:r>
        <w:rPr>
          <w:rFonts w:hint="default" w:ascii="Times New Roman" w:hAnsi="Times New Roman" w:eastAsia="仿宋_GB2312" w:cs="Times New Roman"/>
          <w:color w:val="auto"/>
          <w:sz w:val="32"/>
          <w:szCs w:val="32"/>
          <w:highlight w:val="none"/>
          <w:lang w:val="en-US" w:eastAsia="zh-CN" w:bidi="ar"/>
        </w:rPr>
        <w:t>管委会对企业在报送过程中涉及的未公开信息等负有保密义务，严禁用于规定范围之外的任何用途</w:t>
      </w:r>
      <w:r>
        <w:rPr>
          <w:rFonts w:hint="default" w:ascii="Times New Roman" w:hAnsi="Times New Roman" w:eastAsia="仿宋_GB2312" w:cs="Times New Roman"/>
          <w:color w:val="auto"/>
          <w:sz w:val="32"/>
          <w:szCs w:val="32"/>
          <w:highlight w:val="none"/>
          <w:lang w:val="en-US" w:eastAsia="zh-CN"/>
        </w:rPr>
        <w:t>。</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楷体_GB2312" w:cs="Times New Roman"/>
          <w:color w:val="auto"/>
          <w:sz w:val="32"/>
          <w:szCs w:val="32"/>
          <w:highlight w:val="none"/>
          <w:lang w:val="en-US" w:eastAsia="zh-CN"/>
        </w:rPr>
        <w:t>第十</w:t>
      </w:r>
      <w:r>
        <w:rPr>
          <w:rFonts w:hint="eastAsia" w:ascii="Times New Roman" w:hAnsi="Times New Roman" w:eastAsia="楷体_GB2312" w:cs="Times New Roman"/>
          <w:color w:val="auto"/>
          <w:sz w:val="32"/>
          <w:szCs w:val="32"/>
          <w:highlight w:val="none"/>
          <w:lang w:val="en-US" w:eastAsia="zh-CN"/>
        </w:rPr>
        <w:t>七</w:t>
      </w:r>
      <w:r>
        <w:rPr>
          <w:rFonts w:hint="default" w:ascii="Times New Roman" w:hAnsi="Times New Roman" w:eastAsia="楷体_GB2312" w:cs="Times New Roman"/>
          <w:color w:val="auto"/>
          <w:sz w:val="32"/>
          <w:szCs w:val="32"/>
          <w:highlight w:val="none"/>
          <w:lang w:val="en-US" w:eastAsia="zh-CN"/>
        </w:rPr>
        <w:t xml:space="preserve">条 </w:t>
      </w:r>
      <w:r>
        <w:rPr>
          <w:rFonts w:hint="default" w:ascii="Times New Roman" w:hAnsi="Times New Roman" w:eastAsia="仿宋_GB2312" w:cs="Times New Roman"/>
          <w:color w:val="auto"/>
          <w:sz w:val="32"/>
          <w:szCs w:val="32"/>
          <w:highlight w:val="none"/>
          <w:lang w:val="en-US" w:eastAsia="zh-CN"/>
        </w:rPr>
        <w:t>园区设立企业服务中心，</w:t>
      </w:r>
      <w:r>
        <w:rPr>
          <w:rFonts w:hint="default" w:ascii="Times New Roman" w:hAnsi="Times New Roman" w:eastAsia="仿宋_GB2312" w:cs="Times New Roman"/>
          <w:color w:val="auto"/>
          <w:sz w:val="32"/>
          <w:szCs w:val="32"/>
          <w:highlight w:val="none"/>
          <w:lang w:val="en-US" w:eastAsia="zh-CN" w:bidi="ar"/>
        </w:rPr>
        <w:t>作为统一对企服务窗口，秉承“有求必应、无事不扰”的原则，为企业提供全生命周期服务，包含但不仅限于及时发布、解读国家、省、市及园区的各项产业、科技、人才、金融等惠企政策，提供人才招聘信息发布、校企合作对接等</w:t>
      </w:r>
      <w:r>
        <w:rPr>
          <w:rFonts w:hint="default" w:ascii="Times New Roman" w:hAnsi="Times New Roman" w:eastAsia="仿宋_GB2312" w:cs="Times New Roman"/>
          <w:color w:val="auto"/>
          <w:sz w:val="32"/>
          <w:szCs w:val="32"/>
          <w:highlight w:val="none"/>
          <w:lang w:val="en-US" w:eastAsia="zh-CN"/>
        </w:rPr>
        <w:t>。</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bidi="ar"/>
        </w:rPr>
      </w:pPr>
      <w:r>
        <w:rPr>
          <w:rFonts w:hint="default" w:ascii="Times New Roman" w:hAnsi="Times New Roman" w:eastAsia="楷体_GB2312" w:cs="Times New Roman"/>
          <w:color w:val="auto"/>
          <w:sz w:val="32"/>
          <w:szCs w:val="32"/>
          <w:highlight w:val="none"/>
          <w:lang w:val="en-US" w:eastAsia="zh-CN"/>
        </w:rPr>
        <w:t>第十</w:t>
      </w:r>
      <w:r>
        <w:rPr>
          <w:rFonts w:hint="eastAsia" w:ascii="Times New Roman" w:hAnsi="Times New Roman" w:eastAsia="楷体_GB2312" w:cs="Times New Roman"/>
          <w:color w:val="auto"/>
          <w:sz w:val="32"/>
          <w:szCs w:val="32"/>
          <w:highlight w:val="none"/>
          <w:lang w:val="en-US" w:eastAsia="zh-CN"/>
        </w:rPr>
        <w:t>八</w:t>
      </w:r>
      <w:r>
        <w:rPr>
          <w:rFonts w:hint="default" w:ascii="Times New Roman" w:hAnsi="Times New Roman" w:eastAsia="楷体_GB2312" w:cs="Times New Roman"/>
          <w:color w:val="auto"/>
          <w:sz w:val="32"/>
          <w:szCs w:val="32"/>
          <w:highlight w:val="none"/>
          <w:lang w:val="en-US" w:eastAsia="zh-CN"/>
        </w:rPr>
        <w:t xml:space="preserve">条 </w:t>
      </w:r>
      <w:r>
        <w:rPr>
          <w:rFonts w:hint="default" w:ascii="Times New Roman" w:hAnsi="Times New Roman" w:eastAsia="仿宋_GB2312" w:cs="Times New Roman"/>
          <w:color w:val="auto"/>
          <w:sz w:val="32"/>
          <w:szCs w:val="32"/>
          <w:highlight w:val="none"/>
          <w:lang w:val="en-US" w:eastAsia="zh-CN" w:bidi="ar"/>
        </w:rPr>
        <w:t>按照“适用实用、能接尽接”原则，进一步强化赋权事项落地见效</w:t>
      </w:r>
      <w:r>
        <w:rPr>
          <w:rFonts w:hint="eastAsia" w:ascii="Times New Roman" w:hAnsi="Times New Roman" w:eastAsia="仿宋_GB2312" w:cs="Times New Roman"/>
          <w:color w:val="auto"/>
          <w:sz w:val="32"/>
          <w:szCs w:val="32"/>
          <w:highlight w:val="none"/>
          <w:lang w:val="en-US" w:eastAsia="zh-CN" w:bidi="ar"/>
        </w:rPr>
        <w:t>，</w:t>
      </w:r>
      <w:r>
        <w:rPr>
          <w:rFonts w:hint="default" w:ascii="Times New Roman" w:hAnsi="Times New Roman" w:eastAsia="仿宋_GB2312" w:cs="Times New Roman"/>
          <w:color w:val="auto"/>
          <w:sz w:val="32"/>
          <w:szCs w:val="32"/>
          <w:highlight w:val="none"/>
          <w:lang w:val="en-US" w:eastAsia="zh-CN" w:bidi="ar"/>
        </w:rPr>
        <w:t>建立健全赋权事项承接机制，明确责任分工，确保赋权事项接得住、管得好、用得活、见实效，园区设立</w:t>
      </w:r>
      <w:r>
        <w:rPr>
          <w:rFonts w:hint="eastAsia" w:ascii="Times New Roman" w:hAnsi="Times New Roman" w:eastAsia="仿宋_GB2312" w:cs="Times New Roman"/>
          <w:color w:val="auto"/>
          <w:sz w:val="32"/>
          <w:szCs w:val="32"/>
          <w:highlight w:val="none"/>
          <w:lang w:val="en-US" w:eastAsia="zh-CN" w:bidi="ar"/>
        </w:rPr>
        <w:t>政务</w:t>
      </w:r>
      <w:r>
        <w:rPr>
          <w:rFonts w:hint="default" w:ascii="Times New Roman" w:hAnsi="Times New Roman" w:eastAsia="仿宋_GB2312" w:cs="Times New Roman"/>
          <w:color w:val="auto"/>
          <w:sz w:val="32"/>
          <w:szCs w:val="32"/>
          <w:highlight w:val="none"/>
          <w:lang w:val="en-US" w:eastAsia="zh-CN" w:bidi="ar"/>
        </w:rPr>
        <w:t>服务中心，</w:t>
      </w:r>
      <w:r>
        <w:rPr>
          <w:rFonts w:hint="eastAsia" w:ascii="Times New Roman" w:hAnsi="Times New Roman" w:eastAsia="仿宋_GB2312" w:cs="Times New Roman"/>
          <w:color w:val="auto"/>
          <w:sz w:val="32"/>
          <w:szCs w:val="32"/>
          <w:highlight w:val="none"/>
          <w:lang w:val="en-US" w:eastAsia="zh-CN" w:bidi="ar"/>
        </w:rPr>
        <w:t>做到“一窗受理、集成服务，园区事、园区办”，大幅减少企业和群众办事跑腿次数，压缩办事时限，提高园区政务服务满意度和便利度，</w:t>
      </w:r>
      <w:r>
        <w:rPr>
          <w:rFonts w:hint="default" w:ascii="Times New Roman" w:hAnsi="Times New Roman" w:eastAsia="仿宋_GB2312" w:cs="Times New Roman"/>
          <w:color w:val="auto"/>
          <w:sz w:val="32"/>
          <w:szCs w:val="32"/>
          <w:highlight w:val="none"/>
          <w:lang w:val="en-US" w:eastAsia="zh-CN" w:bidi="ar"/>
        </w:rPr>
        <w:t>全面提升赋权工作的质量和水平。</w:t>
      </w:r>
    </w:p>
    <w:p>
      <w:pPr>
        <w:keepNext w:val="0"/>
        <w:keepLines w:val="0"/>
        <w:pageBreakBefore w:val="0"/>
        <w:widowControl w:val="0"/>
        <w:numPr>
          <w:ilvl w:val="0"/>
          <w:numId w:val="0"/>
        </w:numPr>
        <w:shd w:val="clear"/>
        <w:kinsoku/>
        <w:wordWrap/>
        <w:overflowPunct/>
        <w:topLinePunct w:val="0"/>
        <w:autoSpaceDE/>
        <w:autoSpaceDN/>
        <w:bidi w:val="0"/>
        <w:adjustRightInd/>
        <w:snapToGrid/>
        <w:spacing w:line="560" w:lineRule="exact"/>
        <w:ind w:left="0"/>
        <w:jc w:val="center"/>
        <w:textAlignment w:val="auto"/>
        <w:rPr>
          <w:rFonts w:hint="eastAsia" w:ascii="黑体" w:hAnsi="黑体" w:eastAsia="黑体" w:cs="黑体"/>
          <w:i w:val="0"/>
          <w:iCs w:val="0"/>
          <w:caps w:val="0"/>
          <w:color w:val="auto"/>
          <w:spacing w:val="0"/>
          <w:kern w:val="2"/>
          <w:sz w:val="32"/>
          <w:szCs w:val="32"/>
          <w:highlight w:val="none"/>
          <w:shd w:val="clear" w:color="auto" w:fill="FFFFFF"/>
          <w:lang w:val="en-US" w:eastAsia="zh-CN" w:bidi="ar-SA"/>
        </w:rPr>
      </w:pPr>
    </w:p>
    <w:p>
      <w:pPr>
        <w:keepNext w:val="0"/>
        <w:keepLines w:val="0"/>
        <w:pageBreakBefore w:val="0"/>
        <w:widowControl w:val="0"/>
        <w:numPr>
          <w:ilvl w:val="0"/>
          <w:numId w:val="0"/>
        </w:numPr>
        <w:shd w:val="clear"/>
        <w:kinsoku/>
        <w:wordWrap/>
        <w:overflowPunct/>
        <w:topLinePunct w:val="0"/>
        <w:autoSpaceDE/>
        <w:autoSpaceDN/>
        <w:bidi w:val="0"/>
        <w:adjustRightInd/>
        <w:snapToGrid/>
        <w:spacing w:line="560" w:lineRule="exact"/>
        <w:ind w:left="0"/>
        <w:jc w:val="center"/>
        <w:textAlignment w:val="auto"/>
        <w:rPr>
          <w:rFonts w:hint="default" w:ascii="黑体" w:hAnsi="黑体" w:eastAsia="黑体" w:cs="黑体"/>
          <w:i w:val="0"/>
          <w:iCs w:val="0"/>
          <w:caps w:val="0"/>
          <w:color w:val="auto"/>
          <w:spacing w:val="0"/>
          <w:sz w:val="32"/>
          <w:szCs w:val="32"/>
          <w:highlight w:val="none"/>
          <w:shd w:val="clear" w:color="auto" w:fill="FFFFFF"/>
          <w:lang w:val="en-US" w:eastAsia="zh-CN"/>
        </w:rPr>
      </w:pPr>
      <w:r>
        <w:rPr>
          <w:rFonts w:hint="eastAsia" w:ascii="黑体" w:hAnsi="黑体" w:eastAsia="黑体" w:cs="黑体"/>
          <w:i w:val="0"/>
          <w:iCs w:val="0"/>
          <w:caps w:val="0"/>
          <w:color w:val="auto"/>
          <w:spacing w:val="0"/>
          <w:kern w:val="2"/>
          <w:sz w:val="32"/>
          <w:szCs w:val="32"/>
          <w:highlight w:val="none"/>
          <w:shd w:val="clear" w:color="auto" w:fill="FFFFFF"/>
          <w:lang w:val="en-US" w:eastAsia="zh-CN" w:bidi="ar-SA"/>
        </w:rPr>
        <w:t>第七章　科技创新服务管理</w:t>
      </w:r>
    </w:p>
    <w:p>
      <w:pPr>
        <w:keepNext w:val="0"/>
        <w:keepLines w:val="0"/>
        <w:pageBreakBefore w:val="0"/>
        <w:widowControl w:val="0"/>
        <w:numPr>
          <w:ilvl w:val="0"/>
          <w:numId w:val="0"/>
        </w:numPr>
        <w:shd w:val="clear"/>
        <w:kinsoku/>
        <w:wordWrap/>
        <w:overflowPunct/>
        <w:topLinePunct w:val="0"/>
        <w:autoSpaceDE/>
        <w:autoSpaceDN/>
        <w:bidi w:val="0"/>
        <w:adjustRightInd/>
        <w:snapToGrid/>
        <w:spacing w:line="560" w:lineRule="exact"/>
        <w:ind w:left="0" w:firstLine="640" w:firstLineChars="200"/>
        <w:jc w:val="both"/>
        <w:textAlignment w:val="auto"/>
        <w:rPr>
          <w:rFonts w:hint="default" w:ascii="仿宋_GB2312" w:hAnsi="仿宋_GB2312" w:eastAsia="仿宋_GB2312" w:cs="仿宋_GB2312"/>
          <w:i w:val="0"/>
          <w:iCs w:val="0"/>
          <w:caps w:val="0"/>
          <w:color w:val="auto"/>
          <w:spacing w:val="0"/>
          <w:sz w:val="32"/>
          <w:szCs w:val="32"/>
          <w:highlight w:val="none"/>
          <w:shd w:val="clear" w:color="auto" w:fill="FFFFFF"/>
          <w:lang w:val="en-US" w:eastAsia="zh-CN"/>
        </w:rPr>
      </w:pPr>
      <w:r>
        <w:rPr>
          <w:rFonts w:hint="eastAsia" w:ascii="楷体_GB2312" w:hAnsi="楷体_GB2312" w:eastAsia="楷体_GB2312" w:cs="楷体_GB2312"/>
          <w:i w:val="0"/>
          <w:iCs w:val="0"/>
          <w:caps w:val="0"/>
          <w:color w:val="auto"/>
          <w:spacing w:val="0"/>
          <w:sz w:val="32"/>
          <w:szCs w:val="32"/>
          <w:highlight w:val="none"/>
          <w:shd w:val="clear" w:color="auto" w:fill="FFFFFF"/>
          <w:lang w:eastAsia="zh-CN"/>
        </w:rPr>
        <w:t>第十九条　</w:t>
      </w:r>
      <w:r>
        <w:rPr>
          <w:rFonts w:hint="eastAsia" w:ascii="仿宋_GB2312" w:hAnsi="仿宋_GB2312" w:eastAsia="仿宋_GB2312" w:cs="仿宋_GB2312"/>
          <w:i w:val="0"/>
          <w:iCs w:val="0"/>
          <w:caps w:val="0"/>
          <w:color w:val="auto"/>
          <w:spacing w:val="0"/>
          <w:sz w:val="32"/>
          <w:szCs w:val="32"/>
          <w:highlight w:val="none"/>
          <w:shd w:val="clear" w:color="auto" w:fill="FFFFFF"/>
          <w:lang w:val="en-US" w:eastAsia="zh-CN"/>
        </w:rPr>
        <w:t>鼓励园区企业与高等院校、科研院所建设院士专家工作站、工程研究中心、企业技术中心等科技创新平台，更好发挥园区在促进技术创新方面的积极作用。</w:t>
      </w:r>
    </w:p>
    <w:p>
      <w:pPr>
        <w:keepNext w:val="0"/>
        <w:keepLines w:val="0"/>
        <w:pageBreakBefore w:val="0"/>
        <w:widowControl w:val="0"/>
        <w:numPr>
          <w:ilvl w:val="0"/>
          <w:numId w:val="0"/>
        </w:numPr>
        <w:shd w:val="clear"/>
        <w:kinsoku/>
        <w:wordWrap/>
        <w:overflowPunct/>
        <w:topLinePunct w:val="0"/>
        <w:autoSpaceDE/>
        <w:autoSpaceDN/>
        <w:bidi w:val="0"/>
        <w:adjustRightInd/>
        <w:snapToGrid/>
        <w:spacing w:line="560" w:lineRule="exact"/>
        <w:ind w:left="0" w:firstLine="640" w:firstLineChars="200"/>
        <w:jc w:val="both"/>
        <w:textAlignment w:val="auto"/>
        <w:rPr>
          <w:rFonts w:hint="eastAsia" w:ascii="仿宋_GB2312" w:hAnsi="仿宋_GB2312" w:eastAsia="仿宋_GB2312" w:cs="仿宋_GB2312"/>
          <w:i w:val="0"/>
          <w:iCs w:val="0"/>
          <w:caps w:val="0"/>
          <w:color w:val="auto"/>
          <w:spacing w:val="0"/>
          <w:sz w:val="32"/>
          <w:szCs w:val="32"/>
          <w:highlight w:val="none"/>
          <w:shd w:val="clear" w:color="auto" w:fill="FFFFFF"/>
          <w:lang w:eastAsia="zh-CN"/>
        </w:rPr>
      </w:pPr>
      <w:r>
        <w:rPr>
          <w:rFonts w:hint="eastAsia" w:ascii="楷体_GB2312" w:hAnsi="楷体_GB2312" w:eastAsia="楷体_GB2312" w:cs="楷体_GB2312"/>
          <w:i w:val="0"/>
          <w:iCs w:val="0"/>
          <w:caps w:val="0"/>
          <w:color w:val="auto"/>
          <w:spacing w:val="0"/>
          <w:sz w:val="32"/>
          <w:szCs w:val="32"/>
          <w:highlight w:val="none"/>
          <w:shd w:val="clear" w:color="auto" w:fill="FFFFFF"/>
          <w:lang w:eastAsia="zh-CN"/>
        </w:rPr>
        <w:t>第二十条　</w:t>
      </w:r>
      <w:r>
        <w:rPr>
          <w:rFonts w:hint="eastAsia" w:ascii="仿宋_GB2312" w:hAnsi="仿宋_GB2312" w:eastAsia="仿宋_GB2312" w:cs="仿宋_GB2312"/>
          <w:i w:val="0"/>
          <w:iCs w:val="0"/>
          <w:caps w:val="0"/>
          <w:color w:val="auto"/>
          <w:spacing w:val="0"/>
          <w:sz w:val="32"/>
          <w:szCs w:val="32"/>
          <w:highlight w:val="none"/>
          <w:shd w:val="clear" w:color="auto" w:fill="FFFFFF"/>
          <w:lang w:eastAsia="zh-CN"/>
        </w:rPr>
        <w:t>健全</w:t>
      </w:r>
      <w:r>
        <w:rPr>
          <w:rFonts w:hint="eastAsia" w:ascii="仿宋_GB2312" w:hAnsi="仿宋_GB2312" w:eastAsia="仿宋_GB2312" w:cs="仿宋_GB2312"/>
          <w:i w:val="0"/>
          <w:iCs w:val="0"/>
          <w:caps w:val="0"/>
          <w:color w:val="auto"/>
          <w:spacing w:val="0"/>
          <w:sz w:val="32"/>
          <w:szCs w:val="32"/>
          <w:highlight w:val="none"/>
          <w:shd w:val="clear" w:color="auto" w:fill="FFFFFF"/>
          <w:lang w:val="en-US" w:eastAsia="zh-CN"/>
        </w:rPr>
        <w:t>园区</w:t>
      </w:r>
      <w:r>
        <w:rPr>
          <w:rFonts w:hint="eastAsia" w:ascii="仿宋_GB2312" w:hAnsi="仿宋_GB2312" w:eastAsia="仿宋_GB2312" w:cs="仿宋_GB2312"/>
          <w:i w:val="0"/>
          <w:iCs w:val="0"/>
          <w:caps w:val="0"/>
          <w:color w:val="auto"/>
          <w:spacing w:val="0"/>
          <w:sz w:val="32"/>
          <w:szCs w:val="32"/>
          <w:highlight w:val="none"/>
          <w:shd w:val="clear" w:color="auto" w:fill="FFFFFF"/>
          <w:lang w:eastAsia="zh-CN"/>
        </w:rPr>
        <w:t>优质中小企业</w:t>
      </w:r>
      <w:r>
        <w:rPr>
          <w:rFonts w:hint="eastAsia" w:ascii="仿宋_GB2312" w:hAnsi="仿宋_GB2312" w:eastAsia="仿宋_GB2312" w:cs="仿宋_GB2312"/>
          <w:i w:val="0"/>
          <w:iCs w:val="0"/>
          <w:caps w:val="0"/>
          <w:color w:val="auto"/>
          <w:spacing w:val="0"/>
          <w:sz w:val="32"/>
          <w:szCs w:val="32"/>
          <w:highlight w:val="none"/>
          <w:shd w:val="clear" w:color="auto" w:fill="FFFFFF"/>
          <w:lang w:val="en-US" w:eastAsia="zh-CN"/>
        </w:rPr>
        <w:t>梯次培育</w:t>
      </w:r>
      <w:r>
        <w:rPr>
          <w:rFonts w:hint="eastAsia" w:ascii="仿宋_GB2312" w:hAnsi="仿宋_GB2312" w:eastAsia="仿宋_GB2312" w:cs="仿宋_GB2312"/>
          <w:i w:val="0"/>
          <w:iCs w:val="0"/>
          <w:caps w:val="0"/>
          <w:color w:val="auto"/>
          <w:spacing w:val="0"/>
          <w:sz w:val="32"/>
          <w:szCs w:val="32"/>
          <w:highlight w:val="none"/>
          <w:shd w:val="clear" w:color="auto" w:fill="FFFFFF"/>
          <w:lang w:eastAsia="zh-CN"/>
        </w:rPr>
        <w:t>机制，</w:t>
      </w:r>
      <w:r>
        <w:rPr>
          <w:rFonts w:hint="eastAsia" w:ascii="仿宋_GB2312" w:hAnsi="仿宋_GB2312" w:eastAsia="仿宋_GB2312" w:cs="仿宋_GB2312"/>
          <w:i w:val="0"/>
          <w:iCs w:val="0"/>
          <w:caps w:val="0"/>
          <w:color w:val="auto"/>
          <w:spacing w:val="0"/>
          <w:sz w:val="32"/>
          <w:szCs w:val="32"/>
          <w:highlight w:val="none"/>
          <w:shd w:val="clear" w:color="auto" w:fill="FFFFFF"/>
          <w:lang w:val="en-US" w:eastAsia="zh-CN"/>
        </w:rPr>
        <w:t>构建“科技型中小企业—高新技术企业—专精特新企业”的培育链条。园区管委会建立企业培育库，对入库企业实行分类管理、精准服务，针对不同发展阶段企业的需求，提供融资对接、政策申报、</w:t>
      </w:r>
      <w:r>
        <w:rPr>
          <w:rFonts w:hint="eastAsia" w:ascii="仿宋_GB2312" w:hAnsi="仿宋_GB2312" w:eastAsia="仿宋_GB2312" w:cs="仿宋_GB2312"/>
          <w:i w:val="0"/>
          <w:iCs w:val="0"/>
          <w:caps w:val="0"/>
          <w:color w:val="auto"/>
          <w:spacing w:val="0"/>
          <w:sz w:val="32"/>
          <w:szCs w:val="32"/>
          <w:highlight w:val="none"/>
          <w:shd w:val="clear" w:color="auto" w:fill="FFFFFF"/>
          <w:lang w:eastAsia="zh-CN"/>
        </w:rPr>
        <w:t>推广使用“科技创新券”、</w:t>
      </w:r>
      <w:r>
        <w:rPr>
          <w:rFonts w:hint="eastAsia" w:ascii="仿宋_GB2312" w:hAnsi="仿宋_GB2312" w:eastAsia="仿宋_GB2312" w:cs="仿宋_GB2312"/>
          <w:i w:val="0"/>
          <w:iCs w:val="0"/>
          <w:caps w:val="0"/>
          <w:color w:val="auto"/>
          <w:spacing w:val="0"/>
          <w:sz w:val="32"/>
          <w:szCs w:val="32"/>
          <w:highlight w:val="none"/>
          <w:shd w:val="clear" w:color="auto" w:fill="FFFFFF"/>
          <w:lang w:val="en-US" w:eastAsia="zh-CN"/>
        </w:rPr>
        <w:t>市场拓展等个性化服务</w:t>
      </w:r>
      <w:r>
        <w:rPr>
          <w:rFonts w:hint="eastAsia" w:ascii="仿宋_GB2312" w:hAnsi="仿宋_GB2312" w:eastAsia="仿宋_GB2312" w:cs="仿宋_GB2312"/>
          <w:i w:val="0"/>
          <w:iCs w:val="0"/>
          <w:caps w:val="0"/>
          <w:color w:val="auto"/>
          <w:spacing w:val="0"/>
          <w:sz w:val="32"/>
          <w:szCs w:val="32"/>
          <w:highlight w:val="none"/>
          <w:shd w:val="clear" w:color="auto" w:fill="FFFFFF"/>
          <w:lang w:eastAsia="zh-CN"/>
        </w:rPr>
        <w:t>，</w:t>
      </w:r>
      <w:r>
        <w:rPr>
          <w:rFonts w:hint="eastAsia" w:ascii="仿宋_GB2312" w:hAnsi="仿宋_GB2312" w:eastAsia="仿宋_GB2312" w:cs="仿宋_GB2312"/>
          <w:i w:val="0"/>
          <w:iCs w:val="0"/>
          <w:caps w:val="0"/>
          <w:color w:val="auto"/>
          <w:spacing w:val="0"/>
          <w:sz w:val="32"/>
          <w:szCs w:val="32"/>
          <w:highlight w:val="none"/>
          <w:shd w:val="clear" w:color="auto" w:fill="FFFFFF"/>
          <w:lang w:val="en-US" w:eastAsia="zh-CN"/>
        </w:rPr>
        <w:t>进一步优化科技服务流程与内容，为企业提供更加精准、高效的科技服务</w:t>
      </w:r>
      <w:r>
        <w:rPr>
          <w:rFonts w:hint="eastAsia" w:ascii="仿宋_GB2312" w:hAnsi="仿宋_GB2312" w:eastAsia="仿宋_GB2312" w:cs="仿宋_GB2312"/>
          <w:i w:val="0"/>
          <w:iCs w:val="0"/>
          <w:caps w:val="0"/>
          <w:color w:val="auto"/>
          <w:spacing w:val="0"/>
          <w:sz w:val="32"/>
          <w:szCs w:val="32"/>
          <w:highlight w:val="none"/>
          <w:shd w:val="clear" w:color="auto" w:fill="FFFFFF"/>
          <w:lang w:eastAsia="zh-CN"/>
        </w:rPr>
        <w:t>。</w:t>
      </w:r>
    </w:p>
    <w:p>
      <w:pPr>
        <w:keepNext w:val="0"/>
        <w:keepLines w:val="0"/>
        <w:pageBreakBefore w:val="0"/>
        <w:widowControl w:val="0"/>
        <w:numPr>
          <w:ilvl w:val="0"/>
          <w:numId w:val="0"/>
        </w:numPr>
        <w:shd w:val="clear"/>
        <w:kinsoku/>
        <w:wordWrap/>
        <w:overflowPunct/>
        <w:topLinePunct w:val="0"/>
        <w:autoSpaceDE/>
        <w:autoSpaceDN/>
        <w:bidi w:val="0"/>
        <w:adjustRightInd/>
        <w:snapToGrid/>
        <w:spacing w:line="560" w:lineRule="exact"/>
        <w:ind w:left="0" w:firstLine="640" w:firstLineChars="200"/>
        <w:jc w:val="both"/>
        <w:textAlignment w:val="auto"/>
        <w:rPr>
          <w:rFonts w:hint="eastAsia" w:ascii="黑体" w:hAnsi="黑体" w:eastAsia="黑体" w:cs="黑体"/>
          <w:color w:val="auto"/>
          <w:sz w:val="32"/>
          <w:szCs w:val="32"/>
          <w:highlight w:val="none"/>
          <w:lang w:val="en-US" w:eastAsia="zh-CN"/>
        </w:rPr>
      </w:pPr>
      <w:r>
        <w:rPr>
          <w:rFonts w:hint="eastAsia" w:ascii="楷体_GB2312" w:hAnsi="楷体_GB2312" w:eastAsia="楷体_GB2312" w:cs="楷体_GB2312"/>
          <w:i w:val="0"/>
          <w:iCs w:val="0"/>
          <w:caps w:val="0"/>
          <w:color w:val="auto"/>
          <w:spacing w:val="0"/>
          <w:sz w:val="32"/>
          <w:szCs w:val="32"/>
          <w:highlight w:val="none"/>
          <w:shd w:val="clear" w:color="auto" w:fill="FFFFFF"/>
          <w:lang w:eastAsia="zh-CN"/>
        </w:rPr>
        <w:t>第二十一条　</w:t>
      </w:r>
      <w:r>
        <w:rPr>
          <w:rFonts w:hint="eastAsia" w:ascii="楷体_GB2312" w:hAnsi="楷体_GB2312" w:eastAsia="楷体_GB2312" w:cs="楷体_GB2312"/>
          <w:i w:val="0"/>
          <w:iCs w:val="0"/>
          <w:caps w:val="0"/>
          <w:color w:val="auto"/>
          <w:spacing w:val="0"/>
          <w:sz w:val="32"/>
          <w:szCs w:val="32"/>
          <w:highlight w:val="none"/>
          <w:shd w:val="clear" w:color="auto" w:fill="FFFFFF"/>
          <w:lang w:val="en-US" w:eastAsia="zh-CN"/>
        </w:rPr>
        <w:t>促进</w:t>
      </w:r>
      <w:r>
        <w:rPr>
          <w:rFonts w:hint="eastAsia" w:ascii="楷体_GB2312" w:hAnsi="楷体_GB2312" w:eastAsia="楷体_GB2312" w:cs="楷体_GB2312"/>
          <w:i w:val="0"/>
          <w:iCs w:val="0"/>
          <w:caps w:val="0"/>
          <w:color w:val="auto"/>
          <w:spacing w:val="0"/>
          <w:sz w:val="32"/>
          <w:szCs w:val="32"/>
          <w:highlight w:val="none"/>
          <w:shd w:val="clear" w:color="auto" w:fill="FFFFFF"/>
          <w:lang w:eastAsia="zh-CN"/>
        </w:rPr>
        <w:t>科技成果转化。</w:t>
      </w:r>
      <w:r>
        <w:rPr>
          <w:rFonts w:hint="eastAsia" w:ascii="仿宋_GB2312" w:hAnsi="仿宋_GB2312" w:eastAsia="仿宋_GB2312" w:cs="仿宋_GB2312"/>
          <w:i w:val="0"/>
          <w:iCs w:val="0"/>
          <w:caps w:val="0"/>
          <w:color w:val="auto"/>
          <w:spacing w:val="0"/>
          <w:sz w:val="32"/>
          <w:szCs w:val="32"/>
          <w:highlight w:val="none"/>
          <w:shd w:val="clear" w:color="auto" w:fill="FFFFFF"/>
          <w:lang w:val="en-US" w:eastAsia="zh-CN"/>
        </w:rPr>
        <w:t>建立企业技术需求清单，搭建科技成果转移转化交流平台，不定期组织开展专利技术对接会、成果推介会、政产学研用合作洽谈会等活动，促进创新资源供需精准对接。</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jc w:val="center"/>
        <w:textAlignment w:val="auto"/>
        <w:rPr>
          <w:rFonts w:hint="default" w:ascii="Times New Roman" w:hAnsi="Times New Roman" w:eastAsia="黑体" w:cs="Times New Roman"/>
          <w:color w:val="auto"/>
          <w:sz w:val="32"/>
          <w:szCs w:val="32"/>
          <w:highlight w:val="none"/>
          <w:lang w:val="en-US" w:eastAsia="zh-CN"/>
        </w:rPr>
      </w:pPr>
      <w:r>
        <w:rPr>
          <w:rFonts w:hint="default" w:ascii="Times New Roman" w:hAnsi="Times New Roman" w:eastAsia="黑体" w:cs="Times New Roman"/>
          <w:color w:val="auto"/>
          <w:sz w:val="32"/>
          <w:szCs w:val="32"/>
          <w:highlight w:val="none"/>
          <w:lang w:val="en-US" w:eastAsia="zh-CN"/>
        </w:rPr>
        <w:t>第</w:t>
      </w:r>
      <w:r>
        <w:rPr>
          <w:rFonts w:hint="eastAsia" w:ascii="Times New Roman" w:hAnsi="Times New Roman" w:eastAsia="黑体" w:cs="Times New Roman"/>
          <w:color w:val="auto"/>
          <w:sz w:val="32"/>
          <w:szCs w:val="32"/>
          <w:highlight w:val="none"/>
          <w:lang w:val="en-US" w:eastAsia="zh-CN"/>
        </w:rPr>
        <w:t>八</w:t>
      </w:r>
      <w:r>
        <w:rPr>
          <w:rFonts w:hint="default" w:ascii="Times New Roman" w:hAnsi="Times New Roman" w:eastAsia="黑体" w:cs="Times New Roman"/>
          <w:color w:val="auto"/>
          <w:sz w:val="32"/>
          <w:szCs w:val="32"/>
          <w:highlight w:val="none"/>
          <w:lang w:val="en-US" w:eastAsia="zh-CN"/>
        </w:rPr>
        <w:t>章 项目退出</w:t>
      </w:r>
      <w:r>
        <w:rPr>
          <w:rFonts w:hint="eastAsia" w:ascii="Times New Roman" w:hAnsi="Times New Roman" w:eastAsia="黑体" w:cs="Times New Roman"/>
          <w:color w:val="auto"/>
          <w:sz w:val="32"/>
          <w:szCs w:val="32"/>
          <w:highlight w:val="none"/>
          <w:lang w:val="en-US" w:eastAsia="zh-CN"/>
        </w:rPr>
        <w:t>管理</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eastAsia" w:ascii="Times New Roman" w:hAnsi="Times New Roman" w:eastAsia="仿宋_GB2312" w:cs="Times New Roman"/>
          <w:color w:val="auto"/>
          <w:sz w:val="32"/>
          <w:szCs w:val="32"/>
          <w:highlight w:val="none"/>
          <w:lang w:val="en-US" w:eastAsia="zh-CN"/>
        </w:rPr>
      </w:pPr>
      <w:r>
        <w:rPr>
          <w:rFonts w:hint="default" w:ascii="Times New Roman" w:hAnsi="Times New Roman" w:eastAsia="楷体_GB2312" w:cs="Times New Roman"/>
          <w:color w:val="auto"/>
          <w:sz w:val="32"/>
          <w:szCs w:val="32"/>
          <w:highlight w:val="none"/>
          <w:lang w:val="en-US" w:eastAsia="zh-CN"/>
        </w:rPr>
        <w:t>第</w:t>
      </w:r>
      <w:r>
        <w:rPr>
          <w:rFonts w:hint="eastAsia" w:ascii="Times New Roman" w:hAnsi="Times New Roman" w:eastAsia="楷体_GB2312" w:cs="Times New Roman"/>
          <w:color w:val="auto"/>
          <w:sz w:val="32"/>
          <w:szCs w:val="32"/>
          <w:highlight w:val="none"/>
          <w:lang w:val="en-US" w:eastAsia="zh-CN"/>
        </w:rPr>
        <w:t>二十二</w:t>
      </w:r>
      <w:r>
        <w:rPr>
          <w:rFonts w:hint="default" w:ascii="Times New Roman" w:hAnsi="Times New Roman" w:eastAsia="楷体_GB2312" w:cs="Times New Roman"/>
          <w:color w:val="auto"/>
          <w:sz w:val="32"/>
          <w:szCs w:val="32"/>
          <w:highlight w:val="none"/>
          <w:lang w:val="en-US" w:eastAsia="zh-CN"/>
        </w:rPr>
        <w:t>条</w:t>
      </w:r>
      <w:r>
        <w:rPr>
          <w:rFonts w:hint="default" w:ascii="Times New Roman" w:hAnsi="Times New Roman" w:eastAsia="仿宋_GB2312" w:cs="Times New Roman"/>
          <w:color w:val="auto"/>
          <w:sz w:val="32"/>
          <w:szCs w:val="32"/>
          <w:highlight w:val="none"/>
          <w:lang w:val="en-US" w:eastAsia="zh-CN"/>
        </w:rPr>
        <w:t xml:space="preserve"> </w:t>
      </w:r>
      <w:r>
        <w:rPr>
          <w:rFonts w:hint="eastAsia" w:ascii="Times New Roman" w:hAnsi="Times New Roman" w:eastAsia="仿宋_GB2312" w:cs="Times New Roman"/>
          <w:color w:val="auto"/>
          <w:sz w:val="32"/>
          <w:szCs w:val="32"/>
          <w:highlight w:val="none"/>
          <w:lang w:val="en-US" w:eastAsia="zh-CN"/>
        </w:rPr>
        <w:t>企业出现以下</w:t>
      </w:r>
      <w:r>
        <w:rPr>
          <w:rFonts w:hint="default" w:ascii="Times New Roman" w:hAnsi="Times New Roman" w:eastAsia="楷体_GB2312" w:cs="Times New Roman"/>
          <w:color w:val="auto"/>
          <w:sz w:val="32"/>
          <w:szCs w:val="32"/>
          <w:highlight w:val="none"/>
          <w:lang w:val="en-US" w:eastAsia="zh-CN"/>
        </w:rPr>
        <w:t>情形</w:t>
      </w:r>
      <w:r>
        <w:rPr>
          <w:rFonts w:hint="eastAsia" w:ascii="Times New Roman" w:hAnsi="Times New Roman" w:eastAsia="仿宋_GB2312" w:cs="Times New Roman"/>
          <w:color w:val="auto"/>
          <w:sz w:val="32"/>
          <w:szCs w:val="32"/>
          <w:highlight w:val="none"/>
          <w:lang w:val="en-US" w:eastAsia="zh-CN"/>
        </w:rPr>
        <w:t>，可申请主动退出。</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auto"/>
          <w:sz w:val="32"/>
          <w:szCs w:val="32"/>
          <w:highlight w:val="none"/>
          <w:lang w:val="en-US" w:eastAsia="zh-CN"/>
        </w:rPr>
        <w:t>1.</w:t>
      </w:r>
      <w:r>
        <w:rPr>
          <w:rFonts w:hint="default" w:ascii="Times New Roman" w:hAnsi="Times New Roman" w:eastAsia="仿宋_GB2312" w:cs="Times New Roman"/>
          <w:color w:val="auto"/>
          <w:sz w:val="32"/>
          <w:szCs w:val="32"/>
          <w:highlight w:val="none"/>
          <w:lang w:val="en-US" w:eastAsia="zh-CN"/>
        </w:rPr>
        <w:t>因资金、技术等原因无法继续实施</w:t>
      </w:r>
      <w:r>
        <w:rPr>
          <w:rFonts w:hint="eastAsia" w:ascii="Times New Roman" w:hAnsi="Times New Roman" w:eastAsia="仿宋_GB2312" w:cs="Times New Roman"/>
          <w:color w:val="auto"/>
          <w:sz w:val="32"/>
          <w:szCs w:val="32"/>
          <w:highlight w:val="none"/>
          <w:lang w:val="en-US" w:eastAsia="zh-CN"/>
        </w:rPr>
        <w:t>的</w:t>
      </w:r>
      <w:r>
        <w:rPr>
          <w:rFonts w:hint="default" w:ascii="Times New Roman" w:hAnsi="Times New Roman" w:eastAsia="仿宋_GB2312" w:cs="Times New Roman"/>
          <w:color w:val="auto"/>
          <w:sz w:val="32"/>
          <w:szCs w:val="32"/>
          <w:highlight w:val="none"/>
          <w:lang w:val="en-US" w:eastAsia="zh-CN"/>
        </w:rPr>
        <w:t>，提前3个月书面申请并经园区同意</w:t>
      </w:r>
      <w:r>
        <w:rPr>
          <w:rFonts w:hint="eastAsia" w:ascii="Times New Roman" w:hAnsi="Times New Roman" w:eastAsia="仿宋_GB2312" w:cs="Times New Roman"/>
          <w:color w:val="auto"/>
          <w:sz w:val="32"/>
          <w:szCs w:val="32"/>
          <w:highlight w:val="none"/>
          <w:lang w:val="en-US" w:eastAsia="zh-CN"/>
        </w:rPr>
        <w:t>。</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eastAsia"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auto"/>
          <w:sz w:val="32"/>
          <w:szCs w:val="32"/>
          <w:highlight w:val="none"/>
          <w:lang w:val="en-US" w:eastAsia="zh-CN"/>
        </w:rPr>
        <w:t>2.</w:t>
      </w:r>
      <w:r>
        <w:rPr>
          <w:rFonts w:hint="default" w:ascii="Times New Roman" w:hAnsi="Times New Roman" w:eastAsia="仿宋_GB2312" w:cs="Times New Roman"/>
          <w:color w:val="auto"/>
          <w:sz w:val="32"/>
          <w:szCs w:val="32"/>
          <w:highlight w:val="none"/>
          <w:lang w:val="en-US" w:eastAsia="zh-CN"/>
        </w:rPr>
        <w:t>租赁期满未续约或按约定终止合作，完成资产清算与场地恢复</w:t>
      </w:r>
      <w:r>
        <w:rPr>
          <w:rFonts w:hint="eastAsia" w:ascii="Times New Roman" w:hAnsi="Times New Roman" w:eastAsia="仿宋_GB2312" w:cs="Times New Roman"/>
          <w:color w:val="auto"/>
          <w:sz w:val="32"/>
          <w:szCs w:val="32"/>
          <w:highlight w:val="none"/>
          <w:lang w:val="en-US" w:eastAsia="zh-CN"/>
        </w:rPr>
        <w:t>。</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auto"/>
          <w:sz w:val="32"/>
          <w:szCs w:val="32"/>
          <w:highlight w:val="none"/>
          <w:lang w:val="en-US" w:eastAsia="zh-CN"/>
        </w:rPr>
        <w:t>3.</w:t>
      </w:r>
      <w:r>
        <w:rPr>
          <w:rFonts w:hint="default" w:ascii="Times New Roman" w:hAnsi="Times New Roman" w:eastAsia="仿宋_GB2312" w:cs="Times New Roman"/>
          <w:color w:val="auto"/>
          <w:sz w:val="32"/>
          <w:szCs w:val="32"/>
          <w:highlight w:val="none"/>
          <w:lang w:val="en-US" w:eastAsia="zh-CN"/>
        </w:rPr>
        <w:t>生产经营困难、有转让意向的，园区可协助通过招商引资、资产重组等方式盘活资产。</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eastAsia" w:ascii="Times New Roman" w:hAnsi="Times New Roman" w:eastAsia="仿宋_GB2312" w:cs="Times New Roman"/>
          <w:color w:val="auto"/>
          <w:sz w:val="32"/>
          <w:szCs w:val="32"/>
          <w:highlight w:val="none"/>
          <w:lang w:val="en-US" w:eastAsia="zh-CN"/>
        </w:rPr>
      </w:pPr>
      <w:r>
        <w:rPr>
          <w:rFonts w:hint="default" w:ascii="Times New Roman" w:hAnsi="Times New Roman" w:eastAsia="楷体_GB2312" w:cs="Times New Roman"/>
          <w:color w:val="auto"/>
          <w:sz w:val="32"/>
          <w:szCs w:val="32"/>
          <w:highlight w:val="none"/>
          <w:lang w:val="en-US" w:eastAsia="zh-CN"/>
        </w:rPr>
        <w:t>第</w:t>
      </w:r>
      <w:r>
        <w:rPr>
          <w:rFonts w:hint="eastAsia" w:ascii="Times New Roman" w:hAnsi="Times New Roman" w:eastAsia="楷体_GB2312" w:cs="Times New Roman"/>
          <w:color w:val="auto"/>
          <w:sz w:val="32"/>
          <w:szCs w:val="32"/>
          <w:highlight w:val="none"/>
          <w:lang w:val="en-US" w:eastAsia="zh-CN"/>
        </w:rPr>
        <w:t>二</w:t>
      </w:r>
      <w:r>
        <w:rPr>
          <w:rFonts w:hint="default" w:ascii="Times New Roman" w:hAnsi="Times New Roman" w:eastAsia="楷体_GB2312" w:cs="Times New Roman"/>
          <w:color w:val="auto"/>
          <w:sz w:val="32"/>
          <w:szCs w:val="32"/>
          <w:highlight w:val="none"/>
          <w:lang w:val="en-US" w:eastAsia="zh-CN"/>
        </w:rPr>
        <w:t>十</w:t>
      </w:r>
      <w:r>
        <w:rPr>
          <w:rFonts w:hint="eastAsia" w:ascii="Times New Roman" w:hAnsi="Times New Roman" w:eastAsia="楷体_GB2312" w:cs="Times New Roman"/>
          <w:color w:val="auto"/>
          <w:sz w:val="32"/>
          <w:szCs w:val="32"/>
          <w:highlight w:val="none"/>
          <w:lang w:val="en-US" w:eastAsia="zh-CN"/>
        </w:rPr>
        <w:t>三</w:t>
      </w:r>
      <w:r>
        <w:rPr>
          <w:rFonts w:hint="default" w:ascii="Times New Roman" w:hAnsi="Times New Roman" w:eastAsia="楷体_GB2312" w:cs="Times New Roman"/>
          <w:color w:val="auto"/>
          <w:sz w:val="32"/>
          <w:szCs w:val="32"/>
          <w:highlight w:val="none"/>
          <w:lang w:val="en-US" w:eastAsia="zh-CN"/>
        </w:rPr>
        <w:t>条</w:t>
      </w:r>
      <w:r>
        <w:rPr>
          <w:rFonts w:hint="default" w:ascii="Times New Roman" w:hAnsi="Times New Roman" w:eastAsia="仿宋_GB2312" w:cs="Times New Roman"/>
          <w:color w:val="auto"/>
          <w:sz w:val="32"/>
          <w:szCs w:val="32"/>
          <w:highlight w:val="none"/>
          <w:lang w:val="en-US" w:eastAsia="zh-CN"/>
        </w:rPr>
        <w:t xml:space="preserve"> </w:t>
      </w:r>
      <w:r>
        <w:rPr>
          <w:rFonts w:hint="eastAsia" w:ascii="Times New Roman" w:hAnsi="Times New Roman" w:eastAsia="仿宋_GB2312" w:cs="Times New Roman"/>
          <w:color w:val="auto"/>
          <w:sz w:val="32"/>
          <w:szCs w:val="32"/>
          <w:highlight w:val="none"/>
          <w:lang w:val="en-US" w:eastAsia="zh-CN"/>
        </w:rPr>
        <w:t>企业出现以下</w:t>
      </w:r>
      <w:r>
        <w:rPr>
          <w:rFonts w:hint="default" w:ascii="Times New Roman" w:hAnsi="Times New Roman" w:eastAsia="楷体_GB2312" w:cs="Times New Roman"/>
          <w:color w:val="auto"/>
          <w:sz w:val="32"/>
          <w:szCs w:val="32"/>
          <w:highlight w:val="none"/>
          <w:lang w:val="en-US" w:eastAsia="zh-CN"/>
        </w:rPr>
        <w:t>情</w:t>
      </w:r>
      <w:r>
        <w:rPr>
          <w:rFonts w:hint="default" w:ascii="Times New Roman" w:hAnsi="Times New Roman" w:eastAsia="仿宋_GB2312" w:cs="Times New Roman"/>
          <w:color w:val="auto"/>
          <w:sz w:val="32"/>
          <w:szCs w:val="32"/>
          <w:highlight w:val="none"/>
          <w:lang w:val="en-US" w:eastAsia="zh-CN"/>
        </w:rPr>
        <w:t>形</w:t>
      </w:r>
      <w:r>
        <w:rPr>
          <w:rFonts w:hint="eastAsia" w:ascii="Times New Roman" w:hAnsi="Times New Roman" w:eastAsia="仿宋_GB2312" w:cs="Times New Roman"/>
          <w:color w:val="auto"/>
          <w:sz w:val="32"/>
          <w:szCs w:val="32"/>
          <w:highlight w:val="none"/>
          <w:lang w:val="en-US" w:eastAsia="zh-CN"/>
        </w:rPr>
        <w:t>，由园区管委会协调相关部门启动</w:t>
      </w:r>
      <w:r>
        <w:rPr>
          <w:rFonts w:hint="default" w:ascii="Times New Roman" w:hAnsi="Times New Roman" w:eastAsia="仿宋_GB2312" w:cs="Times New Roman"/>
          <w:color w:val="auto"/>
          <w:sz w:val="32"/>
          <w:szCs w:val="32"/>
          <w:highlight w:val="none"/>
          <w:lang w:val="en-US" w:eastAsia="zh-CN"/>
        </w:rPr>
        <w:t>强制退出</w:t>
      </w:r>
      <w:r>
        <w:rPr>
          <w:rFonts w:hint="eastAsia" w:ascii="Times New Roman" w:hAnsi="Times New Roman" w:eastAsia="仿宋_GB2312" w:cs="Times New Roman"/>
          <w:color w:val="auto"/>
          <w:sz w:val="32"/>
          <w:szCs w:val="32"/>
          <w:highlight w:val="none"/>
          <w:lang w:val="en-US" w:eastAsia="zh-CN"/>
        </w:rPr>
        <w:t>机制，将企业清理退出园区。</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eastAsia"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auto"/>
          <w:sz w:val="32"/>
          <w:szCs w:val="32"/>
          <w:highlight w:val="none"/>
          <w:lang w:val="en-US" w:eastAsia="zh-CN"/>
        </w:rPr>
        <w:t>1.从供地之日起，2年以上不开工建设，造成土地闲置；项目建设停工1年以上，形成烂尾工程的。</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auto"/>
          <w:sz w:val="32"/>
          <w:szCs w:val="32"/>
          <w:highlight w:val="none"/>
          <w:lang w:val="en-US" w:eastAsia="zh-CN"/>
        </w:rPr>
        <w:t>2.不执行规划，乱建或私自改变土地用途，限期不改正的；不按环保要求进行建设，严重污染周边环境，限期不改正的；不按有关安全规定进行建设，造成重大安全隐患，限期不改正的。</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eastAsia"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auto"/>
          <w:sz w:val="32"/>
          <w:szCs w:val="32"/>
          <w:highlight w:val="none"/>
          <w:lang w:val="en-US" w:eastAsia="zh-CN"/>
        </w:rPr>
        <w:t>3.违反有关规定私自转让、出租土地使用权，限期不改正的。</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auto"/>
          <w:sz w:val="32"/>
          <w:szCs w:val="32"/>
          <w:highlight w:val="none"/>
          <w:lang w:val="en-US" w:eastAsia="zh-CN"/>
        </w:rPr>
        <w:t>4.投资企业不遵守国家的法律法规，利用厂房进行非法活动的；</w:t>
      </w:r>
      <w:r>
        <w:rPr>
          <w:rFonts w:hint="default" w:ascii="Times New Roman" w:hAnsi="Times New Roman" w:eastAsia="仿宋_GB2312" w:cs="Times New Roman"/>
          <w:color w:val="auto"/>
          <w:sz w:val="32"/>
          <w:szCs w:val="32"/>
          <w:highlight w:val="none"/>
          <w:lang w:val="en-US" w:eastAsia="zh-CN"/>
        </w:rPr>
        <w:t>拒不服从园区管理等情形；</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黑体"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5.</w:t>
      </w:r>
      <w:r>
        <w:rPr>
          <w:rFonts w:hint="eastAsia" w:ascii="Times New Roman" w:hAnsi="Times New Roman" w:eastAsia="仿宋_GB2312" w:cs="Times New Roman"/>
          <w:color w:val="auto"/>
          <w:sz w:val="32"/>
          <w:szCs w:val="32"/>
          <w:highlight w:val="none"/>
          <w:lang w:val="en-US" w:eastAsia="zh-CN"/>
        </w:rPr>
        <w:t>租赁</w:t>
      </w:r>
      <w:r>
        <w:rPr>
          <w:rFonts w:hint="default" w:ascii="Times New Roman" w:hAnsi="Times New Roman" w:eastAsia="仿宋_GB2312" w:cs="Times New Roman"/>
          <w:color w:val="auto"/>
          <w:sz w:val="32"/>
          <w:szCs w:val="32"/>
          <w:highlight w:val="none"/>
          <w:lang w:val="en-US" w:eastAsia="zh-CN"/>
        </w:rPr>
        <w:t>厂房类项目未达到约定标准。</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jc w:val="center"/>
        <w:textAlignment w:val="auto"/>
        <w:rPr>
          <w:rFonts w:hint="default" w:ascii="Times New Roman" w:hAnsi="Times New Roman" w:eastAsia="黑体" w:cs="Times New Roman"/>
          <w:color w:val="auto"/>
          <w:sz w:val="32"/>
          <w:szCs w:val="32"/>
          <w:highlight w:val="none"/>
          <w:lang w:val="en-US" w:eastAsia="zh-CN"/>
        </w:rPr>
      </w:pP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jc w:val="center"/>
        <w:textAlignment w:val="auto"/>
        <w:rPr>
          <w:rFonts w:hint="default" w:ascii="Times New Roman" w:hAnsi="Times New Roman" w:eastAsia="黑体" w:cs="Times New Roman"/>
          <w:color w:val="auto"/>
          <w:sz w:val="32"/>
          <w:szCs w:val="32"/>
          <w:highlight w:val="none"/>
          <w:lang w:val="en-US" w:eastAsia="zh-CN"/>
        </w:rPr>
      </w:pPr>
      <w:r>
        <w:rPr>
          <w:rFonts w:hint="default" w:ascii="Times New Roman" w:hAnsi="Times New Roman" w:eastAsia="黑体" w:cs="Times New Roman"/>
          <w:color w:val="auto"/>
          <w:sz w:val="32"/>
          <w:szCs w:val="32"/>
          <w:highlight w:val="none"/>
          <w:lang w:val="en-US" w:eastAsia="zh-CN"/>
        </w:rPr>
        <w:t>第</w:t>
      </w:r>
      <w:r>
        <w:rPr>
          <w:rFonts w:hint="eastAsia" w:ascii="Times New Roman" w:hAnsi="Times New Roman" w:eastAsia="黑体" w:cs="Times New Roman"/>
          <w:color w:val="auto"/>
          <w:sz w:val="32"/>
          <w:szCs w:val="32"/>
          <w:highlight w:val="none"/>
          <w:lang w:val="en-US" w:eastAsia="zh-CN"/>
        </w:rPr>
        <w:t>九</w:t>
      </w:r>
      <w:r>
        <w:rPr>
          <w:rFonts w:hint="default" w:ascii="Times New Roman" w:hAnsi="Times New Roman" w:eastAsia="黑体" w:cs="Times New Roman"/>
          <w:color w:val="auto"/>
          <w:sz w:val="32"/>
          <w:szCs w:val="32"/>
          <w:highlight w:val="none"/>
          <w:lang w:val="en-US" w:eastAsia="zh-CN"/>
        </w:rPr>
        <w:t xml:space="preserve">章 </w:t>
      </w:r>
      <w:r>
        <w:rPr>
          <w:rFonts w:hint="eastAsia" w:ascii="Times New Roman" w:hAnsi="Times New Roman" w:eastAsia="黑体" w:cs="Times New Roman"/>
          <w:color w:val="auto"/>
          <w:sz w:val="32"/>
          <w:szCs w:val="32"/>
          <w:highlight w:val="none"/>
          <w:lang w:val="en-US" w:eastAsia="zh-CN"/>
        </w:rPr>
        <w:t>人才管理</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bidi="ar"/>
        </w:rPr>
      </w:pPr>
      <w:r>
        <w:rPr>
          <w:rFonts w:hint="default" w:ascii="Times New Roman" w:hAnsi="Times New Roman" w:eastAsia="楷体_GB2312" w:cs="Times New Roman"/>
          <w:color w:val="auto"/>
          <w:sz w:val="32"/>
          <w:szCs w:val="32"/>
          <w:highlight w:val="none"/>
          <w:lang w:val="en-US" w:eastAsia="zh-CN"/>
        </w:rPr>
        <w:t>第</w:t>
      </w:r>
      <w:r>
        <w:rPr>
          <w:rFonts w:hint="eastAsia" w:ascii="Times New Roman" w:hAnsi="Times New Roman" w:eastAsia="楷体_GB2312" w:cs="Times New Roman"/>
          <w:color w:val="auto"/>
          <w:sz w:val="32"/>
          <w:szCs w:val="32"/>
          <w:highlight w:val="none"/>
          <w:lang w:val="en-US" w:eastAsia="zh-CN"/>
        </w:rPr>
        <w:t>二</w:t>
      </w:r>
      <w:r>
        <w:rPr>
          <w:rFonts w:hint="default" w:ascii="Times New Roman" w:hAnsi="Times New Roman" w:eastAsia="楷体_GB2312" w:cs="Times New Roman"/>
          <w:color w:val="auto"/>
          <w:sz w:val="32"/>
          <w:szCs w:val="32"/>
          <w:highlight w:val="none"/>
          <w:lang w:val="en-US" w:eastAsia="zh-CN"/>
        </w:rPr>
        <w:t>十</w:t>
      </w:r>
      <w:r>
        <w:rPr>
          <w:rFonts w:hint="eastAsia" w:ascii="Times New Roman" w:hAnsi="Times New Roman" w:eastAsia="楷体_GB2312" w:cs="Times New Roman"/>
          <w:color w:val="auto"/>
          <w:sz w:val="32"/>
          <w:szCs w:val="32"/>
          <w:highlight w:val="none"/>
          <w:lang w:val="en-US" w:eastAsia="zh-CN"/>
        </w:rPr>
        <w:t>四</w:t>
      </w:r>
      <w:r>
        <w:rPr>
          <w:rFonts w:hint="default" w:ascii="Times New Roman" w:hAnsi="Times New Roman" w:eastAsia="楷体_GB2312" w:cs="Times New Roman"/>
          <w:color w:val="auto"/>
          <w:sz w:val="32"/>
          <w:szCs w:val="32"/>
          <w:highlight w:val="none"/>
          <w:lang w:val="en-US" w:eastAsia="zh-CN"/>
        </w:rPr>
        <w:t xml:space="preserve">条  </w:t>
      </w:r>
      <w:r>
        <w:rPr>
          <w:rFonts w:hint="default" w:ascii="Times New Roman" w:hAnsi="Times New Roman" w:eastAsia="仿宋_GB2312" w:cs="Times New Roman"/>
          <w:color w:val="auto"/>
          <w:sz w:val="32"/>
          <w:szCs w:val="32"/>
          <w:highlight w:val="none"/>
          <w:lang w:val="en-US" w:eastAsia="zh-CN" w:bidi="ar"/>
        </w:rPr>
        <w:t>园区管委会在编制许可的条件下结合职能职责使用公务员、事业、编外三类人员，建立完善考核评价机制，在相对公平的基础上对三类工作人员进行分类管理与考核，进一步激发干部职工干事创业的积极性与主动性。在职在编人员依据公务员和事业人员管理办法实施考核管理，将平时考核与年度考核相挂钩，考核结果作为提拔任用、职级晋升、年度评先评优和绩效工资发放的重要依据；编外人员按照园区编外聘用人员管理考核细则进行考核管理，考核成绩作为绩效发放、是否继续聘用的重要依据。</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bidi="ar"/>
        </w:rPr>
      </w:pPr>
      <w:r>
        <w:rPr>
          <w:rFonts w:hint="default" w:ascii="Times New Roman" w:hAnsi="Times New Roman" w:eastAsia="楷体_GB2312" w:cs="Times New Roman"/>
          <w:color w:val="auto"/>
          <w:sz w:val="32"/>
          <w:szCs w:val="32"/>
          <w:highlight w:val="none"/>
          <w:lang w:val="en-US" w:eastAsia="zh-CN" w:bidi="ar"/>
        </w:rPr>
        <w:t>第</w:t>
      </w:r>
      <w:r>
        <w:rPr>
          <w:rFonts w:hint="eastAsia" w:ascii="Times New Roman" w:hAnsi="Times New Roman" w:eastAsia="楷体_GB2312" w:cs="Times New Roman"/>
          <w:color w:val="auto"/>
          <w:sz w:val="32"/>
          <w:szCs w:val="32"/>
          <w:highlight w:val="none"/>
          <w:lang w:val="en-US" w:eastAsia="zh-CN" w:bidi="ar"/>
        </w:rPr>
        <w:t>二</w:t>
      </w:r>
      <w:r>
        <w:rPr>
          <w:rFonts w:hint="default" w:ascii="Times New Roman" w:hAnsi="Times New Roman" w:eastAsia="楷体_GB2312" w:cs="Times New Roman"/>
          <w:color w:val="auto"/>
          <w:sz w:val="32"/>
          <w:szCs w:val="32"/>
          <w:highlight w:val="none"/>
          <w:lang w:val="en-US" w:eastAsia="zh-CN" w:bidi="ar"/>
        </w:rPr>
        <w:t>十</w:t>
      </w:r>
      <w:r>
        <w:rPr>
          <w:rFonts w:hint="eastAsia" w:ascii="Times New Roman" w:hAnsi="Times New Roman" w:eastAsia="楷体_GB2312" w:cs="Times New Roman"/>
          <w:color w:val="auto"/>
          <w:sz w:val="32"/>
          <w:szCs w:val="32"/>
          <w:highlight w:val="none"/>
          <w:lang w:val="en-US" w:eastAsia="zh-CN" w:bidi="ar"/>
        </w:rPr>
        <w:t>五</w:t>
      </w:r>
      <w:r>
        <w:rPr>
          <w:rFonts w:hint="default" w:ascii="Times New Roman" w:hAnsi="Times New Roman" w:eastAsia="楷体_GB2312" w:cs="Times New Roman"/>
          <w:color w:val="auto"/>
          <w:sz w:val="32"/>
          <w:szCs w:val="32"/>
          <w:highlight w:val="none"/>
          <w:lang w:val="en-US" w:eastAsia="zh-CN" w:bidi="ar"/>
        </w:rPr>
        <w:t xml:space="preserve">条  </w:t>
      </w:r>
      <w:r>
        <w:rPr>
          <w:rFonts w:hint="default" w:ascii="Times New Roman" w:hAnsi="Times New Roman" w:eastAsia="仿宋_GB2312" w:cs="Times New Roman"/>
          <w:color w:val="auto"/>
          <w:sz w:val="32"/>
          <w:szCs w:val="32"/>
          <w:highlight w:val="none"/>
          <w:lang w:val="en-US" w:eastAsia="zh-CN" w:bidi="ar"/>
        </w:rPr>
        <w:t>结合园区编制实际情况，通过公开招考、公开遴选（选调）、岗位适配度评价考核转任（选调）等方式，及时配齐配强编制内人员。</w:t>
      </w:r>
      <w:r>
        <w:rPr>
          <w:rFonts w:hint="eastAsia" w:ascii="Times New Roman" w:hAnsi="Times New Roman" w:eastAsia="仿宋_GB2312" w:cs="Times New Roman"/>
          <w:color w:val="auto"/>
          <w:sz w:val="32"/>
          <w:szCs w:val="32"/>
          <w:highlight w:val="none"/>
          <w:lang w:val="en-US" w:eastAsia="zh-CN" w:bidi="ar"/>
        </w:rPr>
        <w:t>充分利用</w:t>
      </w:r>
      <w:r>
        <w:rPr>
          <w:rFonts w:hint="default" w:ascii="Times New Roman" w:hAnsi="Times New Roman" w:eastAsia="仿宋_GB2312" w:cs="Times New Roman"/>
          <w:color w:val="auto"/>
          <w:sz w:val="32"/>
          <w:szCs w:val="32"/>
          <w:highlight w:val="none"/>
          <w:lang w:val="en-US" w:eastAsia="zh-CN" w:bidi="ar"/>
        </w:rPr>
        <w:t>业务培训、以会代训等方式，定期不定期组织干部职工外出开展理论学习和专业培训，不断提高干部队伍理论素养和专业水平。建立优秀人才干部储备库，</w:t>
      </w:r>
      <w:r>
        <w:rPr>
          <w:rFonts w:hint="eastAsia" w:ascii="Times New Roman" w:hAnsi="Times New Roman" w:eastAsia="仿宋_GB2312" w:cs="Times New Roman"/>
          <w:color w:val="auto"/>
          <w:sz w:val="32"/>
          <w:szCs w:val="32"/>
          <w:highlight w:val="none"/>
          <w:lang w:val="en-US" w:eastAsia="zh-CN" w:bidi="ar"/>
        </w:rPr>
        <w:t>健全干部培训教育机制</w:t>
      </w:r>
      <w:r>
        <w:rPr>
          <w:rFonts w:hint="default" w:ascii="Times New Roman" w:hAnsi="Times New Roman" w:eastAsia="仿宋_GB2312" w:cs="Times New Roman"/>
          <w:color w:val="auto"/>
          <w:sz w:val="32"/>
          <w:szCs w:val="32"/>
          <w:highlight w:val="none"/>
          <w:lang w:val="en-US" w:eastAsia="zh-CN" w:bidi="ar"/>
        </w:rPr>
        <w:t>，助力年轻干部快速成长，构建结构合理、衔接有序的人才梯队。对综合素质较高、工作成效显著的行政事业人员，按程序提拔使用或向市委组织部、市</w:t>
      </w:r>
      <w:r>
        <w:rPr>
          <w:rFonts w:hint="eastAsia" w:ascii="Times New Roman" w:hAnsi="Times New Roman" w:eastAsia="仿宋_GB2312" w:cs="Times New Roman"/>
          <w:color w:val="auto"/>
          <w:sz w:val="32"/>
          <w:szCs w:val="32"/>
          <w:highlight w:val="none"/>
          <w:lang w:val="en-US" w:eastAsia="zh-CN" w:bidi="ar"/>
        </w:rPr>
        <w:t>人力资源社会保障</w:t>
      </w:r>
      <w:r>
        <w:rPr>
          <w:rFonts w:hint="default" w:ascii="Times New Roman" w:hAnsi="Times New Roman" w:eastAsia="仿宋_GB2312" w:cs="Times New Roman"/>
          <w:color w:val="auto"/>
          <w:sz w:val="32"/>
          <w:szCs w:val="32"/>
          <w:highlight w:val="none"/>
          <w:lang w:val="en-US" w:eastAsia="zh-CN" w:bidi="ar"/>
        </w:rPr>
        <w:t>局推荐。</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bidi="ar"/>
        </w:rPr>
      </w:pPr>
      <w:r>
        <w:rPr>
          <w:rFonts w:hint="default" w:ascii="Times New Roman" w:hAnsi="Times New Roman" w:eastAsia="楷体_GB2312" w:cs="Times New Roman"/>
          <w:color w:val="auto"/>
          <w:sz w:val="32"/>
          <w:szCs w:val="32"/>
          <w:highlight w:val="none"/>
          <w:lang w:val="en-US" w:eastAsia="zh-CN" w:bidi="ar"/>
        </w:rPr>
        <w:t>第</w:t>
      </w:r>
      <w:r>
        <w:rPr>
          <w:rFonts w:hint="eastAsia" w:ascii="Times New Roman" w:hAnsi="Times New Roman" w:eastAsia="楷体_GB2312" w:cs="Times New Roman"/>
          <w:color w:val="auto"/>
          <w:sz w:val="32"/>
          <w:szCs w:val="32"/>
          <w:highlight w:val="none"/>
          <w:lang w:val="en-US" w:eastAsia="zh-CN" w:bidi="ar"/>
        </w:rPr>
        <w:t>二</w:t>
      </w:r>
      <w:r>
        <w:rPr>
          <w:rFonts w:hint="default" w:ascii="Times New Roman" w:hAnsi="Times New Roman" w:eastAsia="楷体_GB2312" w:cs="Times New Roman"/>
          <w:color w:val="auto"/>
          <w:sz w:val="32"/>
          <w:szCs w:val="32"/>
          <w:highlight w:val="none"/>
          <w:lang w:val="en-US" w:eastAsia="zh-CN" w:bidi="ar"/>
        </w:rPr>
        <w:t>十</w:t>
      </w:r>
      <w:r>
        <w:rPr>
          <w:rFonts w:hint="eastAsia" w:ascii="Times New Roman" w:hAnsi="Times New Roman" w:eastAsia="楷体_GB2312" w:cs="Times New Roman"/>
          <w:color w:val="auto"/>
          <w:sz w:val="32"/>
          <w:szCs w:val="32"/>
          <w:highlight w:val="none"/>
          <w:lang w:val="en-US" w:eastAsia="zh-CN" w:bidi="ar"/>
        </w:rPr>
        <w:t>六</w:t>
      </w:r>
      <w:r>
        <w:rPr>
          <w:rFonts w:hint="default" w:ascii="Times New Roman" w:hAnsi="Times New Roman" w:eastAsia="楷体_GB2312" w:cs="Times New Roman"/>
          <w:color w:val="auto"/>
          <w:sz w:val="32"/>
          <w:szCs w:val="32"/>
          <w:highlight w:val="none"/>
          <w:lang w:val="en-US" w:eastAsia="zh-CN" w:bidi="ar"/>
        </w:rPr>
        <w:t xml:space="preserve">条  </w:t>
      </w:r>
      <w:r>
        <w:rPr>
          <w:rFonts w:hint="default" w:ascii="Times New Roman" w:hAnsi="Times New Roman" w:eastAsia="仿宋_GB2312" w:cs="Times New Roman"/>
          <w:color w:val="auto"/>
          <w:sz w:val="32"/>
          <w:szCs w:val="32"/>
          <w:highlight w:val="none"/>
          <w:lang w:val="en-US" w:eastAsia="zh-CN" w:bidi="ar"/>
        </w:rPr>
        <w:t>借助沪滇协作“16+16”产业园区合作机制，选派干部人才到上海挂职锻炼，进一步拓宽视野、积累经验，增强应对复杂局面的能力。搭建干部人才实践锻炼平台，鼓励园区干部人才开展跨部门、跨领域的交流锻炼，全方位、多途径提升园区干部综合素质和工作能力。</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eastAsia" w:ascii="Times New Roman" w:hAnsi="Times New Roman" w:eastAsia="仿宋_GB2312" w:cs="Times New Roman"/>
          <w:color w:val="auto"/>
          <w:sz w:val="32"/>
          <w:szCs w:val="32"/>
          <w:highlight w:val="none"/>
          <w:lang w:val="en-US" w:eastAsia="zh-CN"/>
        </w:rPr>
      </w:pPr>
      <w:r>
        <w:rPr>
          <w:rFonts w:hint="default" w:ascii="Times New Roman" w:hAnsi="Times New Roman" w:eastAsia="楷体_GB2312" w:cs="Times New Roman"/>
          <w:color w:val="auto"/>
          <w:sz w:val="32"/>
          <w:szCs w:val="32"/>
          <w:highlight w:val="none"/>
          <w:lang w:val="en-US" w:eastAsia="zh-CN"/>
        </w:rPr>
        <w:t>第</w:t>
      </w:r>
      <w:r>
        <w:rPr>
          <w:rFonts w:hint="eastAsia" w:ascii="Times New Roman" w:hAnsi="Times New Roman" w:eastAsia="楷体_GB2312" w:cs="Times New Roman"/>
          <w:color w:val="auto"/>
          <w:sz w:val="32"/>
          <w:szCs w:val="32"/>
          <w:highlight w:val="none"/>
          <w:lang w:val="en-US" w:eastAsia="zh-CN"/>
        </w:rPr>
        <w:t>二</w:t>
      </w:r>
      <w:r>
        <w:rPr>
          <w:rFonts w:hint="default" w:ascii="Times New Roman" w:hAnsi="Times New Roman" w:eastAsia="楷体_GB2312" w:cs="Times New Roman"/>
          <w:color w:val="auto"/>
          <w:sz w:val="32"/>
          <w:szCs w:val="32"/>
          <w:highlight w:val="none"/>
          <w:lang w:val="en-US" w:eastAsia="zh-CN"/>
        </w:rPr>
        <w:t>十</w:t>
      </w:r>
      <w:r>
        <w:rPr>
          <w:rFonts w:hint="eastAsia" w:ascii="Times New Roman" w:hAnsi="Times New Roman" w:eastAsia="楷体_GB2312" w:cs="Times New Roman"/>
          <w:color w:val="auto"/>
          <w:sz w:val="32"/>
          <w:szCs w:val="32"/>
          <w:highlight w:val="none"/>
          <w:lang w:val="en-US" w:eastAsia="zh-CN"/>
        </w:rPr>
        <w:t>七</w:t>
      </w:r>
      <w:r>
        <w:rPr>
          <w:rFonts w:hint="default" w:ascii="Times New Roman" w:hAnsi="Times New Roman" w:eastAsia="楷体_GB2312" w:cs="Times New Roman"/>
          <w:color w:val="auto"/>
          <w:sz w:val="32"/>
          <w:szCs w:val="32"/>
          <w:highlight w:val="none"/>
          <w:lang w:val="en-US" w:eastAsia="zh-CN"/>
        </w:rPr>
        <w:t xml:space="preserve">条 </w:t>
      </w:r>
      <w:r>
        <w:rPr>
          <w:rFonts w:hint="default" w:ascii="Times New Roman" w:hAnsi="Times New Roman" w:eastAsia="仿宋_GB2312" w:cs="Times New Roman"/>
          <w:color w:val="auto"/>
          <w:sz w:val="32"/>
          <w:szCs w:val="32"/>
          <w:highlight w:val="none"/>
          <w:lang w:val="en-US" w:eastAsia="zh-CN"/>
        </w:rPr>
        <w:t>园区管委会工作人员在管理服务中滥用职权、玩忽职守、徇私舞弊的，</w:t>
      </w:r>
      <w:r>
        <w:rPr>
          <w:rFonts w:hint="eastAsia" w:ascii="Times New Roman" w:hAnsi="Times New Roman" w:eastAsia="仿宋_GB2312" w:cs="Times New Roman"/>
          <w:color w:val="auto"/>
          <w:sz w:val="32"/>
          <w:szCs w:val="32"/>
          <w:highlight w:val="none"/>
          <w:lang w:val="en-US" w:eastAsia="zh-CN"/>
        </w:rPr>
        <w:t>由园区纪检监察工委</w:t>
      </w:r>
      <w:r>
        <w:rPr>
          <w:rFonts w:hint="default" w:ascii="Times New Roman" w:hAnsi="Times New Roman" w:eastAsia="仿宋_GB2312" w:cs="Times New Roman"/>
          <w:color w:val="auto"/>
          <w:sz w:val="32"/>
          <w:szCs w:val="32"/>
          <w:highlight w:val="none"/>
          <w:lang w:val="en-US" w:eastAsia="zh-CN"/>
        </w:rPr>
        <w:t>依规依纪依法处理</w:t>
      </w:r>
      <w:r>
        <w:rPr>
          <w:rFonts w:hint="eastAsia"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构成犯罪的，移送司法机关追究刑事责任。</w:t>
      </w:r>
      <w:r>
        <w:rPr>
          <w:rFonts w:hint="eastAsia" w:ascii="Times New Roman" w:hAnsi="Times New Roman" w:eastAsia="仿宋_GB2312" w:cs="Times New Roman"/>
          <w:color w:val="auto"/>
          <w:sz w:val="32"/>
          <w:szCs w:val="32"/>
          <w:highlight w:val="none"/>
          <w:lang w:val="en-US" w:eastAsia="zh-CN"/>
        </w:rPr>
        <w:t>入</w:t>
      </w:r>
      <w:r>
        <w:rPr>
          <w:rFonts w:hint="default" w:ascii="Times New Roman" w:hAnsi="Times New Roman" w:eastAsia="仿宋_GB2312" w:cs="Times New Roman"/>
          <w:color w:val="auto"/>
          <w:sz w:val="32"/>
          <w:szCs w:val="32"/>
          <w:highlight w:val="none"/>
          <w:lang w:val="en-US" w:eastAsia="zh-CN"/>
        </w:rPr>
        <w:t>园企业</w:t>
      </w:r>
      <w:r>
        <w:rPr>
          <w:rFonts w:hint="eastAsia" w:ascii="Times New Roman" w:hAnsi="Times New Roman" w:eastAsia="仿宋_GB2312" w:cs="Times New Roman"/>
          <w:color w:val="auto"/>
          <w:sz w:val="32"/>
          <w:szCs w:val="32"/>
          <w:highlight w:val="none"/>
          <w:lang w:val="en-US" w:eastAsia="zh-CN"/>
        </w:rPr>
        <w:t>工作人员</w:t>
      </w:r>
      <w:r>
        <w:rPr>
          <w:rFonts w:hint="default" w:ascii="Times New Roman" w:hAnsi="Times New Roman" w:eastAsia="仿宋_GB2312" w:cs="Times New Roman"/>
          <w:color w:val="auto"/>
          <w:sz w:val="32"/>
          <w:szCs w:val="32"/>
          <w:highlight w:val="none"/>
          <w:lang w:val="en-US" w:eastAsia="zh-CN"/>
        </w:rPr>
        <w:t>违反法律法规的，</w:t>
      </w:r>
      <w:r>
        <w:rPr>
          <w:rFonts w:hint="eastAsia" w:ascii="Times New Roman" w:hAnsi="Times New Roman" w:eastAsia="仿宋_GB2312" w:cs="Times New Roman"/>
          <w:color w:val="auto"/>
          <w:sz w:val="32"/>
          <w:szCs w:val="32"/>
          <w:highlight w:val="none"/>
          <w:lang w:val="en-US" w:eastAsia="zh-CN"/>
        </w:rPr>
        <w:t>党员</w:t>
      </w:r>
      <w:r>
        <w:rPr>
          <w:rFonts w:hint="default" w:ascii="Times New Roman" w:hAnsi="Times New Roman" w:eastAsia="仿宋_GB2312" w:cs="Times New Roman"/>
          <w:color w:val="auto"/>
          <w:sz w:val="32"/>
          <w:szCs w:val="32"/>
          <w:highlight w:val="none"/>
          <w:lang w:val="en-US" w:eastAsia="zh-CN"/>
        </w:rPr>
        <w:t>由</w:t>
      </w:r>
      <w:r>
        <w:rPr>
          <w:rFonts w:hint="eastAsia" w:ascii="Times New Roman" w:hAnsi="Times New Roman" w:eastAsia="仿宋_GB2312" w:cs="Times New Roman"/>
          <w:color w:val="auto"/>
          <w:sz w:val="32"/>
          <w:szCs w:val="32"/>
          <w:highlight w:val="none"/>
          <w:lang w:val="en-US" w:eastAsia="zh-CN"/>
        </w:rPr>
        <w:t>云南思茅产业</w:t>
      </w:r>
      <w:r>
        <w:rPr>
          <w:rFonts w:hint="default" w:ascii="Times New Roman" w:hAnsi="Times New Roman" w:eastAsia="仿宋_GB2312" w:cs="Times New Roman"/>
          <w:color w:val="auto"/>
          <w:sz w:val="32"/>
          <w:szCs w:val="32"/>
          <w:highlight w:val="none"/>
          <w:lang w:val="en-US" w:eastAsia="zh-CN"/>
        </w:rPr>
        <w:t>园区</w:t>
      </w:r>
      <w:r>
        <w:rPr>
          <w:rFonts w:hint="eastAsia" w:ascii="Times New Roman" w:hAnsi="Times New Roman" w:eastAsia="仿宋_GB2312" w:cs="Times New Roman"/>
          <w:color w:val="auto"/>
          <w:sz w:val="32"/>
          <w:szCs w:val="32"/>
          <w:highlight w:val="none"/>
          <w:lang w:val="en-US" w:eastAsia="zh-CN"/>
        </w:rPr>
        <w:t>企业纪委按照党章党规进行处置，</w:t>
      </w:r>
      <w:r>
        <w:rPr>
          <w:rFonts w:hint="default" w:ascii="Times New Roman" w:hAnsi="Times New Roman" w:eastAsia="仿宋_GB2312" w:cs="Times New Roman"/>
          <w:color w:val="auto"/>
          <w:sz w:val="32"/>
          <w:szCs w:val="32"/>
          <w:highlight w:val="none"/>
          <w:lang w:val="en-US" w:eastAsia="zh-CN"/>
        </w:rPr>
        <w:t>构成犯罪的，移送司法机关追究刑事责任</w:t>
      </w:r>
      <w:r>
        <w:rPr>
          <w:rFonts w:hint="eastAsia" w:ascii="Times New Roman" w:hAnsi="Times New Roman" w:eastAsia="仿宋_GB2312" w:cs="Times New Roman"/>
          <w:color w:val="auto"/>
          <w:sz w:val="32"/>
          <w:szCs w:val="32"/>
          <w:highlight w:val="none"/>
          <w:lang w:val="en-US" w:eastAsia="zh-CN"/>
        </w:rPr>
        <w:t>；一般工作人员由相关司法机关依法依规进行处置。</w:t>
      </w:r>
    </w:p>
    <w:p>
      <w:pPr>
        <w:keepNext w:val="0"/>
        <w:keepLines w:val="0"/>
        <w:pageBreakBefore w:val="0"/>
        <w:widowControl w:val="0"/>
        <w:numPr>
          <w:ilvl w:val="0"/>
          <w:numId w:val="0"/>
        </w:numPr>
        <w:shd w:val="clear"/>
        <w:kinsoku/>
        <w:wordWrap/>
        <w:overflowPunct/>
        <w:topLinePunct w:val="0"/>
        <w:autoSpaceDE/>
        <w:autoSpaceDN/>
        <w:bidi w:val="0"/>
        <w:adjustRightInd/>
        <w:snapToGrid/>
        <w:spacing w:line="560" w:lineRule="exact"/>
        <w:ind w:left="0" w:firstLine="640" w:firstLineChars="200"/>
        <w:textAlignment w:val="auto"/>
        <w:rPr>
          <w:rFonts w:hint="eastAsia" w:ascii="Times New Roman" w:hAnsi="Times New Roman" w:eastAsia="仿宋_GB2312" w:cs="Times New Roman"/>
          <w:color w:val="auto"/>
          <w:sz w:val="32"/>
          <w:szCs w:val="32"/>
          <w:highlight w:val="none"/>
          <w:lang w:val="en-US" w:eastAsia="zh-CN"/>
        </w:rPr>
      </w:pPr>
      <w:r>
        <w:rPr>
          <w:rFonts w:hint="eastAsia" w:ascii="楷体_GB2312" w:hAnsi="楷体_GB2312" w:eastAsia="楷体_GB2312" w:cs="楷体_GB2312"/>
          <w:color w:val="auto"/>
          <w:sz w:val="32"/>
          <w:szCs w:val="32"/>
          <w:highlight w:val="none"/>
          <w:lang w:val="en-US" w:eastAsia="zh-CN"/>
        </w:rPr>
        <w:t xml:space="preserve">第二十八条 </w:t>
      </w:r>
      <w:r>
        <w:rPr>
          <w:rFonts w:hint="eastAsia" w:ascii="Times New Roman" w:hAnsi="Times New Roman" w:eastAsia="仿宋_GB2312" w:cs="Times New Roman"/>
          <w:color w:val="auto"/>
          <w:sz w:val="32"/>
          <w:szCs w:val="32"/>
          <w:highlight w:val="none"/>
          <w:lang w:val="en-US" w:eastAsia="zh-CN"/>
        </w:rPr>
        <w:t>鼓励企业根据岗位需求和人才梯队建设规划建立管理人才、专业技术人才分类培养体系及激励制度，提升职工职业素养和岗位胜任能力。鼓励企业通过内部培训和外出培训相结合的方式，组织高层管理人才、专业技术人才参加技能提升、职业资格认证等培训。大力培养园区专业技术人才，鼓励支持符合条件的企业职工，结合自身岗位、专业能力水平，申报相应专业技术职称。</w:t>
      </w:r>
    </w:p>
    <w:p>
      <w:pPr>
        <w:keepNext w:val="0"/>
        <w:keepLines w:val="0"/>
        <w:pageBreakBefore w:val="0"/>
        <w:widowControl w:val="0"/>
        <w:numPr>
          <w:ilvl w:val="0"/>
          <w:numId w:val="0"/>
        </w:numPr>
        <w:shd w:val="clear"/>
        <w:kinsoku/>
        <w:wordWrap/>
        <w:overflowPunct/>
        <w:topLinePunct w:val="0"/>
        <w:autoSpaceDE/>
        <w:autoSpaceDN/>
        <w:bidi w:val="0"/>
        <w:adjustRightInd/>
        <w:snapToGrid/>
        <w:spacing w:line="560" w:lineRule="exact"/>
        <w:ind w:left="0" w:firstLine="640" w:firstLineChars="200"/>
        <w:textAlignment w:val="auto"/>
        <w:rPr>
          <w:rFonts w:hint="eastAsia" w:ascii="Times New Roman" w:hAnsi="Times New Roman" w:eastAsia="仿宋_GB2312" w:cs="Times New Roman"/>
          <w:color w:val="auto"/>
          <w:sz w:val="32"/>
          <w:szCs w:val="32"/>
          <w:highlight w:val="none"/>
          <w:lang w:val="en-US" w:eastAsia="zh-CN"/>
        </w:rPr>
      </w:pPr>
      <w:r>
        <w:rPr>
          <w:rFonts w:hint="eastAsia" w:ascii="楷体_GB2312" w:hAnsi="楷体_GB2312" w:eastAsia="楷体_GB2312" w:cs="楷体_GB2312"/>
          <w:color w:val="auto"/>
          <w:sz w:val="32"/>
          <w:szCs w:val="32"/>
          <w:highlight w:val="none"/>
          <w:lang w:val="en-US" w:eastAsia="zh-CN"/>
        </w:rPr>
        <w:t xml:space="preserve">第二十九条 </w:t>
      </w:r>
      <w:r>
        <w:rPr>
          <w:rFonts w:hint="eastAsia" w:ascii="Times New Roman" w:hAnsi="Times New Roman" w:eastAsia="仿宋_GB2312" w:cs="Times New Roman"/>
          <w:color w:val="auto"/>
          <w:sz w:val="32"/>
          <w:szCs w:val="32"/>
          <w:highlight w:val="none"/>
          <w:lang w:val="en-US" w:eastAsia="zh-CN"/>
        </w:rPr>
        <w:t>推动园区企业与省内外高校、职业院校开展深度合作，共建产业学院、实训基地、学徒制培养点。鼓励企业参与院校课程设置、教学实践环节，吸纳学生顶岗实习、就业，实现“招生即招工、入校即入厂”。</w:t>
      </w:r>
    </w:p>
    <w:p>
      <w:pPr>
        <w:keepNext w:val="0"/>
        <w:keepLines w:val="0"/>
        <w:pageBreakBefore w:val="0"/>
        <w:widowControl w:val="0"/>
        <w:numPr>
          <w:ilvl w:val="0"/>
          <w:numId w:val="0"/>
        </w:numPr>
        <w:shd w:val="clear"/>
        <w:kinsoku/>
        <w:wordWrap/>
        <w:overflowPunct/>
        <w:topLinePunct w:val="0"/>
        <w:autoSpaceDE/>
        <w:autoSpaceDN/>
        <w:bidi w:val="0"/>
        <w:adjustRightInd/>
        <w:snapToGrid/>
        <w:spacing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eastAsia" w:ascii="楷体_GB2312" w:hAnsi="楷体_GB2312" w:eastAsia="楷体_GB2312" w:cs="楷体_GB2312"/>
          <w:color w:val="auto"/>
          <w:sz w:val="32"/>
          <w:szCs w:val="32"/>
          <w:highlight w:val="none"/>
          <w:lang w:val="en-US" w:eastAsia="zh-CN"/>
        </w:rPr>
        <w:t xml:space="preserve">第三十条 </w:t>
      </w:r>
      <w:r>
        <w:rPr>
          <w:rFonts w:hint="eastAsia" w:ascii="Times New Roman" w:hAnsi="Times New Roman" w:eastAsia="仿宋_GB2312" w:cs="Times New Roman"/>
          <w:color w:val="auto"/>
          <w:sz w:val="32"/>
          <w:szCs w:val="32"/>
          <w:highlight w:val="none"/>
          <w:lang w:val="en-US" w:eastAsia="zh-CN" w:bidi="ar"/>
        </w:rPr>
        <w:t>指导企业职工申报</w:t>
      </w:r>
      <w:r>
        <w:rPr>
          <w:rFonts w:hint="default" w:ascii="Times New Roman" w:hAnsi="Times New Roman" w:eastAsia="仿宋_GB2312" w:cs="Times New Roman"/>
          <w:color w:val="auto"/>
          <w:sz w:val="32"/>
          <w:szCs w:val="32"/>
          <w:highlight w:val="none"/>
          <w:lang w:val="en-US" w:eastAsia="zh-CN" w:bidi="ar"/>
        </w:rPr>
        <w:t>“兴滇英才”“茶城英才”等</w:t>
      </w:r>
      <w:r>
        <w:rPr>
          <w:rFonts w:hint="eastAsia" w:ascii="Times New Roman" w:hAnsi="Times New Roman" w:eastAsia="仿宋_GB2312" w:cs="Times New Roman"/>
          <w:color w:val="auto"/>
          <w:sz w:val="32"/>
          <w:szCs w:val="32"/>
          <w:highlight w:val="none"/>
          <w:lang w:val="en-US" w:eastAsia="zh-CN" w:bidi="ar"/>
        </w:rPr>
        <w:t>人才支持计划</w:t>
      </w:r>
      <w:r>
        <w:rPr>
          <w:rFonts w:hint="default" w:ascii="Times New Roman" w:hAnsi="Times New Roman" w:eastAsia="仿宋_GB2312" w:cs="Times New Roman"/>
          <w:color w:val="auto"/>
          <w:sz w:val="32"/>
          <w:szCs w:val="32"/>
          <w:highlight w:val="none"/>
          <w:lang w:val="en-US" w:eastAsia="zh-CN" w:bidi="ar"/>
        </w:rPr>
        <w:t>，</w:t>
      </w:r>
      <w:r>
        <w:rPr>
          <w:rFonts w:hint="eastAsia" w:ascii="Times New Roman" w:hAnsi="Times New Roman" w:eastAsia="仿宋_GB2312" w:cs="Times New Roman"/>
          <w:color w:val="auto"/>
          <w:sz w:val="32"/>
          <w:szCs w:val="32"/>
          <w:highlight w:val="none"/>
          <w:lang w:val="en-US" w:eastAsia="zh-CN" w:bidi="ar"/>
        </w:rPr>
        <w:t>加快企业领军人才、经管人才等高层次人才培育。鼓励企业</w:t>
      </w:r>
      <w:r>
        <w:rPr>
          <w:rFonts w:hint="default" w:ascii="Times New Roman" w:hAnsi="Times New Roman" w:eastAsia="仿宋_GB2312" w:cs="Times New Roman"/>
          <w:color w:val="auto"/>
          <w:sz w:val="32"/>
          <w:szCs w:val="32"/>
          <w:highlight w:val="none"/>
          <w:lang w:val="en-US" w:eastAsia="zh-CN" w:bidi="ar"/>
        </w:rPr>
        <w:t>引进</w:t>
      </w:r>
      <w:r>
        <w:rPr>
          <w:rFonts w:hint="eastAsia" w:ascii="Times New Roman" w:hAnsi="Times New Roman" w:eastAsia="仿宋_GB2312" w:cs="Times New Roman"/>
          <w:color w:val="auto"/>
          <w:sz w:val="32"/>
          <w:szCs w:val="32"/>
          <w:highlight w:val="none"/>
          <w:lang w:val="en-US" w:eastAsia="zh-CN" w:bidi="ar"/>
        </w:rPr>
        <w:t>高层次人才，推动企业以“政企联聘”、柔性引进人才等方式引进重点产业人才，破解重点产业人才引进瓶颈。</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p>
    <w:p>
      <w:pPr>
        <w:keepNext w:val="0"/>
        <w:keepLines w:val="0"/>
        <w:pageBreakBefore w:val="0"/>
        <w:widowControl w:val="0"/>
        <w:numPr>
          <w:ilvl w:val="0"/>
          <w:numId w:val="0"/>
        </w:numPr>
        <w:shd w:val="clear"/>
        <w:kinsoku/>
        <w:wordWrap/>
        <w:overflowPunct/>
        <w:topLinePunct w:val="0"/>
        <w:autoSpaceDE/>
        <w:autoSpaceDN/>
        <w:bidi w:val="0"/>
        <w:adjustRightInd/>
        <w:snapToGrid/>
        <w:spacing w:line="560" w:lineRule="exact"/>
        <w:ind w:left="0"/>
        <w:jc w:val="center"/>
        <w:textAlignment w:val="auto"/>
        <w:rPr>
          <w:rFonts w:hint="default" w:ascii="Times New Roman" w:hAnsi="Times New Roman" w:eastAsia="黑体" w:cs="Times New Roman"/>
          <w:color w:val="auto"/>
          <w:sz w:val="32"/>
          <w:szCs w:val="32"/>
          <w:highlight w:val="none"/>
          <w:lang w:val="en-US" w:eastAsia="zh-CN"/>
        </w:rPr>
      </w:pPr>
      <w:r>
        <w:rPr>
          <w:rFonts w:hint="eastAsia" w:ascii="Times New Roman" w:hAnsi="Times New Roman" w:eastAsia="黑体" w:cs="Times New Roman"/>
          <w:color w:val="auto"/>
          <w:sz w:val="32"/>
          <w:szCs w:val="32"/>
          <w:highlight w:val="none"/>
          <w:lang w:val="en-US" w:eastAsia="zh-CN"/>
        </w:rPr>
        <w:t>第十章 财政管理</w:t>
      </w:r>
    </w:p>
    <w:p>
      <w:pPr>
        <w:keepNext w:val="0"/>
        <w:keepLines w:val="0"/>
        <w:pageBreakBefore w:val="0"/>
        <w:widowControl w:val="0"/>
        <w:numPr>
          <w:ilvl w:val="0"/>
          <w:numId w:val="0"/>
        </w:numPr>
        <w:shd w:val="clear"/>
        <w:kinsoku/>
        <w:wordWrap/>
        <w:overflowPunct/>
        <w:topLinePunct w:val="0"/>
        <w:autoSpaceDE/>
        <w:autoSpaceDN/>
        <w:bidi w:val="0"/>
        <w:adjustRightInd/>
        <w:snapToGrid/>
        <w:spacing w:line="560" w:lineRule="exact"/>
        <w:ind w:left="0" w:firstLine="640" w:firstLineChars="200"/>
        <w:textAlignment w:val="auto"/>
        <w:rPr>
          <w:rFonts w:ascii="Microsoft YaHei UI" w:hAnsi="Microsoft YaHei UI" w:eastAsia="Microsoft YaHei UI" w:cs="Microsoft YaHei UI"/>
          <w:i w:val="0"/>
          <w:iCs w:val="0"/>
          <w:caps w:val="0"/>
          <w:color w:val="auto"/>
          <w:spacing w:val="7"/>
          <w:sz w:val="19"/>
          <w:szCs w:val="19"/>
          <w:highlight w:val="none"/>
          <w:shd w:val="clear" w:color="auto" w:fill="FFFFFF"/>
        </w:rPr>
      </w:pPr>
      <w:r>
        <w:rPr>
          <w:rFonts w:hint="eastAsia" w:ascii="楷体_GB2312" w:hAnsi="楷体_GB2312" w:eastAsia="楷体_GB2312" w:cs="楷体_GB2312"/>
          <w:color w:val="auto"/>
          <w:sz w:val="32"/>
          <w:szCs w:val="32"/>
          <w:highlight w:val="none"/>
          <w:lang w:val="en-US" w:eastAsia="zh-CN"/>
        </w:rPr>
        <w:t xml:space="preserve">第三十一条 </w:t>
      </w:r>
      <w:r>
        <w:rPr>
          <w:rFonts w:hint="eastAsia" w:ascii="仿宋_GB2312" w:hAnsi="仿宋_GB2312" w:eastAsia="仿宋_GB2312" w:cs="仿宋_GB2312"/>
          <w:color w:val="auto"/>
          <w:sz w:val="32"/>
          <w:szCs w:val="32"/>
          <w:highlight w:val="none"/>
        </w:rPr>
        <w:t>严格执行上级财政管理政策，优化自身预算管理流程，</w:t>
      </w:r>
      <w:r>
        <w:rPr>
          <w:rFonts w:hint="eastAsia" w:ascii="仿宋_GB2312" w:hAnsi="仿宋_GB2312" w:eastAsia="仿宋_GB2312" w:cs="仿宋_GB2312"/>
          <w:color w:val="auto"/>
          <w:sz w:val="32"/>
          <w:szCs w:val="32"/>
          <w:highlight w:val="none"/>
          <w:lang w:val="en-US" w:eastAsia="zh-CN"/>
        </w:rPr>
        <w:t>加强</w:t>
      </w:r>
      <w:r>
        <w:rPr>
          <w:rFonts w:hint="eastAsia" w:ascii="仿宋_GB2312" w:hAnsi="仿宋_GB2312" w:eastAsia="仿宋_GB2312" w:cs="仿宋_GB2312"/>
          <w:color w:val="auto"/>
          <w:sz w:val="32"/>
          <w:szCs w:val="32"/>
          <w:highlight w:val="none"/>
        </w:rPr>
        <w:t>对园区债务举借、使用、管理的</w:t>
      </w:r>
      <w:r>
        <w:rPr>
          <w:rFonts w:hint="eastAsia" w:ascii="仿宋_GB2312" w:hAnsi="仿宋_GB2312" w:eastAsia="仿宋_GB2312" w:cs="仿宋_GB2312"/>
          <w:color w:val="auto"/>
          <w:sz w:val="32"/>
          <w:szCs w:val="32"/>
          <w:highlight w:val="none"/>
          <w:lang w:eastAsia="zh-CN"/>
        </w:rPr>
        <w:t>全过程监督</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加快</w:t>
      </w:r>
      <w:r>
        <w:rPr>
          <w:rFonts w:hint="eastAsia" w:ascii="仿宋_GB2312" w:hAnsi="仿宋_GB2312" w:eastAsia="仿宋_GB2312" w:cs="仿宋_GB2312"/>
          <w:color w:val="auto"/>
          <w:sz w:val="32"/>
          <w:szCs w:val="32"/>
          <w:highlight w:val="none"/>
        </w:rPr>
        <w:t>建立合理的投入与收入分配</w:t>
      </w:r>
      <w:r>
        <w:rPr>
          <w:rFonts w:hint="eastAsia" w:ascii="仿宋_GB2312" w:hAnsi="仿宋_GB2312" w:eastAsia="仿宋_GB2312" w:cs="仿宋_GB2312"/>
          <w:color w:val="auto"/>
          <w:sz w:val="32"/>
          <w:szCs w:val="32"/>
          <w:highlight w:val="none"/>
          <w:lang w:val="en-US" w:eastAsia="zh-CN"/>
        </w:rPr>
        <w:t>机制</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纳入本级财政预决算管理。</w:t>
      </w:r>
    </w:p>
    <w:p>
      <w:pPr>
        <w:keepNext w:val="0"/>
        <w:keepLines w:val="0"/>
        <w:pageBreakBefore w:val="0"/>
        <w:widowControl w:val="0"/>
        <w:numPr>
          <w:ilvl w:val="0"/>
          <w:numId w:val="0"/>
        </w:numPr>
        <w:shd w:val="clear"/>
        <w:kinsoku/>
        <w:wordWrap/>
        <w:overflowPunct/>
        <w:topLinePunct w:val="0"/>
        <w:autoSpaceDE/>
        <w:autoSpaceDN/>
        <w:bidi w:val="0"/>
        <w:adjustRightInd/>
        <w:snapToGrid/>
        <w:spacing w:line="560" w:lineRule="exact"/>
        <w:ind w:left="0"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楷体_GB2312" w:hAnsi="楷体_GB2312" w:eastAsia="楷体_GB2312" w:cs="楷体_GB2312"/>
          <w:color w:val="auto"/>
          <w:sz w:val="32"/>
          <w:szCs w:val="32"/>
          <w:highlight w:val="none"/>
          <w:lang w:val="en-US" w:eastAsia="zh-CN"/>
        </w:rPr>
        <w:t xml:space="preserve">第三十二条 </w:t>
      </w:r>
      <w:r>
        <w:rPr>
          <w:rFonts w:hint="eastAsia" w:ascii="仿宋_GB2312" w:hAnsi="仿宋_GB2312" w:eastAsia="仿宋_GB2312" w:cs="仿宋_GB2312"/>
          <w:color w:val="auto"/>
          <w:sz w:val="32"/>
          <w:szCs w:val="32"/>
          <w:highlight w:val="none"/>
        </w:rPr>
        <w:t>强化内部审计监督，健全内审工作制度，加强资金、资产、项目监管</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numPr>
          <w:ilvl w:val="0"/>
          <w:numId w:val="0"/>
        </w:numPr>
        <w:shd w:val="clear"/>
        <w:kinsoku/>
        <w:wordWrap/>
        <w:overflowPunct/>
        <w:topLinePunct w:val="0"/>
        <w:autoSpaceDE/>
        <w:autoSpaceDN/>
        <w:bidi w:val="0"/>
        <w:adjustRightInd/>
        <w:snapToGrid/>
        <w:spacing w:line="560" w:lineRule="exact"/>
        <w:ind w:left="0"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楷体_GB2312" w:hAnsi="楷体_GB2312" w:eastAsia="楷体_GB2312" w:cs="楷体_GB2312"/>
          <w:color w:val="auto"/>
          <w:sz w:val="32"/>
          <w:szCs w:val="32"/>
          <w:highlight w:val="none"/>
          <w:lang w:val="en-US" w:eastAsia="zh-CN"/>
        </w:rPr>
        <w:t xml:space="preserve">第三十三条 </w:t>
      </w:r>
      <w:r>
        <w:rPr>
          <w:rFonts w:hint="eastAsia" w:ascii="仿宋_GB2312" w:hAnsi="仿宋_GB2312" w:eastAsia="仿宋_GB2312" w:cs="仿宋_GB2312"/>
          <w:color w:val="auto"/>
          <w:sz w:val="32"/>
          <w:szCs w:val="32"/>
          <w:highlight w:val="none"/>
        </w:rPr>
        <w:t>加大财源培植力度，依托产业发展壮大税源，提升财政增收能力；全面盘活存量资产，推动闲置资源高效利用，通过资产运营拓宽资金来源</w:t>
      </w:r>
      <w:r>
        <w:rPr>
          <w:rFonts w:hint="eastAsia" w:ascii="仿宋_GB2312" w:hAnsi="仿宋_GB2312" w:eastAsia="仿宋_GB2312" w:cs="仿宋_GB2312"/>
          <w:color w:val="auto"/>
          <w:sz w:val="32"/>
          <w:szCs w:val="32"/>
          <w:highlight w:val="none"/>
          <w:lang w:val="en-US" w:eastAsia="zh-CN"/>
        </w:rPr>
        <w:t>渠道。</w:t>
      </w:r>
    </w:p>
    <w:p>
      <w:pPr>
        <w:keepNext w:val="0"/>
        <w:keepLines w:val="0"/>
        <w:pageBreakBefore w:val="0"/>
        <w:widowControl w:val="0"/>
        <w:numPr>
          <w:ilvl w:val="0"/>
          <w:numId w:val="0"/>
        </w:numPr>
        <w:shd w:val="clear"/>
        <w:kinsoku/>
        <w:wordWrap/>
        <w:overflowPunct/>
        <w:topLinePunct w:val="0"/>
        <w:autoSpaceDE/>
        <w:autoSpaceDN/>
        <w:bidi w:val="0"/>
        <w:adjustRightInd/>
        <w:snapToGrid/>
        <w:spacing w:line="560" w:lineRule="exact"/>
        <w:ind w:left="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color w:val="auto"/>
          <w:sz w:val="32"/>
          <w:szCs w:val="32"/>
          <w:highlight w:val="none"/>
          <w:lang w:val="en-US" w:eastAsia="zh-CN"/>
        </w:rPr>
        <w:t xml:space="preserve">第三十四条 </w:t>
      </w:r>
      <w:r>
        <w:rPr>
          <w:rFonts w:hint="eastAsia" w:ascii="仿宋_GB2312" w:hAnsi="仿宋_GB2312" w:eastAsia="仿宋_GB2312" w:cs="仿宋_GB2312"/>
          <w:color w:val="auto"/>
          <w:sz w:val="32"/>
          <w:szCs w:val="32"/>
          <w:highlight w:val="none"/>
          <w:lang w:val="en-US" w:eastAsia="zh-CN"/>
        </w:rPr>
        <w:t>建立健全债务风险防控体系，严格落实债务管控要求，动态监测债务规模、结构及偿债能力，优化债务结构、压降偿债压力，坚决守住债务风险底线。</w:t>
      </w:r>
    </w:p>
    <w:p>
      <w:pPr>
        <w:keepNext w:val="0"/>
        <w:keepLines w:val="0"/>
        <w:pageBreakBefore w:val="0"/>
        <w:widowControl w:val="0"/>
        <w:numPr>
          <w:ilvl w:val="0"/>
          <w:numId w:val="0"/>
        </w:numPr>
        <w:shd w:val="clear"/>
        <w:kinsoku/>
        <w:wordWrap/>
        <w:overflowPunct/>
        <w:topLinePunct w:val="0"/>
        <w:autoSpaceDE/>
        <w:autoSpaceDN/>
        <w:bidi w:val="0"/>
        <w:adjustRightInd/>
        <w:snapToGrid/>
        <w:spacing w:line="560" w:lineRule="exact"/>
        <w:ind w:left="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color w:val="auto"/>
          <w:sz w:val="32"/>
          <w:szCs w:val="32"/>
          <w:highlight w:val="none"/>
          <w:lang w:val="en-US" w:eastAsia="zh-CN"/>
        </w:rPr>
        <w:t>第三十五条</w:t>
      </w:r>
      <w:r>
        <w:rPr>
          <w:rFonts w:hint="eastAsia" w:ascii="仿宋_GB2312" w:hAnsi="仿宋_GB2312" w:eastAsia="仿宋_GB2312" w:cs="仿宋_GB2312"/>
          <w:color w:val="auto"/>
          <w:sz w:val="32"/>
          <w:szCs w:val="32"/>
          <w:highlight w:val="none"/>
          <w:lang w:val="en-US" w:eastAsia="zh-CN"/>
        </w:rPr>
        <w:t xml:space="preserve">  加强对下属国有企业监督管理，深化国有企业改革，完善现代企业法人治理结构，健全市场化经营机制，规范国资监管与运营，提升国企发展活力和经营效益。</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textAlignment w:val="auto"/>
        <w:rPr>
          <w:rFonts w:hint="default" w:ascii="Times New Roman" w:hAnsi="Times New Roman" w:eastAsia="黑体" w:cs="Times New Roman"/>
          <w:color w:val="auto"/>
          <w:sz w:val="32"/>
          <w:szCs w:val="32"/>
          <w:highlight w:val="none"/>
          <w:lang w:val="en-US" w:eastAsia="zh-CN"/>
        </w:rPr>
      </w:pPr>
    </w:p>
    <w:p>
      <w:pPr>
        <w:keepNext w:val="0"/>
        <w:keepLines w:val="0"/>
        <w:pageBreakBefore w:val="0"/>
        <w:widowControl w:val="0"/>
        <w:shd w:val="clear"/>
        <w:kinsoku/>
        <w:wordWrap/>
        <w:overflowPunct/>
        <w:topLinePunct w:val="0"/>
        <w:autoSpaceDE/>
        <w:autoSpaceDN/>
        <w:bidi w:val="0"/>
        <w:adjustRightInd/>
        <w:snapToGrid/>
        <w:spacing w:beforeAutospacing="0" w:line="560" w:lineRule="exact"/>
        <w:jc w:val="center"/>
        <w:textAlignment w:val="auto"/>
        <w:rPr>
          <w:rFonts w:hint="default" w:ascii="Times New Roman" w:hAnsi="Times New Roman" w:eastAsia="黑体" w:cs="Times New Roman"/>
          <w:color w:val="auto"/>
          <w:sz w:val="32"/>
          <w:szCs w:val="32"/>
          <w:highlight w:val="none"/>
          <w:lang w:val="en-US" w:eastAsia="zh-CN"/>
        </w:rPr>
      </w:pPr>
      <w:r>
        <w:rPr>
          <w:rFonts w:hint="default" w:ascii="Times New Roman" w:hAnsi="Times New Roman" w:eastAsia="黑体" w:cs="Times New Roman"/>
          <w:color w:val="auto"/>
          <w:sz w:val="32"/>
          <w:szCs w:val="32"/>
          <w:highlight w:val="none"/>
          <w:lang w:val="en-US" w:eastAsia="zh-CN"/>
        </w:rPr>
        <w:t>第</w:t>
      </w:r>
      <w:r>
        <w:rPr>
          <w:rFonts w:hint="eastAsia" w:ascii="Times New Roman" w:hAnsi="Times New Roman" w:eastAsia="黑体" w:cs="Times New Roman"/>
          <w:color w:val="auto"/>
          <w:sz w:val="32"/>
          <w:szCs w:val="32"/>
          <w:highlight w:val="none"/>
          <w:lang w:val="en-US" w:eastAsia="zh-CN"/>
        </w:rPr>
        <w:t>十一</w:t>
      </w:r>
      <w:r>
        <w:rPr>
          <w:rFonts w:hint="default" w:ascii="Times New Roman" w:hAnsi="Times New Roman" w:eastAsia="黑体" w:cs="Times New Roman"/>
          <w:color w:val="auto"/>
          <w:sz w:val="32"/>
          <w:szCs w:val="32"/>
          <w:highlight w:val="none"/>
          <w:lang w:val="en-US" w:eastAsia="zh-CN"/>
        </w:rPr>
        <w:t>章</w:t>
      </w:r>
      <w:r>
        <w:rPr>
          <w:rFonts w:hint="eastAsia" w:ascii="Times New Roman" w:hAnsi="Times New Roman" w:eastAsia="黑体" w:cs="Times New Roman"/>
          <w:color w:val="auto"/>
          <w:sz w:val="32"/>
          <w:szCs w:val="32"/>
          <w:highlight w:val="none"/>
          <w:lang w:val="en-US" w:eastAsia="zh-CN"/>
        </w:rPr>
        <w:t xml:space="preserve"> 公平竞争审查 </w:t>
      </w:r>
    </w:p>
    <w:p>
      <w:pPr>
        <w:keepNext w:val="0"/>
        <w:keepLines w:val="0"/>
        <w:pageBreakBefore w:val="0"/>
        <w:widowControl w:val="0"/>
        <w:shd w:val="clear"/>
        <w:kinsoku/>
        <w:wordWrap/>
        <w:overflowPunct/>
        <w:topLinePunct w:val="0"/>
        <w:autoSpaceDE/>
        <w:autoSpaceDN/>
        <w:bidi w:val="0"/>
        <w:adjustRightInd/>
        <w:snapToGrid/>
        <w:spacing w:line="560" w:lineRule="exact"/>
        <w:ind w:left="0" w:firstLine="640" w:firstLineChars="20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楷体_GB2312" w:cs="Times New Roman"/>
          <w:color w:val="auto"/>
          <w:sz w:val="32"/>
          <w:szCs w:val="32"/>
          <w:highlight w:val="none"/>
          <w:lang w:val="en-US" w:eastAsia="zh-CN"/>
        </w:rPr>
        <w:t>第</w:t>
      </w:r>
      <w:r>
        <w:rPr>
          <w:rFonts w:hint="eastAsia" w:ascii="Times New Roman" w:hAnsi="Times New Roman" w:eastAsia="楷体_GB2312" w:cs="Times New Roman"/>
          <w:color w:val="auto"/>
          <w:sz w:val="32"/>
          <w:szCs w:val="32"/>
          <w:highlight w:val="none"/>
          <w:lang w:val="en-US" w:eastAsia="zh-CN"/>
        </w:rPr>
        <w:t>三十六</w:t>
      </w:r>
      <w:r>
        <w:rPr>
          <w:rFonts w:hint="default" w:ascii="Times New Roman" w:hAnsi="Times New Roman" w:eastAsia="楷体_GB2312" w:cs="Times New Roman"/>
          <w:color w:val="auto"/>
          <w:sz w:val="32"/>
          <w:szCs w:val="32"/>
          <w:highlight w:val="none"/>
          <w:lang w:val="en-US" w:eastAsia="zh-CN"/>
        </w:rPr>
        <w:t xml:space="preserve">条 </w:t>
      </w:r>
      <w:r>
        <w:rPr>
          <w:rFonts w:hint="default" w:ascii="Times New Roman" w:hAnsi="Times New Roman" w:eastAsia="仿宋_GB2312" w:cs="Times New Roman"/>
          <w:color w:val="auto"/>
          <w:kern w:val="2"/>
          <w:sz w:val="32"/>
          <w:szCs w:val="32"/>
          <w:highlight w:val="none"/>
          <w:lang w:val="en-US" w:eastAsia="zh-CN" w:bidi="ar-SA"/>
        </w:rPr>
        <w:t>为规范园区政策措施制定实施，维护统一开放、公平竞争的市场秩序，依据《公平竞争审查条例》相关规定</w:t>
      </w:r>
      <w:r>
        <w:rPr>
          <w:rFonts w:hint="eastAsia" w:ascii="Times New Roman" w:hAnsi="Times New Roman" w:eastAsia="仿宋_GB2312" w:cs="Times New Roman"/>
          <w:color w:val="auto"/>
          <w:kern w:val="2"/>
          <w:sz w:val="32"/>
          <w:szCs w:val="32"/>
          <w:highlight w:val="none"/>
          <w:lang w:val="en-US" w:eastAsia="zh-CN" w:bidi="ar-SA"/>
        </w:rPr>
        <w:t>，</w:t>
      </w:r>
      <w:r>
        <w:rPr>
          <w:rFonts w:hint="default" w:ascii="Times New Roman" w:hAnsi="Times New Roman" w:eastAsia="仿宋_GB2312" w:cs="Times New Roman"/>
          <w:color w:val="auto"/>
          <w:kern w:val="2"/>
          <w:sz w:val="32"/>
          <w:szCs w:val="32"/>
          <w:highlight w:val="none"/>
          <w:lang w:val="en-US" w:eastAsia="zh-CN" w:bidi="ar-SA"/>
        </w:rPr>
        <w:t>园区管委会制定、修订涉及经营主体经济活动的政策措施，包括但不限于产业扶持、招商合作、市场准入、要素保障、运营管理等相关规定、协议、方案，均应当严格按照法定权限和程序开展公平竞争审查，未经公平竞争审查的政策措施不得出台实施。</w:t>
      </w:r>
    </w:p>
    <w:p>
      <w:pPr>
        <w:keepNext w:val="0"/>
        <w:keepLines w:val="0"/>
        <w:pageBreakBefore w:val="0"/>
        <w:widowControl w:val="0"/>
        <w:shd w:val="clear"/>
        <w:kinsoku/>
        <w:wordWrap/>
        <w:overflowPunct/>
        <w:topLinePunct w:val="0"/>
        <w:autoSpaceDE/>
        <w:autoSpaceDN/>
        <w:bidi w:val="0"/>
        <w:adjustRightInd/>
        <w:snapToGrid/>
        <w:spacing w:line="560" w:lineRule="exact"/>
        <w:ind w:left="0" w:firstLine="640" w:firstLineChars="20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楷体_GB2312" w:cs="Times New Roman"/>
          <w:color w:val="auto"/>
          <w:sz w:val="32"/>
          <w:szCs w:val="32"/>
          <w:highlight w:val="none"/>
          <w:lang w:val="en-US" w:eastAsia="zh-CN"/>
        </w:rPr>
        <w:t>第</w:t>
      </w:r>
      <w:r>
        <w:rPr>
          <w:rFonts w:hint="eastAsia" w:ascii="Times New Roman" w:hAnsi="Times New Roman" w:eastAsia="楷体_GB2312" w:cs="Times New Roman"/>
          <w:color w:val="auto"/>
          <w:sz w:val="32"/>
          <w:szCs w:val="32"/>
          <w:highlight w:val="none"/>
          <w:lang w:val="en-US" w:eastAsia="zh-CN"/>
        </w:rPr>
        <w:t>三十七</w:t>
      </w:r>
      <w:r>
        <w:rPr>
          <w:rFonts w:hint="default" w:ascii="Times New Roman" w:hAnsi="Times New Roman" w:eastAsia="楷体_GB2312" w:cs="Times New Roman"/>
          <w:color w:val="auto"/>
          <w:sz w:val="32"/>
          <w:szCs w:val="32"/>
          <w:highlight w:val="none"/>
          <w:lang w:val="en-US" w:eastAsia="zh-CN"/>
        </w:rPr>
        <w:t>条</w:t>
      </w:r>
      <w:r>
        <w:rPr>
          <w:rFonts w:hint="default" w:ascii="Times New Roman" w:hAnsi="Times New Roman" w:eastAsia="仿宋_GB2312" w:cs="Times New Roman"/>
          <w:color w:val="auto"/>
          <w:kern w:val="2"/>
          <w:sz w:val="32"/>
          <w:szCs w:val="32"/>
          <w:highlight w:val="none"/>
          <w:lang w:val="en-US" w:eastAsia="zh-CN" w:bidi="ar-SA"/>
        </w:rPr>
        <w:t xml:space="preserve"> 园区建立健全公平竞争审查工作机制，明确审查责任主体、审查流程与工作要求，严格对照公平竞争审查标准开展审查工作，坚决杜绝排除、限制市场竞争的情形，保障各类经营主体平等参与市场竞争。</w:t>
      </w:r>
    </w:p>
    <w:p>
      <w:pPr>
        <w:keepNext w:val="0"/>
        <w:keepLines w:val="0"/>
        <w:pageBreakBefore w:val="0"/>
        <w:widowControl w:val="0"/>
        <w:shd w:val="clear"/>
        <w:kinsoku/>
        <w:wordWrap/>
        <w:overflowPunct/>
        <w:topLinePunct w:val="0"/>
        <w:autoSpaceDE/>
        <w:autoSpaceDN/>
        <w:bidi w:val="0"/>
        <w:adjustRightInd/>
        <w:snapToGrid/>
        <w:spacing w:line="560" w:lineRule="exact"/>
        <w:ind w:left="0" w:firstLine="640" w:firstLineChars="20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楷体_GB2312" w:cs="Times New Roman"/>
          <w:color w:val="auto"/>
          <w:sz w:val="32"/>
          <w:szCs w:val="32"/>
          <w:highlight w:val="none"/>
          <w:lang w:val="en-US" w:eastAsia="zh-CN"/>
        </w:rPr>
        <w:t>第</w:t>
      </w:r>
      <w:r>
        <w:rPr>
          <w:rFonts w:hint="eastAsia" w:ascii="Times New Roman" w:hAnsi="Times New Roman" w:eastAsia="楷体_GB2312" w:cs="Times New Roman"/>
          <w:color w:val="auto"/>
          <w:sz w:val="32"/>
          <w:szCs w:val="32"/>
          <w:highlight w:val="none"/>
          <w:lang w:val="en-US" w:eastAsia="zh-CN"/>
        </w:rPr>
        <w:t>三十八</w:t>
      </w:r>
      <w:r>
        <w:rPr>
          <w:rFonts w:hint="default" w:ascii="Times New Roman" w:hAnsi="Times New Roman" w:eastAsia="楷体_GB2312" w:cs="Times New Roman"/>
          <w:color w:val="auto"/>
          <w:sz w:val="32"/>
          <w:szCs w:val="32"/>
          <w:highlight w:val="none"/>
          <w:lang w:val="en-US" w:eastAsia="zh-CN"/>
        </w:rPr>
        <w:t>条</w:t>
      </w:r>
      <w:r>
        <w:rPr>
          <w:rFonts w:hint="default" w:ascii="Times New Roman" w:hAnsi="Times New Roman" w:eastAsia="仿宋_GB2312" w:cs="Times New Roman"/>
          <w:color w:val="auto"/>
          <w:kern w:val="2"/>
          <w:sz w:val="32"/>
          <w:szCs w:val="32"/>
          <w:highlight w:val="none"/>
          <w:lang w:val="en-US" w:eastAsia="zh-CN" w:bidi="ar-SA"/>
        </w:rPr>
        <w:t xml:space="preserve"> 园区定期对现行有效的管理规定、政策文件、合作协议等进行全面清理，及时废止、修改妨碍统一市场和公平竞争的相关条款，建立动态清理长效机制，切实维护公平竞争的市场环境。</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jc w:val="center"/>
        <w:textAlignment w:val="auto"/>
        <w:rPr>
          <w:rFonts w:hint="default" w:ascii="Times New Roman" w:hAnsi="Times New Roman" w:eastAsia="黑体" w:cs="Times New Roman"/>
          <w:color w:val="auto"/>
          <w:sz w:val="32"/>
          <w:szCs w:val="32"/>
          <w:highlight w:val="none"/>
          <w:lang w:val="en-US" w:eastAsia="zh-CN"/>
        </w:rPr>
      </w:pP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jc w:val="center"/>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黑体" w:cs="Times New Roman"/>
          <w:color w:val="auto"/>
          <w:sz w:val="32"/>
          <w:szCs w:val="32"/>
          <w:highlight w:val="none"/>
          <w:lang w:val="en-US" w:eastAsia="zh-CN"/>
        </w:rPr>
        <w:t>第十</w:t>
      </w:r>
      <w:r>
        <w:rPr>
          <w:rFonts w:hint="eastAsia" w:ascii="Times New Roman" w:hAnsi="Times New Roman" w:eastAsia="黑体" w:cs="Times New Roman"/>
          <w:color w:val="auto"/>
          <w:sz w:val="32"/>
          <w:szCs w:val="32"/>
          <w:highlight w:val="none"/>
          <w:lang w:val="en-US" w:eastAsia="zh-CN"/>
        </w:rPr>
        <w:t>二</w:t>
      </w:r>
      <w:r>
        <w:rPr>
          <w:rFonts w:hint="default" w:ascii="Times New Roman" w:hAnsi="Times New Roman" w:eastAsia="黑体" w:cs="Times New Roman"/>
          <w:color w:val="auto"/>
          <w:sz w:val="32"/>
          <w:szCs w:val="32"/>
          <w:highlight w:val="none"/>
          <w:lang w:val="en-US" w:eastAsia="zh-CN"/>
        </w:rPr>
        <w:t>章 附则</w:t>
      </w:r>
    </w:p>
    <w:p>
      <w:pPr>
        <w:keepNext w:val="0"/>
        <w:keepLines w:val="0"/>
        <w:pageBreakBefore w:val="0"/>
        <w:widowControl w:val="0"/>
        <w:shd w:val="clear"/>
        <w:kinsoku/>
        <w:wordWrap/>
        <w:overflowPunct/>
        <w:topLinePunct w:val="0"/>
        <w:autoSpaceDE/>
        <w:autoSpaceDN/>
        <w:bidi w:val="0"/>
        <w:adjustRightInd/>
        <w:snapToGrid/>
        <w:spacing w:beforeAutospacing="0" w:line="560" w:lineRule="exact"/>
        <w:ind w:left="0"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楷体_GB2312" w:cs="Times New Roman"/>
          <w:color w:val="auto"/>
          <w:sz w:val="32"/>
          <w:szCs w:val="32"/>
          <w:highlight w:val="none"/>
          <w:lang w:val="en-US" w:eastAsia="zh-CN"/>
        </w:rPr>
        <w:t>第</w:t>
      </w:r>
      <w:r>
        <w:rPr>
          <w:rFonts w:hint="eastAsia" w:ascii="Times New Roman" w:hAnsi="Times New Roman" w:eastAsia="楷体_GB2312" w:cs="Times New Roman"/>
          <w:color w:val="auto"/>
          <w:sz w:val="32"/>
          <w:szCs w:val="32"/>
          <w:highlight w:val="none"/>
          <w:lang w:val="en-US" w:eastAsia="zh-CN"/>
        </w:rPr>
        <w:t>三十九</w:t>
      </w:r>
      <w:r>
        <w:rPr>
          <w:rFonts w:hint="default" w:ascii="Times New Roman" w:hAnsi="Times New Roman" w:eastAsia="楷体_GB2312" w:cs="Times New Roman"/>
          <w:color w:val="auto"/>
          <w:sz w:val="32"/>
          <w:szCs w:val="32"/>
          <w:highlight w:val="none"/>
          <w:lang w:val="en-US" w:eastAsia="zh-CN"/>
        </w:rPr>
        <w:t xml:space="preserve">条 </w:t>
      </w:r>
      <w:r>
        <w:rPr>
          <w:rFonts w:hint="default" w:ascii="Times New Roman" w:hAnsi="Times New Roman" w:eastAsia="仿宋_GB2312" w:cs="Times New Roman"/>
          <w:color w:val="auto"/>
          <w:sz w:val="32"/>
          <w:szCs w:val="32"/>
          <w:highlight w:val="none"/>
          <w:lang w:val="en-US" w:eastAsia="zh-CN"/>
        </w:rPr>
        <w:t>本制度由云南思茅产业园区管理委员会负责解释，未尽事宜按国家及地方相关规定执行。园区可根据发展需要适时修订。</w:t>
      </w:r>
    </w:p>
    <w:p>
      <w:pPr>
        <w:keepNext w:val="0"/>
        <w:keepLines w:val="0"/>
        <w:pageBreakBefore w:val="0"/>
        <w:widowControl w:val="0"/>
        <w:shd w:val="clear"/>
        <w:kinsoku/>
        <w:wordWrap/>
        <w:overflowPunct/>
        <w:topLinePunct w:val="0"/>
        <w:autoSpaceDE/>
        <w:autoSpaceDN/>
        <w:bidi w:val="0"/>
        <w:adjustRightInd/>
        <w:snapToGrid/>
        <w:ind w:firstLine="640" w:firstLineChars="200"/>
        <w:textAlignment w:val="auto"/>
      </w:pPr>
      <w:bookmarkStart w:id="1" w:name="_GoBack"/>
      <w:bookmarkEnd w:id="1"/>
      <w:r>
        <w:rPr>
          <w:rFonts w:hint="default" w:ascii="Times New Roman" w:hAnsi="Times New Roman" w:eastAsia="楷体_GB2312" w:cs="Times New Roman"/>
          <w:color w:val="auto"/>
          <w:sz w:val="32"/>
          <w:szCs w:val="32"/>
          <w:highlight w:val="none"/>
          <w:lang w:val="en-US" w:eastAsia="zh-CN"/>
        </w:rPr>
        <w:t>第</w:t>
      </w:r>
      <w:r>
        <w:rPr>
          <w:rFonts w:hint="eastAsia" w:ascii="Times New Roman" w:hAnsi="Times New Roman" w:eastAsia="楷体_GB2312" w:cs="Times New Roman"/>
          <w:color w:val="auto"/>
          <w:sz w:val="32"/>
          <w:szCs w:val="32"/>
          <w:highlight w:val="none"/>
          <w:lang w:val="en-US" w:eastAsia="zh-CN"/>
        </w:rPr>
        <w:t>四十</w:t>
      </w:r>
      <w:r>
        <w:rPr>
          <w:rFonts w:hint="default" w:ascii="Times New Roman" w:hAnsi="Times New Roman" w:eastAsia="楷体_GB2312" w:cs="Times New Roman"/>
          <w:color w:val="auto"/>
          <w:sz w:val="32"/>
          <w:szCs w:val="32"/>
          <w:highlight w:val="none"/>
          <w:lang w:val="en-US" w:eastAsia="zh-CN"/>
        </w:rPr>
        <w:t xml:space="preserve">条 </w:t>
      </w:r>
      <w:r>
        <w:rPr>
          <w:rFonts w:hint="default" w:ascii="Times New Roman" w:hAnsi="Times New Roman" w:eastAsia="仿宋_GB2312" w:cs="Times New Roman"/>
          <w:color w:val="auto"/>
          <w:sz w:val="32"/>
          <w:szCs w:val="32"/>
          <w:highlight w:val="none"/>
          <w:lang w:val="en-US" w:eastAsia="zh-CN"/>
        </w:rPr>
        <w:t>本制度自发布之日起施行。</w:t>
      </w:r>
    </w:p>
    <w:sectPr>
      <w:pgSz w:w="11906" w:h="16838"/>
      <w:pgMar w:top="2098" w:right="1474" w:bottom="1984" w:left="1587"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Microsoft YaHei UI">
    <w:altName w:val="Droid Sans Fallback"/>
    <w:panose1 w:val="020B0503020204020204"/>
    <w:charset w:val="00"/>
    <w:family w:val="auto"/>
    <w:pitch w:val="default"/>
    <w:sig w:usb0="00000000" w:usb1="00000000" w:usb2="00000016" w:usb3="00000000" w:csb0="0004001F" w:csb1="00000000"/>
  </w:font>
  <w:font w:name="方正仿宋_GB2312">
    <w:altName w:val="方正仿宋_GBK"/>
    <w:panose1 w:val="02000000000000000000"/>
    <w:charset w:val="00"/>
    <w:family w:val="auto"/>
    <w:pitch w:val="default"/>
    <w:sig w:usb0="00000000" w:usb1="00000000"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Droid Sans Fallback">
    <w:panose1 w:val="020B0502000000000001"/>
    <w:charset w:val="86"/>
    <w:family w:val="auto"/>
    <w:pitch w:val="default"/>
    <w:sig w:usb0="910002FF" w:usb1="2BDFFCFB" w:usb2="00000036" w:usb3="00000000" w:csb0="203F01FF" w:csb1="D7FF0000"/>
  </w:font>
  <w:font w:name="方正仿宋_GBK">
    <w:panose1 w:val="03000509000000000000"/>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CEA4FE3"/>
    <w:rsid w:val="1B6E4B8F"/>
    <w:rsid w:val="37AC3E9E"/>
    <w:rsid w:val="3EFBC4EE"/>
    <w:rsid w:val="4FDBA300"/>
    <w:rsid w:val="50DED08D"/>
    <w:rsid w:val="5DFD53DC"/>
    <w:rsid w:val="66D7E337"/>
    <w:rsid w:val="6FAF78DE"/>
    <w:rsid w:val="73C7FD73"/>
    <w:rsid w:val="7F7B1586"/>
    <w:rsid w:val="7F8E8A76"/>
    <w:rsid w:val="7FFD0A29"/>
    <w:rsid w:val="B5975341"/>
    <w:rsid w:val="B6FF5831"/>
    <w:rsid w:val="CF7F83A5"/>
    <w:rsid w:val="CFD79380"/>
    <w:rsid w:val="DBEBDE40"/>
    <w:rsid w:val="DEBF6417"/>
    <w:rsid w:val="EEB330F6"/>
    <w:rsid w:val="F0FF86E2"/>
    <w:rsid w:val="F6F791CD"/>
    <w:rsid w:val="F9EF94B7"/>
    <w:rsid w:val="FBF70D88"/>
    <w:rsid w:val="FCEA4FE3"/>
    <w:rsid w:val="FDDF9089"/>
    <w:rsid w:val="FEFFC3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line="560" w:lineRule="exact"/>
      <w:jc w:val="both"/>
      <w:outlineLvl w:val="9"/>
    </w:pPr>
    <w:rPr>
      <w:rFonts w:ascii="Times New Roman" w:hAnsi="Times New Roman" w:eastAsia="黑体"/>
      <w:kern w:val="44"/>
      <w:sz w:val="32"/>
      <w:szCs w:val="32"/>
    </w:rPr>
  </w:style>
  <w:style w:type="paragraph" w:styleId="3">
    <w:name w:val="heading 2"/>
    <w:basedOn w:val="1"/>
    <w:next w:val="4"/>
    <w:link w:val="9"/>
    <w:semiHidden/>
    <w:unhideWhenUsed/>
    <w:qFormat/>
    <w:uiPriority w:val="0"/>
    <w:pPr>
      <w:keepNext/>
      <w:keepLines/>
      <w:spacing w:beforeLines="0" w:beforeAutospacing="0" w:afterLines="0" w:afterAutospacing="0" w:line="560" w:lineRule="exact"/>
      <w:outlineLvl w:val="1"/>
    </w:pPr>
    <w:rPr>
      <w:rFonts w:ascii="Times New Roman" w:hAnsi="Times New Roman" w:eastAsia="楷体_GB2312" w:cs="Times New Roman"/>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4">
    <w:name w:val="正文111"/>
    <w:basedOn w:val="1"/>
    <w:qFormat/>
    <w:uiPriority w:val="0"/>
    <w:pPr>
      <w:spacing w:line="560" w:lineRule="exact"/>
      <w:ind w:firstLine="420" w:firstLineChars="200"/>
    </w:pPr>
    <w:rPr>
      <w:rFonts w:ascii="Times New Roman" w:hAnsi="Times New Roman" w:eastAsia="仿宋_GB2312" w:cs="Times New Roman"/>
      <w:sz w:val="32"/>
      <w:szCs w:val="32"/>
    </w:rPr>
  </w:style>
  <w:style w:type="paragraph" w:styleId="5">
    <w:name w:val="Normal (Web)"/>
    <w:qFormat/>
    <w:uiPriority w:val="0"/>
    <w:pPr>
      <w:widowControl w:val="0"/>
      <w:spacing w:before="100" w:beforeAutospacing="1" w:after="100" w:afterAutospacing="1"/>
      <w:ind w:left="0" w:right="0"/>
      <w:jc w:val="left"/>
    </w:pPr>
    <w:rPr>
      <w:rFonts w:ascii="Calibri" w:hAnsi="Calibri" w:eastAsia="宋体" w:cs="Times New Roman"/>
      <w:kern w:val="0"/>
      <w:sz w:val="24"/>
      <w:szCs w:val="24"/>
      <w:lang w:val="en-US" w:eastAsia="zh-CN" w:bidi="ar"/>
    </w:rPr>
  </w:style>
  <w:style w:type="paragraph" w:customStyle="1" w:styleId="8">
    <w:name w:val="标题111"/>
    <w:basedOn w:val="1"/>
    <w:next w:val="4"/>
    <w:qFormat/>
    <w:uiPriority w:val="0"/>
    <w:pPr>
      <w:spacing w:line="560" w:lineRule="exact"/>
      <w:jc w:val="center"/>
      <w:outlineLvl w:val="0"/>
    </w:pPr>
    <w:rPr>
      <w:rFonts w:ascii="Times New Roman" w:hAnsi="Times New Roman" w:eastAsia="方正小标宋简体" w:cs="Times New Roman"/>
      <w:sz w:val="44"/>
      <w:szCs w:val="44"/>
    </w:rPr>
  </w:style>
  <w:style w:type="character" w:customStyle="1" w:styleId="9">
    <w:name w:val="标题 2 Char"/>
    <w:link w:val="3"/>
    <w:qFormat/>
    <w:uiPriority w:val="0"/>
    <w:rPr>
      <w:rFonts w:ascii="Times New Roman" w:hAnsi="Times New Roman" w:eastAsia="楷体_GB2312" w:cs="Times New Roman"/>
      <w:sz w:val="32"/>
      <w:szCs w:val="32"/>
    </w:rPr>
  </w:style>
  <w:style w:type="paragraph" w:customStyle="1" w:styleId="10">
    <w:name w:val="小标题1.黑体"/>
    <w:basedOn w:val="1"/>
    <w:next w:val="4"/>
    <w:qFormat/>
    <w:uiPriority w:val="0"/>
    <w:pPr>
      <w:spacing w:line="560" w:lineRule="exact"/>
      <w:ind w:firstLine="420" w:firstLineChars="200"/>
    </w:pPr>
    <w:rPr>
      <w:rFonts w:ascii="Times New Roman" w:hAnsi="Times New Roman" w:eastAsia="黑体"/>
      <w:sz w:val="32"/>
      <w:szCs w:val="32"/>
    </w:rPr>
  </w:style>
  <w:style w:type="paragraph" w:customStyle="1" w:styleId="11">
    <w:name w:val="小标题2.楷体"/>
    <w:basedOn w:val="1"/>
    <w:next w:val="4"/>
    <w:qFormat/>
    <w:uiPriority w:val="0"/>
    <w:pPr>
      <w:spacing w:line="560" w:lineRule="exact"/>
    </w:pPr>
    <w:rPr>
      <w:rFonts w:ascii="Times New Roman" w:hAnsi="Times New Roman" w:eastAsia="楷体_GB2312"/>
      <w:sz w:val="32"/>
      <w:szCs w:val="32"/>
    </w:rPr>
  </w:style>
  <w:style w:type="paragraph" w:customStyle="1" w:styleId="12">
    <w:name w:val="正文标题111"/>
    <w:basedOn w:val="1"/>
    <w:next w:val="4"/>
    <w:qFormat/>
    <w:uiPriority w:val="0"/>
    <w:pPr>
      <w:spacing w:line="560" w:lineRule="exact"/>
      <w:ind w:firstLine="0" w:firstLineChars="0"/>
      <w:jc w:val="center"/>
      <w:outlineLvl w:val="0"/>
    </w:pPr>
    <w:rPr>
      <w:rFonts w:ascii="Times New Roman" w:hAnsi="Times New Roman" w:eastAsia="方正小标宋简体" w:cs="Times New Roman"/>
      <w:sz w:val="44"/>
      <w:szCs w:val="44"/>
    </w:rPr>
  </w:style>
  <w:style w:type="paragraph" w:customStyle="1" w:styleId="13">
    <w:name w:val="正文小标题1.黑体"/>
    <w:basedOn w:val="1"/>
    <w:next w:val="4"/>
    <w:qFormat/>
    <w:uiPriority w:val="0"/>
    <w:pPr>
      <w:spacing w:line="560" w:lineRule="exact"/>
      <w:ind w:firstLine="420" w:firstLineChars="200"/>
    </w:pPr>
    <w:rPr>
      <w:rFonts w:ascii="Times New Roman" w:hAnsi="Times New Roman" w:eastAsia="黑体"/>
      <w:sz w:val="32"/>
      <w:szCs w:val="32"/>
    </w:rPr>
  </w:style>
  <w:style w:type="paragraph" w:customStyle="1" w:styleId="14">
    <w:name w:val="正文小标题2.楷体"/>
    <w:basedOn w:val="1"/>
    <w:next w:val="4"/>
    <w:qFormat/>
    <w:uiPriority w:val="0"/>
    <w:pPr>
      <w:spacing w:line="560" w:lineRule="exact"/>
    </w:pPr>
    <w:rPr>
      <w:rFonts w:ascii="Times New Roman" w:hAnsi="Times New Roman" w:eastAsia="楷体_GB2312"/>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2026-04-28T22:40:00Z</dcterms:created>
  <dc:creator>kylin</dc:creator>
  <cp:lastModifiedBy>kylin</cp:lastModifiedBy>
  <dcterms:modified xsi:type="dcterms:W3CDTF">2026-04-27T16:22:23Z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