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spacing w:line="600" w:lineRule="exact"/>
        <w:jc w:val="left"/>
        <w:rPr>
          <w:rFonts w:ascii="仿宋_GB2312" w:hAnsi="仿宋_GB2312" w:eastAsia="仿宋_GB2312" w:cs="仿宋_GB2312"/>
          <w:sz w:val="32"/>
          <w:szCs w:val="32"/>
        </w:rPr>
      </w:pP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肇庆市深化产业投资项目“双容双承诺”</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直接落地改革实施方案</w:t>
      </w:r>
    </w:p>
    <w:p>
      <w:pPr>
        <w:spacing w:line="600" w:lineRule="exact"/>
        <w:jc w:val="center"/>
        <w:rPr>
          <w:rFonts w:ascii="方正小标宋简体" w:hAnsi="方正小标宋简体" w:eastAsia="方正小标宋简体" w:cs="方正小标宋简体"/>
          <w:sz w:val="44"/>
          <w:szCs w:val="44"/>
        </w:rPr>
      </w:pPr>
      <w:r>
        <w:rPr>
          <w:rFonts w:hint="eastAsia" w:ascii="楷体_GB2312" w:hAnsi="楷体_GB2312" w:eastAsia="楷体_GB2312" w:cs="楷体_GB2312"/>
          <w:sz w:val="32"/>
          <w:szCs w:val="32"/>
        </w:rPr>
        <w:t>（征求意见稿，下划线部分为修订部分）</w:t>
      </w:r>
    </w:p>
    <w:p>
      <w:pPr>
        <w:spacing w:line="600" w:lineRule="exact"/>
        <w:jc w:val="center"/>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为持续贯彻《中共中央 国务院关于深化投融资体制改革的意见》（中发﹝2016﹞18号）精神，</w:t>
      </w:r>
      <w:r>
        <w:rPr>
          <w:rFonts w:hint="eastAsia" w:ascii="仿宋_GB2312" w:hAnsi="仿宋_GB2312" w:eastAsia="仿宋_GB2312" w:cs="仿宋_GB2312"/>
          <w:sz w:val="32"/>
          <w:szCs w:val="32"/>
        </w:rPr>
        <w:t>深入推进“放管服”改革，优化我市投资环境，加快转变政府职能，突出企业主体责任，</w:t>
      </w:r>
      <w:r>
        <w:rPr>
          <w:rFonts w:hint="eastAsia" w:ascii="仿宋_GB2312" w:hAnsi="仿宋_GB2312" w:eastAsia="仿宋_GB2312" w:cs="仿宋_GB2312"/>
          <w:sz w:val="32"/>
          <w:szCs w:val="32"/>
          <w:u w:val="single"/>
        </w:rPr>
        <w:t>根据《肇庆市贯彻落实&lt;中共广东省委、广东省人民政府关于深化投融资体制改革的实施意见&gt;的工作方案》和《广东省工程建设项目审批告知承诺制管理暂行办法》（粤建改办﹝2019﹞31号）要求，结合我市产业投资项目“双容双承诺”直接落地改革经验，</w:t>
      </w:r>
      <w:r>
        <w:rPr>
          <w:rFonts w:hint="eastAsia" w:ascii="仿宋_GB2312" w:hAnsi="仿宋_GB2312" w:eastAsia="仿宋_GB2312" w:cs="仿宋_GB2312"/>
          <w:sz w:val="32"/>
          <w:szCs w:val="32"/>
        </w:rPr>
        <w:t>制定本改革实施方案。</w:t>
      </w:r>
    </w:p>
    <w:p>
      <w:pPr>
        <w:spacing w:line="60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一、目标任务</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加快转变政府职能、落实企业投资主体地位为核心，积极探索投资项目建设审批事项改革，按照“双容双承诺”原则（即容缺、容错，企业向政府承诺、政府向企业承诺），实行“宽进、严管”，开展以企业依法承诺制，政府</w:t>
      </w:r>
      <w:r>
        <w:rPr>
          <w:rFonts w:hint="eastAsia" w:ascii="仿宋_GB2312" w:hAnsi="仿宋_GB2312" w:eastAsia="仿宋_GB2312" w:cs="仿宋_GB2312"/>
          <w:sz w:val="32"/>
          <w:szCs w:val="32"/>
          <w:u w:val="single"/>
        </w:rPr>
        <w:t>加强事前引导、事中辅导、事后监管</w:t>
      </w:r>
      <w:r>
        <w:rPr>
          <w:rFonts w:hint="eastAsia" w:ascii="仿宋_GB2312" w:hAnsi="仿宋_GB2312" w:eastAsia="仿宋_GB2312" w:cs="仿宋_GB2312"/>
          <w:sz w:val="32"/>
          <w:szCs w:val="32"/>
        </w:rPr>
        <w:t>为主要内容的企业投资项目直接落地改革，推动企业投资项目审批便捷化和政府监管高效化，促进项目“先建后验”,实现项目“直接落地”。形成项目建设审批新格局,促进项目快落地、快建成、快投产。</w:t>
      </w:r>
    </w:p>
    <w:p>
      <w:pPr>
        <w:spacing w:line="60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二、改革范围</w:t>
      </w:r>
    </w:p>
    <w:p>
      <w:pPr>
        <w:spacing w:line="60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已经依法取得用地</w:t>
      </w:r>
      <w:r>
        <w:rPr>
          <w:rFonts w:hint="eastAsia" w:ascii="仿宋_GB2312" w:hAnsi="仿宋_GB2312" w:eastAsia="仿宋_GB2312" w:cs="仿宋_GB2312"/>
          <w:sz w:val="32"/>
          <w:szCs w:val="32"/>
          <w:u w:val="single"/>
        </w:rPr>
        <w:t>（含土地招拍挂中标通知书）</w:t>
      </w:r>
      <w:r>
        <w:rPr>
          <w:rFonts w:hint="eastAsia" w:ascii="仿宋_GB2312" w:hAnsi="仿宋_GB2312" w:eastAsia="仿宋_GB2312" w:cs="仿宋_GB2312"/>
          <w:sz w:val="32"/>
          <w:szCs w:val="32"/>
        </w:rPr>
        <w:t>的产业类项目，“工改工”的“三旧”改造</w:t>
      </w:r>
      <w:bookmarkStart w:id="0" w:name="_GoBack"/>
      <w:bookmarkEnd w:id="0"/>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u w:val="single"/>
        </w:rPr>
        <w:t>以及电网项目</w:t>
      </w:r>
      <w:r>
        <w:rPr>
          <w:rFonts w:hint="eastAsia" w:ascii="仿宋_GB2312" w:hAnsi="仿宋_GB2312" w:eastAsia="仿宋_GB2312" w:cs="仿宋_GB2312"/>
          <w:sz w:val="32"/>
          <w:szCs w:val="32"/>
        </w:rPr>
        <w:t>，可自主申请项目直接落地建设。</w:t>
      </w:r>
    </w:p>
    <w:p>
      <w:pPr>
        <w:spacing w:line="600" w:lineRule="exact"/>
        <w:ind w:firstLine="640" w:firstLineChars="200"/>
        <w:outlineLvl w:val="1"/>
        <w:rPr>
          <w:rFonts w:ascii="黑体" w:hAnsi="黑体" w:eastAsia="黑体" w:cs="黑体"/>
          <w:sz w:val="32"/>
          <w:szCs w:val="32"/>
          <w:shd w:val="clear" w:color="auto" w:fill="FFFFFF"/>
        </w:rPr>
      </w:pPr>
      <w:r>
        <w:rPr>
          <w:rFonts w:hint="eastAsia" w:ascii="黑体" w:hAnsi="黑体" w:eastAsia="黑体" w:cs="黑体"/>
          <w:sz w:val="32"/>
          <w:szCs w:val="32"/>
        </w:rPr>
        <w:t>三、</w:t>
      </w:r>
      <w:r>
        <w:rPr>
          <w:rFonts w:hint="eastAsia" w:ascii="黑体" w:hAnsi="黑体" w:eastAsia="黑体" w:cs="黑体"/>
          <w:sz w:val="32"/>
          <w:szCs w:val="32"/>
          <w:shd w:val="clear" w:color="auto" w:fill="FFFFFF"/>
        </w:rPr>
        <w:t>相关配套制度</w:t>
      </w:r>
    </w:p>
    <w:p>
      <w:pPr>
        <w:spacing w:line="600" w:lineRule="exact"/>
        <w:ind w:firstLine="640" w:firstLineChars="200"/>
        <w:outlineLvl w:val="2"/>
        <w:rPr>
          <w:rFonts w:ascii="楷体" w:hAnsi="楷体" w:eastAsia="楷体" w:cs="仿宋"/>
          <w:sz w:val="32"/>
          <w:szCs w:val="32"/>
          <w:u w:val="single"/>
        </w:rPr>
      </w:pPr>
      <w:r>
        <w:rPr>
          <w:rFonts w:hint="eastAsia" w:ascii="楷体" w:hAnsi="楷体" w:eastAsia="楷体" w:cs="仿宋"/>
          <w:sz w:val="32"/>
          <w:szCs w:val="32"/>
          <w:u w:val="single"/>
        </w:rPr>
        <w:t>（一）明确“双容双承诺”制度项目准入负面清单</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进一步明确“双容双承诺”直接落地制度项目准入负面清单。</w:t>
      </w:r>
      <w:r>
        <w:rPr>
          <w:rFonts w:hint="eastAsia" w:eastAsia="仿宋_GB2312"/>
          <w:kern w:val="0"/>
          <w:sz w:val="32"/>
          <w:szCs w:val="32"/>
          <w:u w:val="single"/>
          <w:lang w:eastAsia="zh-Hans"/>
        </w:rPr>
        <w:t>根据国家发展改革委、商务部《市场准入负面清单（2020年版）》</w:t>
      </w:r>
      <w:r>
        <w:rPr>
          <w:rFonts w:hint="eastAsia" w:eastAsia="仿宋_GB2312"/>
          <w:kern w:val="0"/>
          <w:sz w:val="32"/>
          <w:szCs w:val="32"/>
          <w:u w:val="single"/>
        </w:rPr>
        <w:t>、国家发展改革委《产业结构调整指导目录》（2019年本）、《广东省大气污染防治条例》、《广东省打赢蓝天保卫战实施方案（2018—2020年）》（粤府﹝2018﹞128号）等文件</w:t>
      </w:r>
      <w:r>
        <w:rPr>
          <w:rFonts w:hint="eastAsia" w:eastAsia="仿宋_GB2312"/>
          <w:kern w:val="0"/>
          <w:sz w:val="32"/>
          <w:szCs w:val="32"/>
          <w:u w:val="single"/>
          <w:lang w:eastAsia="zh-Hans"/>
        </w:rPr>
        <w:t>规定，结合我市实际情况，明确</w:t>
      </w:r>
      <w:r>
        <w:rPr>
          <w:rFonts w:hint="eastAsia" w:eastAsia="仿宋_GB2312"/>
          <w:kern w:val="0"/>
          <w:sz w:val="32"/>
          <w:szCs w:val="32"/>
          <w:u w:val="single"/>
        </w:rPr>
        <w:t>产业</w:t>
      </w:r>
      <w:r>
        <w:rPr>
          <w:rFonts w:hint="eastAsia" w:eastAsia="仿宋_GB2312"/>
          <w:kern w:val="0"/>
          <w:sz w:val="32"/>
          <w:szCs w:val="32"/>
          <w:u w:val="single"/>
          <w:lang w:eastAsia="zh-Hans"/>
        </w:rPr>
        <w:t>投资项目</w:t>
      </w:r>
      <w:r>
        <w:rPr>
          <w:rFonts w:hint="eastAsia" w:eastAsia="仿宋_GB2312"/>
          <w:kern w:val="0"/>
          <w:sz w:val="32"/>
          <w:szCs w:val="32"/>
          <w:u w:val="single"/>
        </w:rPr>
        <w:t>准入负面清单</w:t>
      </w:r>
      <w:r>
        <w:rPr>
          <w:rFonts w:hint="eastAsia" w:eastAsia="仿宋_GB2312"/>
          <w:kern w:val="0"/>
          <w:sz w:val="32"/>
          <w:szCs w:val="32"/>
          <w:u w:val="single"/>
          <w:lang w:eastAsia="zh-Hans"/>
        </w:rPr>
        <w:t>，</w:t>
      </w:r>
      <w:r>
        <w:rPr>
          <w:rFonts w:hint="eastAsia" w:eastAsia="仿宋_GB2312"/>
          <w:kern w:val="0"/>
          <w:sz w:val="32"/>
          <w:szCs w:val="32"/>
          <w:u w:val="single"/>
        </w:rPr>
        <w:t>负面清单</w:t>
      </w:r>
      <w:r>
        <w:rPr>
          <w:rFonts w:hint="eastAsia" w:eastAsia="仿宋_GB2312"/>
          <w:kern w:val="0"/>
          <w:sz w:val="32"/>
          <w:szCs w:val="32"/>
          <w:u w:val="single"/>
          <w:lang w:eastAsia="zh-Hans"/>
        </w:rPr>
        <w:t>以外的项目，按照非禁即可、企业自愿原则，实行承诺准入</w:t>
      </w:r>
      <w:r>
        <w:rPr>
          <w:rFonts w:hint="eastAsia" w:eastAsia="仿宋_GB2312"/>
          <w:kern w:val="0"/>
          <w:sz w:val="32"/>
          <w:szCs w:val="32"/>
          <w:u w:val="single"/>
        </w:rPr>
        <w:t>。（责任单位：市发改局、</w:t>
      </w:r>
      <w:r>
        <w:rPr>
          <w:rFonts w:hint="eastAsia" w:ascii="仿宋_GB2312" w:hAnsi="仿宋_GB2312" w:eastAsia="仿宋_GB2312" w:cs="仿宋_GB2312"/>
          <w:sz w:val="32"/>
          <w:szCs w:val="32"/>
          <w:u w:val="single"/>
        </w:rPr>
        <w:t>有关审批部门</w:t>
      </w:r>
      <w:r>
        <w:rPr>
          <w:rFonts w:hint="eastAsia" w:eastAsia="仿宋_GB2312"/>
          <w:kern w:val="0"/>
          <w:sz w:val="32"/>
          <w:szCs w:val="32"/>
          <w:u w:val="single"/>
        </w:rPr>
        <w:t>）</w:t>
      </w:r>
    </w:p>
    <w:p>
      <w:pPr>
        <w:spacing w:line="600" w:lineRule="exact"/>
        <w:ind w:firstLine="640" w:firstLineChars="200"/>
        <w:outlineLvl w:val="2"/>
        <w:rPr>
          <w:rFonts w:ascii="楷体" w:hAnsi="楷体" w:eastAsia="楷体" w:cs="仿宋"/>
          <w:sz w:val="32"/>
          <w:szCs w:val="32"/>
        </w:rPr>
      </w:pPr>
      <w:r>
        <w:rPr>
          <w:rFonts w:hint="eastAsia" w:ascii="楷体" w:hAnsi="楷体" w:eastAsia="楷体" w:cs="仿宋"/>
          <w:sz w:val="32"/>
          <w:szCs w:val="32"/>
        </w:rPr>
        <w:t>（二）实施双向依法承诺制度</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各级行政服务中心根据各有关部门依照法律法规设定标准，制定具有法律效力的“双向承诺书”，承诺书设定标准和要求须符合国家“放管服”改革精神。</w:t>
      </w:r>
    </w:p>
    <w:p>
      <w:pPr>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企业向政府部门承诺内容包括：</w:t>
      </w:r>
      <w:r>
        <w:rPr>
          <w:rFonts w:hint="eastAsia" w:ascii="仿宋_GB2312" w:hAnsi="仿宋_GB2312" w:eastAsia="仿宋_GB2312" w:cs="仿宋_GB2312"/>
          <w:sz w:val="32"/>
          <w:szCs w:val="32"/>
          <w:u w:val="single"/>
        </w:rPr>
        <w:t>在时限内</w:t>
      </w:r>
      <w:r>
        <w:rPr>
          <w:rFonts w:hint="eastAsia" w:ascii="仿宋_GB2312" w:hAnsi="仿宋_GB2312" w:eastAsia="仿宋_GB2312" w:cs="仿宋_GB2312"/>
          <w:sz w:val="32"/>
          <w:szCs w:val="32"/>
        </w:rPr>
        <w:t>完善环境影响评价、节能评估、消防设计、人防设计、防雷装置设计、建设工程设计方案审查、施工图审查、安全监督登记、施工许可等手续。</w:t>
      </w:r>
      <w:r>
        <w:rPr>
          <w:rFonts w:hint="eastAsia" w:ascii="仿宋_GB2312" w:hAnsi="仿宋_GB2312" w:eastAsia="仿宋_GB2312" w:cs="仿宋_GB2312"/>
          <w:sz w:val="32"/>
          <w:szCs w:val="32"/>
          <w:u w:val="single"/>
        </w:rPr>
        <w:t>其中，符合工程建设项目审批告知承诺制相关规定的，企业可自主选择告知承诺相关审批事项。</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各级行政服务中心和有关部门向企业承诺内容包括：在项目直接落地前，提前介入，为企业提供项目直接落地事前的政策、业务指导和服务；在项目直接落地后，主动与企业对接，密切跟踪服务，</w:t>
      </w:r>
      <w:r>
        <w:rPr>
          <w:rFonts w:hint="eastAsia" w:ascii="仿宋_GB2312" w:hAnsi="宋体" w:eastAsia="仿宋_GB2312"/>
          <w:sz w:val="32"/>
          <w:szCs w:val="32"/>
        </w:rPr>
        <w:t>依法实施事中事后监管，全面履行政府职责；</w:t>
      </w:r>
      <w:r>
        <w:rPr>
          <w:rFonts w:hint="eastAsia" w:ascii="仿宋_GB2312" w:hAnsi="仿宋_GB2312" w:eastAsia="仿宋_GB2312" w:cs="仿宋_GB2312"/>
          <w:sz w:val="32"/>
          <w:szCs w:val="32"/>
        </w:rPr>
        <w:t>在项目建设过程中，指导、协助企业及时办理和完善法律法规要求的各项手续，核发相应的行政许可，既要依法严格按标准履职监管，不得缺位，又要不得变相增加法律法规规定以外的审批以及监管事项；在项目竣工投产前，</w:t>
      </w:r>
      <w:r>
        <w:rPr>
          <w:rFonts w:hint="eastAsia" w:ascii="仿宋_GB2312" w:hAnsi="仿宋_GB2312" w:eastAsia="仿宋_GB2312" w:cs="仿宋_GB2312"/>
          <w:sz w:val="32"/>
          <w:szCs w:val="32"/>
          <w:u w:val="single"/>
        </w:rPr>
        <w:t>由企业根据实际按承诺书的要求向验收部门递交验收申请，</w:t>
      </w:r>
      <w:r>
        <w:rPr>
          <w:rFonts w:hint="eastAsia" w:ascii="仿宋_GB2312" w:hAnsi="仿宋_GB2312" w:eastAsia="仿宋_GB2312" w:cs="仿宋_GB2312"/>
          <w:sz w:val="32"/>
          <w:szCs w:val="32"/>
        </w:rPr>
        <w:t>及时开展项目部分验收或整体验收。</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各级行政服务中心在向企业充分告知承诺内容、注意事项的基础上，对符合改革范围的项目的直接落地申请，与企业一次性签订“双向承诺书”。</w:t>
      </w:r>
      <w:r>
        <w:rPr>
          <w:rFonts w:hint="eastAsia" w:ascii="仿宋_GB2312" w:hAnsi="仿宋_GB2312" w:eastAsia="仿宋_GB2312" w:cs="仿宋_GB2312"/>
          <w:sz w:val="32"/>
          <w:szCs w:val="32"/>
          <w:u w:val="single"/>
        </w:rPr>
        <w:t>各级行政服务中心会同有关审批部门对双向承诺书中承诺的内容有解释说明的义务。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u w:val="single"/>
        </w:rPr>
        <w:t>市政数局</w:t>
      </w:r>
      <w:r>
        <w:rPr>
          <w:rFonts w:hint="eastAsia" w:ascii="仿宋_GB2312" w:hAnsi="仿宋_GB2312" w:eastAsia="仿宋_GB2312" w:cs="仿宋_GB2312"/>
          <w:sz w:val="32"/>
          <w:szCs w:val="32"/>
        </w:rPr>
        <w:t>、有关审批部门）</w:t>
      </w:r>
    </w:p>
    <w:p>
      <w:pPr>
        <w:spacing w:line="600" w:lineRule="exact"/>
        <w:ind w:firstLine="640" w:firstLineChars="200"/>
        <w:outlineLvl w:val="2"/>
        <w:rPr>
          <w:rFonts w:ascii="楷体" w:hAnsi="楷体" w:eastAsia="楷体" w:cs="仿宋"/>
          <w:sz w:val="32"/>
          <w:szCs w:val="32"/>
        </w:rPr>
      </w:pPr>
      <w:r>
        <w:rPr>
          <w:rFonts w:hint="eastAsia" w:ascii="楷体" w:hAnsi="楷体" w:eastAsia="楷体" w:cs="仿宋"/>
          <w:sz w:val="32"/>
          <w:szCs w:val="32"/>
        </w:rPr>
        <w:t>（三）实行“一门式一网式”政府服务</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级行政服务中心按照各部门审批流程和标准，将企业的承诺书申报实行“前台综合受理、后台分类审批、统一窗口出件”的“一门式一网式”政府服务模式。有关行政审批实行多事项“一表制”并联申办。建设单位填报表单分为基础信息表单和事项业务表单两部分，基础信息表单内容由系统通过数据共享等技术手段自动填充。（责任单位：</w:t>
      </w:r>
      <w:r>
        <w:rPr>
          <w:rFonts w:hint="eastAsia" w:ascii="仿宋_GB2312" w:hAnsi="仿宋_GB2312" w:eastAsia="仿宋_GB2312" w:cs="仿宋_GB2312"/>
          <w:sz w:val="32"/>
          <w:szCs w:val="32"/>
          <w:u w:val="single"/>
        </w:rPr>
        <w:t>市政数局</w:t>
      </w:r>
      <w:r>
        <w:rPr>
          <w:rFonts w:hint="eastAsia" w:ascii="仿宋_GB2312" w:hAnsi="仿宋_GB2312" w:eastAsia="仿宋_GB2312" w:cs="仿宋_GB2312"/>
          <w:sz w:val="32"/>
          <w:szCs w:val="32"/>
        </w:rPr>
        <w:t>、有关审批部门）</w:t>
      </w:r>
    </w:p>
    <w:p>
      <w:pPr>
        <w:spacing w:line="600" w:lineRule="exact"/>
        <w:ind w:firstLine="640" w:firstLineChars="200"/>
        <w:outlineLvl w:val="2"/>
        <w:rPr>
          <w:rFonts w:ascii="楷体" w:hAnsi="楷体" w:eastAsia="楷体" w:cs="仿宋"/>
          <w:sz w:val="32"/>
          <w:szCs w:val="32"/>
          <w:u w:val="single"/>
        </w:rPr>
      </w:pPr>
      <w:r>
        <w:rPr>
          <w:rFonts w:hint="eastAsia" w:ascii="楷体" w:hAnsi="楷体" w:eastAsia="楷体" w:cs="仿宋"/>
          <w:sz w:val="32"/>
          <w:szCs w:val="32"/>
          <w:u w:val="single"/>
        </w:rPr>
        <w:t>（四）加强区域评估成果运用</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已开展区域评估的项目，符合城乡规划或本市建筑用途管理相关规定的，无需开展交通影响评价、洪水影响评价、节能评价、地震安全性评价等评估评价工作。推行简易低风险工业项目土地带方案出让工作。</w:t>
      </w:r>
      <w:r>
        <w:rPr>
          <w:rFonts w:hint="eastAsia" w:eastAsia="仿宋_GB2312"/>
          <w:kern w:val="0"/>
          <w:sz w:val="32"/>
          <w:szCs w:val="32"/>
          <w:u w:val="single"/>
        </w:rPr>
        <w:t>（责任单位：市资源局、</w:t>
      </w:r>
      <w:r>
        <w:rPr>
          <w:rFonts w:hint="eastAsia" w:ascii="仿宋_GB2312" w:hAnsi="仿宋_GB2312" w:eastAsia="仿宋_GB2312" w:cs="仿宋_GB2312"/>
          <w:sz w:val="32"/>
          <w:szCs w:val="32"/>
          <w:u w:val="single"/>
        </w:rPr>
        <w:t>有关审批部门</w:t>
      </w:r>
      <w:r>
        <w:rPr>
          <w:rFonts w:hint="eastAsia" w:eastAsia="仿宋_GB2312"/>
          <w:kern w:val="0"/>
          <w:sz w:val="32"/>
          <w:szCs w:val="32"/>
          <w:u w:val="single"/>
        </w:rPr>
        <w:t>）</w:t>
      </w:r>
    </w:p>
    <w:p>
      <w:pPr>
        <w:spacing w:line="600" w:lineRule="exact"/>
        <w:ind w:firstLine="640" w:firstLineChars="200"/>
        <w:outlineLvl w:val="2"/>
        <w:rPr>
          <w:rFonts w:ascii="楷体" w:hAnsi="楷体" w:eastAsia="楷体" w:cs="仿宋"/>
          <w:sz w:val="32"/>
          <w:szCs w:val="32"/>
        </w:rPr>
      </w:pPr>
      <w:r>
        <w:rPr>
          <w:rFonts w:hint="eastAsia" w:ascii="楷体" w:hAnsi="楷体" w:eastAsia="楷体" w:cs="仿宋"/>
          <w:sz w:val="32"/>
          <w:szCs w:val="32"/>
        </w:rPr>
        <w:t>（五）实行开工前报备制度</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级行政服务中心与企业签订双向承诺书后，向企业出具承诺书签订回执，企业凭借回执即可开工建设项目。各级行政服务中心同步统一在平台将承诺书推送至各相关职能部门报备。对于依照法律法规必须取得的行政审批（许可），由企业根据承诺内容的完成情况，在竣工验收前提出申请，由各部门按程序分别核发相应行政许可。（责任单位：</w:t>
      </w:r>
      <w:r>
        <w:rPr>
          <w:rFonts w:hint="eastAsia" w:ascii="仿宋_GB2312" w:hAnsi="仿宋_GB2312" w:eastAsia="仿宋_GB2312" w:cs="仿宋_GB2312"/>
          <w:sz w:val="32"/>
          <w:szCs w:val="32"/>
          <w:u w:val="single"/>
        </w:rPr>
        <w:t>市政数局</w:t>
      </w:r>
      <w:r>
        <w:rPr>
          <w:rFonts w:hint="eastAsia" w:ascii="仿宋_GB2312" w:hAnsi="仿宋_GB2312" w:eastAsia="仿宋_GB2312" w:cs="仿宋_GB2312"/>
          <w:sz w:val="32"/>
          <w:szCs w:val="32"/>
        </w:rPr>
        <w:t>，有关审批部门）</w:t>
      </w:r>
    </w:p>
    <w:p>
      <w:pPr>
        <w:spacing w:line="600" w:lineRule="exact"/>
        <w:ind w:firstLine="640" w:firstLineChars="200"/>
        <w:outlineLvl w:val="2"/>
        <w:rPr>
          <w:rFonts w:ascii="楷体" w:hAnsi="楷体" w:eastAsia="楷体" w:cs="仿宋"/>
          <w:sz w:val="32"/>
          <w:szCs w:val="32"/>
        </w:rPr>
      </w:pPr>
      <w:r>
        <w:rPr>
          <w:rFonts w:hint="eastAsia" w:ascii="楷体" w:hAnsi="楷体" w:eastAsia="楷体" w:cs="仿宋"/>
          <w:sz w:val="32"/>
          <w:szCs w:val="32"/>
        </w:rPr>
        <w:t>（六）实施全过程监管制度</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切实加强事中事后监管。加强对企业的指导、服务，各地政府要事先统一组织对相关园区进行区域性地震安全性评价、地质灾害危险性评估、环境影响评价、节能评价等，形成整体性、区域评估成果，实现成果区域内建设项目共享共用。</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各审批部门应按照事项的特征建立相应的监督机制，制定内容详细标准明确的监督监管工作指南，并严格按照指南的要求开展监督监管工作。</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项目直接落地前，有关审批部门要提前介入，认真审查企业是否按照规定和标准作出承诺，依法依规选择勘察、设计、评审、施工、监理单位；在项目建设过程中，重点监管项目单位是否严格按承诺开展施工，保证工程质量和安全；在办理相关审批事项时，实行容缺受理机制（企业承诺后补）；在项目竣工后，各有关审批部门要及时按承诺要求进行验收。（责任单位：有关审批部门）</w:t>
      </w:r>
    </w:p>
    <w:p>
      <w:pPr>
        <w:spacing w:line="600" w:lineRule="exact"/>
        <w:ind w:left="640"/>
        <w:outlineLvl w:val="2"/>
        <w:rPr>
          <w:rFonts w:ascii="楷体" w:hAnsi="楷体" w:eastAsia="楷体" w:cs="仿宋"/>
          <w:sz w:val="32"/>
          <w:szCs w:val="32"/>
        </w:rPr>
      </w:pPr>
      <w:r>
        <w:rPr>
          <w:rFonts w:hint="eastAsia" w:ascii="楷体" w:hAnsi="楷体" w:eastAsia="楷体" w:cs="仿宋"/>
          <w:sz w:val="32"/>
          <w:szCs w:val="32"/>
        </w:rPr>
        <w:t>（七）推行验收事项标准化、科学化</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在竣工前达到验收条件的，由企业按承诺书的要求向验收部门递交验收申请，验收部门严格执行国家及省、市相关行业主管部门制定和发布的投资项目验收事项标准进行验收。验收事项不互为前置条件（水电验收除外）。</w:t>
      </w:r>
      <w:r>
        <w:rPr>
          <w:rFonts w:hint="eastAsia" w:ascii="仿宋_GB2312" w:hAnsi="仿宋_GB2312" w:eastAsia="仿宋_GB2312" w:cs="仿宋_GB2312"/>
          <w:sz w:val="32"/>
          <w:szCs w:val="32"/>
          <w:u w:val="single"/>
        </w:rPr>
        <w:t>验收部门根据上述验收事项标准，对竣工验收的项目</w:t>
      </w:r>
      <w:r>
        <w:rPr>
          <w:rFonts w:hint="eastAsia" w:ascii="仿宋_GB2312" w:hAnsi="仿宋_GB2312" w:eastAsia="仿宋_GB2312" w:cs="仿宋_GB2312"/>
          <w:sz w:val="32"/>
          <w:szCs w:val="32"/>
        </w:rPr>
        <w:t>，作出同意投产、限期整改</w:t>
      </w:r>
      <w:r>
        <w:rPr>
          <w:rFonts w:hint="eastAsia" w:ascii="仿宋_GB2312" w:hAnsi="仿宋_GB2312" w:eastAsia="仿宋_GB2312" w:cs="仿宋_GB2312"/>
          <w:sz w:val="32"/>
          <w:szCs w:val="32"/>
          <w:u w:val="single"/>
        </w:rPr>
        <w:t>或者</w:t>
      </w:r>
      <w:r>
        <w:rPr>
          <w:rFonts w:hint="eastAsia" w:ascii="仿宋_GB2312" w:hAnsi="仿宋_GB2312" w:eastAsia="仿宋_GB2312" w:cs="仿宋_GB2312"/>
          <w:sz w:val="32"/>
          <w:szCs w:val="32"/>
        </w:rPr>
        <w:t>全面整顿的意见，验收合格后颁发相关证照。凡验收不合格的，一律不得投产。能整改的限期整改；无法整改的，依法作出处理。（责任单位：有关审批部门）</w:t>
      </w:r>
    </w:p>
    <w:p>
      <w:pPr>
        <w:spacing w:line="600" w:lineRule="exact"/>
        <w:ind w:firstLine="640" w:firstLineChars="200"/>
        <w:outlineLvl w:val="2"/>
        <w:rPr>
          <w:rFonts w:ascii="楷体" w:hAnsi="楷体" w:eastAsia="楷体" w:cs="仿宋"/>
          <w:sz w:val="32"/>
          <w:szCs w:val="32"/>
        </w:rPr>
      </w:pPr>
      <w:r>
        <w:rPr>
          <w:rFonts w:hint="eastAsia" w:ascii="楷体" w:hAnsi="楷体" w:eastAsia="楷体" w:cs="仿宋"/>
          <w:sz w:val="32"/>
          <w:szCs w:val="32"/>
        </w:rPr>
        <w:t>（八）建立严格的责任追究制度</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加大对违法违规行为的处罚力度，项目不能履行承诺以及未能及时完善相关手续的，造成的经济损失由企业自行承担；</w:t>
      </w:r>
      <w:r>
        <w:rPr>
          <w:rFonts w:hint="eastAsia" w:ascii="仿宋_GB2312" w:hAnsi="仿宋_GB2312" w:eastAsia="仿宋_GB2312" w:cs="仿宋_GB2312"/>
          <w:sz w:val="32"/>
          <w:szCs w:val="32"/>
          <w:u w:val="single"/>
        </w:rPr>
        <w:t>对于监管、检查过程中发现的问题，责任单位必须</w:t>
      </w:r>
      <w:r>
        <w:rPr>
          <w:rFonts w:hint="eastAsia" w:ascii="仿宋_GB2312" w:hAnsi="仿宋_GB2312" w:eastAsia="仿宋_GB2312" w:cs="仿宋_GB2312"/>
          <w:sz w:val="32"/>
          <w:szCs w:val="32"/>
        </w:rPr>
        <w:t>及时督促整改落实，并向社会公示，接受社会监督。勘察、设计、评审、施工、监理等单位有违法行为的，依法追究相应责任。</w:t>
      </w:r>
      <w:r>
        <w:rPr>
          <w:rFonts w:hint="eastAsia" w:ascii="仿宋_GB2312" w:hAnsi="仿宋_GB2312" w:eastAsia="仿宋_GB2312" w:cs="仿宋_GB2312"/>
          <w:sz w:val="32"/>
          <w:szCs w:val="32"/>
          <w:u w:val="single"/>
        </w:rPr>
        <w:t>同时，强化信用监管，将承诺企业及相关负责人的相关履行承诺情况纳入信用记录，依托信用信息共享平台和行业信用信息系统，加强信用信息互联互通。对未履行承诺的企业及相关负责人，依法依规实行相关行业和市场禁入的惩罚。探索建立健全信用修复、异议处理机制。</w:t>
      </w:r>
      <w:r>
        <w:rPr>
          <w:rFonts w:hint="eastAsia" w:ascii="仿宋_GB2312" w:hAnsi="仿宋_GB2312" w:eastAsia="仿宋_GB2312" w:cs="仿宋_GB2312"/>
          <w:sz w:val="32"/>
          <w:szCs w:val="32"/>
        </w:rPr>
        <w:t>（责任单位：有关审批部门）</w:t>
      </w:r>
    </w:p>
    <w:p>
      <w:pPr>
        <w:spacing w:line="60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四、保障措施</w:t>
      </w:r>
    </w:p>
    <w:p>
      <w:pPr>
        <w:spacing w:line="600" w:lineRule="exact"/>
        <w:ind w:firstLine="640" w:firstLineChars="200"/>
        <w:rPr>
          <w:rFonts w:ascii="仿宋_GB2312" w:hAnsi="仿宋_GB2312" w:eastAsia="仿宋_GB2312" w:cs="仿宋_GB2312"/>
          <w:sz w:val="32"/>
          <w:szCs w:val="32"/>
        </w:rPr>
      </w:pPr>
      <w:r>
        <w:rPr>
          <w:rFonts w:hint="eastAsia" w:ascii="楷体" w:hAnsi="楷体" w:eastAsia="楷体" w:cs="仿宋"/>
          <w:sz w:val="32"/>
          <w:szCs w:val="32"/>
        </w:rPr>
        <w:t>（一）加强组织领导。</w:t>
      </w:r>
      <w:r>
        <w:rPr>
          <w:rFonts w:hint="eastAsia" w:ascii="仿宋_GB2312" w:hAnsi="仿宋_GB2312" w:eastAsia="仿宋_GB2312" w:cs="仿宋_GB2312"/>
          <w:sz w:val="32"/>
          <w:szCs w:val="32"/>
        </w:rPr>
        <w:t>市政府和各地成立由政府（管委会）主要领导任组长、分管领导任副组长、有关审批职能部门为成员的“实施企业投资项目‘双容双承诺’直接落地改革工作领导小组”，在</w:t>
      </w:r>
      <w:r>
        <w:rPr>
          <w:rFonts w:hint="eastAsia" w:ascii="仿宋_GB2312" w:hAnsi="仿宋_GB2312" w:eastAsia="仿宋_GB2312" w:cs="仿宋_GB2312"/>
          <w:sz w:val="32"/>
          <w:szCs w:val="32"/>
          <w:u w:val="single"/>
        </w:rPr>
        <w:t>政数局</w:t>
      </w:r>
      <w:r>
        <w:rPr>
          <w:rFonts w:hint="eastAsia" w:ascii="仿宋_GB2312" w:hAnsi="仿宋_GB2312" w:eastAsia="仿宋_GB2312" w:cs="仿宋_GB2312"/>
          <w:sz w:val="32"/>
          <w:szCs w:val="32"/>
        </w:rPr>
        <w:t>设立办公室，定期召集工作例会，协调解决企业投资项目直接落地的立项、报建、施工以及竣工验收过程中遇到的突出困难和重大问题。同时，在各级行政服务中心设立</w:t>
      </w:r>
      <w:r>
        <w:rPr>
          <w:rFonts w:hint="eastAsia" w:ascii="仿宋_GB2312" w:hAnsi="仿宋_GB2312" w:eastAsia="仿宋_GB2312" w:cs="仿宋_GB2312"/>
          <w:sz w:val="32"/>
          <w:szCs w:val="32"/>
          <w:u w:val="single"/>
        </w:rPr>
        <w:t>相关</w:t>
      </w:r>
      <w:r>
        <w:rPr>
          <w:rFonts w:hint="eastAsia" w:ascii="仿宋_GB2312" w:hAnsi="仿宋_GB2312" w:eastAsia="仿宋_GB2312" w:cs="仿宋_GB2312"/>
          <w:sz w:val="32"/>
          <w:szCs w:val="32"/>
        </w:rPr>
        <w:t>服务专窗，由发改、</w:t>
      </w:r>
      <w:r>
        <w:rPr>
          <w:rFonts w:hint="eastAsia" w:ascii="仿宋_GB2312" w:hAnsi="仿宋_GB2312" w:eastAsia="仿宋_GB2312" w:cs="仿宋_GB2312"/>
          <w:sz w:val="32"/>
          <w:szCs w:val="32"/>
          <w:u w:val="single"/>
        </w:rPr>
        <w:t>工信</w:t>
      </w:r>
      <w:r>
        <w:rPr>
          <w:rFonts w:hint="eastAsia" w:ascii="仿宋_GB2312" w:hAnsi="仿宋_GB2312" w:eastAsia="仿宋_GB2312" w:cs="仿宋_GB2312"/>
          <w:sz w:val="32"/>
          <w:szCs w:val="32"/>
        </w:rPr>
        <w:t>、住建、</w:t>
      </w:r>
      <w:r>
        <w:rPr>
          <w:rFonts w:hint="eastAsia" w:ascii="仿宋_GB2312" w:hAnsi="仿宋_GB2312" w:eastAsia="仿宋_GB2312" w:cs="仿宋_GB2312"/>
          <w:sz w:val="32"/>
          <w:szCs w:val="32"/>
          <w:u w:val="single"/>
        </w:rPr>
        <w:t>自然资源、生态环境</w:t>
      </w:r>
      <w:r>
        <w:rPr>
          <w:rFonts w:hint="eastAsia" w:ascii="仿宋_GB2312" w:hAnsi="仿宋_GB2312" w:eastAsia="仿宋_GB2312" w:cs="仿宋_GB2312"/>
          <w:sz w:val="32"/>
          <w:szCs w:val="32"/>
        </w:rPr>
        <w:t>等部门的专责人员组成，负责为企业项目直接落地提供政策、业务指导和服务，确保企业投资项目直接落地改革见成效。</w:t>
      </w:r>
    </w:p>
    <w:p>
      <w:pPr>
        <w:spacing w:line="600" w:lineRule="exact"/>
        <w:ind w:firstLine="640" w:firstLineChars="200"/>
        <w:rPr>
          <w:rFonts w:ascii="仿宋_GB2312" w:hAnsi="仿宋_GB2312" w:eastAsia="仿宋_GB2312" w:cs="仿宋_GB2312"/>
          <w:sz w:val="32"/>
          <w:szCs w:val="32"/>
          <w:u w:val="single"/>
        </w:rPr>
      </w:pPr>
      <w:r>
        <w:rPr>
          <w:rFonts w:hint="eastAsia" w:ascii="楷体" w:hAnsi="楷体" w:eastAsia="楷体" w:cs="仿宋"/>
          <w:sz w:val="32"/>
          <w:szCs w:val="32"/>
          <w:u w:val="single"/>
        </w:rPr>
        <w:t>（二）构建问题反馈制度。</w:t>
      </w:r>
      <w:r>
        <w:rPr>
          <w:rFonts w:hint="eastAsia" w:ascii="仿宋_GB2312" w:hAnsi="仿宋_GB2312" w:eastAsia="仿宋_GB2312" w:cs="仿宋_GB2312"/>
          <w:sz w:val="32"/>
          <w:szCs w:val="32"/>
          <w:u w:val="single"/>
        </w:rPr>
        <w:t>各级行政服务中心不定期汇总在推进过程中遇到的问题、解决方法和改进措施，整理成通报发至各地、各单位和企业推广学习。</w:t>
      </w:r>
    </w:p>
    <w:p>
      <w:pPr>
        <w:spacing w:line="600" w:lineRule="exact"/>
        <w:ind w:firstLine="640" w:firstLineChars="200"/>
        <w:rPr>
          <w:rFonts w:ascii="仿宋_GB2312" w:hAnsi="仿宋_GB2312" w:eastAsia="仿宋_GB2312" w:cs="仿宋_GB2312"/>
          <w:sz w:val="32"/>
          <w:szCs w:val="32"/>
        </w:rPr>
      </w:pPr>
      <w:r>
        <w:rPr>
          <w:rFonts w:hint="eastAsia" w:ascii="楷体" w:hAnsi="楷体" w:eastAsia="楷体" w:cs="仿宋"/>
          <w:sz w:val="32"/>
          <w:szCs w:val="32"/>
        </w:rPr>
        <w:t>（三）明确责任分工。</w:t>
      </w:r>
      <w:r>
        <w:rPr>
          <w:rFonts w:hint="eastAsia" w:ascii="仿宋_GB2312" w:hAnsi="仿宋_GB2312" w:eastAsia="仿宋_GB2312" w:cs="仿宋_GB2312"/>
          <w:sz w:val="32"/>
          <w:szCs w:val="32"/>
        </w:rPr>
        <w:t>各级行政服务中心加强与各有关部门的沟通衔接，做好跟踪服务，形成工作合力。各有关部门依据本方案分别制定本部门的实施细则，列出承诺标准、审批清单、审批时限和审批程序。</w:t>
      </w:r>
    </w:p>
    <w:p>
      <w:pPr>
        <w:spacing w:line="600" w:lineRule="exact"/>
        <w:ind w:firstLine="640" w:firstLineChars="200"/>
        <w:rPr>
          <w:rFonts w:ascii="仿宋_GB2312" w:hAnsi="仿宋_GB2312" w:eastAsia="仿宋_GB2312" w:cs="仿宋_GB2312"/>
          <w:sz w:val="32"/>
          <w:szCs w:val="32"/>
        </w:rPr>
      </w:pPr>
      <w:r>
        <w:rPr>
          <w:rFonts w:hint="eastAsia" w:ascii="楷体" w:hAnsi="楷体" w:eastAsia="楷体" w:cs="仿宋"/>
          <w:sz w:val="32"/>
          <w:szCs w:val="32"/>
        </w:rPr>
        <w:t>（四）加强业务培训。</w:t>
      </w:r>
      <w:r>
        <w:rPr>
          <w:rFonts w:hint="eastAsia" w:ascii="仿宋_GB2312" w:hAnsi="仿宋_GB2312" w:eastAsia="仿宋_GB2312" w:cs="仿宋_GB2312"/>
          <w:sz w:val="32"/>
          <w:szCs w:val="32"/>
          <w:u w:val="single"/>
        </w:rPr>
        <w:t>各级行政服务中心及各部门要加大对有关工作人员业务培训力度</w:t>
      </w:r>
      <w:r>
        <w:rPr>
          <w:rFonts w:hint="eastAsia" w:ascii="仿宋_GB2312" w:hAnsi="仿宋_GB2312" w:eastAsia="仿宋_GB2312" w:cs="仿宋_GB2312"/>
          <w:sz w:val="32"/>
          <w:szCs w:val="32"/>
        </w:rPr>
        <w:t>，积极开展各类培训及集中学习活动，提高相关部门工作人员和企业专办人员业务素质和操作技能，提升综合服务水平。</w:t>
      </w:r>
    </w:p>
    <w:p>
      <w:pPr>
        <w:spacing w:line="600" w:lineRule="exact"/>
        <w:ind w:firstLine="640" w:firstLineChars="200"/>
        <w:rPr>
          <w:rFonts w:ascii="仿宋_GB2312" w:hAnsi="仿宋_GB2312" w:eastAsia="仿宋_GB2312" w:cs="仿宋_GB2312"/>
          <w:sz w:val="32"/>
          <w:szCs w:val="32"/>
        </w:rPr>
      </w:pPr>
      <w:r>
        <w:rPr>
          <w:rFonts w:hint="eastAsia" w:ascii="楷体" w:hAnsi="楷体" w:eastAsia="楷体" w:cs="仿宋"/>
          <w:sz w:val="32"/>
          <w:szCs w:val="32"/>
        </w:rPr>
        <w:t>（五）建立审批制度改革创新容错免责机制。</w:t>
      </w:r>
      <w:r>
        <w:rPr>
          <w:rFonts w:hint="eastAsia" w:ascii="仿宋_GB2312" w:hAnsi="仿宋_GB2312" w:eastAsia="仿宋_GB2312" w:cs="仿宋_GB2312"/>
          <w:sz w:val="32"/>
          <w:szCs w:val="32"/>
        </w:rPr>
        <w:t>鼓励和支持行政审批制度改革创新，立足于优化我市企业投资环境，推动投资建设项目审批便捷化和政府监管高效化。</w:t>
      </w:r>
      <w:r>
        <w:rPr>
          <w:rFonts w:hint="eastAsia" w:ascii="仿宋_GB2312" w:hAnsi="仿宋_GB2312" w:eastAsia="仿宋_GB2312" w:cs="仿宋_GB2312"/>
          <w:sz w:val="32"/>
          <w:szCs w:val="32"/>
          <w:u w:val="single"/>
        </w:rPr>
        <w:t>对于单位和个人在推进审批制度改革创新中出现失误的，坚持“三个区分开来”要求，适用《关于建立党员干部干事创业容错纠错预警机制的意见》（肇办字</w:t>
      </w:r>
      <w:r>
        <w:rPr>
          <w:rFonts w:hint="eastAsia" w:ascii="仿宋" w:hAnsi="仿宋" w:eastAsia="仿宋" w:cs="仿宋"/>
          <w:sz w:val="32"/>
          <w:szCs w:val="32"/>
          <w:u w:val="single"/>
        </w:rPr>
        <w:t>﹝2017﹞11号</w:t>
      </w:r>
      <w:r>
        <w:rPr>
          <w:rFonts w:hint="eastAsia" w:ascii="仿宋_GB2312" w:hAnsi="仿宋_GB2312" w:eastAsia="仿宋_GB2312" w:cs="仿宋_GB2312"/>
          <w:sz w:val="32"/>
          <w:szCs w:val="32"/>
          <w:u w:val="single"/>
        </w:rPr>
        <w:t>）和《关于建立党员干部干事创业容错免责备案制度的通知》（肇纪发</w:t>
      </w:r>
      <w:r>
        <w:rPr>
          <w:rFonts w:hint="eastAsia" w:ascii="仿宋" w:hAnsi="仿宋" w:eastAsia="仿宋" w:cs="仿宋"/>
          <w:sz w:val="32"/>
          <w:szCs w:val="32"/>
          <w:u w:val="single"/>
        </w:rPr>
        <w:t>﹝2018﹞11号</w:t>
      </w:r>
      <w:r>
        <w:rPr>
          <w:rFonts w:hint="eastAsia" w:ascii="仿宋_GB2312" w:hAnsi="仿宋_GB2312" w:eastAsia="仿宋_GB2312" w:cs="仿宋_GB2312"/>
          <w:sz w:val="32"/>
          <w:szCs w:val="32"/>
          <w:u w:val="single"/>
        </w:rPr>
        <w:t>）规定。</w:t>
      </w:r>
    </w:p>
    <w:p>
      <w:pPr>
        <w:spacing w:line="600" w:lineRule="exact"/>
        <w:ind w:firstLine="640" w:firstLineChars="200"/>
        <w:rPr>
          <w:rFonts w:ascii="仿宋_GB2312" w:hAnsi="仿宋_GB2312" w:eastAsia="仿宋_GB2312" w:cs="仿宋_GB2312"/>
          <w:sz w:val="32"/>
          <w:szCs w:val="32"/>
        </w:rPr>
      </w:pPr>
      <w:r>
        <w:rPr>
          <w:rFonts w:hint="eastAsia" w:ascii="楷体" w:hAnsi="楷体" w:eastAsia="楷体" w:cs="仿宋"/>
          <w:sz w:val="32"/>
          <w:szCs w:val="32"/>
        </w:rPr>
        <w:t>（六）及时总结评估。</w:t>
      </w:r>
      <w:r>
        <w:rPr>
          <w:rFonts w:hint="eastAsia" w:ascii="仿宋_GB2312" w:hAnsi="仿宋_GB2312" w:eastAsia="仿宋_GB2312" w:cs="仿宋_GB2312"/>
          <w:sz w:val="32"/>
          <w:szCs w:val="32"/>
        </w:rPr>
        <w:t>根据实际工作进展，对改革工作进行评估，边试行，边总结，边提升，及时总结改革成效经验，及时调整优化改革实施方案，逐步将改革成果全面推广。</w:t>
      </w:r>
    </w:p>
    <w:p>
      <w:pPr>
        <w:spacing w:line="600" w:lineRule="exact"/>
        <w:ind w:firstLine="640" w:firstLineChars="200"/>
        <w:rPr>
          <w:rFonts w:ascii="仿宋_GB2312" w:hAnsi="仿宋_GB2312" w:eastAsia="仿宋_GB2312" w:cs="仿宋_GB2312"/>
          <w:sz w:val="32"/>
          <w:szCs w:val="32"/>
        </w:rPr>
      </w:pPr>
      <w:r>
        <w:rPr>
          <w:rFonts w:hint="eastAsia" w:ascii="楷体" w:hAnsi="楷体" w:eastAsia="楷体" w:cs="仿宋"/>
          <w:sz w:val="32"/>
          <w:szCs w:val="32"/>
        </w:rPr>
        <w:t>（七）实施时间。</w:t>
      </w:r>
      <w:r>
        <w:rPr>
          <w:rFonts w:hint="eastAsia" w:ascii="仿宋_GB2312" w:hAnsi="仿宋_GB2312" w:eastAsia="仿宋_GB2312" w:cs="仿宋_GB2312"/>
          <w:sz w:val="32"/>
          <w:szCs w:val="32"/>
          <w:u w:val="single"/>
        </w:rPr>
        <w:t>本改革方案自印发之日起实施，有效期5年。各地可根据本改革实施方案内容,结合本辖区实际情况,制定具体实施细则。</w:t>
      </w: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u w:val="single"/>
        </w:rPr>
        <w:t>1.“双容双承诺”项目准入负面清单</w:t>
      </w:r>
    </w:p>
    <w:p>
      <w:pPr>
        <w:spacing w:line="600" w:lineRule="exact"/>
        <w:ind w:left="1600"/>
        <w:rPr>
          <w:rFonts w:ascii="仿宋_GB2312" w:hAnsi="仿宋_GB2312" w:eastAsia="仿宋_GB2312" w:cs="仿宋_GB2312"/>
          <w:sz w:val="32"/>
          <w:szCs w:val="32"/>
        </w:rPr>
      </w:pPr>
      <w:r>
        <w:rPr>
          <w:rFonts w:hint="eastAsia" w:ascii="仿宋_GB2312" w:hAnsi="仿宋_GB2312" w:eastAsia="仿宋_GB2312" w:cs="仿宋_GB2312"/>
          <w:sz w:val="32"/>
          <w:szCs w:val="32"/>
        </w:rPr>
        <w:t>2.产业投资项目“双容双承诺”直接落地流程图</w:t>
      </w:r>
    </w:p>
    <w:p>
      <w:pPr>
        <w:spacing w:line="600" w:lineRule="exact"/>
        <w:ind w:left="1600"/>
        <w:rPr>
          <w:rFonts w:ascii="仿宋_GB2312" w:hAnsi="仿宋_GB2312" w:eastAsia="仿宋_GB2312" w:cs="仿宋_GB2312"/>
          <w:sz w:val="32"/>
          <w:szCs w:val="32"/>
        </w:rPr>
      </w:pPr>
      <w:r>
        <w:rPr>
          <w:rFonts w:hint="eastAsia" w:ascii="仿宋_GB2312" w:hAnsi="仿宋_GB2312" w:eastAsia="仿宋_GB2312" w:cs="仿宋_GB2312"/>
          <w:sz w:val="32"/>
          <w:szCs w:val="32"/>
        </w:rPr>
        <w:t>3.产业投资项目“双容双承诺”直接落地双向承诺书</w:t>
      </w:r>
    </w:p>
    <w:p>
      <w:pPr>
        <w:spacing w:line="600" w:lineRule="exact"/>
        <w:rPr>
          <w:rFonts w:ascii="仿宋_GB2312" w:hAnsi="仿宋_GB2312" w:eastAsia="仿宋_GB2312" w:cs="仿宋_GB2312"/>
          <w:sz w:val="32"/>
          <w:szCs w:val="32"/>
        </w:rPr>
      </w:pPr>
    </w:p>
    <w:p>
      <w:pPr>
        <w:spacing w:line="600" w:lineRule="exact"/>
        <w:rPr>
          <w:rFonts w:ascii="仿宋_GB2312" w:hAnsi="仿宋_GB2312" w:eastAsia="仿宋_GB2312" w:cs="仿宋_GB2312"/>
          <w:sz w:val="32"/>
          <w:szCs w:val="32"/>
        </w:rPr>
      </w:pPr>
    </w:p>
    <w:p>
      <w:pPr>
        <w:spacing w:line="600" w:lineRule="exact"/>
        <w:rPr>
          <w:rFonts w:ascii="仿宋_GB2312" w:hAnsi="仿宋_GB2312" w:eastAsia="仿宋_GB2312" w:cs="仿宋_GB2312"/>
          <w:sz w:val="32"/>
          <w:szCs w:val="32"/>
        </w:rPr>
        <w:sectPr>
          <w:headerReference r:id="rId3" w:type="default"/>
          <w:footerReference r:id="rId4" w:type="default"/>
          <w:pgSz w:w="11906" w:h="16838"/>
          <w:pgMar w:top="2098" w:right="1474" w:bottom="1984" w:left="1587" w:header="851" w:footer="992" w:gutter="0"/>
          <w:pgNumType w:fmt="numberInDash"/>
          <w:cols w:space="720" w:num="1"/>
          <w:docGrid w:type="lines" w:linePitch="318" w:charSpace="0"/>
        </w:sectPr>
      </w:pPr>
    </w:p>
    <w:p>
      <w:pPr>
        <w:outlineLvl w:val="0"/>
        <w:rPr>
          <w:rFonts w:ascii="仿宋" w:hAnsi="仿宋" w:eastAsia="仿宋" w:cs="仿宋"/>
          <w:snapToGrid w:val="0"/>
          <w:sz w:val="32"/>
          <w:szCs w:val="32"/>
        </w:rPr>
      </w:pPr>
      <w:r>
        <w:rPr>
          <w:rFonts w:hint="eastAsia" w:ascii="仿宋" w:hAnsi="仿宋" w:eastAsia="仿宋" w:cs="仿宋"/>
          <w:snapToGrid w:val="0"/>
          <w:sz w:val="32"/>
          <w:szCs w:val="32"/>
        </w:rPr>
        <w:t>附件1：</w:t>
      </w:r>
    </w:p>
    <w:p>
      <w:pPr>
        <w:rPr>
          <w:rFonts w:ascii="仿宋" w:hAnsi="仿宋" w:eastAsia="仿宋" w:cs="仿宋"/>
          <w:snapToGrid w:val="0"/>
          <w:sz w:val="36"/>
          <w:szCs w:val="36"/>
        </w:rPr>
      </w:pPr>
    </w:p>
    <w:p>
      <w:pPr>
        <w:jc w:val="center"/>
        <w:rPr>
          <w:rFonts w:ascii="仿宋" w:hAnsi="仿宋" w:eastAsia="仿宋" w:cs="仿宋"/>
          <w:snapToGrid w:val="0"/>
          <w:sz w:val="32"/>
          <w:szCs w:val="32"/>
          <w:u w:val="single"/>
        </w:rPr>
      </w:pPr>
      <w:r>
        <w:rPr>
          <w:rFonts w:hint="eastAsia" w:ascii="方正小标宋简体" w:hAnsi="方正小标宋简体" w:eastAsia="方正小标宋简体" w:cs="方正小标宋简体"/>
          <w:snapToGrid w:val="0"/>
          <w:sz w:val="44"/>
          <w:szCs w:val="44"/>
          <w:u w:val="single"/>
        </w:rPr>
        <w:t>“双容双承诺”项目准入负面清单</w:t>
      </w:r>
    </w:p>
    <w:p>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一、国家发展改革委、商务部《市场准入负面清单（2020年版）》（</w:t>
      </w:r>
      <w:r>
        <w:rPr>
          <w:rFonts w:hint="eastAsia" w:ascii="仿宋_GB2312" w:hAnsi="仿宋_GB2312" w:eastAsia="仿宋_GB2312"/>
          <w:sz w:val="32"/>
          <w:u w:val="single"/>
          <w:lang w:val="zh-CN"/>
        </w:rPr>
        <w:t>发改体改规﹝2020﹞1880号</w:t>
      </w:r>
      <w:r>
        <w:rPr>
          <w:rFonts w:hint="eastAsia" w:ascii="仿宋_GB2312" w:hAnsi="仿宋_GB2312" w:eastAsia="仿宋_GB2312" w:cs="仿宋_GB2312"/>
          <w:sz w:val="32"/>
          <w:szCs w:val="32"/>
          <w:u w:val="single"/>
        </w:rPr>
        <w:t>）规定的禁止准入、许可准入事项；</w:t>
      </w:r>
    </w:p>
    <w:p>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二、国家发展改革委《产业结构调整指导目录》（2019年本）规定的限制类、淘汰类项目；</w:t>
      </w:r>
    </w:p>
    <w:p>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三、《广东省大气污染防治条例》、《广东省打赢蓝天保卫战实施方案（2018—2020年）》（粤府﹝2018﹞128号）规定禁止建设的项目；</w:t>
      </w:r>
    </w:p>
    <w:p>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四、年综合能源消费量5000吨标准煤以上的项目；</w:t>
      </w:r>
    </w:p>
    <w:p>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五、高速公路、铁路等大型线性工程，或者其他涉及环境敏感区及“邻避”问题</w:t>
      </w:r>
      <w:r>
        <w:rPr>
          <w:rFonts w:hint="eastAsia" w:ascii="仿宋_GB2312" w:hAnsi="仿宋_GB2312" w:eastAsia="仿宋_GB2312" w:cs="仿宋_GB2312"/>
          <w:sz w:val="32"/>
          <w:szCs w:val="32"/>
          <w:u w:val="single"/>
          <w:lang w:eastAsia="zh-Hans"/>
        </w:rPr>
        <w:t>的</w:t>
      </w:r>
      <w:r>
        <w:rPr>
          <w:rFonts w:hint="eastAsia" w:ascii="仿宋_GB2312" w:hAnsi="仿宋_GB2312" w:eastAsia="仿宋_GB2312" w:cs="仿宋_GB2312"/>
          <w:sz w:val="32"/>
          <w:szCs w:val="32"/>
          <w:u w:val="single"/>
        </w:rPr>
        <w:t>大型基础设施、工业企业项目</w:t>
      </w:r>
      <w:r>
        <w:rPr>
          <w:rFonts w:hint="eastAsia" w:ascii="仿宋_GB2312" w:hAnsi="仿宋_GB2312" w:eastAsia="仿宋_GB2312" w:cs="仿宋_GB2312"/>
          <w:sz w:val="32"/>
          <w:szCs w:val="32"/>
          <w:u w:val="single"/>
          <w:lang w:eastAsia="zh-Hans"/>
        </w:rPr>
        <w:t>；</w:t>
      </w:r>
    </w:p>
    <w:p>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六、石油、煤炭及其他燃料加工业，化学原料和化学制品制造业，非金属矿物制品业，黑色金属冶炼和压延加工业，有色金属冶炼和压延加工业，电力、热力生产和供应业等高耗能行业的项目；</w:t>
      </w:r>
    </w:p>
    <w:p>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七、矿山、金属冶炼及用于生产、存储、装卸危险物品等高安全风险的项目；</w:t>
      </w:r>
    </w:p>
    <w:p>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八、房地产、</w:t>
      </w:r>
      <w:r>
        <w:rPr>
          <w:rFonts w:hint="eastAsia" w:ascii="仿宋_GB2312" w:hAnsi="仿宋_GB2312" w:eastAsia="仿宋_GB2312" w:cs="仿宋_GB2312"/>
          <w:sz w:val="32"/>
          <w:szCs w:val="32"/>
          <w:u w:val="single"/>
          <w:lang w:eastAsia="zh-Hans"/>
        </w:rPr>
        <w:t>医院</w:t>
      </w:r>
      <w:r>
        <w:rPr>
          <w:rFonts w:hint="eastAsia" w:ascii="仿宋_GB2312" w:hAnsi="仿宋_GB2312" w:eastAsia="仿宋_GB2312" w:cs="仿宋_GB2312"/>
          <w:sz w:val="32"/>
          <w:szCs w:val="32"/>
          <w:u w:val="single"/>
        </w:rPr>
        <w:t>、学校</w:t>
      </w:r>
      <w:r>
        <w:rPr>
          <w:rFonts w:hint="eastAsia" w:ascii="仿宋_GB2312" w:hAnsi="仿宋_GB2312" w:eastAsia="仿宋_GB2312" w:cs="仿宋_GB2312"/>
          <w:sz w:val="32"/>
          <w:szCs w:val="32"/>
          <w:u w:val="single"/>
          <w:lang w:eastAsia="zh-Hans"/>
        </w:rPr>
        <w:t>、</w:t>
      </w:r>
      <w:r>
        <w:rPr>
          <w:rFonts w:hint="eastAsia" w:ascii="仿宋_GB2312" w:hAnsi="仿宋_GB2312" w:eastAsia="仿宋_GB2312" w:cs="仿宋_GB2312"/>
          <w:sz w:val="32"/>
          <w:szCs w:val="32"/>
          <w:u w:val="single"/>
        </w:rPr>
        <w:t>养老院等项目</w:t>
      </w:r>
      <w:r>
        <w:rPr>
          <w:rFonts w:hint="eastAsia" w:ascii="仿宋_GB2312" w:hAnsi="仿宋_GB2312" w:eastAsia="仿宋_GB2312" w:cs="仿宋_GB2312"/>
          <w:sz w:val="32"/>
          <w:szCs w:val="32"/>
          <w:u w:val="single"/>
          <w:lang w:eastAsia="zh-Hans"/>
        </w:rPr>
        <w:t>；</w:t>
      </w:r>
    </w:p>
    <w:p>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九、关系国家安全、生态安全、涉及重大生产力布局、战略性资源开发的项目；</w:t>
      </w:r>
    </w:p>
    <w:p>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十、失信联合惩戒对象建设的项目；</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十一、未履行“双向承诺书”且未完成信用修复的企业再次申请建设的项目。</w:t>
      </w:r>
    </w:p>
    <w:p>
      <w:pPr>
        <w:spacing w:line="600" w:lineRule="exact"/>
        <w:ind w:firstLine="640" w:firstLineChars="200"/>
        <w:rPr>
          <w:rFonts w:ascii="仿宋_GB2312" w:hAnsi="仿宋_GB2312" w:eastAsia="仿宋_GB2312" w:cs="仿宋_GB2312"/>
          <w:sz w:val="32"/>
          <w:szCs w:val="32"/>
        </w:rPr>
      </w:pPr>
    </w:p>
    <w:p/>
    <w:p/>
    <w:p/>
    <w:p/>
    <w:p/>
    <w:p>
      <w:pPr>
        <w:jc w:val="left"/>
        <w:outlineLvl w:val="0"/>
        <w:rPr>
          <w:rFonts w:ascii="仿宋_GB2312" w:hAnsi="黑体" w:eastAsia="仿宋_GB2312" w:cs="黑体"/>
          <w:sz w:val="32"/>
          <w:szCs w:val="32"/>
          <w:shd w:val="clear" w:color="auto" w:fill="FFFFFF"/>
        </w:rPr>
        <w:sectPr>
          <w:footerReference r:id="rId5" w:type="default"/>
          <w:pgSz w:w="11906" w:h="16838"/>
          <w:pgMar w:top="2098" w:right="1474" w:bottom="1984" w:left="1587" w:header="851" w:footer="992" w:gutter="0"/>
          <w:pgNumType w:fmt="numberInDash"/>
          <w:cols w:space="720" w:num="1"/>
          <w:docGrid w:type="lines" w:linePitch="318" w:charSpace="0"/>
        </w:sectPr>
      </w:pPr>
    </w:p>
    <w:p>
      <w:pPr>
        <w:jc w:val="left"/>
        <w:outlineLvl w:val="0"/>
        <w:rPr>
          <w:rFonts w:ascii="仿宋_GB2312" w:hAnsi="微软简标宋" w:eastAsia="仿宋_GB2312" w:cs="微软简标宋"/>
          <w:sz w:val="36"/>
          <w:szCs w:val="36"/>
          <w:shd w:val="clear" w:color="auto" w:fill="FFFFFF"/>
        </w:rPr>
      </w:pPr>
      <w:r>
        <w:rPr>
          <w:rFonts w:hint="eastAsia" w:ascii="仿宋_GB2312" w:hAnsi="黑体" w:eastAsia="仿宋_GB2312" w:cs="黑体"/>
          <w:sz w:val="32"/>
          <w:szCs w:val="32"/>
          <w:shd w:val="clear" w:color="auto" w:fill="FFFFFF"/>
        </w:rPr>
        <w:t>附件2：</w:t>
      </w:r>
      <w:r>
        <w:rPr>
          <w:rFonts w:hint="eastAsia" w:ascii="仿宋_GB2312" w:hAnsi="微软简标宋" w:eastAsia="仿宋_GB2312" w:cs="微软简标宋"/>
          <w:sz w:val="36"/>
          <w:szCs w:val="36"/>
          <w:shd w:val="clear" w:color="auto" w:fill="FFFFFF"/>
        </w:rPr>
        <w:t xml:space="preserve">                 </w:t>
      </w:r>
    </w:p>
    <w:p>
      <w:pPr>
        <w:jc w:val="left"/>
        <w:rPr>
          <w:rFonts w:ascii="仿宋_GB2312" w:hAnsi="微软简标宋" w:eastAsia="仿宋_GB2312" w:cs="微软简标宋"/>
          <w:sz w:val="36"/>
          <w:szCs w:val="36"/>
          <w:shd w:val="clear" w:color="auto" w:fill="FFFFFF"/>
        </w:rPr>
      </w:pPr>
    </w:p>
    <w:p>
      <w:pPr>
        <w:jc w:val="center"/>
        <w:rPr>
          <w:rFonts w:ascii="微软简标宋" w:hAnsi="微软简标宋" w:eastAsia="微软简标宋" w:cs="微软简标宋"/>
          <w:b/>
          <w:sz w:val="36"/>
          <w:szCs w:val="36"/>
          <w:shd w:val="clear" w:color="auto" w:fill="FFFFFF"/>
        </w:rPr>
      </w:pPr>
      <w:r>
        <w:rPr>
          <w:rFonts w:hint="eastAsia" w:ascii="微软简标宋" w:hAnsi="微软简标宋" w:eastAsia="微软简标宋" w:cs="微软简标宋"/>
          <w:b/>
          <w:sz w:val="36"/>
          <w:szCs w:val="36"/>
          <w:shd w:val="clear" w:color="auto" w:fill="FFFFFF"/>
        </w:rPr>
        <w:t>产业投资项目“双容双承诺”直接落地流程图</w:t>
      </w:r>
    </w:p>
    <w:p>
      <w:pPr>
        <w:jc w:val="left"/>
        <w:rPr>
          <w:rFonts w:ascii="楷体_GB2312" w:hAnsi="楷体_GB2312" w:eastAsia="楷体_GB2312" w:cs="楷体_GB2312"/>
          <w:b/>
          <w:bCs/>
          <w:sz w:val="24"/>
          <w:shd w:val="clear" w:color="auto" w:fill="FFFFFF"/>
        </w:rPr>
      </w:pPr>
    </w:p>
    <w:p>
      <w:pPr>
        <w:rPr>
          <w:rFonts w:ascii="黑体" w:hAnsi="黑体" w:eastAsia="黑体" w:cs="黑体"/>
          <w:sz w:val="30"/>
          <w:szCs w:val="30"/>
          <w:shd w:val="clear" w:color="auto" w:fill="FFFFFF"/>
        </w:rPr>
      </w:pPr>
      <w:r>
        <w:rPr>
          <w:rFonts w:hint="eastAsia" w:ascii="黑体" w:hAnsi="黑体" w:eastAsia="黑体" w:cs="黑体"/>
          <w:sz w:val="30"/>
          <w:szCs w:val="30"/>
          <w:shd w:val="clear" w:color="auto" w:fill="FFFFFF"/>
        </w:rPr>
        <w:t xml:space="preserve">1.项目申报阶段： </w:t>
      </w:r>
    </w:p>
    <w:p>
      <w:pPr>
        <w:tabs>
          <w:tab w:val="left" w:pos="5204"/>
        </w:tabs>
        <w:jc w:val="left"/>
        <w:rPr>
          <w:rFonts w:ascii="微软简标宋" w:eastAsia="微软简标宋"/>
          <w:sz w:val="44"/>
          <w:szCs w:val="44"/>
        </w:rPr>
      </w:pPr>
    </w:p>
    <w:p>
      <w:pPr>
        <w:rPr>
          <w:rFonts w:ascii="微软简标宋" w:eastAsia="微软简标宋"/>
          <w:sz w:val="44"/>
          <w:szCs w:val="44"/>
        </w:rPr>
      </w:pPr>
      <w:r>
        <w:rPr>
          <w:rFonts w:ascii="微软简标宋" w:eastAsia="微软简标宋"/>
          <w:sz w:val="44"/>
          <w:szCs w:val="44"/>
        </w:rPr>
        <mc:AlternateContent>
          <mc:Choice Requires="wps">
            <w:drawing>
              <wp:anchor distT="0" distB="0" distL="114300" distR="114300" simplePos="0" relativeHeight="251661312" behindDoc="0" locked="0" layoutInCell="1" allowOverlap="1">
                <wp:simplePos x="0" y="0"/>
                <wp:positionH relativeFrom="column">
                  <wp:posOffset>7679055</wp:posOffset>
                </wp:positionH>
                <wp:positionV relativeFrom="paragraph">
                  <wp:posOffset>101600</wp:posOffset>
                </wp:positionV>
                <wp:extent cx="1240155" cy="913130"/>
                <wp:effectExtent l="6350" t="6350" r="23495" b="20320"/>
                <wp:wrapNone/>
                <wp:docPr id="9" name="文本框 9"/>
                <wp:cNvGraphicFramePr/>
                <a:graphic xmlns:a="http://schemas.openxmlformats.org/drawingml/2006/main">
                  <a:graphicData uri="http://schemas.microsoft.com/office/word/2010/wordprocessingShape">
                    <wps:wsp>
                      <wps:cNvSpPr txBox="1"/>
                      <wps:spPr>
                        <a:xfrm>
                          <a:off x="0" y="0"/>
                          <a:ext cx="1449070" cy="7747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b/>
                                <w:bCs/>
                                <w:sz w:val="24"/>
                              </w:rPr>
                              <w:t>承诺书推送报备</w:t>
                            </w:r>
                            <w:r>
                              <w:rPr>
                                <w:rFonts w:hint="eastAsia"/>
                                <w:sz w:val="24"/>
                              </w:rPr>
                              <w:t xml:space="preserve"> </w:t>
                            </w:r>
                            <w:r>
                              <w:rPr>
                                <w:sz w:val="24"/>
                              </w:rPr>
                              <w:t>–</w:t>
                            </w:r>
                            <w:r>
                              <w:rPr>
                                <w:rFonts w:hint="eastAsia"/>
                                <w:sz w:val="24"/>
                              </w:rPr>
                              <w:t xml:space="preserve"> </w:t>
                            </w:r>
                            <w:r>
                              <w:rPr>
                                <w:rFonts w:hint="eastAsia" w:ascii="宋体" w:hAnsi="宋体"/>
                                <w:sz w:val="24"/>
                              </w:rPr>
                              <w:t>行政服务中心</w:t>
                            </w:r>
                            <w:r>
                              <w:rPr>
                                <w:rFonts w:hint="eastAsia"/>
                                <w:sz w:val="24"/>
                              </w:rPr>
                              <w:t xml:space="preserve"> </w:t>
                            </w:r>
                          </w:p>
                        </w:txbxContent>
                      </wps:txbx>
                      <wps:bodyPr wrap="square" upright="1"/>
                    </wps:wsp>
                  </a:graphicData>
                </a:graphic>
              </wp:anchor>
            </w:drawing>
          </mc:Choice>
          <mc:Fallback>
            <w:pict>
              <v:shape id="_x0000_s1026" o:spid="_x0000_s1026" o:spt="202" type="#_x0000_t202" style="position:absolute;left:0pt;margin-left:604.65pt;margin-top:8pt;height:71.9pt;width:97.65pt;z-index:251661312;mso-width-relative:page;mso-height-relative:page;" fillcolor="#FFFFFF" filled="t" stroked="t" coordsize="21600,21600" o:gfxdata="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WAAAAZHJzL1BL&#10;AQIUABQAAAAIAIdO4kB/+Zxi2QAAAAwBAAAPAAAAAAAAAAEAIAAAADgAAABkcnMvZG93bnJldi54&#10;bWxQSwECFAAUAAAACACHTuJADl4GvhwCAABSBAAADgAAAAAAAAABACAAAAA+AQAAZHJzL2Uyb0Rv&#10;Yy54bWxQSwUGAAAAAAYABgBZAQAAzAUAAAAA&#10;">
                <v:fill on="t" focussize="0,0"/>
                <v:stroke color="#000000" joinstyle="miter"/>
                <v:imagedata o:title=""/>
                <o:lock v:ext="edit" aspectratio="f"/>
                <v:textbox>
                  <w:txbxContent>
                    <w:p>
                      <w:pPr>
                        <w:rPr>
                          <w:sz w:val="24"/>
                        </w:rPr>
                      </w:pPr>
                      <w:r>
                        <w:rPr>
                          <w:rFonts w:hint="eastAsia"/>
                          <w:b/>
                          <w:bCs/>
                          <w:sz w:val="24"/>
                        </w:rPr>
                        <w:t>承诺书推送报备</w:t>
                      </w:r>
                      <w:r>
                        <w:rPr>
                          <w:rFonts w:hint="eastAsia"/>
                          <w:sz w:val="24"/>
                        </w:rPr>
                        <w:t xml:space="preserve"> </w:t>
                      </w:r>
                      <w:r>
                        <w:rPr>
                          <w:sz w:val="24"/>
                        </w:rPr>
                        <w:t>–</w:t>
                      </w:r>
                      <w:r>
                        <w:rPr>
                          <w:rFonts w:hint="eastAsia"/>
                          <w:sz w:val="24"/>
                        </w:rPr>
                        <w:t xml:space="preserve"> </w:t>
                      </w:r>
                      <w:r>
                        <w:rPr>
                          <w:rFonts w:hint="eastAsia" w:ascii="宋体" w:hAnsi="宋体"/>
                          <w:sz w:val="24"/>
                        </w:rPr>
                        <w:t>行政服务中心</w:t>
                      </w:r>
                      <w:r>
                        <w:rPr>
                          <w:rFonts w:hint="eastAsia"/>
                          <w:sz w:val="24"/>
                        </w:rPr>
                        <w:t xml:space="preserve"> </w:t>
                      </w:r>
                    </w:p>
                  </w:txbxContent>
                </v:textbox>
              </v:shape>
            </w:pict>
          </mc:Fallback>
        </mc:AlternateContent>
      </w:r>
      <w:r>
        <w:rPr>
          <w:rFonts w:ascii="微软简标宋" w:eastAsia="微软简标宋"/>
          <w:sz w:val="44"/>
          <w:szCs w:val="44"/>
        </w:rPr>
        <mc:AlternateContent>
          <mc:Choice Requires="wps">
            <w:drawing>
              <wp:anchor distT="0" distB="0" distL="114300" distR="114300" simplePos="0" relativeHeight="251660288" behindDoc="0" locked="0" layoutInCell="1" allowOverlap="1">
                <wp:simplePos x="0" y="0"/>
                <wp:positionH relativeFrom="column">
                  <wp:posOffset>6037580</wp:posOffset>
                </wp:positionH>
                <wp:positionV relativeFrom="paragraph">
                  <wp:posOffset>86360</wp:posOffset>
                </wp:positionV>
                <wp:extent cx="1346200" cy="927735"/>
                <wp:effectExtent l="6350" t="6350" r="19050" b="31115"/>
                <wp:wrapNone/>
                <wp:docPr id="8" name="文本框 8"/>
                <wp:cNvGraphicFramePr/>
                <a:graphic xmlns:a="http://schemas.openxmlformats.org/drawingml/2006/main">
                  <a:graphicData uri="http://schemas.microsoft.com/office/word/2010/wordprocessingShape">
                    <wps:wsp>
                      <wps:cNvSpPr txBox="1"/>
                      <wps:spPr>
                        <a:xfrm>
                          <a:off x="0" y="0"/>
                          <a:ext cx="1449070" cy="7747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b/>
                                <w:bCs/>
                                <w:sz w:val="24"/>
                              </w:rPr>
                              <w:t>接受申请，充分告知，签订双向承诺书</w:t>
                            </w:r>
                            <w:r>
                              <w:rPr>
                                <w:rFonts w:hint="eastAsia"/>
                                <w:sz w:val="24"/>
                              </w:rPr>
                              <w:t xml:space="preserve"> </w:t>
                            </w:r>
                            <w:r>
                              <w:rPr>
                                <w:sz w:val="24"/>
                              </w:rPr>
                              <w:t>–</w:t>
                            </w:r>
                            <w:r>
                              <w:rPr>
                                <w:rFonts w:hint="eastAsia"/>
                                <w:sz w:val="24"/>
                              </w:rPr>
                              <w:t xml:space="preserve"> 行政服务中心、申报企业</w:t>
                            </w:r>
                          </w:p>
                        </w:txbxContent>
                      </wps:txbx>
                      <wps:bodyPr wrap="square" upright="1"/>
                    </wps:wsp>
                  </a:graphicData>
                </a:graphic>
              </wp:anchor>
            </w:drawing>
          </mc:Choice>
          <mc:Fallback>
            <w:pict>
              <v:shape id="_x0000_s1026" o:spid="_x0000_s1026" o:spt="202" type="#_x0000_t202" style="position:absolute;left:0pt;margin-left:475.4pt;margin-top:6.8pt;height:73.05pt;width:106pt;z-index:251660288;mso-width-relative:page;mso-height-relative:page;" fillcolor="#FFFFFF" filled="t" stroked="t" coordsize="21600,21600" o:gfxdata="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FgAAAGRycy9Q&#10;SwECFAAUAAAACACHTuJANXVS/toAAAALAQAADwAAAAAAAAABACAAAAA4AAAAZHJzL2Rvd25yZXYu&#10;eG1sUEsBAhQAFAAAAAgAh07iQN72Gw4cAgAAUgQAAA4AAAAAAAAAAQAgAAAAPwEAAGRycy9lMm9E&#10;b2MueG1sUEsFBgAAAAAGAAYAWQEAAM0FAAAAAA==&#10;">
                <v:fill on="t" focussize="0,0"/>
                <v:stroke color="#000000" joinstyle="miter"/>
                <v:imagedata o:title=""/>
                <o:lock v:ext="edit" aspectratio="f"/>
                <v:textbox>
                  <w:txbxContent>
                    <w:p>
                      <w:pPr>
                        <w:rPr>
                          <w:sz w:val="24"/>
                        </w:rPr>
                      </w:pPr>
                      <w:r>
                        <w:rPr>
                          <w:rFonts w:hint="eastAsia"/>
                          <w:b/>
                          <w:bCs/>
                          <w:sz w:val="24"/>
                        </w:rPr>
                        <w:t>接受申请，充分告知，签订双向承诺书</w:t>
                      </w:r>
                      <w:r>
                        <w:rPr>
                          <w:rFonts w:hint="eastAsia"/>
                          <w:sz w:val="24"/>
                        </w:rPr>
                        <w:t xml:space="preserve"> </w:t>
                      </w:r>
                      <w:r>
                        <w:rPr>
                          <w:sz w:val="24"/>
                        </w:rPr>
                        <w:t>–</w:t>
                      </w:r>
                      <w:r>
                        <w:rPr>
                          <w:rFonts w:hint="eastAsia"/>
                          <w:sz w:val="24"/>
                        </w:rPr>
                        <w:t xml:space="preserve"> 行政服务中心、申报企业</w:t>
                      </w:r>
                    </w:p>
                  </w:txbxContent>
                </v:textbox>
              </v:shape>
            </w:pict>
          </mc:Fallback>
        </mc:AlternateContent>
      </w:r>
      <w:r>
        <w:rPr>
          <w:rFonts w:hint="eastAsia" w:ascii="黑体" w:hAnsi="黑体" w:eastAsia="黑体" w:cs="黑体"/>
          <w:sz w:val="30"/>
          <w:szCs w:val="30"/>
        </w:rPr>
        <mc:AlternateContent>
          <mc:Choice Requires="wps">
            <w:drawing>
              <wp:anchor distT="0" distB="0" distL="114300" distR="114300" simplePos="0" relativeHeight="251677696" behindDoc="0" locked="0" layoutInCell="1" allowOverlap="1">
                <wp:simplePos x="0" y="0"/>
                <wp:positionH relativeFrom="column">
                  <wp:posOffset>4714875</wp:posOffset>
                </wp:positionH>
                <wp:positionV relativeFrom="paragraph">
                  <wp:posOffset>93980</wp:posOffset>
                </wp:positionV>
                <wp:extent cx="950595" cy="920115"/>
                <wp:effectExtent l="6350" t="6350" r="8255" b="13335"/>
                <wp:wrapNone/>
                <wp:docPr id="21" name="文本框 17"/>
                <wp:cNvGraphicFramePr/>
                <a:graphic xmlns:a="http://schemas.openxmlformats.org/drawingml/2006/main">
                  <a:graphicData uri="http://schemas.microsoft.com/office/word/2010/wordprocessingShape">
                    <wps:wsp>
                      <wps:cNvSpPr txBox="1"/>
                      <wps:spPr>
                        <a:xfrm>
                          <a:off x="0" y="0"/>
                          <a:ext cx="1449070" cy="9201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b/>
                                <w:bCs/>
                                <w:sz w:val="24"/>
                              </w:rPr>
                              <w:t>申请项目直接落地</w:t>
                            </w:r>
                            <w:r>
                              <w:rPr>
                                <w:rFonts w:hint="eastAsia"/>
                                <w:sz w:val="24"/>
                              </w:rPr>
                              <w:t xml:space="preserve"> </w:t>
                            </w:r>
                            <w:r>
                              <w:rPr>
                                <w:sz w:val="24"/>
                              </w:rPr>
                              <w:t>–</w:t>
                            </w:r>
                            <w:r>
                              <w:rPr>
                                <w:rFonts w:hint="eastAsia"/>
                                <w:sz w:val="24"/>
                              </w:rPr>
                              <w:t xml:space="preserve"> 申报企业     </w:t>
                            </w:r>
                          </w:p>
                        </w:txbxContent>
                      </wps:txbx>
                      <wps:bodyPr wrap="square" upright="1"/>
                    </wps:wsp>
                  </a:graphicData>
                </a:graphic>
              </wp:anchor>
            </w:drawing>
          </mc:Choice>
          <mc:Fallback>
            <w:pict>
              <v:shape id="文本框 17" o:spid="_x0000_s1026" o:spt="202" type="#_x0000_t202" style="position:absolute;left:0pt;margin-left:371.25pt;margin-top:7.4pt;height:72.45pt;width:74.85pt;z-index:251677696;mso-width-relative:page;mso-height-relative:page;" fillcolor="#FFFFFF" filled="t" stroked="t" coordsize="21600,21600" o:gfxdata="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1gIA4dkAAAAKAQAADwAAAAAAAAABACAAAAA4AAAAZHJzL2Rvd25yZXYueG1s&#10;UEsBAhQAFAAAAAgAh07iQE0eX/UaAgAAVAQAAA4AAAAAAAAAAQAgAAAAPgEAAGRycy9lMm9Eb2Mu&#10;eG1sUEsFBgAAAAAGAAYAWQEAAMoFAAAAAA==&#10;">
                <v:fill on="t" focussize="0,0"/>
                <v:stroke color="#000000" joinstyle="miter"/>
                <v:imagedata o:title=""/>
                <o:lock v:ext="edit" aspectratio="f"/>
                <v:textbox>
                  <w:txbxContent>
                    <w:p>
                      <w:pPr>
                        <w:rPr>
                          <w:sz w:val="24"/>
                        </w:rPr>
                      </w:pPr>
                      <w:r>
                        <w:rPr>
                          <w:rFonts w:hint="eastAsia"/>
                          <w:b/>
                          <w:bCs/>
                          <w:sz w:val="24"/>
                        </w:rPr>
                        <w:t>申请项目直接落地</w:t>
                      </w:r>
                      <w:r>
                        <w:rPr>
                          <w:rFonts w:hint="eastAsia"/>
                          <w:sz w:val="24"/>
                        </w:rPr>
                        <w:t xml:space="preserve"> </w:t>
                      </w:r>
                      <w:r>
                        <w:rPr>
                          <w:sz w:val="24"/>
                        </w:rPr>
                        <w:t>–</w:t>
                      </w:r>
                      <w:r>
                        <w:rPr>
                          <w:rFonts w:hint="eastAsia"/>
                          <w:sz w:val="24"/>
                        </w:rPr>
                        <w:t xml:space="preserve"> 申报企业     </w:t>
                      </w:r>
                    </w:p>
                  </w:txbxContent>
                </v:textbox>
              </v:shape>
            </w:pict>
          </mc:Fallback>
        </mc:AlternateContent>
      </w:r>
      <w:r>
        <w:rPr>
          <w:rFonts w:ascii="微软简标宋" w:eastAsia="微软简标宋"/>
          <w:sz w:val="44"/>
          <w:szCs w:val="44"/>
        </w:rPr>
        <mc:AlternateContent>
          <mc:Choice Requires="wps">
            <w:drawing>
              <wp:anchor distT="0" distB="0" distL="114300" distR="114300" simplePos="0" relativeHeight="251665408" behindDoc="0" locked="0" layoutInCell="1" allowOverlap="1">
                <wp:simplePos x="0" y="0"/>
                <wp:positionH relativeFrom="column">
                  <wp:posOffset>2912745</wp:posOffset>
                </wp:positionH>
                <wp:positionV relativeFrom="paragraph">
                  <wp:posOffset>86360</wp:posOffset>
                </wp:positionV>
                <wp:extent cx="1439545" cy="920115"/>
                <wp:effectExtent l="6350" t="6350" r="27305" b="13335"/>
                <wp:wrapNone/>
                <wp:docPr id="17" name="文本框 17"/>
                <wp:cNvGraphicFramePr/>
                <a:graphic xmlns:a="http://schemas.openxmlformats.org/drawingml/2006/main">
                  <a:graphicData uri="http://schemas.microsoft.com/office/word/2010/wordprocessingShape">
                    <wps:wsp>
                      <wps:cNvSpPr txBox="1"/>
                      <wps:spPr>
                        <a:xfrm>
                          <a:off x="0" y="0"/>
                          <a:ext cx="1449070" cy="9201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b/>
                                <w:bCs/>
                                <w:sz w:val="24"/>
                              </w:rPr>
                              <w:t>取得用地规划许可及项目用地（含规划条件）</w:t>
                            </w:r>
                            <w:r>
                              <w:rPr>
                                <w:rFonts w:hint="eastAsia"/>
                                <w:sz w:val="24"/>
                              </w:rPr>
                              <w:t xml:space="preserve"> </w:t>
                            </w:r>
                            <w:r>
                              <w:rPr>
                                <w:sz w:val="24"/>
                              </w:rPr>
                              <w:t>–</w:t>
                            </w:r>
                            <w:r>
                              <w:rPr>
                                <w:rFonts w:hint="eastAsia"/>
                                <w:sz w:val="24"/>
                              </w:rPr>
                              <w:t xml:space="preserve"> 自然资源部门     </w:t>
                            </w:r>
                          </w:p>
                        </w:txbxContent>
                      </wps:txbx>
                      <wps:bodyPr wrap="square" upright="1"/>
                    </wps:wsp>
                  </a:graphicData>
                </a:graphic>
              </wp:anchor>
            </w:drawing>
          </mc:Choice>
          <mc:Fallback>
            <w:pict>
              <v:shape id="_x0000_s1026" o:spid="_x0000_s1026" o:spt="202" type="#_x0000_t202" style="position:absolute;left:0pt;margin-left:229.35pt;margin-top:6.8pt;height:72.45pt;width:113.35pt;z-index:251665408;mso-width-relative:page;mso-height-relative:page;" fillcolor="#FFFFFF" filled="t" stroked="t" coordsize="21600,21600" o:gfxdata="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CTvEQ2QAAAAoBAAAPAAAAAAAAAAEAIAAAADgAAABkcnMvZG93bnJldi54bWxQ&#10;SwECFAAUAAAACACHTuJAnFa3yBkCAABUBAAADgAAAAAAAAABACAAAAA+AQAAZHJzL2Uyb0RvYy54&#10;bWxQSwUGAAAAAAYABgBZAQAAyQUAAAAA&#10;">
                <v:fill on="t" focussize="0,0"/>
                <v:stroke color="#000000" joinstyle="miter"/>
                <v:imagedata o:title=""/>
                <o:lock v:ext="edit" aspectratio="f"/>
                <v:textbox>
                  <w:txbxContent>
                    <w:p>
                      <w:pPr>
                        <w:rPr>
                          <w:sz w:val="24"/>
                        </w:rPr>
                      </w:pPr>
                      <w:r>
                        <w:rPr>
                          <w:rFonts w:hint="eastAsia"/>
                          <w:b/>
                          <w:bCs/>
                          <w:sz w:val="24"/>
                        </w:rPr>
                        <w:t>取得用地规划许可及项目用地（含规划条件）</w:t>
                      </w:r>
                      <w:r>
                        <w:rPr>
                          <w:rFonts w:hint="eastAsia"/>
                          <w:sz w:val="24"/>
                        </w:rPr>
                        <w:t xml:space="preserve"> </w:t>
                      </w:r>
                      <w:r>
                        <w:rPr>
                          <w:sz w:val="24"/>
                        </w:rPr>
                        <w:t>–</w:t>
                      </w:r>
                      <w:r>
                        <w:rPr>
                          <w:rFonts w:hint="eastAsia"/>
                          <w:sz w:val="24"/>
                        </w:rPr>
                        <w:t xml:space="preserve"> 自然资源部门     </w:t>
                      </w:r>
                    </w:p>
                  </w:txbxContent>
                </v:textbox>
              </v:shape>
            </w:pict>
          </mc:Fallback>
        </mc:AlternateContent>
      </w:r>
      <w:r>
        <w:rPr>
          <w:rFonts w:ascii="微软简标宋" w:eastAsia="微软简标宋"/>
          <w:sz w:val="44"/>
          <w:szCs w:val="44"/>
        </w:rPr>
        <mc:AlternateContent>
          <mc:Choice Requires="wps">
            <w:drawing>
              <wp:anchor distT="0" distB="0" distL="114300" distR="114300" simplePos="0" relativeHeight="251679744" behindDoc="0" locked="0" layoutInCell="1" allowOverlap="1">
                <wp:simplePos x="0" y="0"/>
                <wp:positionH relativeFrom="column">
                  <wp:posOffset>1167765</wp:posOffset>
                </wp:positionH>
                <wp:positionV relativeFrom="paragraph">
                  <wp:posOffset>55880</wp:posOffset>
                </wp:positionV>
                <wp:extent cx="1249680" cy="920115"/>
                <wp:effectExtent l="6350" t="6350" r="13970" b="13335"/>
                <wp:wrapNone/>
                <wp:docPr id="23" name="文本框 17"/>
                <wp:cNvGraphicFramePr/>
                <a:graphic xmlns:a="http://schemas.openxmlformats.org/drawingml/2006/main">
                  <a:graphicData uri="http://schemas.microsoft.com/office/word/2010/wordprocessingShape">
                    <wps:wsp>
                      <wps:cNvSpPr txBox="1"/>
                      <wps:spPr>
                        <a:xfrm>
                          <a:off x="0" y="0"/>
                          <a:ext cx="1449070" cy="9201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b/>
                                <w:bCs/>
                                <w:sz w:val="24"/>
                                <w:u w:val="single"/>
                              </w:rPr>
                              <w:t xml:space="preserve">广东省投资项目在线监管平台获得项目代码 </w:t>
                            </w:r>
                            <w:r>
                              <w:rPr>
                                <w:sz w:val="24"/>
                                <w:u w:val="single"/>
                              </w:rPr>
                              <w:t>–</w:t>
                            </w:r>
                            <w:r>
                              <w:rPr>
                                <w:rFonts w:hint="eastAsia"/>
                                <w:sz w:val="24"/>
                                <w:u w:val="single"/>
                              </w:rPr>
                              <w:t xml:space="preserve"> 申报企业</w:t>
                            </w:r>
                            <w:r>
                              <w:rPr>
                                <w:rFonts w:hint="eastAsia"/>
                                <w:sz w:val="24"/>
                              </w:rPr>
                              <w:t xml:space="preserve">     </w:t>
                            </w:r>
                          </w:p>
                        </w:txbxContent>
                      </wps:txbx>
                      <wps:bodyPr wrap="square" upright="1"/>
                    </wps:wsp>
                  </a:graphicData>
                </a:graphic>
              </wp:anchor>
            </w:drawing>
          </mc:Choice>
          <mc:Fallback>
            <w:pict>
              <v:shape id="文本框 17" o:spid="_x0000_s1026" o:spt="202" type="#_x0000_t202" style="position:absolute;left:0pt;margin-left:91.95pt;margin-top:4.4pt;height:72.45pt;width:98.4pt;z-index:251679744;mso-width-relative:page;mso-height-relative:page;" fillcolor="#FFFFFF" filled="t" stroked="t" coordsize="21600,21600" o:gfxdata="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PVjUH7XAAAACQEAAA8AAAAAAAAAAQAgAAAAOAAAAGRycy9kb3ducmV2LnhtbFBL&#10;AQIUABQAAAAIAIdO4kDRqZsrGgIAAFQEAAAOAAAAAAAAAAEAIAAAADwBAABkcnMvZTJvRG9jLnht&#10;bFBLBQYAAAAABgAGAFkBAADIBQAAAAA=&#10;">
                <v:fill on="t" focussize="0,0"/>
                <v:stroke color="#000000" joinstyle="miter"/>
                <v:imagedata o:title=""/>
                <o:lock v:ext="edit" aspectratio="f"/>
                <v:textbox>
                  <w:txbxContent>
                    <w:p>
                      <w:pPr>
                        <w:rPr>
                          <w:sz w:val="24"/>
                        </w:rPr>
                      </w:pPr>
                      <w:r>
                        <w:rPr>
                          <w:rFonts w:hint="eastAsia"/>
                          <w:b/>
                          <w:bCs/>
                          <w:sz w:val="24"/>
                          <w:u w:val="single"/>
                        </w:rPr>
                        <w:t xml:space="preserve">广东省投资项目在线监管平台获得项目代码 </w:t>
                      </w:r>
                      <w:r>
                        <w:rPr>
                          <w:sz w:val="24"/>
                          <w:u w:val="single"/>
                        </w:rPr>
                        <w:t>–</w:t>
                      </w:r>
                      <w:r>
                        <w:rPr>
                          <w:rFonts w:hint="eastAsia"/>
                          <w:sz w:val="24"/>
                          <w:u w:val="single"/>
                        </w:rPr>
                        <w:t xml:space="preserve"> 申报企业</w:t>
                      </w:r>
                      <w:r>
                        <w:rPr>
                          <w:rFonts w:hint="eastAsia"/>
                          <w:sz w:val="24"/>
                        </w:rPr>
                        <w:t xml:space="preserve">     </w:t>
                      </w:r>
                    </w:p>
                  </w:txbxContent>
                </v:textbox>
              </v:shape>
            </w:pict>
          </mc:Fallback>
        </mc:AlternateContent>
      </w:r>
      <w:r>
        <w:rPr>
          <w:rFonts w:ascii="微软简标宋" w:eastAsia="微软简标宋"/>
          <w:sz w:val="44"/>
          <w:szCs w:val="44"/>
        </w:rPr>
        <mc:AlternateContent>
          <mc:Choice Requires="wps">
            <w:drawing>
              <wp:anchor distT="0" distB="0" distL="114300" distR="114300" simplePos="0" relativeHeight="251659264" behindDoc="0" locked="0" layoutInCell="1" allowOverlap="1">
                <wp:simplePos x="0" y="0"/>
                <wp:positionH relativeFrom="column">
                  <wp:posOffset>-333375</wp:posOffset>
                </wp:positionH>
                <wp:positionV relativeFrom="paragraph">
                  <wp:posOffset>25400</wp:posOffset>
                </wp:positionV>
                <wp:extent cx="1146810" cy="920115"/>
                <wp:effectExtent l="6350" t="6350" r="15240" b="13335"/>
                <wp:wrapNone/>
                <wp:docPr id="6" name="文本框 6"/>
                <wp:cNvGraphicFramePr/>
                <a:graphic xmlns:a="http://schemas.openxmlformats.org/drawingml/2006/main">
                  <a:graphicData uri="http://schemas.microsoft.com/office/word/2010/wordprocessingShape">
                    <wps:wsp>
                      <wps:cNvSpPr txBox="1"/>
                      <wps:spPr>
                        <a:xfrm>
                          <a:off x="0" y="0"/>
                          <a:ext cx="1146810" cy="7747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b/>
                                <w:bCs/>
                                <w:sz w:val="24"/>
                              </w:rPr>
                              <w:t xml:space="preserve">确定投资意向,开展相关工作 </w:t>
                            </w:r>
                            <w:r>
                              <w:rPr>
                                <w:sz w:val="24"/>
                              </w:rPr>
                              <w:t>–</w:t>
                            </w:r>
                            <w:r>
                              <w:rPr>
                                <w:rFonts w:hint="eastAsia"/>
                                <w:sz w:val="24"/>
                              </w:rPr>
                              <w:t xml:space="preserve"> 申报企业</w:t>
                            </w:r>
                          </w:p>
                        </w:txbxContent>
                      </wps:txbx>
                      <wps:bodyPr wrap="square" upright="1"/>
                    </wps:wsp>
                  </a:graphicData>
                </a:graphic>
              </wp:anchor>
            </w:drawing>
          </mc:Choice>
          <mc:Fallback>
            <w:pict>
              <v:shape id="_x0000_s1026" o:spid="_x0000_s1026" o:spt="202" type="#_x0000_t202" style="position:absolute;left:0pt;margin-left:-26.25pt;margin-top:2pt;height:72.45pt;width:90.3pt;z-index:251659264;mso-width-relative:page;mso-height-relative:page;" fillcolor="#FFFFFF" filled="t" stroked="t" coordsize="21600,21600" o:gfxdata="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FgAAAGRycy9Q&#10;SwECFAAUAAAACACHTuJAAv9GsdkAAAAJAQAADwAAAAAAAAABACAAAAA4AAAAZHJzL2Rvd25yZXYu&#10;eG1sUEsBAhQAFAAAAAgAh07iQK4ZctodAgAAUgQAAA4AAAAAAAAAAQAgAAAAPgEAAGRycy9lMm9E&#10;b2MueG1sUEsFBgAAAAAGAAYAWQEAAM0FAAAAAA==&#10;">
                <v:fill on="t" focussize="0,0"/>
                <v:stroke color="#000000" joinstyle="miter"/>
                <v:imagedata o:title=""/>
                <o:lock v:ext="edit" aspectratio="f"/>
                <v:textbox>
                  <w:txbxContent>
                    <w:p>
                      <w:pPr>
                        <w:rPr>
                          <w:sz w:val="24"/>
                        </w:rPr>
                      </w:pPr>
                      <w:r>
                        <w:rPr>
                          <w:rFonts w:hint="eastAsia"/>
                          <w:b/>
                          <w:bCs/>
                          <w:sz w:val="24"/>
                        </w:rPr>
                        <w:t xml:space="preserve">确定投资意向,开展相关工作 </w:t>
                      </w:r>
                      <w:r>
                        <w:rPr>
                          <w:sz w:val="24"/>
                        </w:rPr>
                        <w:t>–</w:t>
                      </w:r>
                      <w:r>
                        <w:rPr>
                          <w:rFonts w:hint="eastAsia"/>
                          <w:sz w:val="24"/>
                        </w:rPr>
                        <w:t xml:space="preserve"> 申报企业</w:t>
                      </w:r>
                    </w:p>
                  </w:txbxContent>
                </v:textbox>
              </v:shape>
            </w:pict>
          </mc:Fallback>
        </mc:AlternateContent>
      </w:r>
    </w:p>
    <w:p>
      <w:pPr>
        <w:rPr>
          <w:rFonts w:ascii="微软简标宋" w:eastAsia="微软简标宋"/>
          <w:sz w:val="44"/>
          <w:szCs w:val="44"/>
        </w:rPr>
      </w:pPr>
      <w:r>
        <w:rPr>
          <w:sz w:val="44"/>
        </w:rPr>
        <mc:AlternateContent>
          <mc:Choice Requires="wps">
            <w:drawing>
              <wp:anchor distT="0" distB="0" distL="114300" distR="114300" simplePos="0" relativeHeight="251664384" behindDoc="0" locked="0" layoutInCell="1" allowOverlap="1">
                <wp:simplePos x="0" y="0"/>
                <wp:positionH relativeFrom="column">
                  <wp:posOffset>7376160</wp:posOffset>
                </wp:positionH>
                <wp:positionV relativeFrom="paragraph">
                  <wp:posOffset>94615</wp:posOffset>
                </wp:positionV>
                <wp:extent cx="313055" cy="0"/>
                <wp:effectExtent l="0" t="50800" r="17145" b="50800"/>
                <wp:wrapNone/>
                <wp:docPr id="3" name="直接箭头连接符 15"/>
                <wp:cNvGraphicFramePr/>
                <a:graphic xmlns:a="http://schemas.openxmlformats.org/drawingml/2006/main">
                  <a:graphicData uri="http://schemas.microsoft.com/office/word/2010/wordprocessingShape">
                    <wps:wsp>
                      <wps:cNvCnPr/>
                      <wps:spPr>
                        <a:xfrm>
                          <a:off x="0" y="0"/>
                          <a:ext cx="313055" cy="0"/>
                        </a:xfrm>
                        <a:prstGeom prst="straightConnector1">
                          <a:avLst/>
                        </a:prstGeom>
                        <a:ln w="12700" cap="flat" cmpd="sng">
                          <a:solidFill>
                            <a:srgbClr val="000000"/>
                          </a:solidFill>
                          <a:prstDash val="solid"/>
                          <a:headEnd type="none" w="med" len="med"/>
                          <a:tailEnd type="arrow" w="med" len="med"/>
                        </a:ln>
                      </wps:spPr>
                      <wps:bodyPr/>
                    </wps:wsp>
                  </a:graphicData>
                </a:graphic>
              </wp:anchor>
            </w:drawing>
          </mc:Choice>
          <mc:Fallback>
            <w:pict>
              <v:shape id="直接箭头连接符 15" o:spid="_x0000_s1026" o:spt="32" type="#_x0000_t32" style="position:absolute;left:0pt;margin-left:580.8pt;margin-top:7.45pt;height:0pt;width:24.65pt;z-index:251664384;mso-width-relative:page;mso-height-relative:page;" filled="f" stroked="t" coordsize="21600,21600" o:gfxdata="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BYAAABkcnMvUEsBAhQAFAAAAAgAh07iQJGue/nYAAAACwEA&#10;AA8AAAAAAAAAAQAgAAAAOAAAAGRycy9kb3ducmV2LnhtbFBLAQIUABQAAAAIAIdO4kBFC1/ABAIA&#10;AO4DAAAOAAAAAAAAAAEAIAAAAD0BAABkcnMvZTJvRG9jLnhtbFBLBQYAAAAABgAGAFkBAACzBQAA&#10;AAA=&#10;">
                <v:fill on="f" focussize="0,0"/>
                <v:stroke weight="1pt" color="#000000" joinstyle="round" endarrow="open"/>
                <v:imagedata o:title=""/>
                <o:lock v:ext="edit" aspectratio="f"/>
              </v:shape>
            </w:pict>
          </mc:Fallback>
        </mc:AlternateContent>
      </w:r>
      <w:r>
        <w:rPr>
          <w:sz w:val="44"/>
        </w:rPr>
        <mc:AlternateContent>
          <mc:Choice Requires="wps">
            <w:drawing>
              <wp:anchor distT="0" distB="0" distL="114300" distR="114300" simplePos="0" relativeHeight="251663360" behindDoc="0" locked="0" layoutInCell="1" allowOverlap="1">
                <wp:simplePos x="0" y="0"/>
                <wp:positionH relativeFrom="column">
                  <wp:posOffset>5654675</wp:posOffset>
                </wp:positionH>
                <wp:positionV relativeFrom="paragraph">
                  <wp:posOffset>117475</wp:posOffset>
                </wp:positionV>
                <wp:extent cx="373380" cy="3175"/>
                <wp:effectExtent l="0" t="68580" r="7620" b="29845"/>
                <wp:wrapNone/>
                <wp:docPr id="2" name="直接箭头连接符 13"/>
                <wp:cNvGraphicFramePr/>
                <a:graphic xmlns:a="http://schemas.openxmlformats.org/drawingml/2006/main">
                  <a:graphicData uri="http://schemas.microsoft.com/office/word/2010/wordprocessingShape">
                    <wps:wsp>
                      <wps:cNvCnPr/>
                      <wps:spPr>
                        <a:xfrm>
                          <a:off x="0" y="0"/>
                          <a:ext cx="373380" cy="3175"/>
                        </a:xfrm>
                        <a:prstGeom prst="bentConnector2">
                          <a:avLst/>
                        </a:prstGeom>
                        <a:ln w="12700" cap="flat" cmpd="sng">
                          <a:solidFill>
                            <a:srgbClr val="000000"/>
                          </a:solidFill>
                          <a:prstDash val="solid"/>
                          <a:miter/>
                          <a:headEnd type="none" w="med" len="med"/>
                          <a:tailEnd type="arrow" w="med" len="med"/>
                        </a:ln>
                      </wps:spPr>
                      <wps:bodyPr/>
                    </wps:wsp>
                  </a:graphicData>
                </a:graphic>
              </wp:anchor>
            </w:drawing>
          </mc:Choice>
          <mc:Fallback>
            <w:pict>
              <v:shape id="直接箭头连接符 13" o:spid="_x0000_s1026" o:spt="33" type="#_x0000_t33" style="position:absolute;left:0pt;margin-left:445.25pt;margin-top:9.25pt;height:0.25pt;width:29.4pt;z-index:251663360;mso-width-relative:page;mso-height-relative:page;" filled="f" stroked="t" coordsize="21600,21600" o:gfxdata="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AQtB6k2AAA&#10;AAkBAAAPAAAAAAAAAAEAIAAAADgAAABkcnMvZG93bnJldi54bWxQSwECFAAUAAAACACHTuJADu36&#10;pwgCAAD3AwAADgAAAAAAAAABACAAAAA9AQAAZHJzL2Uyb0RvYy54bWxQSwUGAAAAAAYABgBZAQAA&#10;twUAAAAA&#10;">
                <v:fill on="f" focussize="0,0"/>
                <v:stroke weight="1pt" color="#000000" joinstyle="miter" endarrow="open"/>
                <v:imagedata o:title=""/>
                <o:lock v:ext="edit" aspectratio="f"/>
              </v:shape>
            </w:pict>
          </mc:Fallback>
        </mc:AlternateContent>
      </w:r>
      <w:r>
        <w:rPr>
          <w:sz w:val="44"/>
        </w:rPr>
        <mc:AlternateContent>
          <mc:Choice Requires="wps">
            <w:drawing>
              <wp:anchor distT="0" distB="0" distL="114300" distR="114300" simplePos="0" relativeHeight="251683840" behindDoc="0" locked="0" layoutInCell="1" allowOverlap="1">
                <wp:simplePos x="0" y="0"/>
                <wp:positionH relativeFrom="column">
                  <wp:posOffset>4351655</wp:posOffset>
                </wp:positionH>
                <wp:positionV relativeFrom="paragraph">
                  <wp:posOffset>109855</wp:posOffset>
                </wp:positionV>
                <wp:extent cx="373380" cy="3175"/>
                <wp:effectExtent l="0" t="68580" r="7620" b="29845"/>
                <wp:wrapNone/>
                <wp:docPr id="28" name="直接箭头连接符 13"/>
                <wp:cNvGraphicFramePr/>
                <a:graphic xmlns:a="http://schemas.openxmlformats.org/drawingml/2006/main">
                  <a:graphicData uri="http://schemas.microsoft.com/office/word/2010/wordprocessingShape">
                    <wps:wsp>
                      <wps:cNvCnPr>
                        <a:endCxn id="17" idx="1"/>
                      </wps:cNvCnPr>
                      <wps:spPr>
                        <a:xfrm>
                          <a:off x="0" y="0"/>
                          <a:ext cx="373380" cy="3175"/>
                        </a:xfrm>
                        <a:prstGeom prst="bentConnector2">
                          <a:avLst/>
                        </a:prstGeom>
                        <a:ln w="12700" cap="flat" cmpd="sng">
                          <a:solidFill>
                            <a:srgbClr val="000000"/>
                          </a:solidFill>
                          <a:prstDash val="solid"/>
                          <a:miter/>
                          <a:headEnd type="none" w="med" len="med"/>
                          <a:tailEnd type="arrow" w="med" len="med"/>
                        </a:ln>
                      </wps:spPr>
                      <wps:bodyPr/>
                    </wps:wsp>
                  </a:graphicData>
                </a:graphic>
              </wp:anchor>
            </w:drawing>
          </mc:Choice>
          <mc:Fallback>
            <w:pict>
              <v:shape id="直接箭头连接符 13" o:spid="_x0000_s1026" o:spt="33" type="#_x0000_t33" style="position:absolute;left:0pt;margin-left:342.65pt;margin-top:8.65pt;height:0.25pt;width:29.4pt;z-index:251683840;mso-width-relative:page;mso-height-relative:page;" filled="f" stroked="t" coordsize="21600,21600" o:gfxdata="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Eix22HZAAAACQEAAA8AAAAAAAAAAQAgAAAAOAAAAGRycy9kb3ducmV2Lnht&#10;bFBLAQIUABQAAAAIAIdO4kAS+hbnGwIAACAEAAAOAAAAAAAAAAEAIAAAAD4BAABkcnMvZTJvRG9j&#10;LnhtbFBLBQYAAAAABgAGAFkBAADLBQAAAAA=&#10;">
                <v:fill on="f" focussize="0,0"/>
                <v:stroke weight="1pt" color="#000000" joinstyle="miter" endarrow="open"/>
                <v:imagedata o:title=""/>
                <o:lock v:ext="edit" aspectratio="f"/>
              </v:shape>
            </w:pict>
          </mc:Fallback>
        </mc:AlternateContent>
      </w:r>
      <w:r>
        <w:rPr>
          <w:sz w:val="44"/>
        </w:rPr>
        <mc:AlternateContent>
          <mc:Choice Requires="wps">
            <w:drawing>
              <wp:anchor distT="0" distB="0" distL="114300" distR="114300" simplePos="0" relativeHeight="251678720" behindDoc="0" locked="0" layoutInCell="1" allowOverlap="1">
                <wp:simplePos x="0" y="0"/>
                <wp:positionH relativeFrom="column">
                  <wp:posOffset>2408555</wp:posOffset>
                </wp:positionH>
                <wp:positionV relativeFrom="paragraph">
                  <wp:posOffset>132715</wp:posOffset>
                </wp:positionV>
                <wp:extent cx="488950" cy="10160"/>
                <wp:effectExtent l="0" t="40640" r="19050" b="50800"/>
                <wp:wrapNone/>
                <wp:docPr id="22" name="直接箭头连接符 13"/>
                <wp:cNvGraphicFramePr/>
                <a:graphic xmlns:a="http://schemas.openxmlformats.org/drawingml/2006/main">
                  <a:graphicData uri="http://schemas.microsoft.com/office/word/2010/wordprocessingShape">
                    <wps:wsp>
                      <wps:cNvCnPr/>
                      <wps:spPr>
                        <a:xfrm>
                          <a:off x="0" y="0"/>
                          <a:ext cx="488950" cy="10160"/>
                        </a:xfrm>
                        <a:prstGeom prst="bentConnector3">
                          <a:avLst>
                            <a:gd name="adj1" fmla="val 50130"/>
                          </a:avLst>
                        </a:prstGeom>
                        <a:ln w="12700" cap="flat" cmpd="sng">
                          <a:solidFill>
                            <a:srgbClr val="000000"/>
                          </a:solidFill>
                          <a:prstDash val="solid"/>
                          <a:miter/>
                          <a:headEnd type="none" w="med" len="med"/>
                          <a:tailEnd type="arrow" w="med" len="med"/>
                        </a:ln>
                      </wps:spPr>
                      <wps:bodyPr/>
                    </wps:wsp>
                  </a:graphicData>
                </a:graphic>
              </wp:anchor>
            </w:drawing>
          </mc:Choice>
          <mc:Fallback>
            <w:pict>
              <v:shape id="直接箭头连接符 13" o:spid="_x0000_s1026" o:spt="34" type="#_x0000_t34" style="position:absolute;left:0pt;margin-left:189.65pt;margin-top:10.45pt;height:0.8pt;width:38.5pt;z-index:251678720;mso-width-relative:page;mso-height-relative:page;" filled="f" stroked="t" coordsize="21600,21600" o:gfxdata="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6DaSD9gAAAAJAQAADwAAAAAAAAABACAAAAA4AAAAZHJzL2Rvd25y&#10;ZXYueG1sUEsBAhQAFAAAAAgAh07iQCFRugMhAgAAJgQAAA4AAAAAAAAAAQAgAAAAPQEAAGRycy9l&#10;Mm9Eb2MueG1sUEsFBgAAAAAGAAYAWQEAANAFAAAAAA==&#10;" adj="10828">
                <v:fill on="f" focussize="0,0"/>
                <v:stroke weight="1pt" color="#000000" joinstyle="miter" endarrow="open"/>
                <v:imagedata o:title=""/>
                <o:lock v:ext="edit" aspectratio="f"/>
              </v:shape>
            </w:pict>
          </mc:Fallback>
        </mc:AlternateContent>
      </w:r>
      <w:r>
        <w:rPr>
          <w:sz w:val="44"/>
        </w:rPr>
        <mc:AlternateContent>
          <mc:Choice Requires="wps">
            <w:drawing>
              <wp:anchor distT="0" distB="0" distL="114300" distR="114300" simplePos="0" relativeHeight="251662336" behindDoc="0" locked="0" layoutInCell="1" allowOverlap="1">
                <wp:simplePos x="0" y="0"/>
                <wp:positionH relativeFrom="column">
                  <wp:posOffset>813435</wp:posOffset>
                </wp:positionH>
                <wp:positionV relativeFrom="paragraph">
                  <wp:posOffset>94615</wp:posOffset>
                </wp:positionV>
                <wp:extent cx="353060" cy="10795"/>
                <wp:effectExtent l="0" t="48260" r="2540" b="42545"/>
                <wp:wrapNone/>
                <wp:docPr id="1" name="直接箭头连接符 12"/>
                <wp:cNvGraphicFramePr/>
                <a:graphic xmlns:a="http://schemas.openxmlformats.org/drawingml/2006/main">
                  <a:graphicData uri="http://schemas.microsoft.com/office/word/2010/wordprocessingShape">
                    <wps:wsp>
                      <wps:cNvCnPr/>
                      <wps:spPr>
                        <a:xfrm flipV="1">
                          <a:off x="0" y="0"/>
                          <a:ext cx="353060" cy="10795"/>
                        </a:xfrm>
                        <a:prstGeom prst="straightConnector1">
                          <a:avLst/>
                        </a:prstGeom>
                        <a:ln w="12700" cap="flat" cmpd="sng">
                          <a:solidFill>
                            <a:srgbClr val="000000"/>
                          </a:solidFill>
                          <a:prstDash val="solid"/>
                          <a:headEnd type="none" w="med" len="med"/>
                          <a:tailEnd type="arrow" w="med" len="med"/>
                        </a:ln>
                      </wps:spPr>
                      <wps:bodyPr/>
                    </wps:wsp>
                  </a:graphicData>
                </a:graphic>
              </wp:anchor>
            </w:drawing>
          </mc:Choice>
          <mc:Fallback>
            <w:pict>
              <v:shape id="直接箭头连接符 12" o:spid="_x0000_s1026" o:spt="32" type="#_x0000_t32" style="position:absolute;left:0pt;flip:y;margin-left:64.05pt;margin-top:7.45pt;height:0.85pt;width:27.8pt;z-index:251662336;mso-width-relative:page;mso-height-relative:page;" filled="f" stroked="t" coordsize="21600,21600" o:gfxdata="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ATY1Zn&#10;2AAAAAkBAAAPAAAAAAAAAAEAIAAAADgAAABkcnMvZG93bnJldi54bWxQSwECFAAUAAAACACHTuJA&#10;91zoXAsCAAD8AwAADgAAAAAAAAABACAAAAA9AQAAZHJzL2Uyb0RvYy54bWxQSwUGAAAAAAYABgBZ&#10;AQAAugUAAAAA&#10;">
                <v:fill on="f" focussize="0,0"/>
                <v:stroke weight="1pt" color="#000000" joinstyle="round" endarrow="open"/>
                <v:imagedata o:title=""/>
                <o:lock v:ext="edit" aspectratio="f"/>
              </v:shape>
            </w:pict>
          </mc:Fallback>
        </mc:AlternateContent>
      </w:r>
      <w:r>
        <w:rPr>
          <w:sz w:val="44"/>
        </w:rPr>
        <mc:AlternateContent>
          <mc:Choice Requires="wps">
            <w:drawing>
              <wp:anchor distT="0" distB="0" distL="114300" distR="114300" simplePos="0" relativeHeight="251680768" behindDoc="0" locked="0" layoutInCell="1" allowOverlap="1">
                <wp:simplePos x="0" y="0"/>
                <wp:positionH relativeFrom="column">
                  <wp:posOffset>2554605</wp:posOffset>
                </wp:positionH>
                <wp:positionV relativeFrom="paragraph">
                  <wp:posOffset>135255</wp:posOffset>
                </wp:positionV>
                <wp:extent cx="358140" cy="7620"/>
                <wp:effectExtent l="0" t="43180" r="22860" b="50800"/>
                <wp:wrapNone/>
                <wp:docPr id="25" name="直接箭头连接符 13"/>
                <wp:cNvGraphicFramePr/>
                <a:graphic xmlns:a="http://schemas.openxmlformats.org/drawingml/2006/main">
                  <a:graphicData uri="http://schemas.microsoft.com/office/word/2010/wordprocessingShape">
                    <wps:wsp>
                      <wps:cNvCnPr>
                        <a:endCxn id="17" idx="1"/>
                      </wps:cNvCnPr>
                      <wps:spPr>
                        <a:xfrm>
                          <a:off x="0" y="0"/>
                          <a:ext cx="358140" cy="7620"/>
                        </a:xfrm>
                        <a:prstGeom prst="bentConnector3">
                          <a:avLst>
                            <a:gd name="adj1" fmla="val 50176"/>
                          </a:avLst>
                        </a:prstGeom>
                        <a:ln w="12700" cap="flat" cmpd="sng">
                          <a:solidFill>
                            <a:srgbClr val="000000"/>
                          </a:solidFill>
                          <a:prstDash val="solid"/>
                          <a:miter/>
                          <a:headEnd type="none" w="med" len="med"/>
                          <a:tailEnd type="arrow" w="med" len="med"/>
                        </a:ln>
                      </wps:spPr>
                      <wps:bodyPr/>
                    </wps:wsp>
                  </a:graphicData>
                </a:graphic>
              </wp:anchor>
            </w:drawing>
          </mc:Choice>
          <mc:Fallback>
            <w:pict>
              <v:shape id="直接箭头连接符 13" o:spid="_x0000_s1026" o:spt="34" type="#_x0000_t34" style="position:absolute;left:0pt;margin-left:201.15pt;margin-top:10.65pt;height:0.6pt;width:28.2pt;z-index:251680768;mso-width-relative:page;mso-height-relative:page;" filled="f" stroked="t" coordsize="21600,21600" o:gfxdata="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GNpalbYAAAACQEAAA8AAAAAAAAAAQAg&#10;AAAAOAAAAGRycy9kb3ducmV2LnhtbFBLAQIUABQAAAAIAIdO4kDy72J0MQIAAE0EAAAOAAAAAAAA&#10;AAEAIAAAAD0BAABkcnMvZTJvRG9jLnhtbFBLBQYAAAAABgAGAFkBAADgBQAAAAA=&#10;" adj="10838">
                <v:fill on="f" focussize="0,0"/>
                <v:stroke weight="1pt" color="#000000" joinstyle="miter" endarrow="open"/>
                <v:imagedata o:title=""/>
                <o:lock v:ext="edit" aspectratio="f"/>
              </v:shape>
            </w:pict>
          </mc:Fallback>
        </mc:AlternateContent>
      </w:r>
    </w:p>
    <w:p>
      <w:pPr>
        <w:rPr>
          <w:rFonts w:ascii="微软简标宋" w:eastAsia="微软简标宋"/>
          <w:sz w:val="44"/>
          <w:szCs w:val="44"/>
        </w:rPr>
      </w:pPr>
      <w:r>
        <w:rPr>
          <w:sz w:val="44"/>
        </w:rPr>
        <mc:AlternateContent>
          <mc:Choice Requires="wps">
            <w:drawing>
              <wp:anchor distT="0" distB="0" distL="114300" distR="114300" simplePos="0" relativeHeight="251676672" behindDoc="0" locked="0" layoutInCell="1" allowOverlap="1">
                <wp:simplePos x="0" y="0"/>
                <wp:positionH relativeFrom="column">
                  <wp:posOffset>8280400</wp:posOffset>
                </wp:positionH>
                <wp:positionV relativeFrom="paragraph">
                  <wp:posOffset>221615</wp:posOffset>
                </wp:positionV>
                <wp:extent cx="0" cy="897890"/>
                <wp:effectExtent l="50800" t="0" r="50800" b="16510"/>
                <wp:wrapNone/>
                <wp:docPr id="20" name="直线 298"/>
                <wp:cNvGraphicFramePr/>
                <a:graphic xmlns:a="http://schemas.openxmlformats.org/drawingml/2006/main">
                  <a:graphicData uri="http://schemas.microsoft.com/office/word/2010/wordprocessingShape">
                    <wps:wsp>
                      <wps:cNvCnPr/>
                      <wps:spPr>
                        <a:xfrm>
                          <a:off x="0" y="0"/>
                          <a:ext cx="0" cy="897890"/>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id="直线 298" o:spid="_x0000_s1026" o:spt="20" style="position:absolute;left:0pt;margin-left:652pt;margin-top:17.45pt;height:70.7pt;width:0pt;z-index:251676672;mso-width-relative:page;mso-height-relative:page;" filled="f" stroked="t" coordsize="21600,21600" o:gfxdata="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DrS0JPaAAAADAEAAA8AAAAAAAAAAQAgAAAAOAAAAGRycy9kb3du&#10;cmV2LnhtbFBLAQIUABQAAAAIAIdO4kB5XlvA5wEAANIDAAAOAAAAAAAAAAEAIAAAAD8BAABkcnMv&#10;ZTJvRG9jLnhtbFBLBQYAAAAABgAGAFkBAACYBQAAAAA=&#10;">
                <v:fill on="f" focussize="0,0"/>
                <v:stroke color="#000000" joinstyle="round" endarrow="open"/>
                <v:imagedata o:title=""/>
                <o:lock v:ext="edit" aspectratio="f"/>
              </v:line>
            </w:pict>
          </mc:Fallback>
        </mc:AlternateContent>
      </w:r>
      <w:r>
        <w:rPr>
          <w:sz w:val="44"/>
        </w:rPr>
        <mc:AlternateContent>
          <mc:Choice Requires="wps">
            <w:drawing>
              <wp:anchor distT="0" distB="0" distL="114300" distR="114300" simplePos="0" relativeHeight="251681792" behindDoc="0" locked="0" layoutInCell="1" allowOverlap="1">
                <wp:simplePos x="0" y="0"/>
                <wp:positionH relativeFrom="column">
                  <wp:posOffset>6543040</wp:posOffset>
                </wp:positionH>
                <wp:positionV relativeFrom="paragraph">
                  <wp:posOffset>206375</wp:posOffset>
                </wp:positionV>
                <wp:extent cx="0" cy="897890"/>
                <wp:effectExtent l="50800" t="0" r="50800" b="16510"/>
                <wp:wrapNone/>
                <wp:docPr id="26" name="直线 13"/>
                <wp:cNvGraphicFramePr/>
                <a:graphic xmlns:a="http://schemas.openxmlformats.org/drawingml/2006/main">
                  <a:graphicData uri="http://schemas.microsoft.com/office/word/2010/wordprocessingShape">
                    <wps:wsp>
                      <wps:cNvCnPr/>
                      <wps:spPr>
                        <a:xfrm>
                          <a:off x="0" y="0"/>
                          <a:ext cx="0" cy="897890"/>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id="直线 13" o:spid="_x0000_s1026" o:spt="20" style="position:absolute;left:0pt;margin-left:515.2pt;margin-top:16.25pt;height:70.7pt;width:0pt;z-index:251681792;mso-width-relative:page;mso-height-relative:page;" filled="f" stroked="t" coordsize="21600,21600" o:gfxdata="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D2qYAXaAAAADAEAAA8AAAAAAAAAAQAgAAAAOAAAAGRycy9kb3du&#10;cmV2LnhtbFBLAQIUABQAAAAIAIdO4kBC+vkY5wEAANEDAAAOAAAAAAAAAAEAIAAAAD8BAABkcnMv&#10;ZTJvRG9jLnhtbFBLBQYAAAAABgAGAFkBAACYBQAAAAA=&#10;">
                <v:fill on="f" focussize="0,0"/>
                <v:stroke color="#000000" joinstyle="round" endarrow="open"/>
                <v:imagedata o:title=""/>
                <o:lock v:ext="edit" aspectratio="f"/>
              </v:line>
            </w:pict>
          </mc:Fallback>
        </mc:AlternateContent>
      </w:r>
    </w:p>
    <w:p>
      <w:pPr>
        <w:rPr>
          <w:rFonts w:ascii="微软简标宋" w:eastAsia="微软简标宋"/>
          <w:sz w:val="44"/>
          <w:szCs w:val="44"/>
        </w:rPr>
      </w:pPr>
    </w:p>
    <w:p>
      <w:pPr>
        <w:rPr>
          <w:rFonts w:ascii="微软简标宋" w:eastAsia="微软简标宋"/>
          <w:sz w:val="44"/>
          <w:szCs w:val="44"/>
        </w:rPr>
      </w:pPr>
      <w:r>
        <w:rPr>
          <w:rFonts w:hint="eastAsia"/>
        </w:rPr>
        <mc:AlternateContent>
          <mc:Choice Requires="wps">
            <w:drawing>
              <wp:anchor distT="0" distB="0" distL="114300" distR="114300" simplePos="0" relativeHeight="251675648" behindDoc="0" locked="0" layoutInCell="1" allowOverlap="1">
                <wp:simplePos x="0" y="0"/>
                <wp:positionH relativeFrom="column">
                  <wp:posOffset>5422900</wp:posOffset>
                </wp:positionH>
                <wp:positionV relativeFrom="paragraph">
                  <wp:posOffset>302260</wp:posOffset>
                </wp:positionV>
                <wp:extent cx="2039620" cy="1377315"/>
                <wp:effectExtent l="6350" t="6350" r="11430" b="13335"/>
                <wp:wrapNone/>
                <wp:docPr id="19" name="文本框 297"/>
                <wp:cNvGraphicFramePr/>
                <a:graphic xmlns:a="http://schemas.openxmlformats.org/drawingml/2006/main">
                  <a:graphicData uri="http://schemas.microsoft.com/office/word/2010/wordprocessingShape">
                    <wps:wsp>
                      <wps:cNvSpPr txBox="1"/>
                      <wps:spPr>
                        <a:xfrm>
                          <a:off x="0" y="0"/>
                          <a:ext cx="2039620" cy="1377315"/>
                        </a:xfrm>
                        <a:prstGeom prst="rect">
                          <a:avLst/>
                        </a:prstGeom>
                        <a:solidFill>
                          <a:srgbClr val="FFFFFF"/>
                        </a:solidFill>
                        <a:ln w="9525" cap="flat" cmpd="sng">
                          <a:solidFill>
                            <a:srgbClr val="000000"/>
                          </a:solidFill>
                          <a:prstDash val="dash"/>
                          <a:miter/>
                          <a:headEnd type="none" w="med" len="med"/>
                          <a:tailEnd type="none" w="med" len="med"/>
                        </a:ln>
                      </wps:spPr>
                      <wps:txbx>
                        <w:txbxContent>
                          <w:p>
                            <w:pPr>
                              <w:rPr>
                                <w:b/>
                                <w:bCs/>
                                <w:sz w:val="24"/>
                                <w:u w:val="single"/>
                              </w:rPr>
                            </w:pPr>
                            <w:r>
                              <w:rPr>
                                <w:rFonts w:hint="eastAsia"/>
                                <w:b/>
                                <w:bCs/>
                                <w:sz w:val="24"/>
                                <w:u w:val="single"/>
                              </w:rPr>
                              <w:t xml:space="preserve">取得双向承诺书即可开展场地平整、临电临水报装、施工围蔽等工作；建设工程设计方案备案后即可开工建设。 </w:t>
                            </w:r>
                            <w:r>
                              <w:rPr>
                                <w:sz w:val="24"/>
                                <w:u w:val="single"/>
                              </w:rPr>
                              <w:t>–</w:t>
                            </w:r>
                            <w:r>
                              <w:rPr>
                                <w:rFonts w:hint="eastAsia"/>
                                <w:sz w:val="24"/>
                                <w:u w:val="single"/>
                              </w:rPr>
                              <w:t xml:space="preserve"> 申报企业</w:t>
                            </w:r>
                          </w:p>
                        </w:txbxContent>
                      </wps:txbx>
                      <wps:bodyPr vert="horz" wrap="square" anchor="t" upright="1"/>
                    </wps:wsp>
                  </a:graphicData>
                </a:graphic>
              </wp:anchor>
            </w:drawing>
          </mc:Choice>
          <mc:Fallback>
            <w:pict>
              <v:shape id="文本框 297" o:spid="_x0000_s1026" o:spt="202" type="#_x0000_t202" style="position:absolute;left:0pt;margin-left:427pt;margin-top:23.8pt;height:108.45pt;width:160.6pt;z-index:251675648;mso-width-relative:page;mso-height-relative:page;" fillcolor="#FFFFFF" filled="t" stroked="t" coordsize="21600,21600" o:gfxdata="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W&#10;AAAAZHJzL1BLAQIUABQAAAAIAIdO4kB3WTGm2AAAAAsBAAAPAAAAAAAAAAEAIAAAADgAAABkcnMv&#10;ZG93bnJldi54bWxQSwECFAAUAAAACACHTuJA2b9w+iYCAABeBAAADgAAAAAAAAABACAAAAA9AQAA&#10;ZHJzL2Uyb0RvYy54bWxQSwUGAAAAAAYABgBZAQAA1QUAAAAA&#10;">
                <v:fill on="t" focussize="0,0"/>
                <v:stroke color="#000000" joinstyle="miter" dashstyle="dash"/>
                <v:imagedata o:title=""/>
                <o:lock v:ext="edit" aspectratio="f"/>
                <v:textbox>
                  <w:txbxContent>
                    <w:p>
                      <w:pPr>
                        <w:rPr>
                          <w:b/>
                          <w:bCs/>
                          <w:sz w:val="24"/>
                          <w:u w:val="single"/>
                        </w:rPr>
                      </w:pPr>
                      <w:r>
                        <w:rPr>
                          <w:rFonts w:hint="eastAsia"/>
                          <w:b/>
                          <w:bCs/>
                          <w:sz w:val="24"/>
                          <w:u w:val="single"/>
                        </w:rPr>
                        <w:t xml:space="preserve">取得双向承诺书即可开展场地平整、临电临水报装、施工围蔽等工作；建设工程设计方案备案后即可开工建设。 </w:t>
                      </w:r>
                      <w:r>
                        <w:rPr>
                          <w:sz w:val="24"/>
                          <w:u w:val="single"/>
                        </w:rPr>
                        <w:t>–</w:t>
                      </w:r>
                      <w:r>
                        <w:rPr>
                          <w:rFonts w:hint="eastAsia"/>
                          <w:sz w:val="24"/>
                          <w:u w:val="single"/>
                        </w:rPr>
                        <w:t xml:space="preserve"> 申报企业</w:t>
                      </w:r>
                    </w:p>
                  </w:txbxContent>
                </v:textbox>
              </v:shape>
            </w:pict>
          </mc:Fallback>
        </mc:AlternateContent>
      </w:r>
      <w:r>
        <w:rPr>
          <w:rFonts w:hint="eastAsia"/>
        </w:rPr>
        <mc:AlternateContent>
          <mc:Choice Requires="wps">
            <w:drawing>
              <wp:anchor distT="0" distB="0" distL="114300" distR="114300" simplePos="0" relativeHeight="251682816" behindDoc="0" locked="0" layoutInCell="1" allowOverlap="1">
                <wp:simplePos x="0" y="0"/>
                <wp:positionH relativeFrom="column">
                  <wp:posOffset>7618095</wp:posOffset>
                </wp:positionH>
                <wp:positionV relativeFrom="paragraph">
                  <wp:posOffset>309880</wp:posOffset>
                </wp:positionV>
                <wp:extent cx="1360805" cy="1362075"/>
                <wp:effectExtent l="6350" t="6350" r="29845" b="28575"/>
                <wp:wrapNone/>
                <wp:docPr id="27" name="文本框 16"/>
                <wp:cNvGraphicFramePr/>
                <a:graphic xmlns:a="http://schemas.openxmlformats.org/drawingml/2006/main">
                  <a:graphicData uri="http://schemas.microsoft.com/office/word/2010/wordprocessingShape">
                    <wps:wsp>
                      <wps:cNvSpPr txBox="1"/>
                      <wps:spPr>
                        <a:xfrm>
                          <a:off x="0" y="0"/>
                          <a:ext cx="1360805" cy="1362075"/>
                        </a:xfrm>
                        <a:prstGeom prst="rect">
                          <a:avLst/>
                        </a:prstGeom>
                        <a:solidFill>
                          <a:srgbClr val="FFFFFF"/>
                        </a:solidFill>
                        <a:ln w="9525" cap="flat" cmpd="sng">
                          <a:solidFill>
                            <a:srgbClr val="000000"/>
                          </a:solidFill>
                          <a:prstDash val="dash"/>
                          <a:miter/>
                          <a:headEnd type="none" w="med" len="med"/>
                          <a:tailEnd type="none" w="med" len="med"/>
                        </a:ln>
                      </wps:spPr>
                      <wps:txbx>
                        <w:txbxContent>
                          <w:p>
                            <w:pPr>
                              <w:rPr>
                                <w:b/>
                                <w:bCs/>
                                <w:sz w:val="24"/>
                                <w:u w:val="single"/>
                              </w:rPr>
                            </w:pPr>
                            <w:r>
                              <w:rPr>
                                <w:rFonts w:hint="eastAsia"/>
                                <w:b/>
                                <w:bCs/>
                                <w:sz w:val="24"/>
                                <w:u w:val="single"/>
                              </w:rPr>
                              <w:t xml:space="preserve">签订双向承诺书情况推送各审批部门 </w:t>
                            </w:r>
                            <w:r>
                              <w:rPr>
                                <w:sz w:val="24"/>
                                <w:u w:val="single"/>
                              </w:rPr>
                              <w:t>–</w:t>
                            </w:r>
                            <w:r>
                              <w:rPr>
                                <w:rFonts w:hint="eastAsia"/>
                                <w:sz w:val="24"/>
                                <w:u w:val="single"/>
                              </w:rPr>
                              <w:t xml:space="preserve"> 行政服务中心</w:t>
                            </w:r>
                          </w:p>
                        </w:txbxContent>
                      </wps:txbx>
                      <wps:bodyPr wrap="square" upright="1"/>
                    </wps:wsp>
                  </a:graphicData>
                </a:graphic>
              </wp:anchor>
            </w:drawing>
          </mc:Choice>
          <mc:Fallback>
            <w:pict>
              <v:shape id="文本框 16" o:spid="_x0000_s1026" o:spt="202" type="#_x0000_t202" style="position:absolute;left:0pt;margin-left:599.85pt;margin-top:24.4pt;height:107.25pt;width:107.15pt;z-index:251682816;mso-width-relative:page;mso-height-relative:page;" fillcolor="#FFFFFF" filled="t" stroked="t" coordsize="21600,21600" o:gfxdata="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NyplevZAAAADAEAAA8AAAAAAAAAAQAgAAAAOAAAAGRycy9kb3ducmV2LnhtbFBLAQIU&#10;ABQAAAAIAIdO4kBXi3jiFQIAAEYEAAAOAAAAAAAAAAEAIAAAAD4BAABkcnMvZTJvRG9jLnhtbFBL&#10;BQYAAAAABgAGAFkBAADFBQAAAAA=&#10;">
                <v:fill on="t" focussize="0,0"/>
                <v:stroke color="#000000" joinstyle="miter" dashstyle="dash"/>
                <v:imagedata o:title=""/>
                <o:lock v:ext="edit" aspectratio="f"/>
                <v:textbox>
                  <w:txbxContent>
                    <w:p>
                      <w:pPr>
                        <w:rPr>
                          <w:b/>
                          <w:bCs/>
                          <w:sz w:val="24"/>
                          <w:u w:val="single"/>
                        </w:rPr>
                      </w:pPr>
                      <w:r>
                        <w:rPr>
                          <w:rFonts w:hint="eastAsia"/>
                          <w:b/>
                          <w:bCs/>
                          <w:sz w:val="24"/>
                          <w:u w:val="single"/>
                        </w:rPr>
                        <w:t xml:space="preserve">签订双向承诺书情况推送各审批部门 </w:t>
                      </w:r>
                      <w:r>
                        <w:rPr>
                          <w:sz w:val="24"/>
                          <w:u w:val="single"/>
                        </w:rPr>
                        <w:t>–</w:t>
                      </w:r>
                      <w:r>
                        <w:rPr>
                          <w:rFonts w:hint="eastAsia"/>
                          <w:sz w:val="24"/>
                          <w:u w:val="single"/>
                        </w:rPr>
                        <w:t xml:space="preserve"> 行政服务中心</w:t>
                      </w:r>
                    </w:p>
                  </w:txbxContent>
                </v:textbox>
              </v:shape>
            </w:pict>
          </mc:Fallback>
        </mc:AlternateContent>
      </w:r>
    </w:p>
    <w:p>
      <w:pPr>
        <w:rPr>
          <w:rFonts w:ascii="微软简标宋" w:eastAsia="微软简标宋"/>
          <w:sz w:val="44"/>
          <w:szCs w:val="44"/>
        </w:rPr>
      </w:pPr>
    </w:p>
    <w:p>
      <w:pPr>
        <w:rPr>
          <w:rFonts w:ascii="微软简标宋" w:eastAsia="微软简标宋"/>
          <w:sz w:val="44"/>
          <w:szCs w:val="44"/>
        </w:rPr>
      </w:pPr>
    </w:p>
    <w:p>
      <w:pPr>
        <w:rPr>
          <w:rFonts w:ascii="微软简标宋" w:eastAsia="微软简标宋"/>
          <w:sz w:val="44"/>
          <w:szCs w:val="44"/>
        </w:rPr>
      </w:pPr>
    </w:p>
    <w:p>
      <w:pPr>
        <w:jc w:val="left"/>
        <w:rPr>
          <w:rFonts w:ascii="黑体" w:hAnsi="黑体" w:eastAsia="黑体" w:cs="黑体"/>
          <w:sz w:val="30"/>
          <w:szCs w:val="30"/>
          <w:shd w:val="clear" w:color="auto" w:fill="FFFFFF"/>
        </w:rPr>
      </w:pPr>
      <w:r>
        <w:rPr>
          <w:rFonts w:hint="eastAsia" w:ascii="黑体" w:hAnsi="黑体" w:eastAsia="黑体" w:cs="黑体"/>
          <w:sz w:val="30"/>
          <w:szCs w:val="30"/>
          <w:shd w:val="clear" w:color="auto" w:fill="FFFFFF"/>
        </w:rPr>
        <w:t xml:space="preserve">2.项目验收阶段： </w:t>
      </w:r>
    </w:p>
    <w:p>
      <w:pPr>
        <w:jc w:val="left"/>
        <w:rPr>
          <w:rFonts w:ascii="黑体" w:hAnsi="黑体" w:eastAsia="黑体" w:cs="黑体"/>
          <w:sz w:val="30"/>
          <w:szCs w:val="30"/>
          <w:shd w:val="clear" w:color="auto" w:fill="FFFFFF"/>
        </w:rPr>
      </w:pPr>
    </w:p>
    <w:p>
      <w:pPr>
        <w:jc w:val="left"/>
        <w:rPr>
          <w:rFonts w:ascii="黑体" w:hAnsi="黑体" w:eastAsia="黑体" w:cs="黑体"/>
          <w:sz w:val="30"/>
          <w:szCs w:val="30"/>
          <w:shd w:val="clear" w:color="auto" w:fill="FFFFFF"/>
        </w:rPr>
      </w:pPr>
      <w:r>
        <w:rPr>
          <w:rFonts w:hint="eastAsia"/>
        </w:rPr>
        <mc:AlternateContent>
          <mc:Choice Requires="wps">
            <w:drawing>
              <wp:anchor distT="0" distB="0" distL="114300" distR="114300" simplePos="0" relativeHeight="251669504" behindDoc="0" locked="0" layoutInCell="1" allowOverlap="1">
                <wp:simplePos x="0" y="0"/>
                <wp:positionH relativeFrom="column">
                  <wp:posOffset>2299335</wp:posOffset>
                </wp:positionH>
                <wp:positionV relativeFrom="paragraph">
                  <wp:posOffset>5715</wp:posOffset>
                </wp:positionV>
                <wp:extent cx="4069080" cy="603885"/>
                <wp:effectExtent l="6350" t="6350" r="13970" b="24765"/>
                <wp:wrapNone/>
                <wp:docPr id="10" name="文本框 288"/>
                <wp:cNvGraphicFramePr/>
                <a:graphic xmlns:a="http://schemas.openxmlformats.org/drawingml/2006/main">
                  <a:graphicData uri="http://schemas.microsoft.com/office/word/2010/wordprocessingShape">
                    <wps:wsp>
                      <wps:cNvSpPr txBox="1"/>
                      <wps:spPr>
                        <a:xfrm>
                          <a:off x="0" y="0"/>
                          <a:ext cx="4069080" cy="603885"/>
                        </a:xfrm>
                        <a:prstGeom prst="rect">
                          <a:avLst/>
                        </a:prstGeom>
                        <a:noFill/>
                        <a:ln w="9525" cap="flat" cmpd="sng">
                          <a:solidFill>
                            <a:srgbClr val="000000"/>
                          </a:solidFill>
                          <a:prstDash val="dash"/>
                          <a:miter/>
                          <a:headEnd type="none" w="med" len="med"/>
                          <a:tailEnd type="none" w="med" len="med"/>
                        </a:ln>
                      </wps:spPr>
                      <wps:txbx>
                        <w:txbxContent>
                          <w:p>
                            <w:pPr>
                              <w:rPr>
                                <w:b/>
                                <w:bCs/>
                                <w:sz w:val="24"/>
                                <w:u w:val="single"/>
                              </w:rPr>
                            </w:pPr>
                            <w:r>
                              <w:rPr>
                                <w:rFonts w:hint="eastAsia"/>
                                <w:b/>
                                <w:bCs/>
                                <w:sz w:val="24"/>
                                <w:u w:val="single"/>
                              </w:rPr>
                              <w:t>联合测绘（规划条件核实测绘、不动产测绘）</w:t>
                            </w:r>
                            <w:r>
                              <w:rPr>
                                <w:rFonts w:hint="eastAsia"/>
                                <w:sz w:val="24"/>
                                <w:u w:val="single"/>
                              </w:rPr>
                              <w:t xml:space="preserve"> </w:t>
                            </w:r>
                            <w:r>
                              <w:rPr>
                                <w:sz w:val="24"/>
                                <w:u w:val="single"/>
                              </w:rPr>
                              <w:t>–</w:t>
                            </w:r>
                            <w:r>
                              <w:rPr>
                                <w:rFonts w:hint="eastAsia"/>
                                <w:sz w:val="24"/>
                                <w:u w:val="single"/>
                              </w:rPr>
                              <w:t xml:space="preserve"> 具备专业资格的第三方机构</w:t>
                            </w:r>
                          </w:p>
                        </w:txbxContent>
                      </wps:txbx>
                      <wps:bodyPr vert="horz" wrap="square" anchor="t" upright="1"/>
                    </wps:wsp>
                  </a:graphicData>
                </a:graphic>
              </wp:anchor>
            </w:drawing>
          </mc:Choice>
          <mc:Fallback>
            <w:pict>
              <v:shape id="文本框 288" o:spid="_x0000_s1026" o:spt="202" type="#_x0000_t202" style="position:absolute;left:0pt;margin-left:181.05pt;margin-top:0.45pt;height:47.55pt;width:320.4pt;z-index:251669504;mso-width-relative:page;mso-height-relative:page;" filled="f" stroked="t" coordsize="21600,21600" o:gfxdata="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WAAAAZHJzL1BL&#10;AQIUABQAAAAIAIdO4kCWq4qo1wAAAAgBAAAPAAAAAAAAAAEAIAAAADgAAABkcnMvZG93bnJldi54&#10;bWxQSwECFAAUAAAACACHTuJAbFNq1h4CAAA0BAAADgAAAAAAAAABACAAAAA8AQAAZHJzL2Uyb0Rv&#10;Yy54bWxQSwUGAAAAAAYABgBZAQAAzAUAAAAA&#10;">
                <v:fill on="f" focussize="0,0"/>
                <v:stroke color="#000000" joinstyle="miter" dashstyle="dash"/>
                <v:imagedata o:title=""/>
                <o:lock v:ext="edit" aspectratio="f"/>
                <v:textbox>
                  <w:txbxContent>
                    <w:p>
                      <w:pPr>
                        <w:rPr>
                          <w:b/>
                          <w:bCs/>
                          <w:sz w:val="24"/>
                          <w:u w:val="single"/>
                        </w:rPr>
                      </w:pPr>
                      <w:r>
                        <w:rPr>
                          <w:rFonts w:hint="eastAsia"/>
                          <w:b/>
                          <w:bCs/>
                          <w:sz w:val="24"/>
                          <w:u w:val="single"/>
                        </w:rPr>
                        <w:t>联合测绘（规划条件核实测绘、不动产测绘）</w:t>
                      </w:r>
                      <w:r>
                        <w:rPr>
                          <w:rFonts w:hint="eastAsia"/>
                          <w:sz w:val="24"/>
                          <w:u w:val="single"/>
                        </w:rPr>
                        <w:t xml:space="preserve"> </w:t>
                      </w:r>
                      <w:r>
                        <w:rPr>
                          <w:sz w:val="24"/>
                          <w:u w:val="single"/>
                        </w:rPr>
                        <w:t>–</w:t>
                      </w:r>
                      <w:r>
                        <w:rPr>
                          <w:rFonts w:hint="eastAsia"/>
                          <w:sz w:val="24"/>
                          <w:u w:val="single"/>
                        </w:rPr>
                        <w:t xml:space="preserve"> 具备专业资格的第三方机构</w:t>
                      </w:r>
                    </w:p>
                  </w:txbxContent>
                </v:textbox>
              </v:shape>
            </w:pict>
          </mc:Fallback>
        </mc:AlternateContent>
      </w:r>
    </w:p>
    <w:p>
      <w:pPr>
        <w:jc w:val="left"/>
        <w:rPr>
          <w:rFonts w:ascii="黑体" w:hAnsi="黑体" w:eastAsia="黑体" w:cs="黑体"/>
          <w:sz w:val="30"/>
          <w:szCs w:val="30"/>
          <w:shd w:val="clear" w:color="auto" w:fill="FFFFFF"/>
        </w:rPr>
      </w:pPr>
      <w:r>
        <w:rPr>
          <w:sz w:val="30"/>
        </w:rPr>
        <mc:AlternateContent>
          <mc:Choice Requires="wps">
            <w:drawing>
              <wp:anchor distT="0" distB="0" distL="114300" distR="114300" simplePos="0" relativeHeight="251674624" behindDoc="0" locked="0" layoutInCell="1" allowOverlap="1">
                <wp:simplePos x="0" y="0"/>
                <wp:positionH relativeFrom="column">
                  <wp:posOffset>4431665</wp:posOffset>
                </wp:positionH>
                <wp:positionV relativeFrom="paragraph">
                  <wp:posOffset>264160</wp:posOffset>
                </wp:positionV>
                <wp:extent cx="635" cy="363855"/>
                <wp:effectExtent l="50165" t="0" r="50800" b="17145"/>
                <wp:wrapNone/>
                <wp:docPr id="18" name="直线 296"/>
                <wp:cNvGraphicFramePr/>
                <a:graphic xmlns:a="http://schemas.openxmlformats.org/drawingml/2006/main">
                  <a:graphicData uri="http://schemas.microsoft.com/office/word/2010/wordprocessingShape">
                    <wps:wsp>
                      <wps:cNvCnPr/>
                      <wps:spPr>
                        <a:xfrm>
                          <a:off x="0" y="0"/>
                          <a:ext cx="635" cy="36385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id="直线 296" o:spid="_x0000_s1026" o:spt="20" style="position:absolute;left:0pt;margin-left:348.95pt;margin-top:20.8pt;height:28.65pt;width:0.05pt;z-index:251674624;mso-width-relative:page;mso-height-relative:page;" filled="f" stroked="t" coordsize="21600,21600" o:gfxdata="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qb49L9kAAAAJAQAADwAAAAAAAAABACAAAAA4AAAAZHJzL2Rvd25y&#10;ZXYueG1sUEsBAhQAFAAAAAgAh07iQKmZl+znAQAA1AMAAA4AAAAAAAAAAQAgAAAAPgEAAGRycy9l&#10;Mm9Eb2MueG1sUEsFBgAAAAAGAAYAWQEAAJcFAAAAAA==&#10;">
                <v:fill on="f" focussize="0,0"/>
                <v:stroke color="#000000" joinstyle="round" endarrow="open"/>
                <v:imagedata o:title=""/>
                <o:lock v:ext="edit" aspectratio="f"/>
              </v:line>
            </w:pict>
          </mc:Fallback>
        </mc:AlternateContent>
      </w:r>
    </w:p>
    <w:p>
      <w:pPr>
        <w:jc w:val="left"/>
        <w:rPr>
          <w:rFonts w:ascii="黑体" w:hAnsi="黑体" w:eastAsia="黑体" w:cs="黑体"/>
          <w:sz w:val="30"/>
          <w:szCs w:val="30"/>
          <w:shd w:val="clear" w:color="auto" w:fill="FFFFFF"/>
        </w:rPr>
      </w:pPr>
      <w:r>
        <w:rPr>
          <w:sz w:val="30"/>
        </w:rPr>
        <mc:AlternateContent>
          <mc:Choice Requires="wps">
            <w:drawing>
              <wp:anchor distT="0" distB="0" distL="114300" distR="114300" simplePos="0" relativeHeight="251685888" behindDoc="0" locked="0" layoutInCell="1" allowOverlap="1">
                <wp:simplePos x="0" y="0"/>
                <wp:positionH relativeFrom="column">
                  <wp:posOffset>3218180</wp:posOffset>
                </wp:positionH>
                <wp:positionV relativeFrom="paragraph">
                  <wp:posOffset>271145</wp:posOffset>
                </wp:positionV>
                <wp:extent cx="635" cy="363855"/>
                <wp:effectExtent l="50165" t="0" r="50800" b="17145"/>
                <wp:wrapNone/>
                <wp:docPr id="30" name="直线 292"/>
                <wp:cNvGraphicFramePr/>
                <a:graphic xmlns:a="http://schemas.openxmlformats.org/drawingml/2006/main">
                  <a:graphicData uri="http://schemas.microsoft.com/office/word/2010/wordprocessingShape">
                    <wps:wsp>
                      <wps:cNvCnPr/>
                      <wps:spPr>
                        <a:xfrm>
                          <a:off x="0" y="0"/>
                          <a:ext cx="635" cy="36385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id="直线 292" o:spid="_x0000_s1026" o:spt="20" style="position:absolute;left:0pt;margin-left:253.4pt;margin-top:21.35pt;height:28.65pt;width:0.05pt;z-index:251685888;mso-width-relative:page;mso-height-relative:page;" filled="f" stroked="t" coordsize="21600,21600" o:gfxdata="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BKHyg02AAAAAoBAAAPAAAAAAAAAAEAIAAAADgAAABkcnMvZG93bnJl&#10;di54bWxQSwECFAAUAAAACACHTuJAvwUDaucBAADUAwAADgAAAAAAAAABACAAAAA9AQAAZHJzL2Uy&#10;b0RvYy54bWxQSwUGAAAAAAYABgBZAQAAlgUAAAAA&#10;">
                <v:fill on="f" focussize="0,0"/>
                <v:stroke color="#000000" joinstyle="round" endarrow="open"/>
                <v:imagedata o:title=""/>
                <o:lock v:ext="edit" aspectratio="f"/>
              </v:line>
            </w:pict>
          </mc:Fallback>
        </mc:AlternateContent>
      </w:r>
      <w:r>
        <w:rPr>
          <w:sz w:val="30"/>
        </w:rPr>
        <mc:AlternateContent>
          <mc:Choice Requires="wps">
            <w:drawing>
              <wp:anchor distT="0" distB="0" distL="114300" distR="114300" simplePos="0" relativeHeight="251672576" behindDoc="0" locked="0" layoutInCell="1" allowOverlap="1">
                <wp:simplePos x="0" y="0"/>
                <wp:positionH relativeFrom="column">
                  <wp:posOffset>5556885</wp:posOffset>
                </wp:positionH>
                <wp:positionV relativeFrom="paragraph">
                  <wp:posOffset>266065</wp:posOffset>
                </wp:positionV>
                <wp:extent cx="635" cy="363855"/>
                <wp:effectExtent l="50165" t="0" r="50800" b="17145"/>
                <wp:wrapNone/>
                <wp:docPr id="13" name="直线 292"/>
                <wp:cNvGraphicFramePr/>
                <a:graphic xmlns:a="http://schemas.openxmlformats.org/drawingml/2006/main">
                  <a:graphicData uri="http://schemas.microsoft.com/office/word/2010/wordprocessingShape">
                    <wps:wsp>
                      <wps:cNvCnPr/>
                      <wps:spPr>
                        <a:xfrm>
                          <a:off x="0" y="0"/>
                          <a:ext cx="635" cy="36385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id="直线 292" o:spid="_x0000_s1026" o:spt="20" style="position:absolute;left:0pt;margin-left:437.55pt;margin-top:20.95pt;height:28.65pt;width:0.05pt;z-index:251672576;mso-width-relative:page;mso-height-relative:page;" filled="f" stroked="t" coordsize="21600,21600" o:gfxdata="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gWyrQdkAAAAJAQAADwAAAAAAAAABACAAAAA4AAAAZHJzL2Rvd25y&#10;ZXYueG1sUEsBAhQAFAAAAAgAh07iQFVcXC/nAQAA1AMAAA4AAAAAAAAAAQAgAAAAPgEAAGRycy9l&#10;Mm9Eb2MueG1sUEsFBgAAAAAGAAYAWQEAAJcFAAAAAA==&#10;">
                <v:fill on="f" focussize="0,0"/>
                <v:stroke color="#000000" joinstyle="round" endarrow="open"/>
                <v:imagedata o:title=""/>
                <o:lock v:ext="edit" aspectratio="f"/>
              </v:line>
            </w:pict>
          </mc:Fallback>
        </mc:AlternateContent>
      </w:r>
      <w:r>
        <w:rPr>
          <w:sz w:val="30"/>
        </w:rPr>
        <mc:AlternateContent>
          <mc:Choice Requires="wps">
            <w:drawing>
              <wp:anchor distT="0" distB="0" distL="114300" distR="114300" simplePos="0" relativeHeight="251673600" behindDoc="0" locked="0" layoutInCell="1" allowOverlap="1">
                <wp:simplePos x="0" y="0"/>
                <wp:positionH relativeFrom="column">
                  <wp:posOffset>7737475</wp:posOffset>
                </wp:positionH>
                <wp:positionV relativeFrom="paragraph">
                  <wp:posOffset>262890</wp:posOffset>
                </wp:positionV>
                <wp:extent cx="635" cy="381635"/>
                <wp:effectExtent l="50165" t="0" r="50800" b="24765"/>
                <wp:wrapNone/>
                <wp:docPr id="15" name="直线 295"/>
                <wp:cNvGraphicFramePr/>
                <a:graphic xmlns:a="http://schemas.openxmlformats.org/drawingml/2006/main">
                  <a:graphicData uri="http://schemas.microsoft.com/office/word/2010/wordprocessingShape">
                    <wps:wsp>
                      <wps:cNvCnPr/>
                      <wps:spPr>
                        <a:xfrm>
                          <a:off x="0" y="0"/>
                          <a:ext cx="635" cy="38163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id="直线 295" o:spid="_x0000_s1026" o:spt="20" style="position:absolute;left:0pt;margin-left:609.25pt;margin-top:20.7pt;height:30.05pt;width:0.05pt;z-index:251673600;mso-width-relative:page;mso-height-relative:page;" filled="f" stroked="t" coordsize="21600,21600" o:gfxdata="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DD1WFtsAAAAMAQAADwAAAAAAAAABACAAAAA4AAAAZHJzL2Rvd25y&#10;ZXYueG1sUEsBAhQAFAAAAAgAh07iQFaAjQ7lAQAA1AMAAA4AAAAAAAAAAQAgAAAAQAEAAGRycy9l&#10;Mm9Eb2MueG1sUEsFBgAAAAAGAAYAWQEAAJcFAAAAAA==&#10;">
                <v:fill on="f" focussize="0,0"/>
                <v:stroke color="#000000" joinstyle="round" endarrow="open"/>
                <v:imagedata o:title=""/>
                <o:lock v:ext="edit" aspectratio="f"/>
              </v:line>
            </w:pict>
          </mc:Fallback>
        </mc:AlternateContent>
      </w:r>
      <w:r>
        <w:rPr>
          <w:sz w:val="30"/>
        </w:rPr>
        <mc:AlternateContent>
          <mc:Choice Requires="wps">
            <w:drawing>
              <wp:anchor distT="0" distB="0" distL="114300" distR="114300" simplePos="0" relativeHeight="251670528" behindDoc="0" locked="0" layoutInCell="1" allowOverlap="1">
                <wp:simplePos x="0" y="0"/>
                <wp:positionH relativeFrom="column">
                  <wp:posOffset>829310</wp:posOffset>
                </wp:positionH>
                <wp:positionV relativeFrom="paragraph">
                  <wp:posOffset>252730</wp:posOffset>
                </wp:positionV>
                <wp:extent cx="635" cy="363855"/>
                <wp:effectExtent l="50165" t="0" r="50800" b="17145"/>
                <wp:wrapNone/>
                <wp:docPr id="11" name="直线 290"/>
                <wp:cNvGraphicFramePr/>
                <a:graphic xmlns:a="http://schemas.openxmlformats.org/drawingml/2006/main">
                  <a:graphicData uri="http://schemas.microsoft.com/office/word/2010/wordprocessingShape">
                    <wps:wsp>
                      <wps:cNvCnPr/>
                      <wps:spPr>
                        <a:xfrm>
                          <a:off x="0" y="0"/>
                          <a:ext cx="635" cy="36385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id="直线 290" o:spid="_x0000_s1026" o:spt="20" style="position:absolute;left:0pt;margin-left:65.3pt;margin-top:19.9pt;height:28.65pt;width:0.05pt;z-index:251670528;mso-width-relative:page;mso-height-relative:page;" filled="f" stroked="t" coordsize="21600,21600" o:gfxdata="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Bu3d3Z2QAAAAkBAAAPAAAAAAAAAAEAIAAAADgAAABkcnMvZG93bnJl&#10;di54bWxQSwECFAAUAAAACACHTuJA+yOoHeYBAADUAwAADgAAAAAAAAABACAAAAA+AQAAZHJzL2Uy&#10;b0RvYy54bWxQSwUGAAAAAAYABgBZAQAAlgUAAAAA&#10;">
                <v:fill on="f" focussize="0,0"/>
                <v:stroke color="#000000" joinstyle="round" endarrow="open"/>
                <v:imagedata o:title=""/>
                <o:lock v:ext="edit" aspectratio="f"/>
              </v:line>
            </w:pict>
          </mc:Fallback>
        </mc:AlternateContent>
      </w:r>
      <w:r>
        <w:rPr>
          <w:sz w:val="30"/>
        </w:rPr>
        <mc:AlternateContent>
          <mc:Choice Requires="wps">
            <w:drawing>
              <wp:anchor distT="0" distB="0" distL="114300" distR="114300" simplePos="0" relativeHeight="251671552" behindDoc="0" locked="0" layoutInCell="1" allowOverlap="1">
                <wp:simplePos x="0" y="0"/>
                <wp:positionH relativeFrom="column">
                  <wp:posOffset>836930</wp:posOffset>
                </wp:positionH>
                <wp:positionV relativeFrom="paragraph">
                  <wp:posOffset>252730</wp:posOffset>
                </wp:positionV>
                <wp:extent cx="6901815" cy="635"/>
                <wp:effectExtent l="0" t="0" r="0" b="0"/>
                <wp:wrapNone/>
                <wp:docPr id="12" name="直线 291"/>
                <wp:cNvGraphicFramePr/>
                <a:graphic xmlns:a="http://schemas.openxmlformats.org/drawingml/2006/main">
                  <a:graphicData uri="http://schemas.microsoft.com/office/word/2010/wordprocessingShape">
                    <wps:wsp>
                      <wps:cNvCnPr/>
                      <wps:spPr>
                        <a:xfrm>
                          <a:off x="0" y="0"/>
                          <a:ext cx="690181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91" o:spid="_x0000_s1026" o:spt="20" style="position:absolute;left:0pt;margin-left:65.9pt;margin-top:19.9pt;height:0.05pt;width:543.45pt;z-index:251671552;mso-width-relative:page;mso-height-relative:page;" filled="f" stroked="t" coordsize="21600,21600" o:gfxdata="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A94Hhh1wAAAAoBAAAPAAAAAAAAAAEAIAAAADgAAABkcnMvZG93bnJldi54bWxQ&#10;SwECFAAUAAAACACHTuJAGvwHsOIBAADUAwAADgAAAAAAAAABACAAAAA8AQAAZHJzL2Uyb0RvYy54&#10;bWxQSwUGAAAAAAYABgBZAQAAkAUAAAAA&#10;">
                <v:fill on="f" focussize="0,0"/>
                <v:stroke color="#000000" joinstyle="round"/>
                <v:imagedata o:title=""/>
                <o:lock v:ext="edit" aspectratio="f"/>
              </v:line>
            </w:pict>
          </mc:Fallback>
        </mc:AlternateContent>
      </w:r>
    </w:p>
    <w:p>
      <w:pPr>
        <w:jc w:val="left"/>
        <w:rPr>
          <w:rFonts w:ascii="微软简标宋" w:eastAsia="微软简标宋"/>
          <w:sz w:val="44"/>
          <w:szCs w:val="44"/>
        </w:rPr>
      </w:pPr>
      <w:r>
        <w:rPr>
          <w:rFonts w:ascii="微软简标宋" w:eastAsia="微软简标宋"/>
          <w:sz w:val="44"/>
          <w:szCs w:val="44"/>
        </w:rPr>
        <mc:AlternateContent>
          <mc:Choice Requires="wps">
            <w:drawing>
              <wp:anchor distT="0" distB="0" distL="114300" distR="114300" simplePos="0" relativeHeight="251684864" behindDoc="0" locked="0" layoutInCell="1" allowOverlap="1">
                <wp:simplePos x="0" y="0"/>
                <wp:positionH relativeFrom="column">
                  <wp:posOffset>2496185</wp:posOffset>
                </wp:positionH>
                <wp:positionV relativeFrom="paragraph">
                  <wp:posOffset>244475</wp:posOffset>
                </wp:positionV>
                <wp:extent cx="1449070" cy="902970"/>
                <wp:effectExtent l="4445" t="5080" r="13335" b="6350"/>
                <wp:wrapNone/>
                <wp:docPr id="29" name="文本框 16"/>
                <wp:cNvGraphicFramePr/>
                <a:graphic xmlns:a="http://schemas.openxmlformats.org/drawingml/2006/main">
                  <a:graphicData uri="http://schemas.microsoft.com/office/word/2010/wordprocessingShape">
                    <wps:wsp>
                      <wps:cNvSpPr txBox="1"/>
                      <wps:spPr>
                        <a:xfrm>
                          <a:off x="0" y="0"/>
                          <a:ext cx="1449070" cy="902970"/>
                        </a:xfrm>
                        <a:prstGeom prst="rect">
                          <a:avLst/>
                        </a:prstGeom>
                        <a:noFill/>
                        <a:ln w="9525" cap="flat" cmpd="sng">
                          <a:solidFill>
                            <a:srgbClr val="000000"/>
                          </a:solidFill>
                          <a:prstDash val="solid"/>
                          <a:miter/>
                          <a:headEnd type="none" w="med" len="med"/>
                          <a:tailEnd type="none" w="med" len="med"/>
                        </a:ln>
                      </wps:spPr>
                      <wps:txbx>
                        <w:txbxContent>
                          <w:p>
                            <w:pPr>
                              <w:rPr>
                                <w:sz w:val="24"/>
                                <w:u w:val="single"/>
                              </w:rPr>
                            </w:pPr>
                            <w:r>
                              <w:rPr>
                                <w:rFonts w:hint="eastAsia"/>
                                <w:b/>
                                <w:bCs/>
                                <w:sz w:val="24"/>
                                <w:u w:val="single"/>
                              </w:rPr>
                              <w:t>建设工程档案验收</w:t>
                            </w:r>
                            <w:r>
                              <w:rPr>
                                <w:rFonts w:hint="eastAsia"/>
                                <w:sz w:val="24"/>
                                <w:u w:val="single"/>
                              </w:rPr>
                              <w:t xml:space="preserve"> </w:t>
                            </w:r>
                            <w:r>
                              <w:rPr>
                                <w:sz w:val="24"/>
                                <w:u w:val="single"/>
                              </w:rPr>
                              <w:t>–</w:t>
                            </w:r>
                            <w:r>
                              <w:rPr>
                                <w:rFonts w:hint="eastAsia"/>
                                <w:sz w:val="24"/>
                                <w:u w:val="single"/>
                              </w:rPr>
                              <w:t xml:space="preserve"> 自然资源部门</w:t>
                            </w:r>
                          </w:p>
                        </w:txbxContent>
                      </wps:txbx>
                      <wps:bodyPr vert="horz" wrap="square" anchor="t" upright="1"/>
                    </wps:wsp>
                  </a:graphicData>
                </a:graphic>
              </wp:anchor>
            </w:drawing>
          </mc:Choice>
          <mc:Fallback>
            <w:pict>
              <v:shape id="文本框 16" o:spid="_x0000_s1026" o:spt="202" type="#_x0000_t202" style="position:absolute;left:0pt;margin-left:196.55pt;margin-top:19.25pt;height:71.1pt;width:114.1pt;z-index:251684864;mso-width-relative:page;mso-height-relative:page;" filled="f" stroked="t" coordsize="21600,21600" o:gfxdata="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vLBLNNcAAAAKAQAADwAAAAAAAAABACAAAAA4AAAAZHJzL2Rvd25yZXYueG1s&#10;UEsBAhQAFAAAAAgAh07iQGPs+jscAgAANAQAAA4AAAAAAAAAAQAgAAAAPAEAAGRycy9lMm9Eb2Mu&#10;eG1sUEsFBgAAAAAGAAYAWQEAAMoFAAAAAA==&#10;">
                <v:fill on="f" focussize="0,0"/>
                <v:stroke color="#000000" joinstyle="miter"/>
                <v:imagedata o:title=""/>
                <o:lock v:ext="edit" aspectratio="f"/>
                <v:textbox>
                  <w:txbxContent>
                    <w:p>
                      <w:pPr>
                        <w:rPr>
                          <w:sz w:val="24"/>
                          <w:u w:val="single"/>
                        </w:rPr>
                      </w:pPr>
                      <w:r>
                        <w:rPr>
                          <w:rFonts w:hint="eastAsia"/>
                          <w:b/>
                          <w:bCs/>
                          <w:sz w:val="24"/>
                          <w:u w:val="single"/>
                        </w:rPr>
                        <w:t>建设工程档案验收</w:t>
                      </w:r>
                      <w:r>
                        <w:rPr>
                          <w:rFonts w:hint="eastAsia"/>
                          <w:sz w:val="24"/>
                          <w:u w:val="single"/>
                        </w:rPr>
                        <w:t xml:space="preserve"> </w:t>
                      </w:r>
                      <w:r>
                        <w:rPr>
                          <w:sz w:val="24"/>
                          <w:u w:val="single"/>
                        </w:rPr>
                        <w:t>–</w:t>
                      </w:r>
                      <w:r>
                        <w:rPr>
                          <w:rFonts w:hint="eastAsia"/>
                          <w:sz w:val="24"/>
                          <w:u w:val="single"/>
                        </w:rPr>
                        <w:t xml:space="preserve"> 自然资源部门</w:t>
                      </w:r>
                    </w:p>
                  </w:txbxContent>
                </v:textbox>
              </v:shape>
            </w:pict>
          </mc:Fallback>
        </mc:AlternateContent>
      </w:r>
      <w:r>
        <w:rPr>
          <w:rFonts w:ascii="微软简标宋" w:eastAsia="微软简标宋"/>
          <w:sz w:val="44"/>
          <w:szCs w:val="44"/>
        </w:rPr>
        <mc:AlternateContent>
          <mc:Choice Requires="wps">
            <w:drawing>
              <wp:anchor distT="0" distB="0" distL="114300" distR="114300" simplePos="0" relativeHeight="251667456" behindDoc="0" locked="0" layoutInCell="1" allowOverlap="1">
                <wp:simplePos x="0" y="0"/>
                <wp:positionH relativeFrom="column">
                  <wp:posOffset>4824730</wp:posOffset>
                </wp:positionH>
                <wp:positionV relativeFrom="paragraph">
                  <wp:posOffset>239395</wp:posOffset>
                </wp:positionV>
                <wp:extent cx="1449070" cy="911860"/>
                <wp:effectExtent l="6350" t="6350" r="17780" b="21590"/>
                <wp:wrapNone/>
                <wp:docPr id="4" name="文本框 16"/>
                <wp:cNvGraphicFramePr/>
                <a:graphic xmlns:a="http://schemas.openxmlformats.org/drawingml/2006/main">
                  <a:graphicData uri="http://schemas.microsoft.com/office/word/2010/wordprocessingShape">
                    <wps:wsp>
                      <wps:cNvSpPr txBox="1"/>
                      <wps:spPr>
                        <a:xfrm>
                          <a:off x="0" y="0"/>
                          <a:ext cx="1449070" cy="9201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b/>
                                <w:bCs/>
                                <w:sz w:val="24"/>
                              </w:rPr>
                              <w:t>建设工程竣工验收（含一般建筑防雷验收）</w:t>
                            </w:r>
                            <w:r>
                              <w:rPr>
                                <w:rFonts w:hint="eastAsia"/>
                                <w:sz w:val="24"/>
                              </w:rPr>
                              <w:t xml:space="preserve"> </w:t>
                            </w:r>
                            <w:r>
                              <w:rPr>
                                <w:sz w:val="24"/>
                              </w:rPr>
                              <w:t>–</w:t>
                            </w:r>
                            <w:r>
                              <w:rPr>
                                <w:rFonts w:hint="eastAsia"/>
                                <w:sz w:val="24"/>
                              </w:rPr>
                              <w:t xml:space="preserve"> 住建部门</w:t>
                            </w:r>
                          </w:p>
                        </w:txbxContent>
                      </wps:txbx>
                      <wps:bodyPr wrap="square" upright="1"/>
                    </wps:wsp>
                  </a:graphicData>
                </a:graphic>
              </wp:anchor>
            </w:drawing>
          </mc:Choice>
          <mc:Fallback>
            <w:pict>
              <v:shape id="文本框 16" o:spid="_x0000_s1026" o:spt="202" type="#_x0000_t202" style="position:absolute;left:0pt;margin-left:379.9pt;margin-top:18.85pt;height:71.8pt;width:114.1pt;z-index:251667456;mso-width-relative:page;mso-height-relative:page;" fillcolor="#FFFFFF" filled="t" stroked="t" coordsize="21600,21600" o:gfxdata="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mqcFodkAAAAKAQAADwAAAAAAAAABACAAAAA4AAAAZHJzL2Rvd25yZXYueG1s&#10;UEsBAhQAFAAAAAgAh07iQECiAjUaAgAAUwQAAA4AAAAAAAAAAQAgAAAAPgEAAGRycy9lMm9Eb2Mu&#10;eG1sUEsFBgAAAAAGAAYAWQEAAMoFAAAAAA==&#10;">
                <v:fill on="t" focussize="0,0"/>
                <v:stroke color="#000000" joinstyle="miter"/>
                <v:imagedata o:title=""/>
                <o:lock v:ext="edit" aspectratio="f"/>
                <v:textbox>
                  <w:txbxContent>
                    <w:p>
                      <w:pPr>
                        <w:rPr>
                          <w:sz w:val="24"/>
                        </w:rPr>
                      </w:pPr>
                      <w:r>
                        <w:rPr>
                          <w:rFonts w:hint="eastAsia"/>
                          <w:b/>
                          <w:bCs/>
                          <w:sz w:val="24"/>
                        </w:rPr>
                        <w:t>建设工程竣工验收（含一般建筑防雷验收）</w:t>
                      </w:r>
                      <w:r>
                        <w:rPr>
                          <w:rFonts w:hint="eastAsia"/>
                          <w:sz w:val="24"/>
                        </w:rPr>
                        <w:t xml:space="preserve"> </w:t>
                      </w:r>
                      <w:r>
                        <w:rPr>
                          <w:sz w:val="24"/>
                        </w:rPr>
                        <w:t>–</w:t>
                      </w:r>
                      <w:r>
                        <w:rPr>
                          <w:rFonts w:hint="eastAsia"/>
                          <w:sz w:val="24"/>
                        </w:rPr>
                        <w:t xml:space="preserve"> 住建部门</w:t>
                      </w:r>
                    </w:p>
                  </w:txbxContent>
                </v:textbox>
              </v:shape>
            </w:pict>
          </mc:Fallback>
        </mc:AlternateContent>
      </w:r>
      <w:r>
        <w:rPr>
          <w:rFonts w:ascii="微软简标宋" w:eastAsia="微软简标宋"/>
          <w:sz w:val="44"/>
          <w:szCs w:val="44"/>
        </w:rPr>
        <mc:AlternateContent>
          <mc:Choice Requires="wps">
            <w:drawing>
              <wp:anchor distT="0" distB="0" distL="114300" distR="114300" simplePos="0" relativeHeight="251668480" behindDoc="0" locked="0" layoutInCell="1" allowOverlap="1">
                <wp:simplePos x="0" y="0"/>
                <wp:positionH relativeFrom="column">
                  <wp:posOffset>6996430</wp:posOffset>
                </wp:positionH>
                <wp:positionV relativeFrom="paragraph">
                  <wp:posOffset>257810</wp:posOffset>
                </wp:positionV>
                <wp:extent cx="1449070" cy="886460"/>
                <wp:effectExtent l="4445" t="4445" r="13335" b="23495"/>
                <wp:wrapNone/>
                <wp:docPr id="5" name="文本框 16"/>
                <wp:cNvGraphicFramePr/>
                <a:graphic xmlns:a="http://schemas.openxmlformats.org/drawingml/2006/main">
                  <a:graphicData uri="http://schemas.microsoft.com/office/word/2010/wordprocessingShape">
                    <wps:wsp>
                      <wps:cNvSpPr txBox="1"/>
                      <wps:spPr>
                        <a:xfrm>
                          <a:off x="0" y="0"/>
                          <a:ext cx="1449070" cy="8864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b/>
                                <w:bCs/>
                                <w:sz w:val="24"/>
                              </w:rPr>
                              <w:t>消防验收</w:t>
                            </w:r>
                            <w:r>
                              <w:rPr>
                                <w:rFonts w:hint="eastAsia"/>
                                <w:sz w:val="24"/>
                              </w:rPr>
                              <w:t xml:space="preserve"> </w:t>
                            </w:r>
                            <w:r>
                              <w:rPr>
                                <w:sz w:val="24"/>
                              </w:rPr>
                              <w:t>–</w:t>
                            </w:r>
                            <w:r>
                              <w:rPr>
                                <w:rFonts w:hint="eastAsia"/>
                                <w:sz w:val="24"/>
                              </w:rPr>
                              <w:t xml:space="preserve"> 住建主管部门</w:t>
                            </w:r>
                          </w:p>
                        </w:txbxContent>
                      </wps:txbx>
                      <wps:bodyPr wrap="square" upright="1"/>
                    </wps:wsp>
                  </a:graphicData>
                </a:graphic>
              </wp:anchor>
            </w:drawing>
          </mc:Choice>
          <mc:Fallback>
            <w:pict>
              <v:shape id="文本框 16" o:spid="_x0000_s1026" o:spt="202" type="#_x0000_t202" style="position:absolute;left:0pt;margin-left:550.9pt;margin-top:20.3pt;height:69.8pt;width:114.1pt;z-index:251668480;mso-width-relative:page;mso-height-relative:page;" fillcolor="#FFFFFF" filled="t" stroked="t" coordsize="21600,21600" o:gfxdata="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FgAAAGRycy9Q&#10;SwECFAAUAAAACACHTuJAjOA1ltkAAAAMAQAADwAAAAAAAAABACAAAAA4AAAAZHJzL2Rvd25yZXYu&#10;eG1sUEsBAhQAFAAAAAgAh07iQAhmrKMdAgAAUwQAAA4AAAAAAAAAAQAgAAAAPgEAAGRycy9lMm9E&#10;b2MueG1sUEsFBgAAAAAGAAYAWQEAAM0FAAAAAA==&#10;">
                <v:fill on="t" focussize="0,0"/>
                <v:stroke color="#000000" joinstyle="miter"/>
                <v:imagedata o:title=""/>
                <o:lock v:ext="edit" aspectratio="f"/>
                <v:textbox>
                  <w:txbxContent>
                    <w:p>
                      <w:pPr>
                        <w:rPr>
                          <w:sz w:val="24"/>
                        </w:rPr>
                      </w:pPr>
                      <w:r>
                        <w:rPr>
                          <w:rFonts w:hint="eastAsia"/>
                          <w:b/>
                          <w:bCs/>
                          <w:sz w:val="24"/>
                        </w:rPr>
                        <w:t>消防验收</w:t>
                      </w:r>
                      <w:r>
                        <w:rPr>
                          <w:rFonts w:hint="eastAsia"/>
                          <w:sz w:val="24"/>
                        </w:rPr>
                        <w:t xml:space="preserve"> </w:t>
                      </w:r>
                      <w:r>
                        <w:rPr>
                          <w:sz w:val="24"/>
                        </w:rPr>
                        <w:t>–</w:t>
                      </w:r>
                      <w:r>
                        <w:rPr>
                          <w:rFonts w:hint="eastAsia"/>
                          <w:sz w:val="24"/>
                        </w:rPr>
                        <w:t xml:space="preserve"> 住建主管部门</w:t>
                      </w:r>
                    </w:p>
                  </w:txbxContent>
                </v:textbox>
              </v:shape>
            </w:pict>
          </mc:Fallback>
        </mc:AlternateContent>
      </w:r>
      <w:r>
        <w:rPr>
          <w:rFonts w:ascii="微软简标宋" w:eastAsia="微软简标宋"/>
          <w:sz w:val="44"/>
          <w:szCs w:val="44"/>
        </w:rPr>
        <mc:AlternateContent>
          <mc:Choice Requires="wps">
            <w:drawing>
              <wp:anchor distT="0" distB="0" distL="114300" distR="114300" simplePos="0" relativeHeight="251666432" behindDoc="0" locked="0" layoutInCell="1" allowOverlap="1">
                <wp:simplePos x="0" y="0"/>
                <wp:positionH relativeFrom="column">
                  <wp:posOffset>263525</wp:posOffset>
                </wp:positionH>
                <wp:positionV relativeFrom="paragraph">
                  <wp:posOffset>239395</wp:posOffset>
                </wp:positionV>
                <wp:extent cx="1449070" cy="912495"/>
                <wp:effectExtent l="4445" t="4445" r="13335" b="16510"/>
                <wp:wrapNone/>
                <wp:docPr id="16" name="文本框 16"/>
                <wp:cNvGraphicFramePr/>
                <a:graphic xmlns:a="http://schemas.openxmlformats.org/drawingml/2006/main">
                  <a:graphicData uri="http://schemas.microsoft.com/office/word/2010/wordprocessingShape">
                    <wps:wsp>
                      <wps:cNvSpPr txBox="1"/>
                      <wps:spPr>
                        <a:xfrm>
                          <a:off x="0" y="0"/>
                          <a:ext cx="1449070" cy="912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b/>
                                <w:bCs/>
                                <w:sz w:val="24"/>
                              </w:rPr>
                              <w:t>建设工程规划条件核实合格证核发</w:t>
                            </w:r>
                            <w:r>
                              <w:rPr>
                                <w:rFonts w:hint="eastAsia"/>
                                <w:sz w:val="24"/>
                              </w:rPr>
                              <w:t xml:space="preserve"> </w:t>
                            </w:r>
                            <w:r>
                              <w:rPr>
                                <w:sz w:val="24"/>
                              </w:rPr>
                              <w:t>–</w:t>
                            </w:r>
                            <w:r>
                              <w:rPr>
                                <w:rFonts w:hint="eastAsia"/>
                                <w:sz w:val="24"/>
                              </w:rPr>
                              <w:t xml:space="preserve"> 自然资源部门</w:t>
                            </w:r>
                          </w:p>
                        </w:txbxContent>
                      </wps:txbx>
                      <wps:bodyPr wrap="square" upright="1"/>
                    </wps:wsp>
                  </a:graphicData>
                </a:graphic>
              </wp:anchor>
            </w:drawing>
          </mc:Choice>
          <mc:Fallback>
            <w:pict>
              <v:shape id="_x0000_s1026" o:spid="_x0000_s1026" o:spt="202" type="#_x0000_t202" style="position:absolute;left:0pt;margin-left:20.75pt;margin-top:18.85pt;height:71.85pt;width:114.1pt;z-index:251666432;mso-width-relative:page;mso-height-relative:page;" fillcolor="#FFFFFF" filled="t" stroked="t" coordsize="21600,21600" o:gfxdata="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DH7gik2AAAAAkBAAAPAAAAAAAAAAEAIAAAADgAAABkcnMvZG93bnJldi54bWxQ&#10;SwECFAAUAAAACACHTuJAArjv+xoCAABUBAAADgAAAAAAAAABACAAAAA9AQAAZHJzL2Uyb0RvYy54&#10;bWxQSwUGAAAAAAYABgBZAQAAyQUAAAAA&#10;">
                <v:fill on="t" focussize="0,0"/>
                <v:stroke color="#000000" joinstyle="miter"/>
                <v:imagedata o:title=""/>
                <o:lock v:ext="edit" aspectratio="f"/>
                <v:textbox>
                  <w:txbxContent>
                    <w:p>
                      <w:pPr>
                        <w:rPr>
                          <w:sz w:val="24"/>
                        </w:rPr>
                      </w:pPr>
                      <w:r>
                        <w:rPr>
                          <w:rFonts w:hint="eastAsia"/>
                          <w:b/>
                          <w:bCs/>
                          <w:sz w:val="24"/>
                        </w:rPr>
                        <w:t>建设工程规划条件核实合格证核发</w:t>
                      </w:r>
                      <w:r>
                        <w:rPr>
                          <w:rFonts w:hint="eastAsia"/>
                          <w:sz w:val="24"/>
                        </w:rPr>
                        <w:t xml:space="preserve"> </w:t>
                      </w:r>
                      <w:r>
                        <w:rPr>
                          <w:sz w:val="24"/>
                        </w:rPr>
                        <w:t>–</w:t>
                      </w:r>
                      <w:r>
                        <w:rPr>
                          <w:rFonts w:hint="eastAsia"/>
                          <w:sz w:val="24"/>
                        </w:rPr>
                        <w:t xml:space="preserve"> 自然资源部门</w:t>
                      </w:r>
                    </w:p>
                  </w:txbxContent>
                </v:textbox>
              </v:shape>
            </w:pict>
          </mc:Fallback>
        </mc:AlternateContent>
      </w:r>
    </w:p>
    <w:p>
      <w:pPr>
        <w:rPr>
          <w:rFonts w:ascii="微软简标宋" w:eastAsia="微软简标宋"/>
          <w:sz w:val="44"/>
          <w:szCs w:val="44"/>
        </w:rPr>
      </w:pPr>
    </w:p>
    <w:p>
      <w:pPr>
        <w:rPr>
          <w:rFonts w:ascii="微软简标宋" w:eastAsia="微软简标宋"/>
          <w:sz w:val="44"/>
          <w:szCs w:val="44"/>
        </w:rPr>
      </w:pPr>
    </w:p>
    <w:p>
      <w:pPr>
        <w:rPr>
          <w:rFonts w:ascii="微软简标宋" w:eastAsia="微软简标宋"/>
          <w:sz w:val="44"/>
          <w:szCs w:val="44"/>
        </w:rPr>
      </w:pPr>
    </w:p>
    <w:p>
      <w:pPr>
        <w:rPr>
          <w:rFonts w:ascii="微软简标宋" w:eastAsia="微软简标宋"/>
          <w:sz w:val="44"/>
          <w:szCs w:val="44"/>
        </w:rPr>
      </w:pPr>
    </w:p>
    <w:p>
      <w:pPr>
        <w:rPr>
          <w:rFonts w:ascii="微软简标宋" w:eastAsia="微软简标宋"/>
          <w:sz w:val="44"/>
          <w:szCs w:val="44"/>
        </w:rPr>
      </w:pPr>
    </w:p>
    <w:p>
      <w:pPr>
        <w:jc w:val="left"/>
        <w:rPr>
          <w:rFonts w:ascii="楷体_GB2312" w:hAnsi="楷体_GB2312" w:eastAsia="楷体_GB2312" w:cs="楷体_GB2312"/>
          <w:sz w:val="24"/>
        </w:rPr>
      </w:pPr>
    </w:p>
    <w:p>
      <w:pPr>
        <w:jc w:val="left"/>
        <w:rPr>
          <w:rFonts w:ascii="宋体" w:hAnsi="宋体" w:cs="楷体_GB2312"/>
          <w:sz w:val="24"/>
        </w:rPr>
        <w:sectPr>
          <w:pgSz w:w="16838" w:h="11906" w:orient="landscape"/>
          <w:pgMar w:top="1587" w:right="2098" w:bottom="1474" w:left="1984" w:header="851" w:footer="992" w:gutter="0"/>
          <w:pgNumType w:fmt="numberInDash"/>
          <w:cols w:space="720" w:num="1"/>
          <w:docGrid w:type="lines" w:linePitch="318" w:charSpace="0"/>
        </w:sectPr>
      </w:pPr>
      <w:r>
        <w:rPr>
          <w:rFonts w:hint="eastAsia" w:ascii="宋体" w:hAnsi="宋体" w:cs="楷体_GB2312"/>
          <w:sz w:val="24"/>
        </w:rPr>
        <w:t>备注：如建设项目涉及人民防空工程建设的，必须有人民防空主管部门参加人民防空工程质量监督和竣工验收。</w:t>
      </w:r>
    </w:p>
    <w:p>
      <w:pP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附件3：</w:t>
      </w:r>
    </w:p>
    <w:p>
      <w:pPr>
        <w:jc w:val="center"/>
        <w:rPr>
          <w:rFonts w:ascii="方正小标宋简体" w:hAnsi="方正小标宋简体" w:eastAsia="方正小标宋简体" w:cs="方正小标宋简体"/>
          <w:sz w:val="36"/>
          <w:szCs w:val="36"/>
        </w:rPr>
      </w:pPr>
    </w:p>
    <w:p>
      <w:pPr>
        <w:spacing w:line="58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产业投资项目“双容双承诺”直接落地双向承诺书</w:t>
      </w:r>
    </w:p>
    <w:p>
      <w:pPr>
        <w:spacing w:line="540" w:lineRule="exact"/>
        <w:rPr>
          <w:rFonts w:ascii="仿宋_GB2312" w:eastAsia="仿宋_GB2312"/>
          <w:kern w:val="0"/>
          <w:sz w:val="32"/>
          <w:szCs w:val="32"/>
        </w:rPr>
      </w:pPr>
    </w:p>
    <w:p>
      <w:pPr>
        <w:spacing w:line="540" w:lineRule="exact"/>
        <w:ind w:firstLine="645"/>
        <w:rPr>
          <w:rFonts w:ascii="仿宋" w:hAnsi="仿宋" w:eastAsia="仿宋" w:cs="仿宋"/>
          <w:sz w:val="32"/>
          <w:szCs w:val="32"/>
        </w:rPr>
      </w:pPr>
      <w:r>
        <w:rPr>
          <w:rFonts w:hint="eastAsia" w:ascii="仿宋" w:hAnsi="仿宋" w:eastAsia="仿宋" w:cs="仿宋_GB2312"/>
          <w:sz w:val="32"/>
          <w:szCs w:val="32"/>
          <w:u w:val="single"/>
        </w:rPr>
        <w:t>根据《肇庆市贯彻落实&lt;中共广东省委、广东省人民政府关于深化投融资体制改革的实施意见&gt;的工作方案》和《肇庆市深化产业投资项目“双容双承诺”直接落地改革实施方案》要求，</w:t>
      </w:r>
      <w:r>
        <w:rPr>
          <w:rFonts w:hint="eastAsia" w:ascii="仿宋" w:hAnsi="仿宋" w:eastAsia="仿宋" w:cs="仿宋_GB2312"/>
          <w:sz w:val="32"/>
          <w:szCs w:val="32"/>
        </w:rPr>
        <w:t>对产业投资项目直接落地实行</w:t>
      </w:r>
      <w:r>
        <w:rPr>
          <w:rFonts w:hint="eastAsia" w:ascii="仿宋" w:hAnsi="仿宋" w:eastAsia="仿宋" w:cs="仿宋_GB2312"/>
          <w:sz w:val="32"/>
          <w:szCs w:val="32"/>
          <w:shd w:val="clear" w:color="auto" w:fill="FFFFFF"/>
        </w:rPr>
        <w:t>双向依法承诺制度，</w:t>
      </w:r>
      <w:r>
        <w:rPr>
          <w:rFonts w:hint="eastAsia" w:ascii="仿宋" w:hAnsi="仿宋" w:eastAsia="仿宋" w:cs="仿宋"/>
          <w:sz w:val="32"/>
          <w:szCs w:val="32"/>
        </w:rPr>
        <w:t>企业承诺内容包括环境影响评价、节能评估、消防设计、人防设计、防雷装置设计、建设工程设计方案审查、施工图审查、安全监督登记、施工许可等手续。行政服务中心和有关部门的承诺内容包括要主动对接，指导协助企业及时办理法律法规要求的各项手续，密切跟踪服务，依法严格按标准履职监管，不得缺位，也不得变相增加法律法规规定以外的审批以及监管事项等。</w:t>
      </w:r>
    </w:p>
    <w:p>
      <w:pPr>
        <w:spacing w:line="540" w:lineRule="exact"/>
        <w:ind w:firstLine="645"/>
        <w:rPr>
          <w:rFonts w:ascii="仿宋" w:hAnsi="仿宋" w:eastAsia="仿宋" w:cs="仿宋"/>
          <w:sz w:val="32"/>
          <w:szCs w:val="32"/>
        </w:rPr>
      </w:pPr>
      <w:r>
        <w:rPr>
          <w:rFonts w:hint="eastAsia" w:ascii="仿宋" w:hAnsi="仿宋" w:eastAsia="仿宋" w:cs="仿宋"/>
          <w:sz w:val="32"/>
          <w:szCs w:val="32"/>
        </w:rPr>
        <w:t>现经双方同意，签订本《</w:t>
      </w:r>
      <w:r>
        <w:rPr>
          <w:rFonts w:hint="eastAsia" w:ascii="仿宋" w:hAnsi="仿宋" w:eastAsia="仿宋" w:cs="仿宋_GB2312"/>
          <w:sz w:val="32"/>
          <w:szCs w:val="32"/>
        </w:rPr>
        <w:t>产业投资项目“双容双承诺”直接落地双向承诺书</w:t>
      </w:r>
      <w:r>
        <w:rPr>
          <w:rFonts w:hint="eastAsia" w:ascii="仿宋" w:hAnsi="仿宋" w:eastAsia="仿宋" w:cs="仿宋"/>
          <w:sz w:val="32"/>
          <w:szCs w:val="32"/>
        </w:rPr>
        <w:t>》，具体承诺条款详见附件1、附件2。</w:t>
      </w:r>
    </w:p>
    <w:p>
      <w:pPr>
        <w:spacing w:line="540" w:lineRule="exact"/>
        <w:rPr>
          <w:rFonts w:ascii="仿宋" w:hAnsi="仿宋" w:eastAsia="仿宋" w:cs="仿宋"/>
          <w:sz w:val="32"/>
          <w:szCs w:val="32"/>
        </w:rPr>
      </w:pPr>
    </w:p>
    <w:p>
      <w:pPr>
        <w:spacing w:line="540" w:lineRule="exact"/>
        <w:ind w:firstLine="645"/>
        <w:outlineLvl w:val="0"/>
        <w:rPr>
          <w:rFonts w:ascii="仿宋" w:hAnsi="仿宋" w:eastAsia="仿宋" w:cs="仿宋"/>
          <w:sz w:val="32"/>
          <w:szCs w:val="32"/>
        </w:rPr>
      </w:pPr>
      <w:r>
        <w:rPr>
          <w:rFonts w:hint="eastAsia" w:ascii="仿宋" w:hAnsi="仿宋" w:eastAsia="仿宋" w:cs="仿宋"/>
          <w:sz w:val="32"/>
          <w:szCs w:val="32"/>
        </w:rPr>
        <w:t>附件：1.企业承诺条款</w:t>
      </w:r>
    </w:p>
    <w:p>
      <w:pPr>
        <w:spacing w:line="540" w:lineRule="exact"/>
        <w:ind w:firstLine="645"/>
        <w:rPr>
          <w:rFonts w:ascii="仿宋" w:hAnsi="仿宋" w:eastAsia="仿宋" w:cs="仿宋"/>
          <w:sz w:val="32"/>
          <w:szCs w:val="32"/>
        </w:rPr>
      </w:pPr>
      <w:r>
        <w:rPr>
          <w:rFonts w:hint="eastAsia" w:ascii="仿宋" w:hAnsi="仿宋" w:eastAsia="仿宋" w:cs="仿宋"/>
          <w:sz w:val="32"/>
          <w:szCs w:val="32"/>
        </w:rPr>
        <w:t xml:space="preserve">      2.政府部门承诺条款</w:t>
      </w:r>
    </w:p>
    <w:p>
      <w:pPr>
        <w:spacing w:line="540" w:lineRule="exact"/>
        <w:ind w:firstLine="645"/>
        <w:rPr>
          <w:rFonts w:ascii="仿宋" w:hAnsi="仿宋" w:eastAsia="仿宋" w:cs="仿宋"/>
          <w:sz w:val="32"/>
          <w:szCs w:val="32"/>
        </w:rPr>
      </w:pPr>
    </w:p>
    <w:p>
      <w:pPr>
        <w:spacing w:line="540" w:lineRule="exact"/>
        <w:rPr>
          <w:rFonts w:ascii="仿宋" w:hAnsi="仿宋" w:eastAsia="仿宋" w:cs="仿宋_GB2312"/>
          <w:sz w:val="32"/>
          <w:szCs w:val="32"/>
        </w:rPr>
      </w:pPr>
      <w:r>
        <w:rPr>
          <w:rFonts w:hint="eastAsia" w:ascii="仿宋" w:hAnsi="仿宋" w:eastAsia="仿宋" w:cs="仿宋_GB2312"/>
          <w:sz w:val="32"/>
          <w:szCs w:val="32"/>
        </w:rPr>
        <w:t>承诺企业（公章）：        市（或县级）行政服务中心（公章）：</w:t>
      </w:r>
    </w:p>
    <w:p>
      <w:pPr>
        <w:spacing w:line="540" w:lineRule="exact"/>
        <w:rPr>
          <w:rFonts w:ascii="仿宋" w:hAnsi="仿宋" w:eastAsia="仿宋" w:cs="仿宋_GB2312"/>
          <w:sz w:val="32"/>
          <w:szCs w:val="32"/>
        </w:rPr>
      </w:pPr>
      <w:r>
        <w:rPr>
          <w:rFonts w:hint="eastAsia" w:ascii="仿宋" w:hAnsi="仿宋" w:eastAsia="仿宋" w:cs="仿宋_GB2312"/>
          <w:sz w:val="32"/>
          <w:szCs w:val="32"/>
        </w:rPr>
        <w:t>法定代表人（签字）：     法定代表人（签字）：</w:t>
      </w:r>
    </w:p>
    <w:p>
      <w:pPr>
        <w:spacing w:line="540" w:lineRule="exact"/>
        <w:ind w:firstLine="2080" w:firstLineChars="650"/>
        <w:rPr>
          <w:rFonts w:ascii="仿宋" w:hAnsi="仿宋" w:eastAsia="仿宋" w:cs="仿宋_GB2312"/>
          <w:sz w:val="32"/>
          <w:szCs w:val="32"/>
        </w:rPr>
      </w:pPr>
      <w:r>
        <w:rPr>
          <w:rFonts w:hint="eastAsia" w:ascii="仿宋" w:hAnsi="仿宋" w:eastAsia="仿宋" w:cs="仿宋_GB2312"/>
          <w:sz w:val="32"/>
          <w:szCs w:val="32"/>
        </w:rPr>
        <w:t>年  月  日                年  月  日</w:t>
      </w:r>
    </w:p>
    <w:p>
      <w:pP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附件3-1：</w:t>
      </w:r>
    </w:p>
    <w:p>
      <w:pPr>
        <w:jc w:val="center"/>
        <w:rPr>
          <w:rFonts w:ascii="方正小标宋_GBK" w:hAnsi="方正小标宋_GBK" w:eastAsia="方正小标宋_GBK" w:cs="方正小标宋_GBK"/>
          <w:sz w:val="44"/>
          <w:szCs w:val="44"/>
        </w:rPr>
      </w:pPr>
      <w:r>
        <w:rPr>
          <w:rFonts w:hint="eastAsia" w:ascii="方正小标宋简体" w:hAnsi="方正小标宋简体" w:eastAsia="方正小标宋简体" w:cs="方正小标宋简体"/>
          <w:sz w:val="36"/>
          <w:szCs w:val="36"/>
        </w:rPr>
        <w:t>企业承诺条款</w:t>
      </w:r>
    </w:p>
    <w:p>
      <w:pPr>
        <w:jc w:val="center"/>
        <w:rPr>
          <w:rFonts w:ascii="楷体" w:hAnsi="楷体" w:eastAsia="楷体" w:cs="楷体"/>
          <w:sz w:val="32"/>
          <w:szCs w:val="32"/>
        </w:rPr>
      </w:pPr>
      <w:r>
        <w:rPr>
          <w:rFonts w:hint="eastAsia" w:ascii="楷体" w:hAnsi="楷体" w:eastAsia="楷体" w:cs="楷体"/>
          <w:sz w:val="32"/>
          <w:szCs w:val="32"/>
        </w:rPr>
        <w:t>（范本，可根据项目实际情况进行调整）</w:t>
      </w:r>
    </w:p>
    <w:p>
      <w:pPr>
        <w:rPr>
          <w:rFonts w:ascii="仿宋_GB2312" w:eastAsia="仿宋_GB2312"/>
          <w:kern w:val="0"/>
          <w:sz w:val="32"/>
          <w:szCs w:val="32"/>
        </w:rPr>
      </w:pPr>
    </w:p>
    <w:p>
      <w:pPr>
        <w:rPr>
          <w:rFonts w:ascii="仿宋" w:hAnsi="仿宋" w:eastAsia="仿宋" w:cs="仿宋_GB2312"/>
          <w:sz w:val="32"/>
          <w:szCs w:val="32"/>
        </w:rPr>
      </w:pPr>
      <w:r>
        <w:rPr>
          <w:rFonts w:hint="eastAsia" w:ascii="仿宋" w:hAnsi="仿宋" w:eastAsia="仿宋" w:cs="仿宋_GB2312"/>
          <w:sz w:val="32"/>
          <w:szCs w:val="32"/>
        </w:rPr>
        <w:t xml:space="preserve">    </w:t>
      </w:r>
      <w:r>
        <w:rPr>
          <w:rFonts w:hint="eastAsia" w:ascii="仿宋" w:hAnsi="仿宋" w:eastAsia="仿宋" w:cs="仿宋_GB2312"/>
          <w:sz w:val="32"/>
          <w:szCs w:val="32"/>
          <w:u w:val="single"/>
        </w:rPr>
        <w:t>根据《肇庆市贯彻落实&lt;中共广东省委、广东省人民政府关于深化投融资体制改革的实施意见&gt;的工作方案》和《肇庆市深化产业投资项目“双容双承诺”直接落地改革实施方案》要求，</w:t>
      </w:r>
      <w:r>
        <w:rPr>
          <w:rFonts w:hint="eastAsia" w:ascii="仿宋" w:hAnsi="仿宋" w:eastAsia="仿宋" w:cs="仿宋_GB2312"/>
          <w:sz w:val="32"/>
          <w:szCs w:val="32"/>
        </w:rPr>
        <w:t>我公司在肇庆市</w:t>
      </w:r>
      <w:r>
        <w:rPr>
          <w:rFonts w:hint="eastAsia" w:ascii="仿宋" w:hAnsi="仿宋" w:eastAsia="仿宋" w:cs="仿宋_GB2312"/>
          <w:sz w:val="32"/>
          <w:szCs w:val="32"/>
          <w:u w:val="single"/>
        </w:rPr>
        <w:t xml:space="preserve">      </w:t>
      </w:r>
      <w:r>
        <w:rPr>
          <w:rFonts w:hint="eastAsia" w:ascii="仿宋" w:hAnsi="仿宋" w:eastAsia="仿宋" w:cs="仿宋_GB2312"/>
          <w:sz w:val="32"/>
          <w:szCs w:val="32"/>
        </w:rPr>
        <w:t>县（市、区）投资建设的</w:t>
      </w:r>
      <w:r>
        <w:rPr>
          <w:rFonts w:hint="eastAsia" w:ascii="仿宋" w:hAnsi="仿宋" w:eastAsia="仿宋" w:cs="仿宋_GB2312"/>
          <w:sz w:val="32"/>
          <w:szCs w:val="32"/>
          <w:u w:val="single"/>
        </w:rPr>
        <w:t xml:space="preserve">           </w:t>
      </w:r>
      <w:r>
        <w:rPr>
          <w:rFonts w:hint="eastAsia" w:ascii="仿宋" w:hAnsi="仿宋" w:eastAsia="仿宋" w:cs="仿宋_GB2312"/>
          <w:sz w:val="32"/>
          <w:szCs w:val="32"/>
        </w:rPr>
        <w:t>项目，自愿参与</w:t>
      </w:r>
      <w:r>
        <w:rPr>
          <w:rFonts w:hint="eastAsia" w:ascii="仿宋" w:hAnsi="仿宋" w:eastAsia="仿宋" w:cs="仿宋_GB2312"/>
          <w:sz w:val="32"/>
          <w:szCs w:val="32"/>
          <w:shd w:val="clear" w:color="auto" w:fill="FFFFFF"/>
        </w:rPr>
        <w:t>产业投资项目“先建后验”直接落地改革</w:t>
      </w:r>
      <w:r>
        <w:rPr>
          <w:rFonts w:hint="eastAsia" w:ascii="仿宋" w:hAnsi="仿宋" w:eastAsia="仿宋" w:cs="仿宋_GB2312"/>
          <w:sz w:val="32"/>
          <w:szCs w:val="32"/>
        </w:rPr>
        <w:t>，遵守有关的管理规定，申请容缺预办竣工前的相关审批手续，郑重承诺自项目施工之日起，至项目主体工程完工之日止，严格按照相关审批、监管部门和单位的要求，依法依规完成下列事项：</w:t>
      </w:r>
    </w:p>
    <w:p>
      <w:pPr>
        <w:rPr>
          <w:rFonts w:ascii="仿宋" w:hAnsi="仿宋" w:eastAsia="仿宋" w:cs="仿宋_GB2312"/>
          <w:sz w:val="32"/>
          <w:szCs w:val="32"/>
        </w:rPr>
      </w:pPr>
      <w:r>
        <w:rPr>
          <w:rFonts w:hint="eastAsia" w:ascii="仿宋" w:hAnsi="仿宋" w:eastAsia="仿宋" w:cs="仿宋_GB2312"/>
          <w:sz w:val="32"/>
          <w:szCs w:val="32"/>
        </w:rPr>
        <w:t xml:space="preserve">    一、根据《中华人民共和国城乡规划法》等法律法规有关规定，严格按照</w:t>
      </w:r>
      <w:r>
        <w:rPr>
          <w:rFonts w:hint="eastAsia" w:ascii="仿宋" w:hAnsi="仿宋" w:eastAsia="仿宋" w:cs="仿宋_GB2312"/>
          <w:sz w:val="32"/>
          <w:szCs w:val="32"/>
          <w:u w:val="single"/>
        </w:rPr>
        <w:t>自然资源部门</w:t>
      </w:r>
      <w:r>
        <w:rPr>
          <w:rFonts w:hint="eastAsia" w:ascii="仿宋" w:hAnsi="仿宋" w:eastAsia="仿宋" w:cs="仿宋_GB2312"/>
          <w:sz w:val="32"/>
          <w:szCs w:val="32"/>
        </w:rPr>
        <w:t>核发的规划设计条件及相关技术管理规定规范，开展方案设计，并在规划条件核实前将建设工程设计方案（含人防地下室设计方案）报肇庆市</w:t>
      </w:r>
      <w:r>
        <w:rPr>
          <w:rFonts w:hint="eastAsia" w:ascii="仿宋" w:hAnsi="仿宋" w:eastAsia="仿宋" w:cs="仿宋_GB2312"/>
          <w:sz w:val="32"/>
          <w:szCs w:val="32"/>
          <w:u w:val="single"/>
        </w:rPr>
        <w:t xml:space="preserve">        </w:t>
      </w:r>
      <w:r>
        <w:rPr>
          <w:rFonts w:hint="eastAsia" w:ascii="仿宋" w:hAnsi="仿宋" w:eastAsia="仿宋" w:cs="仿宋_GB2312"/>
          <w:sz w:val="32"/>
          <w:szCs w:val="32"/>
        </w:rPr>
        <w:t>县（市、区）行政服务中心（以下简称中心）专窗审查，直至合格备案。</w:t>
      </w:r>
    </w:p>
    <w:p>
      <w:pPr>
        <w:ind w:firstLine="640"/>
        <w:rPr>
          <w:rFonts w:ascii="仿宋" w:hAnsi="仿宋" w:eastAsia="仿宋" w:cs="仿宋_GB2312"/>
          <w:sz w:val="32"/>
          <w:szCs w:val="32"/>
        </w:rPr>
      </w:pPr>
      <w:r>
        <w:rPr>
          <w:rFonts w:hint="eastAsia" w:ascii="仿宋" w:hAnsi="仿宋" w:eastAsia="仿宋" w:cs="仿宋_GB2312"/>
          <w:sz w:val="32"/>
          <w:szCs w:val="32"/>
        </w:rPr>
        <w:t>二、严格按照报经审查合格备案的建设工程设计方案（含人防地下室设计方案）成果图纸和内容组织施工。</w:t>
      </w:r>
    </w:p>
    <w:p>
      <w:pPr>
        <w:ind w:firstLine="640"/>
        <w:rPr>
          <w:rFonts w:ascii="仿宋" w:hAnsi="仿宋" w:eastAsia="仿宋" w:cs="仿宋_GB2312"/>
          <w:sz w:val="32"/>
          <w:szCs w:val="32"/>
        </w:rPr>
      </w:pPr>
      <w:r>
        <w:rPr>
          <w:rFonts w:hint="eastAsia" w:ascii="仿宋" w:hAnsi="仿宋" w:eastAsia="仿宋" w:cs="仿宋_GB2312"/>
          <w:sz w:val="32"/>
          <w:szCs w:val="32"/>
        </w:rPr>
        <w:t>三、在项目主体工程封顶前申请办理完成建设用地手续(包括建设用地规划许可、不动产产权登记证）、建设工程规划许可手续。</w:t>
      </w:r>
    </w:p>
    <w:p>
      <w:pPr>
        <w:rPr>
          <w:rFonts w:ascii="仿宋" w:hAnsi="仿宋" w:eastAsia="仿宋" w:cs="仿宋_GB2312"/>
          <w:sz w:val="32"/>
          <w:szCs w:val="32"/>
        </w:rPr>
      </w:pPr>
      <w:r>
        <w:rPr>
          <w:rFonts w:hint="eastAsia" w:ascii="仿宋" w:hAnsi="仿宋" w:eastAsia="仿宋" w:cs="仿宋_GB2312"/>
          <w:sz w:val="32"/>
          <w:szCs w:val="32"/>
        </w:rPr>
        <w:t xml:space="preserve">    四、在建设施工场地临主干道、集散广场或者人流较集中区域悬挂建设工程规划许可内容及附图的公示牌，其尺寸规格严格按照</w:t>
      </w:r>
      <w:r>
        <w:rPr>
          <w:rFonts w:hint="eastAsia" w:ascii="仿宋" w:hAnsi="仿宋" w:eastAsia="仿宋" w:cs="仿宋_GB2312"/>
          <w:sz w:val="32"/>
          <w:szCs w:val="32"/>
          <w:u w:val="single"/>
        </w:rPr>
        <w:t>自然资源部门</w:t>
      </w:r>
      <w:r>
        <w:rPr>
          <w:rFonts w:hint="eastAsia" w:ascii="仿宋" w:hAnsi="仿宋" w:eastAsia="仿宋" w:cs="仿宋_GB2312"/>
          <w:sz w:val="32"/>
          <w:szCs w:val="32"/>
        </w:rPr>
        <w:t>有关规定执行。</w:t>
      </w:r>
    </w:p>
    <w:p>
      <w:pPr>
        <w:ind w:firstLine="630"/>
        <w:rPr>
          <w:rFonts w:ascii="仿宋" w:hAnsi="仿宋" w:eastAsia="仿宋" w:cs="仿宋_GB2312"/>
          <w:sz w:val="32"/>
          <w:szCs w:val="32"/>
        </w:rPr>
      </w:pPr>
      <w:r>
        <w:rPr>
          <w:rFonts w:hint="eastAsia" w:ascii="仿宋" w:hAnsi="仿宋" w:eastAsia="仿宋" w:cs="仿宋_GB2312"/>
          <w:sz w:val="32"/>
          <w:szCs w:val="32"/>
        </w:rPr>
        <w:t>五、严格按照承诺的建设工程设计方案施工。</w:t>
      </w:r>
    </w:p>
    <w:p>
      <w:pPr>
        <w:ind w:firstLine="630"/>
        <w:rPr>
          <w:rFonts w:ascii="仿宋" w:hAnsi="仿宋" w:eastAsia="仿宋" w:cs="仿宋_GB2312"/>
          <w:sz w:val="32"/>
          <w:szCs w:val="32"/>
        </w:rPr>
      </w:pPr>
      <w:r>
        <w:rPr>
          <w:rFonts w:hint="eastAsia" w:ascii="仿宋" w:hAnsi="仿宋" w:eastAsia="仿宋" w:cs="仿宋_GB2312"/>
          <w:sz w:val="32"/>
          <w:szCs w:val="32"/>
        </w:rPr>
        <w:t>六、施工图设计文件应符合国家标准规范，所有新建扩建项目、现状改建项目应在底板施工前取得审查合格书，内部改造项目应在正式施工前取得审查合格书。</w:t>
      </w:r>
    </w:p>
    <w:p>
      <w:pPr>
        <w:rPr>
          <w:rFonts w:ascii="仿宋" w:hAnsi="仿宋" w:eastAsia="仿宋" w:cs="仿宋_GB2312"/>
          <w:sz w:val="32"/>
          <w:szCs w:val="32"/>
        </w:rPr>
      </w:pPr>
      <w:r>
        <w:rPr>
          <w:rFonts w:hint="eastAsia" w:ascii="仿宋" w:hAnsi="仿宋" w:eastAsia="仿宋" w:cs="仿宋_GB2312"/>
          <w:sz w:val="32"/>
          <w:szCs w:val="32"/>
        </w:rPr>
        <w:t xml:space="preserve">    七、项目施工过程中，随时接受有关执法部门的监督检查。对违反规划建设和违背自身承诺的行为自行限期改正，逾期不改正自愿接受相关处罚。</w:t>
      </w:r>
    </w:p>
    <w:p>
      <w:pPr>
        <w:rPr>
          <w:rFonts w:ascii="仿宋" w:hAnsi="仿宋" w:eastAsia="仿宋" w:cs="仿宋_GB2312"/>
          <w:sz w:val="32"/>
          <w:szCs w:val="32"/>
        </w:rPr>
      </w:pPr>
      <w:r>
        <w:rPr>
          <w:rFonts w:hint="eastAsia" w:ascii="仿宋" w:hAnsi="仿宋" w:eastAsia="仿宋" w:cs="仿宋_GB2312"/>
          <w:sz w:val="32"/>
          <w:szCs w:val="32"/>
        </w:rPr>
        <w:t xml:space="preserve">    八、主体工程竣工验收前，完成规划、建设、环保、消防、人防、气象等相关行业主管部门涉及到的行政审批事项。</w:t>
      </w:r>
    </w:p>
    <w:p>
      <w:pPr>
        <w:rPr>
          <w:rFonts w:ascii="仿宋" w:hAnsi="仿宋" w:eastAsia="仿宋" w:cs="仿宋_GB2312"/>
          <w:sz w:val="32"/>
          <w:szCs w:val="32"/>
        </w:rPr>
      </w:pPr>
      <w:r>
        <w:rPr>
          <w:rFonts w:hint="eastAsia" w:ascii="仿宋" w:hAnsi="仿宋" w:eastAsia="仿宋" w:cs="仿宋_GB2312"/>
          <w:sz w:val="32"/>
          <w:szCs w:val="32"/>
        </w:rPr>
        <w:t xml:space="preserve">    九、建设工程竣工验收前，向中心专窗申请联合验收，</w:t>
      </w:r>
      <w:r>
        <w:rPr>
          <w:rFonts w:hint="eastAsia" w:ascii="仿宋" w:hAnsi="仿宋" w:eastAsia="仿宋" w:cs="仿宋_GB2312"/>
          <w:sz w:val="32"/>
          <w:szCs w:val="32"/>
          <w:u w:val="single"/>
        </w:rPr>
        <w:t>并报送有关资料。</w:t>
      </w:r>
    </w:p>
    <w:p>
      <w:pPr>
        <w:rPr>
          <w:rFonts w:ascii="仿宋" w:hAnsi="仿宋" w:eastAsia="仿宋" w:cs="仿宋_GB2312"/>
          <w:sz w:val="32"/>
          <w:szCs w:val="32"/>
        </w:rPr>
      </w:pPr>
      <w:r>
        <w:rPr>
          <w:rFonts w:hint="eastAsia" w:ascii="仿宋" w:hAnsi="仿宋" w:eastAsia="仿宋" w:cs="仿宋_GB2312"/>
          <w:sz w:val="32"/>
          <w:szCs w:val="32"/>
        </w:rPr>
        <w:t xml:space="preserve">    十、对所提交的有关申请材料的真实性负责，并承担因提交材料不真实而造成相关问题的一切法律责任。</w:t>
      </w:r>
    </w:p>
    <w:p>
      <w:pPr>
        <w:rPr>
          <w:rFonts w:ascii="仿宋" w:hAnsi="仿宋" w:eastAsia="仿宋" w:cs="仿宋_GB2312"/>
          <w:sz w:val="32"/>
          <w:szCs w:val="32"/>
        </w:rPr>
      </w:pPr>
      <w:r>
        <w:rPr>
          <w:rFonts w:hint="eastAsia" w:ascii="仿宋" w:hAnsi="仿宋" w:eastAsia="仿宋" w:cs="仿宋_GB2312"/>
          <w:sz w:val="32"/>
          <w:szCs w:val="32"/>
        </w:rPr>
        <w:t xml:space="preserve">    十一、自项目</w:t>
      </w:r>
      <w:r>
        <w:rPr>
          <w:rFonts w:hint="eastAsia" w:ascii="仿宋" w:hAnsi="仿宋" w:eastAsia="仿宋" w:cs="仿宋_GB2312"/>
          <w:sz w:val="32"/>
          <w:szCs w:val="32"/>
          <w:u w:val="single"/>
        </w:rPr>
        <w:t>签订双向承诺书之日</w:t>
      </w:r>
      <w:r>
        <w:rPr>
          <w:rFonts w:hint="eastAsia" w:ascii="仿宋" w:hAnsi="仿宋" w:eastAsia="仿宋" w:cs="仿宋_GB2312"/>
          <w:sz w:val="32"/>
          <w:szCs w:val="32"/>
        </w:rPr>
        <w:t>起6个月内，完备提供以下资料，正式申办施工许可证：</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（一）建筑工程施工许可申请表（质量安全监督并联审批）。</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（二）建筑工程用地批准手续。</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（三）建设工程规划许可证。</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（四）经施工企业主要技术负责人签字并盖企业公章确认的施工场地具备施工条件的意见书。</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（五）施工合同。</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（六）中标通知书（依法必须招标的工程项目提供）。</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（七）施工图设计文件及其审查合格证明。</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（八）建设资金落实承诺书。</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（九）建设、勘察、设计、施工、监理五方责任主体签署《法定代表人授权书》及《工程质量终身责任承诺书》。</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（十）经建设、监理、施工单位审核批准的施工组织设计（含质量和安全管理制度、管理架构、技术措施）。</w:t>
      </w:r>
    </w:p>
    <w:p>
      <w:pPr>
        <w:ind w:firstLine="640" w:firstLineChars="200"/>
        <w:rPr>
          <w:rFonts w:ascii="仿宋" w:hAnsi="仿宋" w:eastAsia="仿宋" w:cs="仿宋_GB2312"/>
          <w:sz w:val="32"/>
          <w:szCs w:val="32"/>
          <w:u w:val="single"/>
        </w:rPr>
      </w:pPr>
      <w:r>
        <w:rPr>
          <w:rFonts w:hint="eastAsia" w:ascii="仿宋" w:hAnsi="仿宋" w:eastAsia="仿宋" w:cs="仿宋_GB2312"/>
          <w:sz w:val="32"/>
          <w:szCs w:val="32"/>
          <w:u w:val="single"/>
        </w:rPr>
        <w:t>（十一）危险性较大的分部分项工程清单（危险性较大的分部分项工程提交）。</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十二、在项目建设过程中，严格依法用地和节约集约用地。</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十三、履行《中华人民共和国消防法》等消防法律法规，严格按照工程建设消防技术标准进行消防设计。执行《建设工程施工现场消防安全技术规范》要求，保障施工现场消防安全。建设、设计、施工、工程监理等单位依法对建设工程的消防设计、施工质量负责。依法办理建设工程消防行政许可或备案抽查手续。如存在消防安全违法行为，将自觉接受相应处罚。</w:t>
      </w:r>
    </w:p>
    <w:p>
      <w:pPr>
        <w:rPr>
          <w:rFonts w:ascii="仿宋" w:hAnsi="仿宋" w:eastAsia="仿宋" w:cs="仿宋_GB2312"/>
          <w:sz w:val="32"/>
          <w:szCs w:val="32"/>
        </w:rPr>
      </w:pPr>
      <w:r>
        <w:rPr>
          <w:rFonts w:hint="eastAsia" w:ascii="仿宋" w:hAnsi="仿宋" w:eastAsia="仿宋" w:cs="仿宋_GB2312"/>
          <w:sz w:val="32"/>
          <w:szCs w:val="32"/>
        </w:rPr>
        <w:t xml:space="preserve">    十四、投资建设项目自施工之日起3个月内，根据安全生产法律法规的相关规定，</w:t>
      </w:r>
      <w:r>
        <w:rPr>
          <w:rFonts w:hint="eastAsia" w:ascii="仿宋" w:hAnsi="仿宋" w:eastAsia="仿宋" w:cs="仿宋_GB2312"/>
          <w:sz w:val="32"/>
          <w:szCs w:val="32"/>
          <w:u w:val="single"/>
        </w:rPr>
        <w:t>一是涉及《建设项目安全设施“三同时”监督管理办法》第七条规定的建设项目的，向中心专窗申请办理本项目所涉及的建设项目安全设施“三同时”审批手续，提交本建设项目审批所需的申请资料，并对所提交的有关申请资料的真实性负责。严格按照应急部门审批的内容和要求组织实施，随时接受过程监督检查；二是涉及《建设项目安全设施“三同时”监督管理办法》第七条以外的建设项目的，无需办理建设项目安全设施“三同时”审批手续，自行履行建设项目安全设施“三同时”。</w:t>
      </w:r>
    </w:p>
    <w:p>
      <w:pPr>
        <w:ind w:firstLine="645"/>
        <w:rPr>
          <w:rFonts w:ascii="仿宋" w:hAnsi="仿宋" w:eastAsia="仿宋" w:cs="仿宋_GB2312"/>
          <w:sz w:val="32"/>
          <w:szCs w:val="32"/>
        </w:rPr>
      </w:pPr>
      <w:r>
        <w:rPr>
          <w:rFonts w:hint="eastAsia" w:ascii="仿宋" w:hAnsi="仿宋" w:eastAsia="仿宋" w:cs="仿宋_GB2312"/>
          <w:sz w:val="32"/>
          <w:szCs w:val="32"/>
        </w:rPr>
        <w:t>十五、在项目建设过程中，严格按照《森林法》、《建设项目使用林地审核审批管理办法》（国家林业局第35号令）执行。</w:t>
      </w:r>
    </w:p>
    <w:p>
      <w:pPr>
        <w:rPr>
          <w:rFonts w:ascii="仿宋" w:hAnsi="仿宋" w:eastAsia="仿宋" w:cs="仿宋_GB2312"/>
          <w:sz w:val="32"/>
          <w:szCs w:val="32"/>
        </w:rPr>
      </w:pPr>
      <w:r>
        <w:rPr>
          <w:rFonts w:hint="eastAsia" w:ascii="仿宋" w:hAnsi="仿宋" w:eastAsia="仿宋" w:cs="仿宋_GB2312"/>
          <w:sz w:val="32"/>
          <w:szCs w:val="32"/>
        </w:rPr>
        <w:t xml:space="preserve">    十六、在项目建设过程中，主动、及时申办园林绿化相关手续:</w:t>
      </w:r>
    </w:p>
    <w:p>
      <w:pPr>
        <w:rPr>
          <w:rFonts w:ascii="仿宋" w:hAnsi="仿宋" w:eastAsia="仿宋" w:cs="仿宋_GB2312"/>
          <w:sz w:val="32"/>
          <w:szCs w:val="32"/>
        </w:rPr>
      </w:pPr>
      <w:r>
        <w:rPr>
          <w:rFonts w:hint="eastAsia" w:ascii="仿宋" w:hAnsi="仿宋" w:eastAsia="仿宋" w:cs="仿宋_GB2312"/>
          <w:sz w:val="32"/>
          <w:szCs w:val="32"/>
        </w:rPr>
        <w:t xml:space="preserve">    （一）在办理项目建设用地规划许可之前完成项目附属绿化建设用地面积审核手续；</w:t>
      </w:r>
    </w:p>
    <w:p>
      <w:pPr>
        <w:rPr>
          <w:rFonts w:ascii="仿宋" w:hAnsi="仿宋" w:eastAsia="仿宋" w:cs="仿宋_GB2312"/>
          <w:sz w:val="32"/>
          <w:szCs w:val="32"/>
        </w:rPr>
      </w:pPr>
      <w:r>
        <w:rPr>
          <w:rFonts w:hint="eastAsia" w:ascii="仿宋" w:hAnsi="仿宋" w:eastAsia="仿宋" w:cs="仿宋_GB2312"/>
          <w:sz w:val="32"/>
          <w:szCs w:val="32"/>
        </w:rPr>
        <w:t xml:space="preserve">    （二）在办理项目建设工程规划许可之前完成项目附属绿化工程设计方案审查手续；</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（三）在项目施工过程中，涉及城市绿地、树木审批以及</w:t>
      </w:r>
      <w:r>
        <w:rPr>
          <w:rFonts w:hint="eastAsia" w:ascii="仿宋" w:hAnsi="仿宋" w:eastAsia="仿宋" w:cs="仿宋_GB2312"/>
          <w:sz w:val="32"/>
          <w:szCs w:val="32"/>
          <w:u w:val="single"/>
        </w:rPr>
        <w:t>因重大公益性市政建设</w:t>
      </w:r>
      <w:r>
        <w:rPr>
          <w:rFonts w:hint="eastAsia" w:ascii="仿宋" w:hAnsi="仿宋" w:eastAsia="仿宋" w:cs="仿宋_GB2312"/>
          <w:sz w:val="32"/>
          <w:szCs w:val="32"/>
        </w:rPr>
        <w:t>确需移植古树名木的，在动工之前完成工程建设涉及城市绿地、树木审批手续；</w:t>
      </w:r>
    </w:p>
    <w:p>
      <w:pPr>
        <w:rPr>
          <w:rFonts w:ascii="仿宋" w:hAnsi="仿宋" w:eastAsia="仿宋" w:cs="仿宋_GB2312"/>
          <w:sz w:val="32"/>
          <w:szCs w:val="32"/>
        </w:rPr>
      </w:pPr>
      <w:r>
        <w:rPr>
          <w:rFonts w:hint="eastAsia" w:ascii="仿宋" w:hAnsi="仿宋" w:eastAsia="仿宋" w:cs="仿宋_GB2312"/>
          <w:sz w:val="32"/>
          <w:szCs w:val="32"/>
        </w:rPr>
        <w:t xml:space="preserve">    十七、本项目施工期直至获得正式排水许可证前严格遵循排水许可下列规定：</w:t>
      </w:r>
    </w:p>
    <w:p>
      <w:pPr>
        <w:rPr>
          <w:rFonts w:ascii="仿宋" w:hAnsi="仿宋" w:eastAsia="仿宋" w:cs="仿宋_GB2312"/>
          <w:sz w:val="32"/>
          <w:szCs w:val="32"/>
        </w:rPr>
      </w:pPr>
      <w:r>
        <w:rPr>
          <w:rFonts w:hint="eastAsia" w:ascii="仿宋" w:hAnsi="仿宋" w:eastAsia="仿宋" w:cs="仿宋_GB2312"/>
          <w:sz w:val="32"/>
          <w:szCs w:val="32"/>
        </w:rPr>
        <w:t xml:space="preserve">    （一）临时排水中有沉淀物，足以造成排水设施堵塞或者损坏的，主动修建预沉设施，且临时排水需经预沉设施处理并符合《广东省地方标准〈水污染物排放限值〉》（DB44/26-2001）和《污水排入城镇下水道水质标准》（GB/T 31962-2015）的较严值要求后，方可接入指定的排水系统；</w:t>
      </w:r>
    </w:p>
    <w:p>
      <w:pPr>
        <w:rPr>
          <w:rFonts w:ascii="仿宋" w:hAnsi="仿宋" w:eastAsia="仿宋" w:cs="仿宋_GB2312"/>
          <w:sz w:val="32"/>
          <w:szCs w:val="32"/>
        </w:rPr>
      </w:pPr>
      <w:r>
        <w:rPr>
          <w:rFonts w:hint="eastAsia" w:ascii="仿宋" w:hAnsi="仿宋" w:eastAsia="仿宋" w:cs="仿宋_GB2312"/>
          <w:sz w:val="32"/>
          <w:szCs w:val="32"/>
        </w:rPr>
        <w:t xml:space="preserve">    （二）室外排水工程（包括与市政排水系统接口部分）施工设计在报经市政部门批准后再展开施工，室外排水工程（包括与市政排水系统接口部分）施工完毕立即报请中心专窗组织验收，合格后才能交付使用；</w:t>
      </w:r>
    </w:p>
    <w:p>
      <w:pPr>
        <w:rPr>
          <w:rFonts w:ascii="仿宋" w:hAnsi="仿宋" w:eastAsia="仿宋" w:cs="仿宋_GB2312"/>
          <w:sz w:val="32"/>
          <w:szCs w:val="32"/>
        </w:rPr>
      </w:pPr>
      <w:r>
        <w:rPr>
          <w:rFonts w:hint="eastAsia" w:ascii="仿宋" w:hAnsi="仿宋" w:eastAsia="仿宋" w:cs="仿宋_GB2312"/>
          <w:sz w:val="32"/>
          <w:szCs w:val="32"/>
        </w:rPr>
        <w:t xml:space="preserve">    （三）室内外严格实行雨水、污水分流，雨水管道和污水管道不混接；</w:t>
      </w:r>
    </w:p>
    <w:p>
      <w:pPr>
        <w:ind w:left="640" w:hanging="640" w:hangingChars="200"/>
        <w:rPr>
          <w:rFonts w:ascii="仿宋" w:hAnsi="仿宋" w:eastAsia="仿宋" w:cs="仿宋_GB2312"/>
          <w:sz w:val="32"/>
          <w:szCs w:val="32"/>
        </w:rPr>
      </w:pPr>
      <w:r>
        <w:rPr>
          <w:rFonts w:hint="eastAsia" w:ascii="仿宋" w:hAnsi="仿宋" w:eastAsia="仿宋" w:cs="仿宋_GB2312"/>
          <w:sz w:val="32"/>
          <w:szCs w:val="32"/>
        </w:rPr>
        <w:t xml:space="preserve">    （四）不向道路、公共绿地和其他公共场所排水；</w:t>
      </w:r>
    </w:p>
    <w:p>
      <w:pPr>
        <w:ind w:left="640" w:hanging="640" w:hangingChars="200"/>
        <w:rPr>
          <w:rFonts w:ascii="仿宋" w:hAnsi="仿宋" w:eastAsia="仿宋" w:cs="仿宋_GB2312"/>
          <w:sz w:val="32"/>
          <w:szCs w:val="32"/>
        </w:rPr>
      </w:pPr>
      <w:r>
        <w:rPr>
          <w:rFonts w:hint="eastAsia" w:ascii="仿宋" w:hAnsi="仿宋" w:eastAsia="仿宋" w:cs="仿宋_GB2312"/>
          <w:sz w:val="32"/>
          <w:szCs w:val="32"/>
        </w:rPr>
        <w:t xml:space="preserve">    （五）不发生下列损害排水设施的行为：</w:t>
      </w:r>
    </w:p>
    <w:p>
      <w:pPr>
        <w:rPr>
          <w:rFonts w:ascii="仿宋" w:hAnsi="仿宋" w:eastAsia="仿宋" w:cs="仿宋_GB2312"/>
          <w:sz w:val="32"/>
          <w:szCs w:val="32"/>
        </w:rPr>
      </w:pPr>
      <w:r>
        <w:rPr>
          <w:rFonts w:hint="eastAsia" w:ascii="仿宋" w:hAnsi="仿宋" w:eastAsia="仿宋" w:cs="仿宋_GB2312"/>
          <w:sz w:val="32"/>
          <w:szCs w:val="32"/>
        </w:rPr>
        <w:t xml:space="preserve">    1、占压、拆卸、穿凿、挖掘、堵塞、填埋、移动排水设施或者影响、改变其功能；</w:t>
      </w:r>
    </w:p>
    <w:p>
      <w:pPr>
        <w:rPr>
          <w:rFonts w:ascii="仿宋" w:hAnsi="仿宋" w:eastAsia="仿宋" w:cs="仿宋_GB2312"/>
          <w:sz w:val="32"/>
          <w:szCs w:val="32"/>
        </w:rPr>
      </w:pPr>
      <w:r>
        <w:rPr>
          <w:rFonts w:hint="eastAsia" w:ascii="仿宋" w:hAnsi="仿宋" w:eastAsia="仿宋" w:cs="仿宋_GB2312"/>
          <w:sz w:val="32"/>
          <w:szCs w:val="32"/>
        </w:rPr>
        <w:t xml:space="preserve">    2、在排水设施安全防护范围内进行爆破、明火作业、打桩、修建建筑物或者构筑物、植树、埋杆；</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3、圈占、覆盖检查井和雨水篦子；</w:t>
      </w:r>
    </w:p>
    <w:p>
      <w:pPr>
        <w:rPr>
          <w:rFonts w:ascii="仿宋" w:hAnsi="仿宋" w:eastAsia="仿宋" w:cs="仿宋_GB2312"/>
          <w:sz w:val="32"/>
          <w:szCs w:val="32"/>
        </w:rPr>
      </w:pPr>
      <w:r>
        <w:rPr>
          <w:rFonts w:hint="eastAsia" w:ascii="仿宋" w:hAnsi="仿宋" w:eastAsia="仿宋" w:cs="仿宋_GB2312"/>
          <w:sz w:val="32"/>
          <w:szCs w:val="32"/>
        </w:rPr>
        <w:t xml:space="preserve">    4、向排水管道进出口、检查井、雨水篦子和排水明沟内倾倒垃圾、粪便、渣土、杂物、污泥等废弃物；</w:t>
      </w:r>
    </w:p>
    <w:p>
      <w:pPr>
        <w:rPr>
          <w:rFonts w:ascii="仿宋" w:hAnsi="仿宋" w:eastAsia="仿宋" w:cs="仿宋_GB2312"/>
          <w:sz w:val="32"/>
          <w:szCs w:val="32"/>
        </w:rPr>
      </w:pPr>
      <w:r>
        <w:rPr>
          <w:rFonts w:hint="eastAsia" w:ascii="仿宋" w:hAnsi="仿宋" w:eastAsia="仿宋" w:cs="仿宋_GB2312"/>
          <w:sz w:val="32"/>
          <w:szCs w:val="32"/>
        </w:rPr>
        <w:t xml:space="preserve">    5、将油污、施工泥浆等直接排入排水设施；</w:t>
      </w:r>
    </w:p>
    <w:p>
      <w:pPr>
        <w:rPr>
          <w:rFonts w:ascii="仿宋" w:hAnsi="仿宋" w:eastAsia="仿宋" w:cs="仿宋_GB2312"/>
          <w:sz w:val="32"/>
          <w:szCs w:val="32"/>
        </w:rPr>
      </w:pPr>
      <w:r>
        <w:rPr>
          <w:rFonts w:hint="eastAsia" w:ascii="仿宋" w:hAnsi="仿宋" w:eastAsia="仿宋" w:cs="仿宋_GB2312"/>
          <w:sz w:val="32"/>
          <w:szCs w:val="32"/>
        </w:rPr>
        <w:t xml:space="preserve">    6、向排水设施排放有毒、有害、易燃、易爆等物质；</w:t>
      </w:r>
    </w:p>
    <w:p>
      <w:pPr>
        <w:rPr>
          <w:rFonts w:ascii="仿宋" w:hAnsi="仿宋" w:eastAsia="仿宋" w:cs="仿宋_GB2312"/>
          <w:sz w:val="32"/>
          <w:szCs w:val="32"/>
        </w:rPr>
      </w:pPr>
      <w:r>
        <w:rPr>
          <w:rFonts w:hint="eastAsia" w:ascii="仿宋" w:hAnsi="仿宋" w:eastAsia="仿宋" w:cs="仿宋_GB2312"/>
          <w:sz w:val="32"/>
          <w:szCs w:val="32"/>
        </w:rPr>
        <w:t xml:space="preserve">    7、未采取消能措施，向排水管渠直接加压排水；</w:t>
      </w:r>
    </w:p>
    <w:p>
      <w:pPr>
        <w:ind w:firstLine="640"/>
        <w:rPr>
          <w:rFonts w:ascii="仿宋" w:hAnsi="仿宋" w:eastAsia="仿宋" w:cs="仿宋_GB2312"/>
          <w:sz w:val="32"/>
          <w:szCs w:val="32"/>
        </w:rPr>
      </w:pPr>
      <w:r>
        <w:rPr>
          <w:rFonts w:hint="eastAsia" w:ascii="仿宋" w:hAnsi="仿宋" w:eastAsia="仿宋" w:cs="仿宋_GB2312"/>
          <w:sz w:val="32"/>
          <w:szCs w:val="32"/>
        </w:rPr>
        <w:t>8、其他损害排水设施的行为。</w:t>
      </w:r>
    </w:p>
    <w:p>
      <w:pPr>
        <w:ind w:firstLine="640"/>
        <w:rPr>
          <w:rFonts w:ascii="仿宋" w:hAnsi="仿宋" w:eastAsia="仿宋" w:cs="仿宋_GB2312"/>
          <w:sz w:val="32"/>
          <w:szCs w:val="32"/>
        </w:rPr>
      </w:pPr>
      <w:r>
        <w:rPr>
          <w:rFonts w:hint="eastAsia" w:ascii="仿宋" w:hAnsi="仿宋" w:eastAsia="仿宋" w:cs="仿宋_GB2312"/>
          <w:sz w:val="32"/>
          <w:szCs w:val="32"/>
        </w:rPr>
        <w:t>（六）若上述承诺未兑现或仅部分兑现，自觉接受有关规定的处罚。</w:t>
      </w:r>
    </w:p>
    <w:p>
      <w:pPr>
        <w:rPr>
          <w:rFonts w:ascii="仿宋" w:hAnsi="仿宋" w:eastAsia="仿宋" w:cs="仿宋_GB2312"/>
          <w:sz w:val="32"/>
          <w:szCs w:val="32"/>
        </w:rPr>
      </w:pPr>
      <w:r>
        <w:rPr>
          <w:rFonts w:hint="eastAsia" w:ascii="仿宋" w:hAnsi="仿宋" w:eastAsia="仿宋" w:cs="仿宋_GB2312"/>
          <w:sz w:val="32"/>
          <w:szCs w:val="32"/>
        </w:rPr>
        <w:t xml:space="preserve">    十八、本工程项目根据《中华人民共和国人民防空法》和关于结合民用建筑修建防空地下室的有关规定，承诺在项目取得正式</w:t>
      </w:r>
      <w:r>
        <w:rPr>
          <w:rFonts w:hint="eastAsia" w:ascii="仿宋" w:hAnsi="仿宋" w:eastAsia="仿宋" w:cs="仿宋_GB2312"/>
          <w:sz w:val="32"/>
          <w:szCs w:val="32"/>
          <w:u w:val="single"/>
        </w:rPr>
        <w:t>《建设工程规划许可证》</w:t>
      </w:r>
      <w:r>
        <w:rPr>
          <w:rFonts w:hint="eastAsia" w:ascii="仿宋" w:hAnsi="仿宋" w:eastAsia="仿宋" w:cs="仿宋_GB2312"/>
          <w:sz w:val="32"/>
          <w:szCs w:val="32"/>
        </w:rPr>
        <w:t>前，依法依规办理人防手续。</w:t>
      </w:r>
    </w:p>
    <w:p>
      <w:pPr>
        <w:ind w:firstLine="645"/>
        <w:rPr>
          <w:rFonts w:ascii="仿宋" w:hAnsi="仿宋" w:eastAsia="仿宋" w:cs="仿宋_GB2312"/>
          <w:sz w:val="32"/>
          <w:szCs w:val="32"/>
        </w:rPr>
      </w:pPr>
      <w:r>
        <w:rPr>
          <w:rFonts w:hint="eastAsia" w:ascii="仿宋" w:hAnsi="仿宋" w:eastAsia="仿宋" w:cs="仿宋_GB2312"/>
          <w:sz w:val="32"/>
          <w:szCs w:val="32"/>
        </w:rPr>
        <w:t>十九、根据《工伤保险条例》、《肇庆市建筑业按项目参加工伤保险办事指南》等有关规定，在项目开工前，到项目所在地的税务部门申报办理从业人员参加工伤保险相关手续。</w:t>
      </w:r>
    </w:p>
    <w:p>
      <w:pPr>
        <w:ind w:firstLine="645"/>
        <w:rPr>
          <w:rFonts w:ascii="仿宋" w:hAnsi="仿宋" w:eastAsia="仿宋" w:cs="仿宋_GB2312"/>
          <w:sz w:val="32"/>
          <w:szCs w:val="32"/>
        </w:rPr>
      </w:pPr>
      <w:r>
        <w:rPr>
          <w:rFonts w:hint="eastAsia" w:ascii="仿宋" w:hAnsi="仿宋" w:eastAsia="仿宋" w:cs="仿宋_GB2312"/>
          <w:sz w:val="32"/>
          <w:szCs w:val="32"/>
        </w:rPr>
        <w:t>二十、根据《广东省人民政府办公厅关于全面治理拖欠异地务工人员工资问题的实施意见》（粤府办〔2016〕111号）、《肇庆市人民政府关于印发〈肇庆市建筑施工企业工资支付保证金管理办法〉的通知》（肇府〔2015〕3号）和《关于印发〈肇庆市建设工程领域工人工资支付分账管理制度实施细则〉的通知》(肇人社发〔2016〕385号）等相关规定，就工程项目申报缴纳工资保证金事项作如下承诺：</w:t>
      </w:r>
    </w:p>
    <w:p>
      <w:pPr>
        <w:rPr>
          <w:rFonts w:ascii="仿宋" w:hAnsi="仿宋" w:eastAsia="仿宋" w:cs="仿宋_GB2312"/>
          <w:sz w:val="32"/>
          <w:szCs w:val="32"/>
        </w:rPr>
      </w:pPr>
      <w:r>
        <w:rPr>
          <w:rFonts w:hint="eastAsia" w:ascii="仿宋" w:hAnsi="仿宋" w:eastAsia="仿宋" w:cs="仿宋_GB2312"/>
          <w:sz w:val="32"/>
          <w:szCs w:val="32"/>
        </w:rPr>
        <w:t xml:space="preserve">    （一）在项目施工后1个月内，主动向劳动保障部门申报缴纳工资保证金并及时完成资金进账或银行保函业务，开设工人工资支付分账专用账户。</w:t>
      </w:r>
    </w:p>
    <w:p>
      <w:pPr>
        <w:rPr>
          <w:rFonts w:ascii="仿宋" w:hAnsi="仿宋" w:eastAsia="仿宋" w:cs="仿宋_GB2312"/>
          <w:sz w:val="32"/>
          <w:szCs w:val="32"/>
        </w:rPr>
      </w:pPr>
      <w:r>
        <w:rPr>
          <w:rFonts w:hint="eastAsia" w:ascii="仿宋" w:hAnsi="仿宋" w:eastAsia="仿宋" w:cs="仿宋_GB2312"/>
          <w:sz w:val="32"/>
          <w:szCs w:val="32"/>
        </w:rPr>
        <w:t xml:space="preserve">    （二）全面依法实施劳动合同制度，实行实名制劳动用工管理，建立职工名册，办理劳动用工备案。工程建设项目建立劳动计酬手册，并在工程项目部配备劳资专管员，建立施工人员进出场登记制度和考勤计量、工资支付等管理台账。</w:t>
      </w:r>
    </w:p>
    <w:p>
      <w:pPr>
        <w:rPr>
          <w:rFonts w:ascii="仿宋" w:hAnsi="仿宋" w:eastAsia="仿宋" w:cs="仿宋_GB2312"/>
          <w:sz w:val="32"/>
          <w:szCs w:val="32"/>
        </w:rPr>
      </w:pPr>
      <w:r>
        <w:rPr>
          <w:rFonts w:hint="eastAsia" w:ascii="仿宋" w:hAnsi="仿宋" w:eastAsia="仿宋" w:cs="仿宋_GB2312"/>
          <w:sz w:val="32"/>
          <w:szCs w:val="32"/>
        </w:rPr>
        <w:t xml:space="preserve">    （三）建立农民工工资（劳务费）专用账户管理制度，在工程项目所在地指定银行开设农民工工资（劳务费）专用账户，由建设单位每月按工程进度款不低于15%且按月足额支付工人工资，将人工费按月足额支付到专用账户，并委托银行按月代发农民工工资。绝不将工资发放给不具备用工主体资格的组织和个人。我公司和分包企业等用人单位与农民工解除或终止劳动关系时，须在解除或终止劳动关系当日内结清并一次性支付劳动者工资，并出具书面证明。</w:t>
      </w:r>
    </w:p>
    <w:p>
      <w:pPr>
        <w:rPr>
          <w:rFonts w:ascii="仿宋" w:hAnsi="仿宋" w:eastAsia="仿宋" w:cs="仿宋_GB2312"/>
          <w:sz w:val="32"/>
          <w:szCs w:val="32"/>
        </w:rPr>
      </w:pPr>
      <w:r>
        <w:rPr>
          <w:rFonts w:hint="eastAsia" w:ascii="仿宋" w:hAnsi="仿宋" w:eastAsia="仿宋" w:cs="仿宋_GB2312"/>
          <w:sz w:val="32"/>
          <w:szCs w:val="32"/>
        </w:rPr>
        <w:t xml:space="preserve">    （四）承诺在施工现场醒目位置设立农民工维权信息告示牌，向农民工公示所建项目的建设单位、施工总承包企业、劳务和分包企业的总部详细地址、法定代表人（主要负责人）姓名和联系电话，施工总承包企业和分包企业项目经理和劳资专管员姓名、办公电话和手机；同时公示施工所在县（市、区）的最低工资标准，本项目农民工工资每月的具体支付日期，施工所在地行业主管部门、劳动监察机构、劳动人事争议仲裁机构的详细办公地址和投诉电话等信息。</w:t>
      </w:r>
    </w:p>
    <w:p>
      <w:pPr>
        <w:ind w:firstLine="640"/>
        <w:rPr>
          <w:rFonts w:ascii="仿宋" w:hAnsi="仿宋" w:eastAsia="仿宋" w:cs="仿宋_GB2312"/>
          <w:sz w:val="32"/>
          <w:szCs w:val="32"/>
        </w:rPr>
      </w:pPr>
      <w:r>
        <w:rPr>
          <w:rFonts w:hint="eastAsia" w:ascii="仿宋" w:hAnsi="仿宋" w:eastAsia="仿宋" w:cs="仿宋_GB2312"/>
          <w:sz w:val="32"/>
          <w:szCs w:val="32"/>
        </w:rPr>
        <w:t>（五）落实企业工资支付和清偿主体责任。各类企业依法向招用的农民工本人按月足额支付工资，严禁将工资支付给其他组织或个人，发生拖欠工资问题承担清偿主体责任。</w:t>
      </w:r>
    </w:p>
    <w:p>
      <w:pPr>
        <w:ind w:firstLine="640"/>
        <w:rPr>
          <w:rFonts w:ascii="仿宋" w:hAnsi="仿宋" w:eastAsia="仿宋" w:cs="仿宋_GB2312"/>
          <w:sz w:val="32"/>
          <w:szCs w:val="32"/>
        </w:rPr>
      </w:pPr>
      <w:r>
        <w:rPr>
          <w:rFonts w:hint="eastAsia" w:ascii="仿宋" w:hAnsi="仿宋" w:eastAsia="仿宋" w:cs="仿宋_GB2312"/>
          <w:sz w:val="32"/>
          <w:szCs w:val="32"/>
        </w:rPr>
        <w:t>在工程建设领域，建设单位对所发包工程项目的农民工工资支付负监管责任，施工总承包企业对所承包工程项目的农民工工资支付负总责，分包企业对所招用农民工的工资支付负直接责任。建设单位或施工总承包企业未按合同约定及时划拨工程款，致使分包企业拖欠农民工工资的，由建设单位或施工总承包企业以未结清的工程款为限先行垫付农民工工资。由于建设单位、施工总承包企业或分包企业将工程违法发包、转包或违法分包给不具备用工主体资格的单位或个人，致使拖欠农民工工资的，作为发包方的用人单位应当先支付工资，再依法向承包人追偿。</w:t>
      </w:r>
    </w:p>
    <w:p>
      <w:pPr>
        <w:rPr>
          <w:rFonts w:ascii="仿宋" w:hAnsi="仿宋" w:eastAsia="仿宋" w:cs="仿宋_GB2312"/>
          <w:sz w:val="32"/>
          <w:szCs w:val="32"/>
        </w:rPr>
      </w:pPr>
      <w:r>
        <w:rPr>
          <w:rFonts w:hint="eastAsia" w:ascii="仿宋" w:hAnsi="仿宋" w:eastAsia="仿宋" w:cs="仿宋_GB2312"/>
          <w:sz w:val="32"/>
          <w:szCs w:val="32"/>
        </w:rPr>
        <w:t xml:space="preserve">    （六）自觉接受劳动部门的监督检查，及时改正检查中提出的问题。</w:t>
      </w:r>
    </w:p>
    <w:p>
      <w:pPr>
        <w:rPr>
          <w:rFonts w:ascii="仿宋" w:hAnsi="仿宋" w:eastAsia="仿宋" w:cs="仿宋_GB2312"/>
          <w:sz w:val="32"/>
          <w:szCs w:val="32"/>
        </w:rPr>
      </w:pPr>
      <w:r>
        <w:rPr>
          <w:rFonts w:hint="eastAsia" w:ascii="仿宋" w:hAnsi="仿宋" w:eastAsia="仿宋" w:cs="仿宋_GB2312"/>
          <w:sz w:val="32"/>
          <w:szCs w:val="32"/>
        </w:rPr>
        <w:t xml:space="preserve">    （七）在项目施工过程中如出现拖欠农民工和工人工资的，由劳动保障部门及建设部门从工资保证金中予以支付，已支取的部分由我公司在30个工作日内补缴垫付资金。</w:t>
      </w:r>
    </w:p>
    <w:p>
      <w:pPr>
        <w:rPr>
          <w:rFonts w:ascii="仿宋" w:hAnsi="仿宋" w:eastAsia="仿宋" w:cs="仿宋_GB2312"/>
          <w:sz w:val="32"/>
          <w:szCs w:val="32"/>
        </w:rPr>
      </w:pPr>
      <w:r>
        <w:rPr>
          <w:rFonts w:hint="eastAsia" w:ascii="仿宋" w:hAnsi="仿宋" w:eastAsia="仿宋" w:cs="仿宋_GB2312"/>
          <w:sz w:val="32"/>
          <w:szCs w:val="32"/>
        </w:rPr>
        <w:t xml:space="preserve">    （八）在实施过程中如有违反承诺的，立即停工整改，经整改仍未达标的，主动接受相关部门依法依规追究相关责任。</w:t>
      </w:r>
    </w:p>
    <w:p>
      <w:pPr>
        <w:ind w:firstLine="640"/>
        <w:rPr>
          <w:rFonts w:ascii="仿宋" w:hAnsi="仿宋" w:eastAsia="仿宋" w:cs="仿宋_GB2312"/>
          <w:sz w:val="32"/>
          <w:szCs w:val="32"/>
        </w:rPr>
      </w:pPr>
      <w:r>
        <w:rPr>
          <w:rFonts w:hint="eastAsia" w:ascii="仿宋" w:hAnsi="仿宋" w:eastAsia="仿宋" w:cs="仿宋_GB2312"/>
          <w:sz w:val="32"/>
          <w:szCs w:val="32"/>
        </w:rPr>
        <w:t>二十一、在项目动工前，及时到城市管理部门办理建筑垃圾处置核准手续，在手续齐全的条件下对建筑渣土予以处置，并必须保证文明施工。其次，如果出现未经核准擅自处置建筑渣的行为，将自觉接收相应处罚。</w:t>
      </w:r>
    </w:p>
    <w:p>
      <w:pPr>
        <w:ind w:firstLine="640"/>
        <w:rPr>
          <w:rFonts w:ascii="仿宋" w:hAnsi="仿宋" w:eastAsia="仿宋" w:cs="仿宋_GB2312"/>
          <w:sz w:val="32"/>
          <w:szCs w:val="32"/>
          <w:u w:val="single"/>
        </w:rPr>
      </w:pPr>
      <w:r>
        <w:rPr>
          <w:rFonts w:hint="eastAsia" w:ascii="仿宋" w:hAnsi="仿宋" w:eastAsia="仿宋" w:cs="仿宋_GB2312"/>
          <w:sz w:val="32"/>
          <w:szCs w:val="32"/>
          <w:u w:val="single"/>
        </w:rPr>
        <w:t>在项目动工前，根据《中华人民共和国水土保持法》的规定，生产建设单位应当编制水土保持方案，报县级以上水行政主管部门审批，并按照经批准的水土保持方案，采取水土流失预防和治理措施。</w:t>
      </w:r>
    </w:p>
    <w:p>
      <w:pPr>
        <w:rPr>
          <w:rFonts w:ascii="仿宋" w:hAnsi="仿宋" w:eastAsia="仿宋" w:cs="仿宋_GB2312"/>
          <w:sz w:val="32"/>
          <w:szCs w:val="32"/>
        </w:rPr>
      </w:pPr>
      <w:r>
        <w:rPr>
          <w:rFonts w:hint="eastAsia" w:ascii="仿宋" w:hAnsi="仿宋" w:eastAsia="仿宋" w:cs="仿宋_GB2312"/>
          <w:sz w:val="32"/>
          <w:szCs w:val="32"/>
        </w:rPr>
        <w:t xml:space="preserve">    二十二、根据有关规定和要求，承诺办理以下事项：</w:t>
      </w:r>
    </w:p>
    <w:p>
      <w:pPr>
        <w:ind w:firstLine="630"/>
        <w:rPr>
          <w:rFonts w:ascii="仿宋" w:hAnsi="仿宋" w:eastAsia="仿宋" w:cs="仿宋_GB2312"/>
          <w:sz w:val="32"/>
          <w:szCs w:val="32"/>
        </w:rPr>
      </w:pPr>
      <w:r>
        <w:rPr>
          <w:rFonts w:hint="eastAsia" w:ascii="仿宋" w:hAnsi="仿宋" w:eastAsia="仿宋" w:cs="仿宋_GB2312"/>
          <w:sz w:val="32"/>
          <w:szCs w:val="32"/>
        </w:rPr>
        <w:t>（一）</w:t>
      </w:r>
      <w:r>
        <w:rPr>
          <w:rFonts w:hint="eastAsia" w:ascii="仿宋" w:hAnsi="仿宋" w:eastAsia="仿宋" w:cs="仿宋_GB2312"/>
          <w:sz w:val="32"/>
          <w:szCs w:val="32"/>
          <w:u w:val="single"/>
        </w:rPr>
        <w:t>资源部门</w:t>
      </w:r>
      <w:r>
        <w:rPr>
          <w:rFonts w:hint="eastAsia" w:ascii="仿宋" w:hAnsi="仿宋" w:eastAsia="仿宋" w:cs="仿宋_GB2312"/>
          <w:sz w:val="32"/>
          <w:szCs w:val="32"/>
        </w:rPr>
        <w:t>——建设工程放线后，在开工前，建设工程验线，规划条件核实前建设工程设计方案审查、建设工程规划许可证,</w:t>
      </w:r>
      <w:r>
        <w:rPr>
          <w:rFonts w:hint="eastAsia" w:ascii="仿宋" w:hAnsi="仿宋" w:eastAsia="仿宋" w:cs="仿宋_GB2312"/>
          <w:sz w:val="32"/>
          <w:szCs w:val="32"/>
          <w:u w:val="single"/>
        </w:rPr>
        <w:t>在工程竣工备案后3个月内向城建档案管理机构移交一套符合规定的建设工程档案</w:t>
      </w:r>
      <w:r>
        <w:rPr>
          <w:rFonts w:hint="eastAsia" w:ascii="仿宋" w:hAnsi="仿宋" w:eastAsia="仿宋" w:cs="仿宋_GB2312"/>
          <w:sz w:val="32"/>
          <w:szCs w:val="32"/>
        </w:rPr>
        <w:t>；</w:t>
      </w:r>
    </w:p>
    <w:p>
      <w:pPr>
        <w:ind w:firstLine="630"/>
        <w:rPr>
          <w:rFonts w:ascii="仿宋" w:hAnsi="仿宋" w:eastAsia="仿宋" w:cs="仿宋_GB2312"/>
          <w:sz w:val="32"/>
          <w:szCs w:val="32"/>
        </w:rPr>
      </w:pPr>
      <w:r>
        <w:rPr>
          <w:rFonts w:hint="eastAsia" w:ascii="仿宋" w:hAnsi="仿宋" w:eastAsia="仿宋" w:cs="仿宋_GB2312"/>
          <w:sz w:val="32"/>
          <w:szCs w:val="32"/>
        </w:rPr>
        <w:t>（二）税务部门——土地出让缴税；</w:t>
      </w:r>
    </w:p>
    <w:p>
      <w:pPr>
        <w:rPr>
          <w:rFonts w:ascii="仿宋" w:hAnsi="仿宋" w:eastAsia="仿宋" w:cs="仿宋_GB2312"/>
          <w:sz w:val="32"/>
          <w:szCs w:val="32"/>
        </w:rPr>
      </w:pPr>
      <w:r>
        <w:rPr>
          <w:rFonts w:hint="eastAsia" w:ascii="仿宋" w:hAnsi="仿宋" w:eastAsia="仿宋" w:cs="仿宋_GB2312"/>
          <w:sz w:val="32"/>
          <w:szCs w:val="32"/>
        </w:rPr>
        <w:t xml:space="preserve">    （三）劳动部门——申报缴纳工资支付保证金，开设工人资金支付分账专用账户；</w:t>
      </w:r>
    </w:p>
    <w:p>
      <w:pPr>
        <w:rPr>
          <w:rFonts w:ascii="仿宋" w:hAnsi="仿宋" w:eastAsia="仿宋" w:cs="仿宋_GB2312"/>
          <w:sz w:val="32"/>
          <w:szCs w:val="32"/>
        </w:rPr>
      </w:pPr>
      <w:r>
        <w:rPr>
          <w:rFonts w:hint="eastAsia" w:ascii="仿宋" w:hAnsi="仿宋" w:eastAsia="仿宋" w:cs="仿宋_GB2312"/>
          <w:sz w:val="32"/>
          <w:szCs w:val="32"/>
        </w:rPr>
        <w:t xml:space="preserve">    （四）社会保障部门——建筑行业工伤保险；</w:t>
      </w:r>
    </w:p>
    <w:p>
      <w:pPr>
        <w:rPr>
          <w:rFonts w:ascii="仿宋" w:hAnsi="仿宋" w:eastAsia="仿宋" w:cs="仿宋_GB2312"/>
          <w:sz w:val="32"/>
          <w:szCs w:val="32"/>
        </w:rPr>
      </w:pPr>
      <w:r>
        <w:rPr>
          <w:rFonts w:hint="eastAsia" w:ascii="仿宋" w:hAnsi="仿宋" w:eastAsia="仿宋" w:cs="仿宋_GB2312"/>
          <w:sz w:val="32"/>
          <w:szCs w:val="32"/>
        </w:rPr>
        <w:t xml:space="preserve">    （五）</w:t>
      </w:r>
      <w:r>
        <w:rPr>
          <w:rFonts w:hint="eastAsia" w:ascii="仿宋" w:hAnsi="仿宋" w:eastAsia="仿宋" w:cs="仿宋_GB2312"/>
          <w:sz w:val="32"/>
          <w:szCs w:val="32"/>
          <w:u w:val="single"/>
        </w:rPr>
        <w:t>生态环境部门</w:t>
      </w:r>
      <w:r>
        <w:rPr>
          <w:rFonts w:hint="eastAsia" w:ascii="仿宋" w:hAnsi="仿宋" w:eastAsia="仿宋" w:cs="仿宋_GB2312"/>
          <w:sz w:val="32"/>
          <w:szCs w:val="32"/>
        </w:rPr>
        <w:t>——建设项目环境影响评价文件审批和建设项目发生重大变动的重新报批；</w:t>
      </w:r>
    </w:p>
    <w:p>
      <w:pPr>
        <w:rPr>
          <w:rFonts w:ascii="仿宋" w:hAnsi="仿宋" w:eastAsia="仿宋" w:cs="仿宋_GB2312"/>
          <w:sz w:val="32"/>
          <w:szCs w:val="32"/>
        </w:rPr>
      </w:pPr>
      <w:r>
        <w:rPr>
          <w:rFonts w:hint="eastAsia" w:ascii="仿宋" w:hAnsi="仿宋" w:eastAsia="仿宋" w:cs="仿宋_GB2312"/>
          <w:sz w:val="32"/>
          <w:szCs w:val="32"/>
        </w:rPr>
        <w:t xml:space="preserve">    （六）住建部门——施工图设计审查备案；</w:t>
      </w:r>
    </w:p>
    <w:p>
      <w:pPr>
        <w:rPr>
          <w:rFonts w:ascii="仿宋" w:hAnsi="仿宋" w:eastAsia="仿宋" w:cs="仿宋_GB2312"/>
          <w:sz w:val="32"/>
          <w:szCs w:val="32"/>
        </w:rPr>
      </w:pPr>
      <w:r>
        <w:rPr>
          <w:rFonts w:hint="eastAsia" w:ascii="仿宋" w:hAnsi="仿宋" w:eastAsia="仿宋" w:cs="仿宋_GB2312"/>
          <w:sz w:val="32"/>
          <w:szCs w:val="32"/>
        </w:rPr>
        <w:t xml:space="preserve">    （七）招投标监管部门——非国有资金投资建设工程直接发包核准登记；</w:t>
      </w:r>
    </w:p>
    <w:p>
      <w:pPr>
        <w:rPr>
          <w:rFonts w:ascii="仿宋" w:hAnsi="仿宋" w:eastAsia="仿宋" w:cs="仿宋_GB2312"/>
          <w:sz w:val="32"/>
          <w:szCs w:val="32"/>
        </w:rPr>
      </w:pPr>
      <w:r>
        <w:rPr>
          <w:rFonts w:hint="eastAsia" w:ascii="仿宋" w:hAnsi="仿宋" w:eastAsia="仿宋" w:cs="仿宋_GB2312"/>
          <w:sz w:val="32"/>
          <w:szCs w:val="32"/>
        </w:rPr>
        <w:t xml:space="preserve">    （八）</w:t>
      </w:r>
      <w:r>
        <w:rPr>
          <w:rFonts w:hint="eastAsia" w:ascii="仿宋" w:hAnsi="仿宋" w:eastAsia="仿宋" w:cs="仿宋_GB2312"/>
          <w:sz w:val="32"/>
          <w:szCs w:val="32"/>
          <w:u w:val="single"/>
        </w:rPr>
        <w:t>住建部门</w:t>
      </w:r>
      <w:r>
        <w:rPr>
          <w:rFonts w:hint="eastAsia" w:ascii="仿宋" w:hAnsi="仿宋" w:eastAsia="仿宋" w:cs="仿宋_GB2312"/>
          <w:sz w:val="32"/>
          <w:szCs w:val="32"/>
        </w:rPr>
        <w:t>——城市基础设施配套费；</w:t>
      </w:r>
    </w:p>
    <w:p>
      <w:pPr>
        <w:rPr>
          <w:rFonts w:ascii="仿宋" w:hAnsi="仿宋" w:eastAsia="仿宋" w:cs="仿宋_GB2312"/>
          <w:sz w:val="32"/>
          <w:szCs w:val="32"/>
          <w:u w:val="single"/>
        </w:rPr>
      </w:pPr>
      <w:r>
        <w:rPr>
          <w:rFonts w:hint="eastAsia" w:ascii="仿宋" w:hAnsi="仿宋" w:eastAsia="仿宋" w:cs="仿宋_GB2312"/>
          <w:sz w:val="32"/>
          <w:szCs w:val="32"/>
        </w:rPr>
        <w:t xml:space="preserve">    （九）</w:t>
      </w:r>
      <w:r>
        <w:rPr>
          <w:rFonts w:hint="eastAsia" w:ascii="仿宋" w:hAnsi="仿宋" w:eastAsia="仿宋" w:cs="仿宋_GB2312"/>
          <w:sz w:val="32"/>
          <w:szCs w:val="32"/>
          <w:u w:val="single"/>
        </w:rPr>
        <w:t>应急管理部门</w:t>
      </w:r>
      <w:r>
        <w:rPr>
          <w:rFonts w:hint="eastAsia" w:ascii="仿宋" w:hAnsi="仿宋" w:eastAsia="仿宋" w:cs="仿宋_GB2312"/>
          <w:sz w:val="32"/>
          <w:szCs w:val="32"/>
        </w:rPr>
        <w:t>——</w:t>
      </w:r>
      <w:r>
        <w:rPr>
          <w:rFonts w:hint="eastAsia" w:ascii="仿宋" w:hAnsi="仿宋" w:eastAsia="仿宋" w:cs="仿宋_GB2312"/>
          <w:sz w:val="32"/>
          <w:szCs w:val="32"/>
          <w:u w:val="single"/>
        </w:rPr>
        <w:t>建设项目安全设施“三同时”审批手续；</w:t>
      </w:r>
    </w:p>
    <w:p>
      <w:pPr>
        <w:rPr>
          <w:rFonts w:ascii="仿宋" w:hAnsi="仿宋" w:eastAsia="仿宋" w:cs="仿宋_GB2312"/>
          <w:sz w:val="32"/>
          <w:szCs w:val="32"/>
        </w:rPr>
      </w:pPr>
      <w:r>
        <w:rPr>
          <w:rFonts w:hint="eastAsia" w:ascii="仿宋" w:hAnsi="仿宋" w:eastAsia="仿宋" w:cs="仿宋_GB2312"/>
          <w:sz w:val="32"/>
          <w:szCs w:val="32"/>
        </w:rPr>
        <w:t xml:space="preserve">    （十）发改部门——固定资产投资项目节能评估（项目投产前办理）及项目立项手续。</w:t>
      </w:r>
    </w:p>
    <w:p>
      <w:pPr>
        <w:rPr>
          <w:rFonts w:ascii="仿宋" w:hAnsi="仿宋" w:eastAsia="仿宋" w:cs="仿宋_GB2312"/>
          <w:sz w:val="32"/>
          <w:szCs w:val="32"/>
        </w:rPr>
      </w:pPr>
      <w:r>
        <w:rPr>
          <w:rFonts w:hint="eastAsia" w:ascii="仿宋" w:hAnsi="仿宋" w:eastAsia="仿宋" w:cs="仿宋_GB2312"/>
          <w:sz w:val="32"/>
          <w:szCs w:val="32"/>
        </w:rPr>
        <w:t xml:space="preserve">    二十三、我公司承诺不以任何理由，要求建筑设计单位或者建筑施工单位在工程设计或者施工中，违反法律、行政法规和建筑工程质量、安全标准，降低工程质量。不在编制工作量清单时，取消部分图纸设计内容。我公司作为工程质量的第一责任人，会切实履行好自己的职责，不肢解工程，违法发包，会监督施工单位严格按设计图纸施工，及时组织工程竣工验收，按时支付工程款。</w:t>
      </w:r>
    </w:p>
    <w:p>
      <w:pPr>
        <w:rPr>
          <w:rFonts w:ascii="仿宋" w:hAnsi="仿宋" w:eastAsia="仿宋" w:cs="仿宋_GB2312"/>
          <w:sz w:val="32"/>
          <w:szCs w:val="32"/>
        </w:rPr>
      </w:pPr>
      <w:r>
        <w:rPr>
          <w:rFonts w:hint="eastAsia" w:ascii="仿宋" w:hAnsi="仿宋" w:eastAsia="仿宋" w:cs="仿宋_GB2312"/>
          <w:sz w:val="32"/>
          <w:szCs w:val="32"/>
        </w:rPr>
        <w:t xml:space="preserve">    二十四、其他承诺事项：</w:t>
      </w:r>
    </w:p>
    <w:p>
      <w:pPr>
        <w:ind w:firstLine="640"/>
        <w:rPr>
          <w:rFonts w:ascii="仿宋" w:hAnsi="仿宋" w:eastAsia="仿宋" w:cs="仿宋_GB2312"/>
          <w:sz w:val="32"/>
          <w:szCs w:val="32"/>
        </w:rPr>
      </w:pPr>
      <w:r>
        <w:rPr>
          <w:rFonts w:hint="eastAsia" w:ascii="仿宋" w:hAnsi="仿宋" w:eastAsia="仿宋" w:cs="仿宋_GB2312"/>
          <w:sz w:val="32"/>
          <w:szCs w:val="32"/>
        </w:rPr>
        <w:t>（填写未提供的资料项目）</w:t>
      </w:r>
    </w:p>
    <w:p>
      <w:pPr>
        <w:rPr>
          <w:rFonts w:ascii="仿宋" w:hAnsi="仿宋" w:eastAsia="仿宋" w:cs="仿宋_GB2312"/>
          <w:sz w:val="32"/>
          <w:szCs w:val="32"/>
        </w:rPr>
      </w:pPr>
      <w:r>
        <w:rPr>
          <w:rFonts w:hint="eastAsia" w:ascii="仿宋" w:hAnsi="仿宋" w:eastAsia="仿宋" w:cs="仿宋_GB2312"/>
          <w:sz w:val="32"/>
          <w:szCs w:val="32"/>
        </w:rPr>
        <w:t xml:space="preserve">    如我公司违反上述承诺，自愿停止建设，接受相关行政处罚，</w:t>
      </w:r>
      <w:r>
        <w:rPr>
          <w:rFonts w:hint="eastAsia" w:ascii="仿宋" w:hAnsi="仿宋" w:eastAsia="仿宋" w:cs="仿宋_GB2312"/>
          <w:sz w:val="32"/>
          <w:szCs w:val="32"/>
          <w:u w:val="single"/>
        </w:rPr>
        <w:t>相关行政处罚、未履行承诺等不良信用记录纳入信用信息共享平台向社会公示</w:t>
      </w:r>
      <w:r>
        <w:rPr>
          <w:rFonts w:hint="eastAsia" w:ascii="仿宋" w:hAnsi="仿宋" w:eastAsia="仿宋" w:cs="仿宋_GB2312"/>
          <w:sz w:val="32"/>
          <w:szCs w:val="32"/>
        </w:rPr>
        <w:t>，并主动承担所产生的一切法律责任和经济损失。</w:t>
      </w: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sectPr>
          <w:headerReference r:id="rId6" w:type="default"/>
          <w:footerReference r:id="rId7" w:type="default"/>
          <w:pgSz w:w="11906" w:h="16838"/>
          <w:pgMar w:top="2098" w:right="1474" w:bottom="1984" w:left="1587" w:header="851" w:footer="992" w:gutter="0"/>
          <w:pgNumType w:fmt="numberInDash"/>
          <w:cols w:space="720" w:num="1"/>
          <w:docGrid w:type="lines" w:linePitch="318" w:charSpace="0"/>
        </w:sectPr>
      </w:pPr>
    </w:p>
    <w:p>
      <w:pP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附件3-2：</w:t>
      </w:r>
    </w:p>
    <w:p>
      <w:pPr>
        <w:jc w:val="center"/>
        <w:rPr>
          <w:rFonts w:ascii="方正小标宋_GBK" w:hAnsi="方正小标宋_GBK" w:eastAsia="方正小标宋_GBK" w:cs="方正小标宋_GBK"/>
          <w:sz w:val="44"/>
          <w:szCs w:val="44"/>
        </w:rPr>
      </w:pPr>
      <w:r>
        <w:rPr>
          <w:rFonts w:hint="eastAsia" w:ascii="方正小标宋简体" w:hAnsi="方正小标宋简体" w:eastAsia="方正小标宋简体" w:cs="方正小标宋简体"/>
          <w:sz w:val="36"/>
          <w:szCs w:val="36"/>
        </w:rPr>
        <w:t>政府部门承诺条款</w:t>
      </w:r>
    </w:p>
    <w:p>
      <w:pPr>
        <w:jc w:val="center"/>
        <w:rPr>
          <w:rFonts w:ascii="仿宋" w:hAnsi="仿宋" w:eastAsia="仿宋" w:cs="仿宋"/>
          <w:sz w:val="32"/>
          <w:szCs w:val="32"/>
        </w:rPr>
      </w:pPr>
      <w:r>
        <w:rPr>
          <w:rFonts w:hint="eastAsia" w:ascii="楷体" w:hAnsi="楷体" w:eastAsia="楷体" w:cs="楷体"/>
          <w:sz w:val="32"/>
          <w:szCs w:val="32"/>
        </w:rPr>
        <w:t>（范本，可根据项目实际情况进行调整）</w:t>
      </w:r>
    </w:p>
    <w:p>
      <w:pPr>
        <w:rPr>
          <w:rFonts w:ascii="仿宋_GB2312" w:eastAsia="仿宋_GB2312"/>
          <w:kern w:val="0"/>
          <w:sz w:val="32"/>
          <w:szCs w:val="32"/>
        </w:rPr>
      </w:pPr>
    </w:p>
    <w:p>
      <w:pPr>
        <w:ind w:firstLine="645"/>
        <w:rPr>
          <w:rFonts w:ascii="仿宋" w:hAnsi="仿宋" w:eastAsia="仿宋" w:cs="仿宋_GB2312"/>
          <w:sz w:val="32"/>
          <w:szCs w:val="32"/>
        </w:rPr>
      </w:pPr>
      <w:r>
        <w:rPr>
          <w:rFonts w:hint="eastAsia" w:ascii="仿宋" w:hAnsi="仿宋" w:eastAsia="仿宋" w:cs="仿宋"/>
          <w:sz w:val="32"/>
          <w:szCs w:val="32"/>
          <w:u w:val="single"/>
        </w:rPr>
        <w:t>根据《肇庆市贯彻落实&lt;中共广东省委、广东省人民政府关于深化投融资体制改革的实施意见&gt;的工作方案》和《肇庆市深化产业投资项目“双容双承诺”直接落地改革实施方案》要求</w:t>
      </w:r>
      <w:r>
        <w:rPr>
          <w:rFonts w:hint="eastAsia" w:ascii="仿宋" w:hAnsi="仿宋" w:eastAsia="仿宋" w:cs="仿宋"/>
          <w:sz w:val="32"/>
          <w:szCs w:val="32"/>
        </w:rPr>
        <w:t>， _</w:t>
      </w:r>
      <w:r>
        <w:rPr>
          <w:rFonts w:hint="eastAsia" w:ascii="仿宋" w:hAnsi="仿宋" w:eastAsia="仿宋" w:cs="仿宋"/>
          <w:sz w:val="32"/>
          <w:szCs w:val="32"/>
          <w:u w:val="single"/>
        </w:rPr>
        <w:t xml:space="preserve">     </w:t>
      </w:r>
      <w:r>
        <w:rPr>
          <w:rFonts w:hint="eastAsia" w:ascii="仿宋" w:hAnsi="仿宋" w:eastAsia="仿宋" w:cs="仿宋"/>
          <w:sz w:val="32"/>
          <w:szCs w:val="32"/>
        </w:rPr>
        <w:t>公司在肇庆市</w:t>
      </w:r>
      <w:r>
        <w:rPr>
          <w:rFonts w:hint="eastAsia" w:ascii="仿宋" w:hAnsi="仿宋" w:eastAsia="仿宋" w:cs="仿宋"/>
          <w:sz w:val="32"/>
          <w:szCs w:val="32"/>
          <w:u w:val="single"/>
        </w:rPr>
        <w:t xml:space="preserve">    </w:t>
      </w:r>
      <w:r>
        <w:rPr>
          <w:rFonts w:hint="eastAsia" w:ascii="仿宋" w:hAnsi="仿宋" w:eastAsia="仿宋" w:cs="仿宋"/>
          <w:sz w:val="32"/>
          <w:szCs w:val="32"/>
        </w:rPr>
        <w:t>县（市、区）投资建设的</w:t>
      </w:r>
      <w:r>
        <w:rPr>
          <w:rFonts w:hint="eastAsia" w:ascii="仿宋" w:hAnsi="仿宋" w:eastAsia="仿宋" w:cs="仿宋"/>
          <w:sz w:val="32"/>
          <w:szCs w:val="32"/>
          <w:u w:val="single"/>
        </w:rPr>
        <w:t xml:space="preserve">     </w:t>
      </w:r>
      <w:r>
        <w:rPr>
          <w:rFonts w:hint="eastAsia" w:ascii="仿宋" w:hAnsi="仿宋" w:eastAsia="仿宋" w:cs="仿宋"/>
          <w:sz w:val="32"/>
          <w:szCs w:val="32"/>
        </w:rPr>
        <w:t>项目，</w:t>
      </w:r>
      <w:r>
        <w:rPr>
          <w:rFonts w:hint="eastAsia" w:ascii="仿宋" w:hAnsi="仿宋" w:eastAsia="仿宋" w:cs="仿宋_GB2312"/>
          <w:sz w:val="32"/>
          <w:szCs w:val="32"/>
        </w:rPr>
        <w:t>自愿参与</w:t>
      </w:r>
      <w:r>
        <w:rPr>
          <w:rFonts w:hint="eastAsia" w:ascii="仿宋" w:hAnsi="仿宋" w:eastAsia="仿宋" w:cs="仿宋_GB2312"/>
          <w:sz w:val="32"/>
          <w:szCs w:val="32"/>
          <w:shd w:val="clear" w:color="auto" w:fill="FFFFFF"/>
        </w:rPr>
        <w:t>企业投资项目“先建后验”直接落地改革</w:t>
      </w:r>
      <w:r>
        <w:rPr>
          <w:rFonts w:hint="eastAsia" w:ascii="仿宋" w:hAnsi="仿宋" w:eastAsia="仿宋" w:cs="仿宋_GB2312"/>
          <w:sz w:val="32"/>
          <w:szCs w:val="32"/>
        </w:rPr>
        <w:t>，并遵守有关管理规定进行项目建设。为做好项目直接落地建设、施工过程、竣工验收全过程跟踪服务，确保项目建设顺利推进，我们郑重承诺严格做好以下事项：</w:t>
      </w:r>
    </w:p>
    <w:p>
      <w:pPr>
        <w:ind w:firstLine="640" w:firstLineChars="200"/>
        <w:rPr>
          <w:rFonts w:ascii="仿宋" w:hAnsi="仿宋" w:eastAsia="仿宋" w:cs="仿宋"/>
          <w:sz w:val="32"/>
          <w:szCs w:val="32"/>
        </w:rPr>
      </w:pPr>
      <w:r>
        <w:rPr>
          <w:rFonts w:hint="eastAsia" w:ascii="仿宋" w:hAnsi="仿宋" w:eastAsia="仿宋" w:cs="仿宋"/>
          <w:sz w:val="32"/>
          <w:szCs w:val="32"/>
        </w:rPr>
        <w:t>一、行政服务中心做好充分告知企业投资项目所涉及相关审批及委托中介服务有关事项，协调投资项目从立项阶段到验收阶段所有审批事项申报办理工作。</w:t>
      </w:r>
    </w:p>
    <w:p>
      <w:pPr>
        <w:ind w:firstLine="640" w:firstLineChars="200"/>
        <w:rPr>
          <w:rFonts w:eastAsia="方正仿宋_GBK"/>
          <w:sz w:val="32"/>
          <w:szCs w:val="32"/>
        </w:rPr>
      </w:pPr>
      <w:r>
        <w:rPr>
          <w:rFonts w:hint="eastAsia" w:ascii="仿宋" w:hAnsi="仿宋" w:eastAsia="仿宋" w:cs="仿宋"/>
          <w:sz w:val="32"/>
          <w:szCs w:val="32"/>
        </w:rPr>
        <w:t>二、各部门要主动对接，指导协助企业及时办理法律法规要求的各项手续，密切跟踪服务，严格依法按标准履职监管，不得缺位，也不得变相增加审批以及监管事项等。</w:t>
      </w:r>
    </w:p>
    <w:p>
      <w:pPr>
        <w:ind w:firstLine="640" w:firstLineChars="200"/>
      </w:pPr>
      <w:r>
        <w:rPr>
          <w:rFonts w:hint="eastAsia" w:ascii="仿宋" w:hAnsi="仿宋" w:eastAsia="仿宋" w:cs="仿宋_GB2312"/>
          <w:sz w:val="32"/>
          <w:szCs w:val="32"/>
        </w:rPr>
        <w:t>三、投资项目实行容缺受理机制，对次要审批要件不全且企业书面承诺在规定时间内补齐的事项，审批部门先行受理并开展审核评估工作，待要件齐全后尽快作出审批决定，缩短审批时间。</w:t>
      </w:r>
    </w:p>
    <w:p>
      <w:pPr>
        <w:ind w:firstLine="640" w:firstLineChars="200"/>
        <w:rPr>
          <w:rFonts w:ascii="仿宋" w:hAnsi="仿宋" w:eastAsia="仿宋" w:cs="仿宋"/>
          <w:sz w:val="32"/>
          <w:szCs w:val="32"/>
        </w:rPr>
      </w:pPr>
      <w:r>
        <w:rPr>
          <w:rFonts w:hint="eastAsia" w:ascii="仿宋" w:hAnsi="仿宋" w:eastAsia="仿宋" w:cs="仿宋"/>
          <w:sz w:val="32"/>
          <w:szCs w:val="32"/>
        </w:rPr>
        <w:t>四、发展改革部门在项目直接落地到竣工验收前，积极配合指导企业做好项目立项手续和节能审查办理有关工作，并且承诺在3个工作日内办结。</w:t>
      </w:r>
    </w:p>
    <w:p>
      <w:pPr>
        <w:ind w:firstLine="640" w:firstLineChars="200"/>
        <w:rPr>
          <w:rFonts w:eastAsia="方正仿宋_GBK"/>
          <w:sz w:val="32"/>
          <w:szCs w:val="32"/>
          <w:u w:val="single"/>
        </w:rPr>
      </w:pPr>
      <w:r>
        <w:rPr>
          <w:rFonts w:hint="eastAsia" w:ascii="仿宋" w:hAnsi="仿宋" w:eastAsia="仿宋" w:cs="仿宋"/>
          <w:sz w:val="32"/>
          <w:szCs w:val="32"/>
        </w:rPr>
        <w:t>五、</w:t>
      </w:r>
      <w:r>
        <w:rPr>
          <w:rFonts w:hint="eastAsia" w:ascii="仿宋" w:hAnsi="仿宋" w:eastAsia="仿宋" w:cs="仿宋"/>
          <w:sz w:val="32"/>
          <w:szCs w:val="32"/>
          <w:u w:val="single"/>
        </w:rPr>
        <w:t>自然资源部门</w:t>
      </w:r>
      <w:r>
        <w:rPr>
          <w:rFonts w:hint="eastAsia" w:ascii="仿宋" w:hAnsi="仿宋" w:eastAsia="仿宋" w:cs="仿宋"/>
          <w:sz w:val="32"/>
          <w:szCs w:val="32"/>
        </w:rPr>
        <w:t>承诺做好：</w:t>
      </w:r>
      <w:r>
        <w:rPr>
          <w:rFonts w:hint="eastAsia" w:ascii="仿宋" w:hAnsi="仿宋" w:eastAsia="仿宋" w:cs="仿宋"/>
          <w:sz w:val="32"/>
          <w:szCs w:val="32"/>
          <w:u w:val="single"/>
        </w:rPr>
        <w:t>在企业竞得土地并签订《成交确认书》后10个工作日内签订土地出让合同；企业按出让合同约定时间缴清土地价款后10个工作日内出具用地批文；资料齐全情况下，除法人或其他组织建造房屋首次登记、涉及历史遗留问题、非公证的继承等复杂的不动产登记外，5个工作日内办结不动产权证。</w:t>
      </w:r>
    </w:p>
    <w:p>
      <w:pPr>
        <w:widowControl/>
        <w:spacing w:line="324" w:lineRule="atLeast"/>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u w:val="single"/>
          <w:lang w:bidi="ar"/>
        </w:rPr>
        <w:t>同时，</w:t>
      </w:r>
      <w:r>
        <w:rPr>
          <w:rFonts w:hint="eastAsia" w:ascii="仿宋" w:hAnsi="仿宋" w:eastAsia="仿宋" w:cs="仿宋"/>
          <w:kern w:val="0"/>
          <w:sz w:val="32"/>
          <w:szCs w:val="32"/>
          <w:lang w:bidi="ar"/>
        </w:rPr>
        <w:t>对项目申请资料齐全，符合规划条件要求，建设用地规划许可在10个工作日内完成；建设工程规划许可在10个工作日内完成；规划验线在7个工作日内完成；规划条件核实在7个工作日内完成。</w:t>
      </w:r>
    </w:p>
    <w:p>
      <w:pPr>
        <w:widowControl/>
        <w:spacing w:line="324" w:lineRule="atLeast"/>
        <w:ind w:firstLine="640" w:firstLineChars="200"/>
        <w:jc w:val="left"/>
        <w:rPr>
          <w:rFonts w:ascii="仿宋" w:hAnsi="仿宋" w:eastAsia="仿宋" w:cs="仿宋"/>
          <w:kern w:val="0"/>
          <w:sz w:val="32"/>
          <w:szCs w:val="32"/>
          <w:lang w:bidi="ar"/>
        </w:rPr>
      </w:pPr>
      <w:r>
        <w:rPr>
          <w:rFonts w:hint="eastAsia" w:ascii="仿宋" w:hAnsi="仿宋" w:eastAsia="仿宋" w:cs="仿宋"/>
          <w:color w:val="000000"/>
          <w:kern w:val="0"/>
          <w:sz w:val="32"/>
          <w:szCs w:val="32"/>
          <w:lang w:bidi="ar"/>
        </w:rPr>
        <w:t>六、住建部门承诺做好以下工作：一是在</w:t>
      </w:r>
      <w:r>
        <w:rPr>
          <w:rFonts w:hint="eastAsia" w:ascii="仿宋" w:hAnsi="仿宋" w:eastAsia="仿宋" w:cs="仿宋"/>
          <w:kern w:val="0"/>
          <w:sz w:val="32"/>
          <w:szCs w:val="32"/>
          <w:lang w:bidi="ar"/>
        </w:rPr>
        <w:t>收到行政服务中心工程相关资料后，即时发出工程监督号，并</w:t>
      </w:r>
      <w:r>
        <w:rPr>
          <w:rFonts w:hint="eastAsia" w:ascii="仿宋" w:hAnsi="仿宋" w:eastAsia="仿宋" w:cs="仿宋"/>
          <w:color w:val="000000"/>
          <w:kern w:val="0"/>
          <w:sz w:val="32"/>
          <w:szCs w:val="32"/>
          <w:lang w:bidi="ar"/>
        </w:rPr>
        <w:t>介入工程项目的施工安全监督，及时到现场进行安全技术交底；二是做好工程质量安全监督工作，保证工程项目施工顺利进行。依法对施工现场进行监督，督促施工企业建立和健全质量安全保障体系，严格按照国家法律、法规和标准、规范，完善施工现场安全生产设施，对危险性较大工程进行重点监督，加大监督巡查频率，防止事故发生，确保工程项目建设的顺利进行。三是实行监督靠前，服务指导靠前，提高事故预控能力。将施工企业施工过程中常用的文件、规定上传住建局网站方便企业查阅；在工程开工前的安全交底会除做好常规性交底外，还针对工程项目特点对各施工阶段应完善的安全资料作详细说明，使企业少走弯路。四是落实承诺制，各项手续进一步提速。</w:t>
      </w:r>
      <w:r>
        <w:rPr>
          <w:rFonts w:hint="eastAsia" w:ascii="仿宋" w:hAnsi="仿宋" w:eastAsia="仿宋" w:cs="仿宋"/>
          <w:color w:val="000000"/>
          <w:kern w:val="0"/>
          <w:sz w:val="32"/>
          <w:szCs w:val="32"/>
          <w:u w:val="single"/>
          <w:lang w:bidi="ar"/>
        </w:rPr>
        <w:t>符合办理施工许可条件的，当场受理，承诺1天办结，并出具施工许可电子证；</w:t>
      </w:r>
      <w:r>
        <w:rPr>
          <w:rFonts w:hint="eastAsia" w:ascii="仿宋" w:hAnsi="仿宋" w:eastAsia="仿宋" w:cs="仿宋"/>
          <w:color w:val="000000"/>
          <w:kern w:val="0"/>
          <w:sz w:val="32"/>
          <w:szCs w:val="32"/>
          <w:lang w:bidi="ar"/>
        </w:rPr>
        <w:t>不符合条件的，一次性告知存在问题。</w:t>
      </w:r>
      <w:r>
        <w:rPr>
          <w:rFonts w:hint="eastAsia" w:ascii="仿宋" w:hAnsi="仿宋" w:eastAsia="仿宋" w:cs="仿宋"/>
          <w:kern w:val="0"/>
          <w:sz w:val="32"/>
          <w:szCs w:val="32"/>
          <w:lang w:bidi="ar"/>
        </w:rPr>
        <w:t>工程达到竣工验收条件时，及时提醒参建单位按相关法法规组织工程工验收。</w:t>
      </w:r>
    </w:p>
    <w:p>
      <w:pPr>
        <w:widowControl/>
        <w:spacing w:line="324" w:lineRule="atLeast"/>
        <w:ind w:firstLine="640" w:firstLineChars="200"/>
        <w:rPr>
          <w:rFonts w:ascii="仿宋" w:hAnsi="仿宋" w:eastAsia="仿宋" w:cs="仿宋"/>
          <w:kern w:val="0"/>
          <w:sz w:val="32"/>
          <w:szCs w:val="32"/>
          <w:u w:val="single"/>
          <w:lang w:bidi="ar"/>
        </w:rPr>
      </w:pPr>
      <w:r>
        <w:rPr>
          <w:rFonts w:hint="eastAsia" w:ascii="仿宋" w:hAnsi="仿宋" w:eastAsia="仿宋" w:cs="仿宋"/>
          <w:kern w:val="0"/>
          <w:sz w:val="32"/>
          <w:szCs w:val="32"/>
          <w:u w:val="single"/>
          <w:lang w:bidi="ar"/>
        </w:rPr>
        <w:t>同时，协助企业及时办理“应建或易地修建防空地下室的民用建筑项目许可”，根据人防法律法规和技术规范及时向企业出具《人防工程设计要点通知书》或人防易地建设费缴款通知书；密切跟踪，协助企业做好人防工程设计与图纸审查工作；指导企业和相关单位认真做好人防工程施工质量、安全工作，依法依规做好人防工程质量监督和竣工验收备案工作。</w:t>
      </w:r>
    </w:p>
    <w:p>
      <w:pPr>
        <w:widowControl/>
        <w:spacing w:line="324" w:lineRule="atLeast"/>
        <w:ind w:firstLine="640" w:firstLineChars="200"/>
        <w:rPr>
          <w:rFonts w:ascii="仿宋" w:hAnsi="仿宋" w:eastAsia="仿宋" w:cs="仿宋"/>
          <w:kern w:val="0"/>
          <w:sz w:val="32"/>
          <w:szCs w:val="32"/>
          <w:lang w:bidi="ar"/>
        </w:rPr>
      </w:pPr>
      <w:r>
        <w:rPr>
          <w:rFonts w:hint="eastAsia" w:ascii="仿宋" w:hAnsi="仿宋" w:eastAsia="仿宋" w:cs="仿宋"/>
          <w:kern w:val="0"/>
          <w:sz w:val="32"/>
          <w:szCs w:val="32"/>
          <w:lang w:bidi="ar"/>
        </w:rPr>
        <w:t>七、</w:t>
      </w:r>
      <w:r>
        <w:rPr>
          <w:rFonts w:hint="eastAsia" w:ascii="仿宋" w:hAnsi="仿宋" w:eastAsia="仿宋" w:cs="仿宋"/>
          <w:kern w:val="0"/>
          <w:sz w:val="32"/>
          <w:szCs w:val="32"/>
          <w:u w:val="single"/>
          <w:lang w:bidi="ar"/>
        </w:rPr>
        <w:t>生态环境部门</w:t>
      </w:r>
      <w:r>
        <w:rPr>
          <w:rFonts w:ascii="仿宋" w:hAnsi="仿宋" w:eastAsia="仿宋" w:cs="仿宋"/>
          <w:kern w:val="0"/>
          <w:sz w:val="32"/>
          <w:szCs w:val="32"/>
          <w:lang w:bidi="ar"/>
        </w:rPr>
        <w:t>主动提前介入，指导协助企业依法依规及时办理环评相关手续</w:t>
      </w:r>
      <w:r>
        <w:rPr>
          <w:rFonts w:hint="eastAsia" w:ascii="仿宋" w:hAnsi="仿宋" w:eastAsia="仿宋" w:cs="仿宋"/>
          <w:kern w:val="0"/>
          <w:sz w:val="32"/>
          <w:szCs w:val="32"/>
          <w:lang w:bidi="ar"/>
        </w:rPr>
        <w:t>；</w:t>
      </w:r>
      <w:r>
        <w:rPr>
          <w:rFonts w:ascii="仿宋" w:hAnsi="仿宋" w:eastAsia="仿宋" w:cs="仿宋"/>
          <w:kern w:val="0"/>
          <w:sz w:val="32"/>
          <w:szCs w:val="32"/>
          <w:lang w:bidi="ar"/>
        </w:rPr>
        <w:t>对于列入市的年度重点项目进行现场指导，专人跟踪负责</w:t>
      </w:r>
      <w:r>
        <w:rPr>
          <w:rFonts w:hint="eastAsia" w:ascii="仿宋" w:hAnsi="仿宋" w:eastAsia="仿宋" w:cs="仿宋"/>
          <w:kern w:val="0"/>
          <w:sz w:val="32"/>
          <w:szCs w:val="32"/>
          <w:lang w:bidi="ar"/>
        </w:rPr>
        <w:t>；</w:t>
      </w:r>
      <w:r>
        <w:rPr>
          <w:rFonts w:ascii="仿宋" w:hAnsi="仿宋" w:eastAsia="仿宋" w:cs="仿宋"/>
          <w:kern w:val="0"/>
          <w:sz w:val="32"/>
          <w:szCs w:val="32"/>
          <w:lang w:bidi="ar"/>
        </w:rPr>
        <w:t>对符合产业政策、产业准入、相关环保规划和环评技术规范要求的环评报告书，承诺在5个工作日完成审批（不包括受理公告、审批前公示的15个工作日及专家评审时间）。</w:t>
      </w:r>
    </w:p>
    <w:p>
      <w:pPr>
        <w:ind w:firstLine="640"/>
        <w:rPr>
          <w:rFonts w:ascii="仿宋" w:hAnsi="仿宋" w:eastAsia="仿宋" w:cs="仿宋_GB2312"/>
          <w:sz w:val="32"/>
          <w:szCs w:val="32"/>
        </w:rPr>
      </w:pPr>
      <w:r>
        <w:rPr>
          <w:rFonts w:hint="eastAsia" w:ascii="仿宋_GB2312" w:eastAsia="仿宋_GB2312"/>
          <w:bCs/>
          <w:color w:val="000000"/>
          <w:sz w:val="32"/>
          <w:szCs w:val="32"/>
          <w:lang w:val="zh-TW"/>
        </w:rPr>
        <w:t>八、</w:t>
      </w:r>
      <w:r>
        <w:rPr>
          <w:rFonts w:hint="eastAsia" w:ascii="仿宋_GB2312" w:eastAsia="仿宋_GB2312"/>
          <w:bCs/>
          <w:color w:val="000000"/>
          <w:sz w:val="32"/>
          <w:szCs w:val="32"/>
          <w:u w:val="single"/>
        </w:rPr>
        <w:t>应急管理</w:t>
      </w:r>
      <w:r>
        <w:rPr>
          <w:rFonts w:hint="eastAsia" w:ascii="仿宋" w:hAnsi="仿宋" w:eastAsia="仿宋" w:cs="仿宋_GB2312"/>
          <w:sz w:val="32"/>
          <w:szCs w:val="32"/>
          <w:u w:val="single"/>
        </w:rPr>
        <w:t>部门</w:t>
      </w:r>
      <w:r>
        <w:rPr>
          <w:rFonts w:hint="eastAsia" w:ascii="仿宋" w:hAnsi="仿宋" w:eastAsia="仿宋" w:cs="仿宋_GB2312"/>
          <w:sz w:val="32"/>
          <w:szCs w:val="32"/>
        </w:rPr>
        <w:t>将依法加强事前事中事后监管，把源头管控和优化服务更好结合起来，优化工作流程，简化办事环节，积极协助企业开展建设项目安全设施“三同时”工作，对符合条件的项目加紧审批，力促项目早日落地。</w:t>
      </w:r>
    </w:p>
    <w:p>
      <w:pPr>
        <w:ind w:firstLine="645"/>
        <w:rPr>
          <w:rFonts w:ascii="仿宋" w:hAnsi="仿宋" w:eastAsia="仿宋" w:cs="仿宋_GB2312"/>
          <w:sz w:val="32"/>
          <w:szCs w:val="32"/>
        </w:rPr>
      </w:pPr>
      <w:r>
        <w:rPr>
          <w:rFonts w:hint="eastAsia" w:ascii="仿宋" w:hAnsi="仿宋" w:eastAsia="仿宋" w:cs="仿宋_GB2312"/>
          <w:sz w:val="32"/>
          <w:szCs w:val="32"/>
        </w:rPr>
        <w:t>九、</w:t>
      </w:r>
      <w:r>
        <w:rPr>
          <w:rFonts w:hint="eastAsia" w:ascii="仿宋" w:hAnsi="仿宋" w:eastAsia="仿宋" w:cs="仿宋_GB2312"/>
          <w:sz w:val="32"/>
          <w:szCs w:val="32"/>
          <w:u w:val="single"/>
        </w:rPr>
        <w:t>交通运输部门</w:t>
      </w:r>
      <w:r>
        <w:rPr>
          <w:rFonts w:hint="eastAsia" w:ascii="仿宋" w:hAnsi="仿宋" w:eastAsia="仿宋" w:cs="仿宋_GB2312"/>
          <w:sz w:val="32"/>
          <w:szCs w:val="32"/>
        </w:rPr>
        <w:t>承诺在许可申请材料齐全的情况下，许可事项的审批在承诺时限内完成。</w:t>
      </w:r>
    </w:p>
    <w:p>
      <w:pPr>
        <w:ind w:firstLine="645"/>
        <w:rPr>
          <w:rFonts w:ascii="仿宋" w:hAnsi="仿宋" w:eastAsia="仿宋" w:cs="仿宋"/>
          <w:snapToGrid w:val="0"/>
          <w:sz w:val="32"/>
          <w:szCs w:val="32"/>
        </w:rPr>
      </w:pPr>
      <w:r>
        <w:rPr>
          <w:rFonts w:hint="eastAsia" w:ascii="仿宋" w:hAnsi="仿宋" w:eastAsia="仿宋" w:cs="仿宋_GB2312"/>
          <w:sz w:val="32"/>
          <w:szCs w:val="32"/>
        </w:rPr>
        <w:t>十、</w:t>
      </w:r>
      <w:r>
        <w:rPr>
          <w:rFonts w:hint="eastAsia" w:ascii="仿宋" w:hAnsi="仿宋" w:eastAsia="仿宋" w:cs="仿宋"/>
          <w:snapToGrid w:val="0"/>
          <w:sz w:val="32"/>
          <w:szCs w:val="32"/>
        </w:rPr>
        <w:t>国资部门将积极配合有关部门做好企业投资项目直接落地改革工作。</w:t>
      </w:r>
    </w:p>
    <w:p>
      <w:pPr>
        <w:ind w:firstLine="645"/>
        <w:rPr>
          <w:rFonts w:ascii="仿宋" w:hAnsi="仿宋" w:eastAsia="仿宋" w:cs="仿宋"/>
          <w:snapToGrid w:val="0"/>
          <w:sz w:val="32"/>
          <w:szCs w:val="32"/>
        </w:rPr>
      </w:pPr>
      <w:r>
        <w:rPr>
          <w:rFonts w:hint="eastAsia" w:ascii="仿宋" w:hAnsi="仿宋" w:eastAsia="仿宋" w:cs="仿宋"/>
          <w:snapToGrid w:val="0"/>
          <w:sz w:val="32"/>
          <w:szCs w:val="32"/>
        </w:rPr>
        <w:t>十一、绿化主管部门严格按照有关要求，做好园林绿化相关行政许可手续的办理工作。</w:t>
      </w:r>
    </w:p>
    <w:p>
      <w:pPr>
        <w:ind w:firstLine="645"/>
        <w:rPr>
          <w:rFonts w:ascii="仿宋" w:hAnsi="仿宋" w:eastAsia="仿宋" w:cs="仿宋"/>
          <w:snapToGrid w:val="0"/>
          <w:sz w:val="32"/>
          <w:szCs w:val="32"/>
          <w:u w:val="single"/>
        </w:rPr>
      </w:pPr>
      <w:r>
        <w:rPr>
          <w:rFonts w:hint="eastAsia" w:ascii="仿宋" w:hAnsi="仿宋" w:eastAsia="仿宋" w:cs="仿宋"/>
          <w:snapToGrid w:val="0"/>
          <w:sz w:val="32"/>
          <w:szCs w:val="32"/>
          <w:u w:val="single"/>
        </w:rPr>
        <w:t>如因政府部门未遵守承诺而提供相应的服务进而导致项目无法按承诺期限完成，政府部门应当承担相应的责任，免除企业因未在限时内履行承诺的违约处罚，并及时配合企业完成相关手续的报批。</w:t>
      </w:r>
    </w:p>
    <w:p>
      <w:pPr>
        <w:spacing w:line="600" w:lineRule="exact"/>
        <w:rPr>
          <w:rFonts w:ascii="仿宋_GB2312" w:hAnsi="仿宋_GB2312" w:eastAsia="仿宋_GB2312" w:cs="仿宋_GB2312"/>
          <w:sz w:val="32"/>
          <w:szCs w:val="32"/>
        </w:rPr>
      </w:pPr>
    </w:p>
    <w:sectPr>
      <w:pgSz w:w="11906" w:h="16838"/>
      <w:pgMar w:top="2098" w:right="1474" w:bottom="1984" w:left="1587" w:header="851" w:footer="992" w:gutter="0"/>
      <w:pgNumType w:fmt="numberInDash"/>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altName w:val="微软雅黑"/>
    <w:panose1 w:val="02010609060101010101"/>
    <w:charset w:val="86"/>
    <w:family w:val="modern"/>
    <w:pitch w:val="default"/>
    <w:sig w:usb0="00000000" w:usb1="00000000" w:usb2="00000016" w:usb3="00000000" w:csb0="00040001" w:csb1="00000000"/>
  </w:font>
  <w:font w:name="微软简标宋">
    <w:altName w:val="宋体"/>
    <w:panose1 w:val="00000000000000000000"/>
    <w:charset w:val="00"/>
    <w:family w:val="auto"/>
    <w:pitch w:val="default"/>
    <w:sig w:usb0="00000000" w:usb1="00000000" w:usb2="00000000" w:usb3="00000000" w:csb0="00040001"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eugv7LAIAAFU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odcsCxv9YHmEjuJ5u9wHCJh0jaL0Spy1QrelypwnI7bzn/sU9fg3WP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J66C/ssAgAAVQQAAA4AAAAAAAAAAQAgAAAANQEAAGRy&#10;cy9lMm9Eb2MueG1sUEsFBgAAAAAGAAYAWQEAANMFAAAAAA==&#10;">
              <v:fill on="f" focussize="0,0"/>
              <v:stroke on="f" weight="0.5pt"/>
              <v:imagedata o:title=""/>
              <o:lock v:ext="edit" aspectratio="f"/>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LNJWO7QAAAABQEAAA8AAAAAAAAAAQAgAAAAOAAAAGRycy9k&#10;b3ducmV2LnhtbFBLAQIUABQAAAAIAIdO4kDTYk1lLQIAAFcEAAAOAAAAAAAAAAEAIAAAADUBAABk&#10;cnMvZTJvRG9jLnhtbFBLBQYAAAAABgAGAFkBAADUBQAAAAA=&#10;">
              <v:fill on="f" focussize="0,0"/>
              <v:stroke on="f" weight="0.5pt"/>
              <v:imagedata o:title=""/>
              <o:lock v:ext="edit" aspectratio="f"/>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sz w:val="18"/>
        <w:szCs w:val="18"/>
      </w:rPr>
    </w:pPr>
    <w:r>
      <w:rPr>
        <w:sz w:val="18"/>
        <w:szCs w:val="18"/>
      </w:rPr>
      <mc:AlternateContent>
        <mc:Choice Requires="wps">
          <w:drawing>
            <wp:anchor distT="0" distB="0" distL="114300" distR="114300" simplePos="0" relativeHeight="2516869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Cs w:val="21"/>
                            </w:rPr>
                          </w:pPr>
                          <w:r>
                            <w:rPr>
                              <w:rFonts w:hint="eastAsia"/>
                              <w:szCs w:val="21"/>
                            </w:rPr>
                            <w:fldChar w:fldCharType="begin"/>
                          </w:r>
                          <w:r>
                            <w:rPr>
                              <w:rFonts w:hint="eastAsia"/>
                              <w:szCs w:val="21"/>
                            </w:rPr>
                            <w:instrText xml:space="preserve"> PAGE  \* MERGEFORMAT </w:instrText>
                          </w:r>
                          <w:r>
                            <w:rPr>
                              <w:rFonts w:hint="eastAsia"/>
                              <w:szCs w:val="21"/>
                            </w:rPr>
                            <w:fldChar w:fldCharType="separate"/>
                          </w:r>
                          <w:r>
                            <w:rPr>
                              <w:szCs w:val="21"/>
                            </w:rPr>
                            <w:t>- 5 -</w:t>
                          </w:r>
                          <w:r>
                            <w:rPr>
                              <w:rFonts w:hint="eastAsia"/>
                              <w:szCs w:val="21"/>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869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OqXm5zwAAAAUBAAAPAAAAAAAAAAEAIAAAADgA&#10;AABkcnMvZG93bnJldi54bWxQSwECFAAUAAAACACHTuJAtuCpKsMBAACPAwAADgAAAAAAAAABACAA&#10;AAA0AQAAZHJzL2Uyb0RvYy54bWxQSwUGAAAAAAYABgBZAQAAaQUAAAAA&#10;">
              <v:fill on="f" focussize="0,0"/>
              <v:stroke on="f"/>
              <v:imagedata o:title=""/>
              <o:lock v:ext="edit" aspectratio="f"/>
              <v:textbox inset="0mm,0mm,0mm,0mm" style="mso-fit-shape-to-text:t;">
                <w:txbxContent>
                  <w:p>
                    <w:pPr>
                      <w:snapToGrid w:val="0"/>
                      <w:rPr>
                        <w:szCs w:val="21"/>
                      </w:rPr>
                    </w:pPr>
                    <w:r>
                      <w:rPr>
                        <w:rFonts w:hint="eastAsia"/>
                        <w:szCs w:val="21"/>
                      </w:rPr>
                      <w:fldChar w:fldCharType="begin"/>
                    </w:r>
                    <w:r>
                      <w:rPr>
                        <w:rFonts w:hint="eastAsia"/>
                        <w:szCs w:val="21"/>
                      </w:rPr>
                      <w:instrText xml:space="preserve"> PAGE  \* MERGEFORMAT </w:instrText>
                    </w:r>
                    <w:r>
                      <w:rPr>
                        <w:rFonts w:hint="eastAsia"/>
                        <w:szCs w:val="21"/>
                      </w:rPr>
                      <w:fldChar w:fldCharType="separate"/>
                    </w:r>
                    <w:r>
                      <w:rPr>
                        <w:szCs w:val="21"/>
                      </w:rPr>
                      <w:t>- 5 -</w:t>
                    </w:r>
                    <w:r>
                      <w:rPr>
                        <w:rFonts w:hint="eastAsia"/>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jc w:val="cent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9"/>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AE7"/>
    <w:rsid w:val="000B4EDD"/>
    <w:rsid w:val="000E22A8"/>
    <w:rsid w:val="0016359A"/>
    <w:rsid w:val="001702F5"/>
    <w:rsid w:val="001711E3"/>
    <w:rsid w:val="00172A27"/>
    <w:rsid w:val="00174522"/>
    <w:rsid w:val="001B2F9E"/>
    <w:rsid w:val="001B4124"/>
    <w:rsid w:val="001D255A"/>
    <w:rsid w:val="002D0793"/>
    <w:rsid w:val="002D5421"/>
    <w:rsid w:val="0032186C"/>
    <w:rsid w:val="003420B7"/>
    <w:rsid w:val="00344348"/>
    <w:rsid w:val="00371BD8"/>
    <w:rsid w:val="004364AB"/>
    <w:rsid w:val="004A09F4"/>
    <w:rsid w:val="004A5C3D"/>
    <w:rsid w:val="004E5262"/>
    <w:rsid w:val="00573D8C"/>
    <w:rsid w:val="00606414"/>
    <w:rsid w:val="00607DB3"/>
    <w:rsid w:val="00662EA1"/>
    <w:rsid w:val="0067577D"/>
    <w:rsid w:val="006D4346"/>
    <w:rsid w:val="006E03C8"/>
    <w:rsid w:val="006E3F17"/>
    <w:rsid w:val="00740FFF"/>
    <w:rsid w:val="00753F2C"/>
    <w:rsid w:val="00781E8C"/>
    <w:rsid w:val="007D35DF"/>
    <w:rsid w:val="007D5DB0"/>
    <w:rsid w:val="00890046"/>
    <w:rsid w:val="009D33D3"/>
    <w:rsid w:val="00A21DC5"/>
    <w:rsid w:val="00A64592"/>
    <w:rsid w:val="00AA35F2"/>
    <w:rsid w:val="00B1397B"/>
    <w:rsid w:val="00B22989"/>
    <w:rsid w:val="00B846AA"/>
    <w:rsid w:val="00BA5170"/>
    <w:rsid w:val="00BE43E8"/>
    <w:rsid w:val="00BE6B46"/>
    <w:rsid w:val="00BF5EA1"/>
    <w:rsid w:val="00BF6427"/>
    <w:rsid w:val="00C2550D"/>
    <w:rsid w:val="00C351CA"/>
    <w:rsid w:val="00C61F79"/>
    <w:rsid w:val="00CD79D7"/>
    <w:rsid w:val="00D65308"/>
    <w:rsid w:val="00D770A8"/>
    <w:rsid w:val="00DB3144"/>
    <w:rsid w:val="00E31B47"/>
    <w:rsid w:val="00E31E24"/>
    <w:rsid w:val="00E42C94"/>
    <w:rsid w:val="00EF2DD8"/>
    <w:rsid w:val="00F07C04"/>
    <w:rsid w:val="00F1734B"/>
    <w:rsid w:val="00F22234"/>
    <w:rsid w:val="00F801EA"/>
    <w:rsid w:val="00FA43EE"/>
    <w:rsid w:val="00FA536F"/>
    <w:rsid w:val="00FA6C78"/>
    <w:rsid w:val="03B37675"/>
    <w:rsid w:val="03B45DBF"/>
    <w:rsid w:val="03D221A1"/>
    <w:rsid w:val="04A520C4"/>
    <w:rsid w:val="04D601C3"/>
    <w:rsid w:val="05054842"/>
    <w:rsid w:val="06EE42C6"/>
    <w:rsid w:val="07944D14"/>
    <w:rsid w:val="07A13E50"/>
    <w:rsid w:val="080E09C0"/>
    <w:rsid w:val="08225FBA"/>
    <w:rsid w:val="08422346"/>
    <w:rsid w:val="096401F5"/>
    <w:rsid w:val="0AC21A82"/>
    <w:rsid w:val="0CE16360"/>
    <w:rsid w:val="0E1E0369"/>
    <w:rsid w:val="0E981D01"/>
    <w:rsid w:val="0EDB45F2"/>
    <w:rsid w:val="112E1EDD"/>
    <w:rsid w:val="11F30061"/>
    <w:rsid w:val="12423713"/>
    <w:rsid w:val="125B4EA4"/>
    <w:rsid w:val="127577D5"/>
    <w:rsid w:val="14B17297"/>
    <w:rsid w:val="14FF5AA6"/>
    <w:rsid w:val="171E57A6"/>
    <w:rsid w:val="175F75C3"/>
    <w:rsid w:val="178B2BF5"/>
    <w:rsid w:val="199732DB"/>
    <w:rsid w:val="1CC8312F"/>
    <w:rsid w:val="1CF03FEA"/>
    <w:rsid w:val="1DDB4033"/>
    <w:rsid w:val="1DE441C5"/>
    <w:rsid w:val="208D4EF8"/>
    <w:rsid w:val="22654DD8"/>
    <w:rsid w:val="22811016"/>
    <w:rsid w:val="22B95FB3"/>
    <w:rsid w:val="233E422E"/>
    <w:rsid w:val="246B01A2"/>
    <w:rsid w:val="246E40B3"/>
    <w:rsid w:val="24B30B26"/>
    <w:rsid w:val="24C4340B"/>
    <w:rsid w:val="25250D16"/>
    <w:rsid w:val="268C3772"/>
    <w:rsid w:val="28542F45"/>
    <w:rsid w:val="2AE456DA"/>
    <w:rsid w:val="2C683AB7"/>
    <w:rsid w:val="2C760182"/>
    <w:rsid w:val="2CB3806F"/>
    <w:rsid w:val="2E0375A5"/>
    <w:rsid w:val="2E525C34"/>
    <w:rsid w:val="2EC937F7"/>
    <w:rsid w:val="2F822F36"/>
    <w:rsid w:val="308F33ED"/>
    <w:rsid w:val="30F13F3C"/>
    <w:rsid w:val="31F361D0"/>
    <w:rsid w:val="325F763D"/>
    <w:rsid w:val="32B30102"/>
    <w:rsid w:val="333F402B"/>
    <w:rsid w:val="349A0C7D"/>
    <w:rsid w:val="34B84543"/>
    <w:rsid w:val="34C5227E"/>
    <w:rsid w:val="36611FC2"/>
    <w:rsid w:val="36856DF4"/>
    <w:rsid w:val="37390EE1"/>
    <w:rsid w:val="380C68F0"/>
    <w:rsid w:val="38A14ED7"/>
    <w:rsid w:val="38E8369B"/>
    <w:rsid w:val="39267939"/>
    <w:rsid w:val="3AF15475"/>
    <w:rsid w:val="3E0D32F1"/>
    <w:rsid w:val="3EE71B3F"/>
    <w:rsid w:val="417E4332"/>
    <w:rsid w:val="43475EA4"/>
    <w:rsid w:val="44FA41AB"/>
    <w:rsid w:val="45F77880"/>
    <w:rsid w:val="460C2E46"/>
    <w:rsid w:val="47CD202D"/>
    <w:rsid w:val="483834B0"/>
    <w:rsid w:val="48704D42"/>
    <w:rsid w:val="48710EEF"/>
    <w:rsid w:val="49F95372"/>
    <w:rsid w:val="4AC13F61"/>
    <w:rsid w:val="4ACB3B37"/>
    <w:rsid w:val="4C313D65"/>
    <w:rsid w:val="4D300EA9"/>
    <w:rsid w:val="4D7439A6"/>
    <w:rsid w:val="4F1F5965"/>
    <w:rsid w:val="4FE3147F"/>
    <w:rsid w:val="51CC77F3"/>
    <w:rsid w:val="51D10E21"/>
    <w:rsid w:val="51D3535A"/>
    <w:rsid w:val="51ED7EA1"/>
    <w:rsid w:val="52BC330F"/>
    <w:rsid w:val="532852AB"/>
    <w:rsid w:val="53512CA1"/>
    <w:rsid w:val="537F7B0A"/>
    <w:rsid w:val="53FFCC0B"/>
    <w:rsid w:val="54447711"/>
    <w:rsid w:val="55DA7446"/>
    <w:rsid w:val="56190449"/>
    <w:rsid w:val="59246B36"/>
    <w:rsid w:val="59BB5111"/>
    <w:rsid w:val="5B0D62C5"/>
    <w:rsid w:val="5B7B6A4A"/>
    <w:rsid w:val="5D8801C5"/>
    <w:rsid w:val="5E644B6F"/>
    <w:rsid w:val="5FF7CDC4"/>
    <w:rsid w:val="61D157ED"/>
    <w:rsid w:val="62C32411"/>
    <w:rsid w:val="652908FC"/>
    <w:rsid w:val="664E3DF5"/>
    <w:rsid w:val="67C93CB3"/>
    <w:rsid w:val="6A22630A"/>
    <w:rsid w:val="6AAD40F1"/>
    <w:rsid w:val="6C331530"/>
    <w:rsid w:val="6C835341"/>
    <w:rsid w:val="6FDD5AA5"/>
    <w:rsid w:val="704B301C"/>
    <w:rsid w:val="726D089A"/>
    <w:rsid w:val="729E77EA"/>
    <w:rsid w:val="730631ED"/>
    <w:rsid w:val="73A36FEA"/>
    <w:rsid w:val="75136887"/>
    <w:rsid w:val="76666E3D"/>
    <w:rsid w:val="7887084F"/>
    <w:rsid w:val="7A0130A3"/>
    <w:rsid w:val="7AF577B0"/>
    <w:rsid w:val="7C062FCB"/>
    <w:rsid w:val="7CF445C0"/>
    <w:rsid w:val="7CF712E5"/>
    <w:rsid w:val="7D090867"/>
    <w:rsid w:val="7D854BD9"/>
    <w:rsid w:val="7DFE6263"/>
    <w:rsid w:val="7DFFC1F0"/>
    <w:rsid w:val="7E063BC3"/>
    <w:rsid w:val="7FC6078B"/>
    <w:rsid w:val="7FDB1880"/>
    <w:rsid w:val="CE577FCE"/>
    <w:rsid w:val="F7B58F13"/>
    <w:rsid w:val="FFBE8D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keepLines/>
      <w:spacing w:before="340" w:after="330" w:line="576" w:lineRule="auto"/>
      <w:outlineLvl w:val="0"/>
    </w:pPr>
    <w:rPr>
      <w:b/>
      <w:kern w:val="44"/>
      <w:sz w:val="44"/>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alloon Text"/>
    <w:basedOn w:val="1"/>
    <w:link w:val="13"/>
    <w:qFormat/>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line="432" w:lineRule="auto"/>
      <w:jc w:val="left"/>
    </w:pPr>
    <w:rPr>
      <w:kern w:val="0"/>
      <w:sz w:val="24"/>
    </w:rPr>
  </w:style>
  <w:style w:type="paragraph" w:customStyle="1" w:styleId="10">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11">
    <w:name w:val="页脚 字符"/>
    <w:basedOn w:val="9"/>
    <w:link w:val="5"/>
    <w:qFormat/>
    <w:uiPriority w:val="0"/>
    <w:rPr>
      <w:kern w:val="2"/>
      <w:sz w:val="18"/>
      <w:szCs w:val="18"/>
    </w:rPr>
  </w:style>
  <w:style w:type="character" w:customStyle="1" w:styleId="12">
    <w:name w:val="页眉 字符"/>
    <w:basedOn w:val="9"/>
    <w:link w:val="6"/>
    <w:qFormat/>
    <w:uiPriority w:val="0"/>
    <w:rPr>
      <w:kern w:val="2"/>
      <w:sz w:val="18"/>
      <w:szCs w:val="18"/>
    </w:rPr>
  </w:style>
  <w:style w:type="character" w:customStyle="1" w:styleId="13">
    <w:name w:val="批注框文本 字符"/>
    <w:basedOn w:val="9"/>
    <w:link w:val="4"/>
    <w:qFormat/>
    <w:uiPriority w:val="0"/>
    <w:rPr>
      <w:kern w:val="2"/>
      <w:sz w:val="18"/>
      <w:szCs w:val="18"/>
    </w:rPr>
  </w:style>
  <w:style w:type="character" w:customStyle="1" w:styleId="14">
    <w:name w:val="标题 1 字符"/>
    <w:link w:val="2"/>
    <w:qFormat/>
    <w:uiPriority w:val="0"/>
    <w:rPr>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28</Pages>
  <Words>1719</Words>
  <Characters>9802</Characters>
  <Lines>81</Lines>
  <Paragraphs>22</Paragraphs>
  <TotalTime>0</TotalTime>
  <ScaleCrop>false</ScaleCrop>
  <LinksUpToDate>false</LinksUpToDate>
  <CharactersWithSpaces>11499</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2023-07-30T19:26:00Z</dcterms:created>
  <dc:creator>MC SYSTEM</dc:creator>
  <cp:lastModifiedBy>zqfgj</cp:lastModifiedBy>
  <cp:lastPrinted>2021-03-13T02:23:00Z</cp:lastPrinted>
  <dcterms:modified xsi:type="dcterms:W3CDTF">2024-07-23T21:11:37Z</dcterms:modified>
  <dc:title>“要把官做淡、把事情做精、把人做大”——杨汉军同志用自己的实际行动，践行了为民服务的宗旨；用生命向我们诠释了一名共产党员的责任和担当</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F86CC67079374D3C9D61D2BF6495B580</vt:lpwstr>
  </property>
</Properties>
</file>