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2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附件1：</w:t>
      </w:r>
    </w:p>
    <w:p>
      <w:pPr>
        <w:widowControl/>
        <w:adjustRightInd w:val="0"/>
        <w:snapToGrid w:val="0"/>
        <w:spacing w:line="620" w:lineRule="exact"/>
        <w:jc w:val="center"/>
        <w:rPr>
          <w:rFonts w:ascii="宋体" w:hAnsi="宋体" w:eastAsia="宋体" w:cs="宋体"/>
          <w:b/>
          <w:color w:val="000000"/>
          <w:kern w:val="0"/>
          <w:sz w:val="36"/>
          <w:szCs w:val="36"/>
        </w:rPr>
      </w:pPr>
      <w:r>
        <w:rPr>
          <w:rFonts w:hint="eastAsia" w:ascii="宋体" w:hAnsi="宋体" w:eastAsia="宋体"/>
          <w:b/>
          <w:sz w:val="36"/>
          <w:szCs w:val="36"/>
        </w:rPr>
        <w:t>申请省级企业技术中心的企业应具备的基本条件</w:t>
      </w:r>
    </w:p>
    <w:p>
      <w:pPr>
        <w:widowControl/>
        <w:adjustRightInd w:val="0"/>
        <w:snapToGrid w:val="0"/>
        <w:spacing w:line="620" w:lineRule="exact"/>
        <w:ind w:firstLine="640" w:firstLineChars="200"/>
        <w:rPr>
          <w:rFonts w:ascii="仿宋_GB2312" w:hAnsi="ˎ̥" w:eastAsia="仿宋_GB2312" w:cs="宋体"/>
          <w:color w:val="000000"/>
          <w:kern w:val="0"/>
          <w:sz w:val="32"/>
          <w:szCs w:val="32"/>
        </w:rPr>
      </w:pPr>
    </w:p>
    <w:p>
      <w:pPr>
        <w:adjustRightInd w:val="0"/>
        <w:snapToGrid w:val="0"/>
        <w:spacing w:line="62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一、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企业在辽宁省行政区域内登记注册，具有独立法人资格，有较强的经济实力和较好的经济效益。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。</w:t>
      </w:r>
    </w:p>
    <w:p>
      <w:pPr>
        <w:adjustRightInd w:val="0"/>
        <w:snapToGrid w:val="0"/>
        <w:spacing w:line="62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二、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企业在省内同行业中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具有显著的发展优势和竞争优势，具有行业领先的科技创新能力和水平。</w:t>
      </w:r>
    </w:p>
    <w:p>
      <w:pPr>
        <w:adjustRightInd w:val="0"/>
        <w:snapToGrid w:val="0"/>
        <w:spacing w:line="62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三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企业具有较好的科技创新机制，组织体系健全，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管理规范，发展规划和发展目标明确，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具有较为完备的科技成果转化机制、产学研用协同机制，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知识产权管理水平较高，创新成果显著。</w:t>
      </w:r>
    </w:p>
    <w:p>
      <w:pPr>
        <w:adjustRightInd w:val="0"/>
        <w:snapToGrid w:val="0"/>
        <w:spacing w:line="62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四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企业具有开展重大创新活动的组织机构和人员队伍，有较高的研究开发投入，拥有技术水平高、实践经验丰富的技术带头人，具有比较完善的研究、开发、试验条件，必须同时满足以下基本条件：</w:t>
      </w: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1.企业在行业中具有发展优势和竞争优势，具有行业领先的技术创新能力和水平，企业年营业收入不低于</w:t>
      </w:r>
      <w:r>
        <w:rPr>
          <w:rFonts w:ascii="Times New Roman" w:hAnsi="Times New Roman" w:eastAsia="仿宋_GB2312" w:cs="Times New Roman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亿元。</w:t>
      </w:r>
      <w:r>
        <w:rPr>
          <w:rFonts w:hint="eastAsia" w:ascii="仿宋_GB2312" w:hAnsi="Times New Roman" w:eastAsia="仿宋_GB2312"/>
          <w:sz w:val="32"/>
          <w:szCs w:val="32"/>
        </w:rPr>
        <w:t>战略性</w:t>
      </w:r>
      <w:r>
        <w:rPr>
          <w:rFonts w:hint="eastAsia" w:ascii="仿宋_GB2312" w:hAnsi="仿宋_GB2312" w:eastAsia="仿宋_GB2312" w:cs="仿宋_GB2312"/>
          <w:sz w:val="32"/>
          <w:szCs w:val="32"/>
        </w:rPr>
        <w:t>新兴产业领域企业年营业收入原则上不低于</w:t>
      </w:r>
      <w:r>
        <w:rPr>
          <w:rFonts w:ascii="Times New Roman" w:hAnsi="Times New Roman" w:eastAsia="仿宋_GB2312" w:cs="Times New Roman"/>
          <w:sz w:val="32"/>
          <w:szCs w:val="32"/>
        </w:rPr>
        <w:t>5000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万元；未来产业领域企业年营业收入原则上不低于</w:t>
      </w:r>
      <w:r>
        <w:rPr>
          <w:rFonts w:ascii="Times New Roman" w:hAnsi="Times New Roman" w:eastAsia="仿宋_GB2312" w:cs="Times New Roman"/>
          <w:sz w:val="32"/>
          <w:szCs w:val="32"/>
        </w:rPr>
        <w:t>2000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万元或市场估值不低于</w:t>
      </w:r>
      <w:r>
        <w:rPr>
          <w:rFonts w:ascii="Times New Roman" w:hAnsi="Times New Roman" w:eastAsia="仿宋_GB2312" w:cs="Times New Roman"/>
          <w:sz w:val="32"/>
          <w:szCs w:val="32"/>
        </w:rPr>
        <w:t>5000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万元。</w:t>
      </w: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2.企业具有较高的研究开发投入，年度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>研究与试验发展经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费支出额占营业收入比重不低于</w:t>
      </w:r>
      <w:r>
        <w:rPr>
          <w:rFonts w:ascii="Times New Roman" w:hAnsi="Times New Roman" w:eastAsia="仿宋_GB2312" w:cs="Times New Roman"/>
          <w:sz w:val="32"/>
          <w:szCs w:val="32"/>
        </w:rPr>
        <w:t>3.0%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战略性新兴产业领域企业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原则上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不低于</w:t>
      </w:r>
      <w:r>
        <w:rPr>
          <w:rFonts w:ascii="Times New Roman" w:hAnsi="Times New Roman" w:eastAsia="仿宋_GB2312" w:cs="Times New Roman"/>
          <w:sz w:val="32"/>
          <w:szCs w:val="32"/>
        </w:rPr>
        <w:t>4.0%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其中年营业收入超1亿元的</w:t>
      </w:r>
      <w:r>
        <w:rPr>
          <w:rFonts w:hint="eastAsia" w:ascii="仿宋_GB2312" w:hAnsi="仿宋_GB2312" w:eastAsia="仿宋_GB2312" w:cs="仿宋_GB2312"/>
          <w:sz w:val="32"/>
          <w:szCs w:val="32"/>
        </w:rPr>
        <w:t>战略性新兴产业领域企业</w:t>
      </w:r>
      <w:bookmarkStart w:id="0" w:name="OLE_LINK3"/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原则上</w:t>
      </w:r>
      <w:r>
        <w:rPr>
          <w:rFonts w:hint="eastAsia" w:ascii="仿宋_GB2312" w:hAnsi="仿宋_GB2312" w:eastAsia="仿宋_GB2312" w:cs="仿宋_GB2312"/>
          <w:sz w:val="32"/>
          <w:szCs w:val="32"/>
        </w:rPr>
        <w:t>不低于</w:t>
      </w:r>
      <w:r>
        <w:rPr>
          <w:rFonts w:ascii="Times New Roman" w:hAnsi="Times New Roman" w:eastAsia="仿宋_GB2312" w:cs="Times New Roman"/>
          <w:sz w:val="32"/>
          <w:szCs w:val="32"/>
        </w:rPr>
        <w:t>3.0%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；</w:t>
      </w:r>
      <w:bookmarkEnd w:id="0"/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未来产业领域企业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原则上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不低于</w:t>
      </w:r>
      <w:r>
        <w:rPr>
          <w:rFonts w:ascii="Times New Roman" w:hAnsi="Times New Roman" w:eastAsia="仿宋_GB2312" w:cs="Times New Roman"/>
          <w:sz w:val="32"/>
          <w:szCs w:val="32"/>
        </w:rPr>
        <w:t>6.0%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；营业收入超百亿元的企业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原则上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不低于</w:t>
      </w:r>
      <w:r>
        <w:rPr>
          <w:rFonts w:ascii="Times New Roman" w:hAnsi="Times New Roman" w:eastAsia="仿宋_GB2312" w:cs="Times New Roman"/>
          <w:sz w:val="32"/>
          <w:szCs w:val="32"/>
        </w:rPr>
        <w:t>1.5%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。</w:t>
      </w: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3.企业配备相对稳定的固定研究与试验发展人员，固定研究与试验发展人员数不少于</w:t>
      </w:r>
      <w:r>
        <w:rPr>
          <w:rFonts w:ascii="Times New Roman" w:hAnsi="Times New Roman" w:eastAsia="仿宋_GB2312" w:cs="Times New Roman"/>
          <w:sz w:val="32"/>
          <w:szCs w:val="32"/>
        </w:rPr>
        <w:t>30</w:t>
      </w:r>
      <w:r>
        <w:rPr>
          <w:rFonts w:hint="eastAsia" w:ascii="仿宋_GB2312" w:hAnsi="仿宋_GB2312" w:eastAsia="仿宋_GB2312" w:cs="仿宋_GB2312"/>
          <w:sz w:val="32"/>
          <w:szCs w:val="32"/>
        </w:rPr>
        <w:t>人。</w:t>
      </w: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</w:t>
      </w:r>
      <w:bookmarkStart w:id="1" w:name="OLE_LINK4"/>
      <w:r>
        <w:rPr>
          <w:rFonts w:hint="eastAsia" w:ascii="仿宋_GB2312" w:hAnsi="仿宋_GB2312" w:eastAsia="仿宋_GB2312" w:cs="仿宋_GB2312"/>
          <w:sz w:val="32"/>
          <w:szCs w:val="32"/>
        </w:rPr>
        <w:t>企业具有比较完善的研究、开发、试验条件，技术开发仪器</w:t>
      </w:r>
      <w:bookmarkStart w:id="2" w:name="_Hlk223527999"/>
      <w:r>
        <w:rPr>
          <w:rFonts w:hint="eastAsia" w:ascii="仿宋_GB2312" w:hAnsi="仿宋_GB2312" w:eastAsia="仿宋_GB2312" w:cs="仿宋_GB2312"/>
          <w:sz w:val="32"/>
          <w:szCs w:val="32"/>
        </w:rPr>
        <w:t>设备原值</w:t>
      </w:r>
      <w:bookmarkEnd w:id="2"/>
      <w:r>
        <w:rPr>
          <w:rFonts w:hint="eastAsia" w:ascii="仿宋_GB2312" w:hAnsi="仿宋_GB2312" w:eastAsia="仿宋_GB2312" w:cs="仿宋_GB2312"/>
          <w:sz w:val="32"/>
          <w:szCs w:val="32"/>
        </w:rPr>
        <w:t>原则上不低于</w:t>
      </w:r>
      <w:r>
        <w:rPr>
          <w:rFonts w:ascii="Times New Roman" w:hAnsi="Times New Roman" w:eastAsia="仿宋_GB2312" w:cs="Times New Roman"/>
          <w:sz w:val="32"/>
          <w:szCs w:val="32"/>
        </w:rPr>
        <w:t>750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万元，其中</w:t>
      </w:r>
      <w:bookmarkEnd w:id="1"/>
      <w:r>
        <w:rPr>
          <w:rFonts w:hint="eastAsia" w:ascii="仿宋_GB2312" w:hAnsi="仿宋_GB2312" w:eastAsia="仿宋_GB2312" w:cs="仿宋_GB2312"/>
          <w:sz w:val="32"/>
          <w:szCs w:val="32"/>
        </w:rPr>
        <w:t>未来产业及我省战略发展急需领域企业可不受此条件限制。</w:t>
      </w:r>
    </w:p>
    <w:p>
      <w:pPr>
        <w:adjustRightInd w:val="0"/>
        <w:snapToGrid w:val="0"/>
        <w:spacing w:line="62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五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具有较好的技术积累，重视前沿技术开发。</w:t>
      </w: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六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企业在申请受理截止日期前两年内，不得存在下列情况：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1.因违反税收征管法及有关法律、行政法规，被确定为重大税收违法失信主体；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2.司法、行政机关认定的严重违法失信行为；</w:t>
      </w:r>
    </w:p>
    <w:p>
      <w:pPr>
        <w:adjustRightInd w:val="0"/>
        <w:snapToGrid w:val="0"/>
        <w:spacing w:line="62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3.由于企业技术或管理原因发生重大质量、生产安全、环境安全事故。</w:t>
      </w:r>
    </w:p>
    <w:p>
      <w:bookmarkStart w:id="3" w:name="_GoBack"/>
      <w:bookmarkEnd w:id="3"/>
    </w:p>
    <w:sectPr>
      <w:pgSz w:w="11906" w:h="16838"/>
      <w:pgMar w:top="1418" w:right="1474" w:bottom="1440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ˎ̥">
    <w:altName w:val="华文仿宋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B33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2026-09-17T00:51:45Z</dcterms:created>
  <dc:creator>ASUS</dc:creator>
  <cp:lastModifiedBy>ASUS</cp:lastModifiedBy>
  <dcterms:modified xsi:type="dcterms:W3CDTF">2026-09-17T00:51:54Z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