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overflowPunct/>
        <w:topLinePunct/>
        <w:autoSpaceDE/>
        <w:autoSpaceDN/>
        <w:bidi w:val="0"/>
        <w:adjustRightInd/>
        <w:snapToGrid w:val="0"/>
        <w:spacing w:beforeLines="0" w:afterLines="0" w:line="560" w:lineRule="exact"/>
        <w:jc w:val="both"/>
        <w:textAlignment w:val="auto"/>
        <w:outlineLvl w:val="1"/>
        <w:rPr>
          <w:rFonts w:hint="default" w:ascii="Times New Roman" w:hAnsi="Times New Roman" w:eastAsia="仿宋_GB2312" w:cs="Times New Roman"/>
          <w:b w:val="0"/>
          <w:bCs w:val="0"/>
          <w:i w:val="0"/>
          <w:iCs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仿宋_GB2312" w:cs="Times New Roman"/>
          <w:b w:val="0"/>
          <w:bCs w:val="0"/>
          <w:i w:val="0"/>
          <w:iCs w:val="0"/>
          <w:color w:val="000000" w:themeColor="text1"/>
          <w:sz w:val="32"/>
          <w:szCs w:val="32"/>
          <w:highlight w:val="none"/>
          <w:u w:val="none"/>
          <w:lang w:val="en-US" w:eastAsia="zh-CN"/>
          <w14:textFill>
            <w14:solidFill>
              <w14:schemeClr w14:val="tx1"/>
            </w14:solidFill>
          </w14:textFill>
        </w:rPr>
        <w:t>附件1</w:t>
      </w:r>
    </w:p>
    <w:p>
      <w:pPr>
        <w:bidi w:val="0"/>
        <w:jc w:val="cente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instrText xml:space="preserve">ADDIN CNKISM.UserStyle</w:instrText>
      </w:r>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fldChar w:fldCharType="separate"/>
      </w:r>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fldChar w:fldCharType="end"/>
      </w:r>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t>惠州</w:t>
      </w:r>
      <w: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t>市</w:t>
      </w:r>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t>优化</w:t>
      </w:r>
      <w: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t>市场主体服务条例（</w:t>
      </w:r>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t>草案</w:t>
      </w:r>
      <w: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t>）</w:t>
      </w:r>
    </w:p>
    <w:p>
      <w:pPr>
        <w:bidi w:val="0"/>
        <w:jc w:val="center"/>
        <w:rPr>
          <w:rFonts w:hint="eastAsia" w:ascii="方正楷体_GBK" w:hAnsi="方正楷体_GBK" w:eastAsia="方正楷体_GBK" w:cs="方正楷体_GBK"/>
          <w:color w:val="000000" w:themeColor="text1"/>
          <w:lang w:eastAsia="zh-CN"/>
          <w14:textFill>
            <w14:solidFill>
              <w14:schemeClr w14:val="tx1"/>
            </w14:solidFill>
          </w14:textFill>
        </w:rPr>
      </w:pPr>
      <w:r>
        <w:rPr>
          <w:rFonts w:hint="eastAsia" w:ascii="方正楷体_GBK" w:hAnsi="方正楷体_GBK" w:eastAsia="方正楷体_GBK" w:cs="方正楷体_GBK"/>
          <w:color w:val="000000" w:themeColor="text1"/>
          <w:lang w:eastAsia="zh-CN"/>
          <w14:textFill>
            <w14:solidFill>
              <w14:schemeClr w14:val="tx1"/>
            </w14:solidFill>
          </w14:textFill>
        </w:rPr>
        <w:t>（</w:t>
      </w:r>
      <w:r>
        <w:rPr>
          <w:rFonts w:hint="eastAsia" w:ascii="方正楷体_GBK" w:hAnsi="方正楷体_GBK" w:eastAsia="方正楷体_GBK" w:cs="方正楷体_GBK"/>
          <w:color w:val="000000" w:themeColor="text1"/>
          <w:lang w:val="en-US" w:eastAsia="zh-CN"/>
          <w14:textFill>
            <w14:solidFill>
              <w14:schemeClr w14:val="tx1"/>
            </w14:solidFill>
          </w14:textFill>
        </w:rPr>
        <w:t>征求意见稿</w:t>
      </w:r>
      <w:r>
        <w:rPr>
          <w:rFonts w:hint="eastAsia" w:ascii="方正楷体_GBK" w:hAnsi="方正楷体_GBK" w:eastAsia="方正楷体_GBK" w:cs="方正楷体_GBK"/>
          <w:color w:val="000000" w:themeColor="text1"/>
          <w:lang w:eastAsia="zh-CN"/>
          <w14:textFill>
            <w14:solidFill>
              <w14:schemeClr w14:val="tx1"/>
            </w14:solidFill>
          </w14:textFill>
        </w:rPr>
        <w:t>）</w:t>
      </w:r>
    </w:p>
    <w:p>
      <w:pPr>
        <w:keepNext w:val="0"/>
        <w:keepLines w:val="0"/>
        <w:pageBreakBefore w:val="0"/>
        <w:widowControl w:val="0"/>
        <w:kinsoku/>
        <w:wordWrap w:val="0"/>
        <w:overflowPunct/>
        <w:topLinePunct/>
        <w:autoSpaceDE/>
        <w:autoSpaceDN/>
        <w:bidi w:val="0"/>
        <w:adjustRightInd/>
        <w:snapToGrid w:val="0"/>
        <w:spacing w:beforeLines="0" w:afterLines="0" w:line="560" w:lineRule="exact"/>
        <w:ind w:left="0" w:firstLine="643" w:firstLineChars="200"/>
        <w:jc w:val="both"/>
        <w:textAlignment w:val="auto"/>
        <w:outlineLvl w:val="1"/>
        <w:rPr>
          <w:rFonts w:hint="default" w:ascii="Times New Roman" w:hAnsi="Times New Roman" w:eastAsia="方正仿宋_GBK" w:cs="Times New Roman"/>
          <w:color w:val="000000" w:themeColor="text1"/>
          <w:sz w:val="32"/>
          <w:szCs w:val="32"/>
          <w:highlight w:val="none"/>
          <w14:textFill>
            <w14:solidFill>
              <w14:schemeClr w14:val="tx1"/>
            </w14:solidFill>
          </w14:textFill>
        </w:rPr>
      </w:pPr>
      <w:bookmarkStart w:id="0" w:name="_Hlk85962248"/>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第一条</w:t>
      </w:r>
      <w:bookmarkEnd w:id="0"/>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b/>
          <w:bCs/>
          <w:color w:val="000000" w:themeColor="text1"/>
          <w:sz w:val="32"/>
          <w:szCs w:val="32"/>
          <w:highlight w:val="none"/>
          <w:lang w:eastAsia="zh-Hans"/>
          <w14:textFill>
            <w14:solidFill>
              <w14:schemeClr w14:val="tx1"/>
            </w14:solidFill>
          </w14:textFill>
        </w:rPr>
        <w:t>立法</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目的</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和</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依据】</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为</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了</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保护市场主体合法权益，</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提升服务市场主体的能力和水平，</w:t>
      </w:r>
      <w:r>
        <w:rPr>
          <w:rFonts w:hint="default" w:ascii="Times New Roman" w:hAnsi="Times New Roman" w:eastAsia="方正仿宋_GBK" w:cs="Times New Roman"/>
          <w:i w:val="0"/>
          <w:iCs w:val="0"/>
          <w:color w:val="000000" w:themeColor="text1"/>
          <w:sz w:val="32"/>
          <w:szCs w:val="32"/>
          <w:highlight w:val="none"/>
          <w:lang w:val="en-US" w:eastAsia="zh-CN"/>
          <w14:textFill>
            <w14:solidFill>
              <w14:schemeClr w14:val="tx1"/>
            </w14:solidFill>
          </w14:textFill>
        </w:rPr>
        <w:t>维护公开、公平、公正的市场秩序，</w:t>
      </w:r>
      <w:r>
        <w:rPr>
          <w:rFonts w:hint="default" w:ascii="Times New Roman" w:hAnsi="Times New Roman" w:eastAsia="方正仿宋_GBK" w:cs="Times New Roman"/>
          <w:b w:val="0"/>
          <w:bCs w:val="0"/>
          <w:i w:val="0"/>
          <w:iCs w:val="0"/>
          <w:color w:val="000000" w:themeColor="text1"/>
          <w:sz w:val="32"/>
          <w:szCs w:val="32"/>
          <w:highlight w:val="none"/>
          <w:u w:val="none"/>
          <w14:textFill>
            <w14:solidFill>
              <w14:schemeClr w14:val="tx1"/>
            </w14:solidFill>
          </w14:textFill>
        </w:rPr>
        <w:t>持续优化营商环境，</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激发市场主体活力和创造力，</w:t>
      </w:r>
      <w:r>
        <w:rPr>
          <w:rFonts w:hint="default" w:ascii="Times New Roman" w:hAnsi="Times New Roman" w:eastAsia="方正仿宋_GBK" w:cs="Times New Roman"/>
          <w:b w:val="0"/>
          <w:bCs w:val="0"/>
          <w:i w:val="0"/>
          <w:iCs w:val="0"/>
          <w:color w:val="000000" w:themeColor="text1"/>
          <w:sz w:val="32"/>
          <w:szCs w:val="32"/>
          <w:highlight w:val="none"/>
          <w:u w:val="none"/>
          <w14:textFill>
            <w14:solidFill>
              <w14:schemeClr w14:val="tx1"/>
            </w14:solidFill>
          </w14:textFill>
        </w:rPr>
        <w:t>推动经济高质量发展，</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根据《中华人民共和国民营经济促进法》</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i w:val="0"/>
          <w:iCs w:val="0"/>
          <w:color w:val="000000" w:themeColor="text1"/>
          <w:sz w:val="32"/>
          <w:szCs w:val="32"/>
          <w:highlight w:val="none"/>
          <w:u w:val="none"/>
          <w14:textFill>
            <w14:solidFill>
              <w14:schemeClr w14:val="tx1"/>
            </w14:solidFill>
          </w14:textFill>
        </w:rPr>
        <w:t>《优化营商环境条例》等</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有关</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法律法规</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的规定</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，结合本市实际，制定本条例。</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pPr>
      <w:bookmarkStart w:id="1" w:name="_Hlk85962269"/>
      <w:r>
        <w:rPr>
          <w:rFonts w:hint="default" w:ascii="Times New Roman" w:hAnsi="Times New Roman" w:eastAsia="方正仿宋_GBK" w:cs="Times New Roman"/>
          <w:b/>
          <w:bCs/>
          <w:color w:val="000000" w:themeColor="text1"/>
          <w:sz w:val="32"/>
          <w:szCs w:val="32"/>
          <w:highlight w:val="none"/>
          <w:lang w:eastAsia="zh-Hans"/>
          <w14:textFill>
            <w14:solidFill>
              <w14:schemeClr w14:val="tx1"/>
            </w14:solidFill>
          </w14:textFill>
        </w:rPr>
        <w:t>第二条【适用范围】</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本条例适用于</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对</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本市行政区域内</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市场主体</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政务</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服务、公共服务</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和法治保障</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等</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工作。</w:t>
      </w:r>
      <w:bookmarkEnd w:id="1"/>
    </w:p>
    <w:p>
      <w:pPr>
        <w:pStyle w:val="2"/>
        <w:keepNext w:val="0"/>
        <w:keepLines w:val="0"/>
        <w:pageBreakBefore w:val="0"/>
        <w:widowControl w:val="0"/>
        <w:kinsoku/>
        <w:wordWrap w:val="0"/>
        <w:overflowPunct/>
        <w:topLinePunct/>
        <w:autoSpaceDE/>
        <w:autoSpaceDN/>
        <w:bidi w:val="0"/>
        <w:spacing w:beforeLines="0" w:afterLines="0" w:line="560" w:lineRule="exact"/>
        <w:ind w:firstLine="643"/>
        <w:rPr>
          <w:rFonts w:hint="default" w:ascii="Times New Roman" w:hAnsi="Times New Roman" w:eastAsia="方正仿宋_GBK" w:cs="Times New Roman"/>
          <w:color w:val="000000" w:themeColor="text1"/>
          <w:highlight w:val="none"/>
          <w14:textFill>
            <w14:solidFill>
              <w14:schemeClr w14:val="tx1"/>
            </w14:solidFill>
          </w14:textFill>
        </w:rPr>
      </w:pPr>
      <w:r>
        <w:rPr>
          <w:rFonts w:hint="default" w:ascii="Times New Roman" w:hAnsi="Times New Roman" w:eastAsia="方正仿宋_GBK" w:cs="Times New Roman"/>
          <w:color w:val="000000" w:themeColor="text1"/>
          <w:highlight w:val="none"/>
          <w14:textFill>
            <w14:solidFill>
              <w14:schemeClr w14:val="tx1"/>
            </w14:solidFill>
          </w14:textFill>
        </w:rPr>
        <w:t>本条例所称市场主体，是指在本市行政区域内以营利为目的从事经营活动的自然人、法人及非法人组织</w:t>
      </w:r>
      <w:r>
        <w:rPr>
          <w:rFonts w:hint="default" w:ascii="Times New Roman" w:hAnsi="Times New Roman" w:eastAsia="方正仿宋_GBK" w:cs="Times New Roman"/>
          <w:color w:val="000000" w:themeColor="text1"/>
          <w:highlight w:val="none"/>
          <w:lang w:eastAsia="zh-CN"/>
          <w14:textFill>
            <w14:solidFill>
              <w14:schemeClr w14:val="tx1"/>
            </w14:solidFill>
          </w14:textFill>
        </w:rPr>
        <w:t>。</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leftChars="0" w:firstLine="643" w:firstLineChars="200"/>
        <w:jc w:val="both"/>
        <w:outlineLvl w:val="1"/>
        <w:rPr>
          <w:rFonts w:hint="default" w:ascii="Times New Roman" w:hAnsi="Times New Roman" w:eastAsia="方正仿宋_GBK" w:cs="Times New Roman"/>
          <w:color w:val="000000" w:themeColor="text1"/>
          <w:sz w:val="32"/>
          <w:szCs w:val="32"/>
          <w:highlight w:val="none"/>
          <w14:textFill>
            <w14:solidFill>
              <w14:schemeClr w14:val="tx1"/>
            </w14:solidFill>
          </w14:textFill>
        </w:rPr>
      </w:pPr>
      <w:bookmarkStart w:id="2" w:name="_Hlk85962455"/>
      <w:r>
        <w:rPr>
          <w:rFonts w:hint="default" w:ascii="Times New Roman" w:hAnsi="Times New Roman" w:eastAsia="方正仿宋_GBK" w:cs="Times New Roman"/>
          <w:b/>
          <w:bCs/>
          <w:color w:val="000000" w:themeColor="text1"/>
          <w:kern w:val="2"/>
          <w:sz w:val="32"/>
          <w:szCs w:val="32"/>
          <w:highlight w:val="none"/>
          <w:lang w:val="en-US" w:eastAsia="zh-CN" w:bidi="ar-SA"/>
          <w14:textFill>
            <w14:solidFill>
              <w14:schemeClr w14:val="tx1"/>
            </w14:solidFill>
          </w14:textFill>
        </w:rPr>
        <w:t>第三条【</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市、县（区）人民</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政府</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和管理委员会的</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职责</w:t>
      </w:r>
      <w:r>
        <w:rPr>
          <w:rFonts w:hint="default" w:ascii="Times New Roman" w:hAnsi="Times New Roman" w:eastAsia="方正仿宋_GBK" w:cs="Times New Roman"/>
          <w:b/>
          <w:bCs/>
          <w:color w:val="000000" w:themeColor="text1"/>
          <w:kern w:val="2"/>
          <w:sz w:val="32"/>
          <w:szCs w:val="32"/>
          <w:highlight w:val="none"/>
          <w:lang w:val="en-US" w:eastAsia="zh-CN" w:bidi="ar-SA"/>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市、县（区）</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人民政府应当加强对</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优化</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市场主体</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服务工作的领导</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和</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组织，建立健全</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优化</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市场主体服务工作</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统筹</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协调机制，增强主动服务意识和服务能力，及时</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统筹</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解决</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市场主体</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服务中的重大问题。</w:t>
      </w:r>
    </w:p>
    <w:p>
      <w:pPr>
        <w:keepNext w:val="0"/>
        <w:keepLines w:val="0"/>
        <w:pageBreakBefore w:val="0"/>
        <w:widowControl w:val="0"/>
        <w:kinsoku/>
        <w:wordWrap w:val="0"/>
        <w:overflowPunct/>
        <w:topLinePunct/>
        <w:autoSpaceDE/>
        <w:autoSpaceDN/>
        <w:bidi w:val="0"/>
        <w:adjustRightInd/>
        <w:snapToGrid/>
        <w:spacing w:beforeLines="0" w:afterLines="0" w:line="560" w:lineRule="exact"/>
        <w:ind w:firstLine="640" w:firstLineChars="200"/>
        <w:jc w:val="both"/>
        <w:textAlignment w:val="auto"/>
        <w:outlineLvl w:val="9"/>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大亚湾经济技术开发区、仲恺高新技术产业开发区管理委员会按照规定的职责开展市场主体服务工作。</w:t>
      </w:r>
    </w:p>
    <w:bookmarkEnd w:id="2"/>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第四条【</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职能</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部门职责】</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发展</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和改革、工业和信息化、</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市场监督管理、</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司法行政、教育、科学技术、公安、财政、人力资源</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和</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社会保障、自然资源、住房和城乡建设、交通运输、商务</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、政务服务</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和</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数据管理、税务、金融等部门按照各自职责</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分工</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，做好</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服务</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市场主体相关</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工作。</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五</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【政务服务</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效能提升</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i w:val="0"/>
          <w:iCs w:val="0"/>
          <w:color w:val="000000" w:themeColor="text1"/>
          <w:sz w:val="32"/>
          <w:szCs w:val="32"/>
          <w:highlight w:val="none"/>
          <w:u w:val="none"/>
          <w:lang w:val="en-US" w:eastAsia="zh-CN"/>
          <w14:textFill>
            <w14:solidFill>
              <w14:schemeClr w14:val="tx1"/>
            </w14:solidFill>
          </w14:textFill>
        </w:rPr>
        <w:t>市、县（区）人民政府及其有关部门</w:t>
      </w:r>
      <w:r>
        <w:rPr>
          <w:rFonts w:hint="default" w:ascii="Times New Roman" w:hAnsi="Times New Roman" w:eastAsia="方正仿宋_GBK" w:cs="Times New Roman"/>
          <w:i w:val="0"/>
          <w:iCs w:val="0"/>
          <w:color w:val="000000" w:themeColor="text1"/>
          <w:sz w:val="32"/>
          <w:szCs w:val="32"/>
          <w:highlight w:val="none"/>
          <w:u w:val="none"/>
          <w14:textFill>
            <w14:solidFill>
              <w14:schemeClr w14:val="tx1"/>
            </w14:solidFill>
          </w14:textFill>
        </w:rPr>
        <w:t>应当推行政务服务改革，实现政务服务</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标准化、规范化、便利化</w:t>
      </w:r>
      <w:r>
        <w:rPr>
          <w:rFonts w:hint="default" w:ascii="Times New Roman" w:hAnsi="Times New Roman" w:eastAsia="方正仿宋_GBK" w:cs="Times New Roman"/>
          <w:i w:val="0"/>
          <w:iCs w:val="0"/>
          <w:color w:val="000000" w:themeColor="text1"/>
          <w:sz w:val="32"/>
          <w:szCs w:val="32"/>
          <w:highlight w:val="none"/>
          <w:u w:val="none"/>
          <w14:textFill>
            <w14:solidFill>
              <w14:schemeClr w14:val="tx1"/>
            </w14:solidFill>
          </w14:textFill>
        </w:rPr>
        <w:t>，提升政务服务效能，</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为市场主体提供</w:t>
      </w:r>
      <w:r>
        <w:rPr>
          <w:rFonts w:hint="default" w:ascii="Times New Roman" w:hAnsi="Times New Roman" w:eastAsia="方正仿宋_GBK" w:cs="Times New Roman"/>
          <w:i w:val="0"/>
          <w:iCs w:val="0"/>
          <w:color w:val="000000" w:themeColor="text1"/>
          <w:sz w:val="32"/>
          <w:szCs w:val="32"/>
          <w:highlight w:val="none"/>
          <w:u w:val="none"/>
          <w14:textFill>
            <w14:solidFill>
              <w14:schemeClr w14:val="tx1"/>
            </w14:solidFill>
          </w14:textFill>
        </w:rPr>
        <w:t>高效透明的</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政务</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服务；鼓励</w:t>
      </w:r>
      <w:r>
        <w:rPr>
          <w:rFonts w:hint="default" w:ascii="Times New Roman" w:hAnsi="Times New Roman" w:eastAsia="方正仿宋_GBK" w:cs="Times New Roman"/>
          <w:color w:val="000000" w:themeColor="text1"/>
          <w:highlight w:val="none"/>
          <w:lang w:val="en"/>
          <w14:textFill>
            <w14:solidFill>
              <w14:schemeClr w14:val="tx1"/>
            </w14:solidFill>
          </w14:textFill>
        </w:rPr>
        <w:t>为市场主体提供全生命周期的</w:t>
      </w:r>
      <w:r>
        <w:rPr>
          <w:rFonts w:hint="default" w:ascii="Times New Roman" w:hAnsi="Times New Roman" w:eastAsia="方正仿宋_GBK" w:cs="Times New Roman"/>
          <w:color w:val="000000" w:themeColor="text1"/>
          <w:highlight w:val="none"/>
          <w:lang w:val="en-US" w:eastAsia="zh-CN"/>
          <w14:textFill>
            <w14:solidFill>
              <w14:schemeClr w14:val="tx1"/>
            </w14:solidFill>
          </w14:textFill>
        </w:rPr>
        <w:t>集成</w:t>
      </w:r>
      <w:r>
        <w:rPr>
          <w:rFonts w:hint="default" w:ascii="Times New Roman" w:hAnsi="Times New Roman" w:eastAsia="方正仿宋_GBK" w:cs="Times New Roman"/>
          <w:color w:val="000000" w:themeColor="text1"/>
          <w:highlight w:val="none"/>
          <w:lang w:val="en"/>
          <w14:textFill>
            <w14:solidFill>
              <w14:schemeClr w14:val="tx1"/>
            </w14:solidFill>
          </w14:textFill>
        </w:rPr>
        <w:t>服务</w:t>
      </w:r>
      <w:r>
        <w:rPr>
          <w:rFonts w:hint="default" w:ascii="Times New Roman" w:hAnsi="Times New Roman" w:eastAsia="方正仿宋_GBK" w:cs="Times New Roman"/>
          <w:color w:val="000000" w:themeColor="text1"/>
          <w:highlight w:val="none"/>
          <w:lang w:val="en" w:eastAsia="zh-CN"/>
          <w14:textFill>
            <w14:solidFill>
              <w14:schemeClr w14:val="tx1"/>
            </w14:solidFill>
          </w14:textFill>
        </w:rPr>
        <w:t>，</w:t>
      </w:r>
      <w:r>
        <w:rPr>
          <w:rFonts w:hint="default" w:ascii="Times New Roman" w:hAnsi="Times New Roman" w:eastAsia="方正仿宋_GBK" w:cs="Times New Roman"/>
          <w:color w:val="000000" w:themeColor="text1"/>
          <w:highlight w:val="none"/>
          <w:lang w:val="en"/>
          <w14:textFill>
            <w14:solidFill>
              <w14:schemeClr w14:val="tx1"/>
            </w14:solidFill>
          </w14:textFill>
        </w:rPr>
        <w:t>探索创新线上线下相结合、集中与分布式相结合的</w:t>
      </w:r>
      <w:r>
        <w:rPr>
          <w:rFonts w:hint="default" w:ascii="Times New Roman" w:hAnsi="Times New Roman" w:eastAsia="方正仿宋_GBK" w:cs="Times New Roman"/>
          <w:color w:val="000000" w:themeColor="text1"/>
          <w:highlight w:val="none"/>
          <w:lang w:val="en-US" w:eastAsia="zh-CN"/>
          <w14:textFill>
            <w14:solidFill>
              <w14:schemeClr w14:val="tx1"/>
            </w14:solidFill>
          </w14:textFill>
        </w:rPr>
        <w:t>政务</w:t>
      </w:r>
      <w:r>
        <w:rPr>
          <w:rFonts w:hint="default" w:ascii="Times New Roman" w:hAnsi="Times New Roman" w:eastAsia="方正仿宋_GBK" w:cs="Times New Roman"/>
          <w:color w:val="000000" w:themeColor="text1"/>
          <w:highlight w:val="none"/>
          <w:lang w:val="en"/>
          <w14:textFill>
            <w14:solidFill>
              <w14:schemeClr w14:val="tx1"/>
            </w14:solidFill>
          </w14:textFill>
        </w:rPr>
        <w:t>服务形式</w:t>
      </w:r>
      <w:r>
        <w:rPr>
          <w:rFonts w:hint="default" w:ascii="Times New Roman" w:hAnsi="Times New Roman" w:eastAsia="方正仿宋_GBK" w:cs="Times New Roman"/>
          <w:color w:val="000000" w:themeColor="text1"/>
          <w:highlight w:val="none"/>
          <w:lang w:val="en" w:eastAsia="zh-CN"/>
          <w14:textFill>
            <w14:solidFill>
              <w14:schemeClr w14:val="tx1"/>
            </w14:solidFill>
          </w14:textFill>
        </w:rPr>
        <w:t>；</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完善政务服务代办体系建设，为符合条件的市场主体提供审批代办等政务服务。</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方正仿宋_GBK" w:cs="Times New Roman"/>
          <w:i w:val="0"/>
          <w:iCs w:val="0"/>
          <w:color w:val="000000" w:themeColor="text1"/>
          <w:kern w:val="2"/>
          <w:sz w:val="32"/>
          <w:szCs w:val="32"/>
          <w:highlight w:val="none"/>
          <w:u w:val="none"/>
          <w:lang w:val="en-US" w:eastAsia="zh-CN" w:bidi="ar-SA"/>
          <w14:textFill>
            <w14:solidFill>
              <w14:schemeClr w14:val="tx1"/>
            </w14:solidFill>
          </w14:textFill>
        </w:rPr>
        <w:t>市、县（区）人民政府应当制定市场主体最多只需要到政务服务大厅办理一次的政务服务事项清单，清单事项应当</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实现“一网通办”，申报材料一次采集，办理工作一步办结；</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加强</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智能审批、电子证照、电子签名等新技术的推广</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应</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用。</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spacing w:val="0"/>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本市</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政务服务大厅</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推行“周六不打烊”等错时、延时、预约服务；推广建设“办不成事”反映窗口，协调解决复杂疑难问题，建立健全办不成事项会商审查机制，强化</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“专窗兜底+全流程闭环”</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工作体系；</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推广部署远程智能柜台，</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协调解决咨询受理、帮办代办、联调联办、投诉建议等业务请求，</w:t>
      </w:r>
      <w:r>
        <w:rPr>
          <w:rFonts w:hint="default" w:ascii="Times New Roman" w:hAnsi="Times New Roman" w:eastAsia="方正仿宋_GBK" w:cs="Times New Roman"/>
          <w:color w:val="000000" w:themeColor="text1"/>
          <w:spacing w:val="0"/>
          <w:kern w:val="2"/>
          <w:sz w:val="32"/>
          <w:szCs w:val="32"/>
          <w:highlight w:val="none"/>
          <w:lang w:val="en-US" w:eastAsia="zh-CN" w:bidi="ar-SA"/>
          <w14:textFill>
            <w14:solidFill>
              <w14:schemeClr w14:val="tx1"/>
            </w14:solidFill>
          </w14:textFill>
        </w:rPr>
        <w:t>实现政务服务跨区域、跨部门、跨层级、非接触式办理。</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pP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市、县（区）人民政府及其有关部门应当构建亲清政商关系，完善常态化政企沟通机制，通过定期开展企业座谈会、解决企业困难“直通车”活动、挂点企业服务活动、惠企服务专员工作等方式，主动宣传涉企政策措施，及时听取市场主体的意见和诉求，依法协调解决市场主体在生产经营中遇到的困难和问题。</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bCs/>
          <w:i w:val="0"/>
          <w:iCs w:val="0"/>
          <w:color w:val="000000" w:themeColor="text1"/>
          <w:sz w:val="32"/>
          <w:szCs w:val="32"/>
          <w:highlight w:val="none"/>
          <w:u w:val="none"/>
          <w:lang w:eastAsia="zh-CN"/>
          <w14:textFill>
            <w14:solidFill>
              <w14:schemeClr w14:val="tx1"/>
            </w14:solidFill>
          </w14:textFill>
        </w:rPr>
        <w:t>第</w:t>
      </w:r>
      <w:r>
        <w:rPr>
          <w:rFonts w:hint="default" w:ascii="Times New Roman" w:hAnsi="Times New Roman" w:eastAsia="方正仿宋_GBK" w:cs="Times New Roman"/>
          <w:b/>
          <w:bCs/>
          <w:i w:val="0"/>
          <w:iCs w:val="0"/>
          <w:color w:val="000000" w:themeColor="text1"/>
          <w:sz w:val="32"/>
          <w:szCs w:val="32"/>
          <w:highlight w:val="none"/>
          <w:u w:val="none"/>
          <w:lang w:val="en-US" w:eastAsia="zh-CN"/>
          <w14:textFill>
            <w14:solidFill>
              <w14:schemeClr w14:val="tx1"/>
            </w14:solidFill>
          </w14:textFill>
        </w:rPr>
        <w:t>六</w:t>
      </w:r>
      <w:r>
        <w:rPr>
          <w:rFonts w:hint="default" w:ascii="Times New Roman" w:hAnsi="Times New Roman" w:eastAsia="方正仿宋_GBK" w:cs="Times New Roman"/>
          <w:b/>
          <w:bCs/>
          <w:i w:val="0"/>
          <w:iCs w:val="0"/>
          <w:color w:val="000000" w:themeColor="text1"/>
          <w:sz w:val="32"/>
          <w:szCs w:val="32"/>
          <w:highlight w:val="none"/>
          <w:u w:val="none"/>
          <w:lang w:eastAsia="zh-CN"/>
          <w14:textFill>
            <w14:solidFill>
              <w14:schemeClr w14:val="tx1"/>
            </w14:solidFill>
          </w14:textFill>
        </w:rPr>
        <w:t>条【政务服务事项</w:t>
      </w:r>
      <w:r>
        <w:rPr>
          <w:rFonts w:hint="default" w:ascii="Times New Roman" w:hAnsi="Times New Roman" w:eastAsia="方正仿宋_GBK" w:cs="Times New Roman"/>
          <w:b/>
          <w:bCs/>
          <w:i w:val="0"/>
          <w:iCs w:val="0"/>
          <w:color w:val="000000" w:themeColor="text1"/>
          <w:sz w:val="32"/>
          <w:szCs w:val="32"/>
          <w:highlight w:val="none"/>
          <w:u w:val="none"/>
          <w:lang w:val="en-US" w:eastAsia="zh-CN"/>
          <w14:textFill>
            <w14:solidFill>
              <w14:schemeClr w14:val="tx1"/>
            </w14:solidFill>
          </w14:textFill>
        </w:rPr>
        <w:t>办事指南</w:t>
      </w:r>
      <w:r>
        <w:rPr>
          <w:rFonts w:hint="default" w:ascii="Times New Roman" w:hAnsi="Times New Roman" w:eastAsia="方正仿宋_GBK" w:cs="Times New Roman"/>
          <w:b/>
          <w:bCs/>
          <w:i w:val="0"/>
          <w:iCs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方正仿宋_GBK" w:cs="Times New Roman"/>
          <w:b w:val="0"/>
          <w:bCs w:val="0"/>
          <w:i w:val="0"/>
          <w:iCs w:val="0"/>
          <w:color w:val="000000" w:themeColor="text1"/>
          <w:sz w:val="32"/>
          <w:szCs w:val="32"/>
          <w:highlight w:val="none"/>
          <w:u w:val="none"/>
          <w:lang w:eastAsia="zh-CN"/>
          <w14:textFill>
            <w14:solidFill>
              <w14:schemeClr w14:val="tx1"/>
            </w14:solidFill>
          </w14:textFill>
        </w:rPr>
        <w:t>政务服务管理部门负责对政务服务事项办事指南的编制、更新等进行指导、监督，明确办事指南编制的具体要求以及更新时限和程序等，并公布可关联办理的事项。</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政务服务事项</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办事</w:t>
      </w:r>
      <w:r>
        <w:rPr>
          <w:rFonts w:hint="default" w:ascii="Times New Roman" w:hAnsi="Times New Roman" w:eastAsia="方正仿宋_GBK" w:cs="Times New Roman"/>
          <w:b w:val="0"/>
          <w:bCs w:val="0"/>
          <w:i w:val="0"/>
          <w:iCs w:val="0"/>
          <w:color w:val="000000" w:themeColor="text1"/>
          <w:sz w:val="32"/>
          <w:szCs w:val="32"/>
          <w:highlight w:val="none"/>
          <w:u w:val="none"/>
          <w:lang w:eastAsia="zh-CN"/>
          <w14:textFill>
            <w14:solidFill>
              <w14:schemeClr w14:val="tx1"/>
            </w14:solidFill>
          </w14:textFill>
        </w:rPr>
        <w:t>指南</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不得设定兜底条款，不得要求</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市场</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主体提供办事指南规定之外的申请材料。</w:t>
      </w:r>
    </w:p>
    <w:p>
      <w:pPr>
        <w:keepNext w:val="0"/>
        <w:keepLines w:val="0"/>
        <w:pageBreakBefore w:val="0"/>
        <w:widowControl w:val="0"/>
        <w:kinsoku/>
        <w:wordWrap w:val="0"/>
        <w:overflowPunct/>
        <w:topLinePunct/>
        <w:autoSpaceDE/>
        <w:autoSpaceDN/>
        <w:bidi w:val="0"/>
        <w:snapToGrid/>
        <w:spacing w:beforeLines="0" w:afterLines="0" w:line="560" w:lineRule="exact"/>
        <w:ind w:left="0" w:firstLine="640" w:firstLineChars="200"/>
        <w:jc w:val="both"/>
        <w:outlineLvl w:val="9"/>
        <w:rPr>
          <w:rFonts w:hint="default" w:ascii="Times New Roman" w:hAnsi="Times New Roman" w:eastAsia="方正仿宋_GBK" w:cs="Times New Roman"/>
          <w:b w:val="0"/>
          <w:bCs w:val="0"/>
          <w:i w:val="0"/>
          <w:iCs w:val="0"/>
          <w:color w:val="000000" w:themeColor="text1"/>
          <w:sz w:val="32"/>
          <w:szCs w:val="32"/>
          <w:highlight w:val="none"/>
          <w:u w:val="none"/>
          <w:lang w:eastAsia="zh-CN"/>
          <w14:textFill>
            <w14:solidFill>
              <w14:schemeClr w14:val="tx1"/>
            </w14:solidFill>
          </w14:textFill>
        </w:rPr>
      </w:pPr>
      <w:r>
        <w:rPr>
          <w:rFonts w:hint="default" w:ascii="Times New Roman" w:hAnsi="Times New Roman" w:eastAsia="方正仿宋_GBK" w:cs="Times New Roman"/>
          <w:b w:val="0"/>
          <w:bCs w:val="0"/>
          <w:i w:val="0"/>
          <w:iCs w:val="0"/>
          <w:color w:val="000000" w:themeColor="text1"/>
          <w:sz w:val="32"/>
          <w:szCs w:val="32"/>
          <w:highlight w:val="none"/>
          <w:u w:val="none"/>
          <w:lang w:eastAsia="zh-CN"/>
          <w14:textFill>
            <w14:solidFill>
              <w14:schemeClr w14:val="tx1"/>
            </w14:solidFill>
          </w14:textFill>
        </w:rPr>
        <w:t>市</w:t>
      </w:r>
      <w:r>
        <w:rPr>
          <w:rFonts w:hint="default" w:ascii="Times New Roman" w:hAnsi="Times New Roman" w:eastAsia="方正仿宋_GBK" w:cs="Times New Roman"/>
          <w:b w:val="0"/>
          <w:bCs w:val="0"/>
          <w:i w:val="0"/>
          <w:iCs w:val="0"/>
          <w:color w:val="000000" w:themeColor="text1"/>
          <w:sz w:val="32"/>
          <w:szCs w:val="32"/>
          <w:highlight w:val="none"/>
          <w:u w:val="none"/>
          <w:lang w:val="en-US" w:eastAsia="zh-CN"/>
          <w14:textFill>
            <w14:solidFill>
              <w14:schemeClr w14:val="tx1"/>
            </w14:solidFill>
          </w14:textFill>
        </w:rPr>
        <w:t>人民政府有关部门</w:t>
      </w:r>
      <w:r>
        <w:rPr>
          <w:rFonts w:hint="default" w:ascii="Times New Roman" w:hAnsi="Times New Roman" w:eastAsia="方正仿宋_GBK" w:cs="Times New Roman"/>
          <w:b w:val="0"/>
          <w:bCs w:val="0"/>
          <w:i w:val="0"/>
          <w:iCs w:val="0"/>
          <w:color w:val="000000" w:themeColor="text1"/>
          <w:sz w:val="32"/>
          <w:szCs w:val="32"/>
          <w:highlight w:val="none"/>
          <w:u w:val="none"/>
          <w:lang w:eastAsia="zh-CN"/>
          <w14:textFill>
            <w14:solidFill>
              <w14:schemeClr w14:val="tx1"/>
            </w14:solidFill>
          </w14:textFill>
        </w:rPr>
        <w:t>负责制定和更新本行业、本系统政务服务事项办事指南标准化文本，在全市统一同一政务服务事项的名称、设定依据、</w:t>
      </w:r>
      <w:r>
        <w:rPr>
          <w:rFonts w:hint="default" w:ascii="Times New Roman" w:hAnsi="Times New Roman" w:eastAsia="方正仿宋_GBK" w:cs="Times New Roman"/>
          <w:b w:val="0"/>
          <w:bCs w:val="0"/>
          <w:i w:val="0"/>
          <w:iCs w:val="0"/>
          <w:color w:val="000000" w:themeColor="text1"/>
          <w:sz w:val="32"/>
          <w:szCs w:val="32"/>
          <w:highlight w:val="none"/>
          <w:u w:val="none"/>
          <w:lang w:val="en-US" w:eastAsia="zh-CN"/>
          <w14:textFill>
            <w14:solidFill>
              <w14:schemeClr w14:val="tx1"/>
            </w14:solidFill>
          </w14:textFill>
        </w:rPr>
        <w:t>办理</w:t>
      </w:r>
      <w:r>
        <w:rPr>
          <w:rFonts w:hint="default" w:ascii="Times New Roman" w:hAnsi="Times New Roman" w:eastAsia="方正仿宋_GBK" w:cs="Times New Roman"/>
          <w:b w:val="0"/>
          <w:bCs w:val="0"/>
          <w:i w:val="0"/>
          <w:iCs w:val="0"/>
          <w:color w:val="000000" w:themeColor="text1"/>
          <w:sz w:val="32"/>
          <w:szCs w:val="32"/>
          <w:highlight w:val="none"/>
          <w:u w:val="none"/>
          <w:lang w:eastAsia="zh-CN"/>
          <w14:textFill>
            <w14:solidFill>
              <w14:schemeClr w14:val="tx1"/>
            </w14:solidFill>
          </w14:textFill>
        </w:rPr>
        <w:t>条件、申请材料、</w:t>
      </w:r>
      <w:r>
        <w:rPr>
          <w:rFonts w:hint="default" w:ascii="Times New Roman" w:hAnsi="Times New Roman" w:eastAsia="方正仿宋_GBK" w:cs="Times New Roman"/>
          <w:b w:val="0"/>
          <w:bCs w:val="0"/>
          <w:i w:val="0"/>
          <w:iCs w:val="0"/>
          <w:color w:val="000000" w:themeColor="text1"/>
          <w:sz w:val="32"/>
          <w:szCs w:val="32"/>
          <w:highlight w:val="none"/>
          <w:u w:val="none"/>
          <w:lang w:val="en-US" w:eastAsia="zh-CN"/>
          <w14:textFill>
            <w14:solidFill>
              <w14:schemeClr w14:val="tx1"/>
            </w14:solidFill>
          </w14:textFill>
        </w:rPr>
        <w:t>容缺受理、</w:t>
      </w:r>
      <w:r>
        <w:rPr>
          <w:rFonts w:hint="default" w:ascii="Times New Roman" w:hAnsi="Times New Roman" w:eastAsia="方正仿宋_GBK" w:cs="Times New Roman"/>
          <w:b w:val="0"/>
          <w:bCs w:val="0"/>
          <w:i w:val="0"/>
          <w:iCs w:val="0"/>
          <w:color w:val="000000" w:themeColor="text1"/>
          <w:sz w:val="32"/>
          <w:szCs w:val="32"/>
          <w:highlight w:val="none"/>
          <w:u w:val="none"/>
          <w:lang w:eastAsia="zh-CN"/>
          <w14:textFill>
            <w14:solidFill>
              <w14:schemeClr w14:val="tx1"/>
            </w14:solidFill>
          </w14:textFill>
        </w:rPr>
        <w:t>办理流程、服务对象、办结时限、办理结果、收费标准等基本要素。</w:t>
      </w:r>
      <w:r>
        <w:rPr>
          <w:rFonts w:hint="default" w:ascii="Times New Roman" w:hAnsi="Times New Roman" w:eastAsia="方正仿宋_GBK" w:cs="Times New Roman"/>
          <w:b w:val="0"/>
          <w:bCs w:val="0"/>
          <w:i w:val="0"/>
          <w:iCs w:val="0"/>
          <w:color w:val="000000" w:themeColor="text1"/>
          <w:sz w:val="32"/>
          <w:szCs w:val="32"/>
          <w:highlight w:val="none"/>
          <w:u w:val="none"/>
          <w:lang w:val="en-US" w:eastAsia="zh-CN"/>
          <w14:textFill>
            <w14:solidFill>
              <w14:schemeClr w14:val="tx1"/>
            </w14:solidFill>
          </w14:textFill>
        </w:rPr>
        <w:t>县（区）有关部门</w:t>
      </w:r>
      <w:r>
        <w:rPr>
          <w:rFonts w:hint="default" w:ascii="Times New Roman" w:hAnsi="Times New Roman" w:eastAsia="方正仿宋_GBK" w:cs="Times New Roman"/>
          <w:b w:val="0"/>
          <w:bCs w:val="0"/>
          <w:i w:val="0"/>
          <w:iCs w:val="0"/>
          <w:color w:val="000000" w:themeColor="text1"/>
          <w:sz w:val="32"/>
          <w:szCs w:val="32"/>
          <w:highlight w:val="none"/>
          <w:u w:val="none"/>
          <w:lang w:eastAsia="zh-CN"/>
          <w14:textFill>
            <w14:solidFill>
              <w14:schemeClr w14:val="tx1"/>
            </w14:solidFill>
          </w14:textFill>
        </w:rPr>
        <w:t>在标准化文本基础上编制、公布全过程办事指南。</w:t>
      </w:r>
    </w:p>
    <w:p>
      <w:pPr>
        <w:keepNext w:val="0"/>
        <w:keepLines w:val="0"/>
        <w:pageBreakBefore w:val="0"/>
        <w:widowControl w:val="0"/>
        <w:kinsoku/>
        <w:wordWrap w:val="0"/>
        <w:overflowPunct/>
        <w:topLinePunct/>
        <w:autoSpaceDE/>
        <w:autoSpaceDN/>
        <w:bidi w:val="0"/>
        <w:adjustRightInd/>
        <w:snapToGrid w:val="0"/>
        <w:spacing w:beforeLines="0" w:afterLines="0" w:line="560" w:lineRule="exact"/>
        <w:ind w:left="0" w:firstLine="643" w:firstLineChars="200"/>
        <w:jc w:val="both"/>
        <w:textAlignment w:val="auto"/>
        <w:outlineLvl w:val="1"/>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方正仿宋_GBK" w:cs="Times New Roman"/>
          <w:b/>
          <w:bCs/>
          <w:i w:val="0"/>
          <w:iCs w:val="0"/>
          <w:color w:val="000000" w:themeColor="text1"/>
          <w:sz w:val="32"/>
          <w:szCs w:val="32"/>
          <w:highlight w:val="none"/>
          <w:u w:val="none"/>
          <w:lang w:eastAsia="zh-CN"/>
          <w14:textFill>
            <w14:solidFill>
              <w14:schemeClr w14:val="tx1"/>
            </w14:solidFill>
          </w14:textFill>
        </w:rPr>
        <w:t>第</w:t>
      </w:r>
      <w:r>
        <w:rPr>
          <w:rFonts w:hint="default" w:ascii="Times New Roman" w:hAnsi="Times New Roman" w:eastAsia="方正仿宋_GBK" w:cs="Times New Roman"/>
          <w:b/>
          <w:bCs/>
          <w:i w:val="0"/>
          <w:iCs w:val="0"/>
          <w:color w:val="000000" w:themeColor="text1"/>
          <w:sz w:val="32"/>
          <w:szCs w:val="32"/>
          <w:highlight w:val="none"/>
          <w:u w:val="none"/>
          <w:lang w:val="en-US" w:eastAsia="zh-CN"/>
          <w14:textFill>
            <w14:solidFill>
              <w14:schemeClr w14:val="tx1"/>
            </w14:solidFill>
          </w14:textFill>
        </w:rPr>
        <w:t>七</w:t>
      </w:r>
      <w:r>
        <w:rPr>
          <w:rFonts w:hint="default" w:ascii="Times New Roman" w:hAnsi="Times New Roman" w:eastAsia="方正仿宋_GBK" w:cs="Times New Roman"/>
          <w:b/>
          <w:bCs/>
          <w:i w:val="0"/>
          <w:iCs w:val="0"/>
          <w:color w:val="000000" w:themeColor="text1"/>
          <w:sz w:val="32"/>
          <w:szCs w:val="32"/>
          <w:highlight w:val="none"/>
          <w:u w:val="none"/>
          <w:lang w:eastAsia="zh-CN"/>
          <w14:textFill>
            <w14:solidFill>
              <w14:schemeClr w14:val="tx1"/>
            </w14:solidFill>
          </w14:textFill>
        </w:rPr>
        <w:t>条【</w:t>
      </w:r>
      <w:r>
        <w:rPr>
          <w:rFonts w:hint="default" w:ascii="Times New Roman" w:hAnsi="Times New Roman" w:eastAsia="方正仿宋_GBK" w:cs="Times New Roman"/>
          <w:b/>
          <w:bCs/>
          <w:i w:val="0"/>
          <w:iCs w:val="0"/>
          <w:color w:val="000000" w:themeColor="text1"/>
          <w:sz w:val="32"/>
          <w:szCs w:val="32"/>
          <w:highlight w:val="none"/>
          <w:u w:val="none"/>
          <w:lang w:val="en-US" w:eastAsia="zh-CN"/>
          <w14:textFill>
            <w14:solidFill>
              <w14:schemeClr w14:val="tx1"/>
            </w14:solidFill>
          </w14:textFill>
        </w:rPr>
        <w:t>政务服务数据共享</w:t>
      </w:r>
      <w:r>
        <w:rPr>
          <w:rFonts w:hint="default" w:ascii="Times New Roman" w:hAnsi="Times New Roman" w:eastAsia="方正仿宋_GBK" w:cs="Times New Roman"/>
          <w:b/>
          <w:bCs/>
          <w:i w:val="0"/>
          <w:iCs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提供政务服务的相关单位应当通过自行调查、部门间协查、数据共享等方式，利用统一身份认证、电子证照、电子印章、电子签名、电子归档等数字化手段，持续精简申请材料。政务服务管理部门应当提供技术支持和协助。</w:t>
      </w:r>
    </w:p>
    <w:p>
      <w:pPr>
        <w:keepNext w:val="0"/>
        <w:keepLines w:val="0"/>
        <w:pageBreakBefore w:val="0"/>
        <w:widowControl w:val="0"/>
        <w:kinsoku/>
        <w:wordWrap w:val="0"/>
        <w:overflowPunct/>
        <w:topLinePunct/>
        <w:autoSpaceDE/>
        <w:autoSpaceDN/>
        <w:bidi w:val="0"/>
        <w:adjustRightInd/>
        <w:snapToGrid w:val="0"/>
        <w:spacing w:beforeLines="0" w:afterLines="0" w:line="560" w:lineRule="exact"/>
        <w:ind w:left="0" w:firstLine="640" w:firstLineChars="200"/>
        <w:jc w:val="both"/>
        <w:textAlignment w:val="auto"/>
        <w:outlineLvl w:val="9"/>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通过数字化手段可以收集确认的材料，不得要求市场主体重复提供。</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b/>
          <w:bCs/>
          <w:i w:val="0"/>
          <w:iCs w:val="0"/>
          <w:color w:val="000000" w:themeColor="text1"/>
          <w:sz w:val="32"/>
          <w:szCs w:val="32"/>
          <w:highlight w:val="none"/>
          <w:u w:val="none"/>
          <w:lang w:val="en-US" w:eastAsia="zh-Hans"/>
          <w14:textFill>
            <w14:solidFill>
              <w14:schemeClr w14:val="tx1"/>
            </w14:solidFill>
          </w14:textFill>
        </w:rPr>
        <w:t>第</w:t>
      </w:r>
      <w:r>
        <w:rPr>
          <w:rFonts w:hint="default" w:ascii="Times New Roman" w:hAnsi="Times New Roman" w:eastAsia="方正仿宋_GBK" w:cs="Times New Roman"/>
          <w:b/>
          <w:bCs/>
          <w:i w:val="0"/>
          <w:iCs w:val="0"/>
          <w:color w:val="000000" w:themeColor="text1"/>
          <w:sz w:val="32"/>
          <w:szCs w:val="32"/>
          <w:highlight w:val="none"/>
          <w:u w:val="none"/>
          <w:lang w:val="en-US" w:eastAsia="zh-CN"/>
          <w14:textFill>
            <w14:solidFill>
              <w14:schemeClr w14:val="tx1"/>
            </w14:solidFill>
          </w14:textFill>
        </w:rPr>
        <w:t>八</w:t>
      </w:r>
      <w:r>
        <w:rPr>
          <w:rFonts w:hint="default" w:ascii="Times New Roman" w:hAnsi="Times New Roman" w:eastAsia="方正仿宋_GBK" w:cs="Times New Roman"/>
          <w:b/>
          <w:bCs/>
          <w:i w:val="0"/>
          <w:iCs w:val="0"/>
          <w:color w:val="000000" w:themeColor="text1"/>
          <w:sz w:val="32"/>
          <w:szCs w:val="32"/>
          <w:highlight w:val="none"/>
          <w:u w:val="none"/>
          <w:lang w:val="en-US" w:eastAsia="zh-Hans"/>
          <w14:textFill>
            <w14:solidFill>
              <w14:schemeClr w14:val="tx1"/>
            </w14:solidFill>
          </w14:textFill>
        </w:rPr>
        <w:t>条</w:t>
      </w:r>
      <w:r>
        <w:rPr>
          <w:rFonts w:hint="default" w:ascii="Times New Roman" w:hAnsi="Times New Roman" w:eastAsia="方正仿宋_GBK" w:cs="Times New Roman"/>
          <w:b/>
          <w:bCs/>
          <w:i w:val="0"/>
          <w:iCs w:val="0"/>
          <w:color w:val="000000" w:themeColor="text1"/>
          <w:sz w:val="32"/>
          <w:szCs w:val="32"/>
          <w:highlight w:val="none"/>
          <w:u w:val="none"/>
          <w:lang w:val="en-US" w:eastAsia="zh-CN"/>
          <w14:textFill>
            <w14:solidFill>
              <w14:schemeClr w14:val="tx1"/>
            </w14:solidFill>
          </w14:textFill>
        </w:rPr>
        <w:t>【市场准入与注销登记服务】</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市、县（区）人民政府及其有关部门应当严格落实全国统一的市场准入负面清单制度，不得设定或者变相设定市场准入障碍。市场准入负面清单以外的行业、领域、业务等，各类市场主体可以依法平等进入。</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市人民政府应当将涉企经营许可事项全部纳入“证</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照分离”改革事项清单，对涉企经营许可事项进行分类管理。</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sz w:val="32"/>
          <w:szCs w:val="32"/>
          <w:highlight w:val="none"/>
          <w:lang w:val="en-US" w:eastAsia="zh-Hans"/>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市场</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主体申请办理注销登记的，提供相关政务服务的部门应当实行分类处置，并通过联审联办、数据共享等方式提升审查效率。对符合条件的市场主体，可以按照简易程序办理注销登记。</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九</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涉税费用政务</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服务】</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税务机关应当</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通过下列方式</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为市场主体提供</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持续优化</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的</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税费服务，切实减轻</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市场主体</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办税缴费负担</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一</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）推广</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电子证照应用，精简办税缴费资料</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压缩办税</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流程，全面推行税务证明事项告知承诺制，涉税资料由</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市场主体</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留存备查；</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二</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减</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少</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纳税缴费次数和时间，</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提供</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税费合并申报</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服务</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明确</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办理</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时限；</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三</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）实行纳税业务</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线上集约处理，</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提供</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“非接触式”办税缴费服务；</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四</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依托税务数据平台提供税费优惠政策</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精准推送</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服务</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，提高税费政策兑现的及时性和便利性。</w:t>
      </w:r>
    </w:p>
    <w:p>
      <w:pPr>
        <w:keepNext w:val="0"/>
        <w:keepLines w:val="0"/>
        <w:pageBreakBefore w:val="0"/>
        <w:widowControl w:val="0"/>
        <w:kinsoku/>
        <w:wordWrap w:val="0"/>
        <w:overflowPunct/>
        <w:topLinePunct/>
        <w:autoSpaceDE/>
        <w:autoSpaceDN/>
        <w:bidi w:val="0"/>
        <w:adjustRightInd/>
        <w:snapToGrid/>
        <w:spacing w:beforeLines="0" w:afterLines="0" w:line="560" w:lineRule="exact"/>
        <w:ind w:left="0" w:firstLine="643" w:firstLineChars="200"/>
        <w:jc w:val="left"/>
        <w:outlineLvl w:val="1"/>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en-US" w:eastAsia="zh-Hans"/>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十</w:t>
      </w:r>
      <w:r>
        <w:rPr>
          <w:rFonts w:hint="default" w:ascii="Times New Roman" w:hAnsi="Times New Roman" w:eastAsia="方正仿宋_GBK" w:cs="Times New Roman"/>
          <w:b/>
          <w:bCs/>
          <w:color w:val="000000" w:themeColor="text1"/>
          <w:sz w:val="32"/>
          <w:szCs w:val="32"/>
          <w:highlight w:val="none"/>
          <w:lang w:val="en-US" w:eastAsia="zh-Hans"/>
          <w14:textFill>
            <w14:solidFill>
              <w14:schemeClr w14:val="tx1"/>
            </w14:solidFill>
          </w14:textFill>
        </w:rPr>
        <w:t>条</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【工程建设项目审批政务服务】</w:t>
      </w:r>
      <w:r>
        <w:rPr>
          <w:rFonts w:hint="default" w:ascii="Times New Roman" w:hAnsi="Times New Roman" w:eastAsia="方正仿宋_GBK" w:cs="Times New Roman"/>
          <w:i w:val="0"/>
          <w:iCs w:val="0"/>
          <w:color w:val="000000" w:themeColor="text1"/>
          <w:kern w:val="2"/>
          <w:sz w:val="32"/>
          <w:szCs w:val="32"/>
          <w:highlight w:val="none"/>
          <w:u w:val="none"/>
          <w:lang w:val="en-US" w:eastAsia="zh-CN" w:bidi="ar-SA"/>
          <w14:textFill>
            <w14:solidFill>
              <w14:schemeClr w14:val="tx1"/>
            </w14:solidFill>
          </w14:textFill>
        </w:rPr>
        <w:t>市、县（区）住房和城乡建设部门应当会同相关</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审批</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部门，定期调整并公布</w:t>
      </w:r>
      <w:r>
        <w:rPr>
          <w:rFonts w:hint="default" w:ascii="Times New Roman" w:hAnsi="Times New Roman" w:eastAsia="方正仿宋_GBK" w:cs="Times New Roman"/>
          <w:color w:val="000000" w:themeColor="text1"/>
          <w:highlight w:val="none"/>
          <w14:textFill>
            <w14:solidFill>
              <w14:schemeClr w14:val="tx1"/>
            </w14:solidFill>
          </w14:textFill>
        </w:rPr>
        <w:t>工程建设项目主要审批服务、技术审查事项清单</w:t>
      </w:r>
      <w:r>
        <w:rPr>
          <w:rFonts w:hint="default" w:ascii="Times New Roman" w:hAnsi="Times New Roman" w:eastAsia="方正仿宋_GBK" w:cs="Times New Roman"/>
          <w:color w:val="000000" w:themeColor="text1"/>
          <w:highlight w:val="none"/>
          <w:lang w:eastAsia="zh-CN"/>
          <w14:textFill>
            <w14:solidFill>
              <w14:schemeClr w14:val="tx1"/>
            </w14:solidFill>
          </w14:textFill>
        </w:rPr>
        <w:t>，实行清单化管理，</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推行并联审批、</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“信用快审”承诺制</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、联合测绘、联合审图、联合验收等</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工作体系</w:t>
      </w:r>
      <w:r>
        <w:rPr>
          <w:rFonts w:hint="default" w:ascii="Times New Roman" w:hAnsi="Times New Roman" w:eastAsia="方正仿宋_GBK" w:cs="Times New Roman"/>
          <w:color w:val="000000" w:themeColor="text1"/>
          <w:kern w:val="0"/>
          <w:sz w:val="32"/>
          <w:szCs w:val="32"/>
          <w:highlight w:val="none"/>
          <w:lang w:val="en-US" w:eastAsia="zh-CN" w:bidi="ar"/>
          <w14:textFill>
            <w14:solidFill>
              <w14:schemeClr w14:val="tx1"/>
            </w14:solidFill>
          </w14:textFill>
        </w:rPr>
        <w:t>，</w:t>
      </w:r>
      <w:r>
        <w:rPr>
          <w:rFonts w:hint="default" w:ascii="Times New Roman" w:hAnsi="Times New Roman" w:eastAsia="方正仿宋_GBK" w:cs="Times New Roman"/>
          <w:color w:val="000000" w:themeColor="text1"/>
          <w:kern w:val="0"/>
          <w:sz w:val="32"/>
          <w:szCs w:val="32"/>
          <w:highlight w:val="none"/>
          <w:lang w:val="en-US" w:eastAsia="zh-CN" w:bidi="ar"/>
          <w14:textFill>
            <w14:solidFill>
              <w14:schemeClr w14:val="tx1"/>
            </w14:solidFill>
          </w14:textFill>
        </w:rPr>
        <w:t>完善工程建设项目审批管理系统，</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依法优化工程建设项目审批流程，实现工程建设项目审批全流程电子化，提升工程建设项目审批服务便利化水平。</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leftChars="0" w:firstLine="643" w:firstLineChars="200"/>
        <w:jc w:val="both"/>
        <w:outlineLvl w:val="1"/>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十一条【不动产登记与查询政务服务】</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自然资源部门应当会同住房和城乡建设、税务等相关部门，</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建立不动产登记服务联动工作机制，整合申请材料，优化办理流程，为市场主体提供合同网签、核税缴税、不动产登记</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线上一网通办</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线下一窗通办</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”等</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服务</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p>
    <w:p>
      <w:pPr>
        <w:pStyle w:val="11"/>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自然资源部门应当推行“交房即交证”“验收即交证”等服务模式，加强与工程建设项目审批系统衔接，实现信息共享与流程协同，持续提升不动产登记便利化水平。</w:t>
      </w:r>
    </w:p>
    <w:p>
      <w:pPr>
        <w:pStyle w:val="11"/>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自然资源部门应当根据国家和省市不动产登记资料查询的相关规定，按照不动产坐落位置、不动产权属证书号、不动产单元号等索引信息，为市场主体免费提供非住宅类且权利人为法人和非法人组织的登记信息、地籍图信息以及不动产是否存在他项权利、查封等登记信息的查询服务，但涉及国家秘密的除外。</w:t>
      </w:r>
    </w:p>
    <w:p>
      <w:pPr>
        <w:keepNext w:val="0"/>
        <w:keepLines w:val="0"/>
        <w:pageBreakBefore w:val="0"/>
        <w:widowControl w:val="0"/>
        <w:tabs>
          <w:tab w:val="left" w:pos="750"/>
        </w:tabs>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十二</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金融服务</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i w:val="0"/>
          <w:iCs w:val="0"/>
          <w:color w:val="000000" w:themeColor="text1"/>
          <w:kern w:val="0"/>
          <w:sz w:val="32"/>
          <w:szCs w:val="32"/>
          <w:highlight w:val="none"/>
          <w:u w:val="none"/>
          <w:lang w:eastAsia="zh-CN"/>
          <w14:textFill>
            <w14:solidFill>
              <w14:schemeClr w14:val="tx1"/>
            </w14:solidFill>
          </w14:textFill>
        </w:rPr>
        <w:t>市人民政</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府有关部门和相关单位，应当为金融机构提供便捷有效的</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市场主体</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信用查询方式，及时有效准确反映</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市场主体</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信用信息。</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leftChars="0" w:firstLine="640" w:firstLineChars="200"/>
        <w:jc w:val="both"/>
        <w:outlineLvl w:val="9"/>
        <w:rPr>
          <w:rFonts w:hint="default" w:ascii="Times New Roman" w:hAnsi="Times New Roman" w:eastAsia="方正仿宋_GBK" w:cs="Times New Roman"/>
          <w:i w:val="0"/>
          <w:iCs w:val="0"/>
          <w:color w:val="000000" w:themeColor="text1"/>
          <w:kern w:val="0"/>
          <w:sz w:val="32"/>
          <w:szCs w:val="32"/>
          <w:highlight w:val="none"/>
          <w:u w:val="none"/>
          <w:lang w:val="en-US" w:eastAsia="zh-CN"/>
          <w14:textFill>
            <w14:solidFill>
              <w14:schemeClr w14:val="tx1"/>
            </w14:solidFill>
          </w14:textFill>
        </w:rPr>
      </w:pPr>
      <w:r>
        <w:rPr>
          <w:rFonts w:hint="default" w:ascii="Times New Roman" w:hAnsi="Times New Roman" w:eastAsia="方正仿宋_GBK" w:cs="Times New Roman"/>
          <w:i w:val="0"/>
          <w:iCs w:val="0"/>
          <w:color w:val="000000" w:themeColor="text1"/>
          <w:kern w:val="0"/>
          <w:sz w:val="32"/>
          <w:szCs w:val="32"/>
          <w:highlight w:val="none"/>
          <w:u w:val="none"/>
          <w:lang w:val="en-US" w:eastAsia="zh-CN"/>
          <w14:textFill>
            <w14:solidFill>
              <w14:schemeClr w14:val="tx1"/>
            </w14:solidFill>
          </w14:textFill>
        </w:rPr>
        <w:t>市人民政府鼓励金融机构</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优化对</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市场主体</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的信贷审批流程和模式，提升</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市场主体</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融资便利度</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探索</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新型政银担合作，建立健全政府性融资担保机构资本金补充、风险补偿、保费补贴等机制，推动金融机构优化融资担保合作模式，为信用状况良好的中小微企业提供融资担保；</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支持保险机构</w:t>
      </w:r>
      <w:r>
        <w:rPr>
          <w:rFonts w:hint="default" w:ascii="Times New Roman" w:hAnsi="Times New Roman" w:eastAsia="方正仿宋_GBK" w:cs="Times New Roman"/>
          <w:snapToGrid/>
          <w:color w:val="000000" w:themeColor="text1"/>
          <w:kern w:val="2"/>
          <w:sz w:val="32"/>
          <w:szCs w:val="32"/>
          <w:highlight w:val="none"/>
          <w:lang w:val="en-US" w:eastAsia="zh-CN"/>
          <w14:textFill>
            <w14:solidFill>
              <w14:schemeClr w14:val="tx1"/>
            </w14:solidFill>
          </w14:textFill>
        </w:rPr>
        <w:t>提供出口信用保险等外贸金融服务，加大对外贸易市场主体的风险保障力度。</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leftChars="0" w:firstLine="640" w:firstLineChars="200"/>
        <w:jc w:val="both"/>
        <w:outlineLvl w:val="9"/>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方正仿宋_GBK" w:cs="Times New Roman"/>
          <w:i w:val="0"/>
          <w:iCs w:val="0"/>
          <w:color w:val="000000" w:themeColor="text1"/>
          <w:kern w:val="0"/>
          <w:sz w:val="32"/>
          <w:szCs w:val="32"/>
          <w:highlight w:val="none"/>
          <w:u w:val="none"/>
          <w:lang w:val="en-US" w:eastAsia="zh-CN"/>
          <w14:textFill>
            <w14:solidFill>
              <w14:schemeClr w14:val="tx1"/>
            </w14:solidFill>
          </w14:textFill>
        </w:rPr>
        <w:t>市、县（区）人民政府鼓励金融机构创新知识产权领域的投融资产品，建立多样化的知识产权融资模式</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；支持银行、保险、证券等</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金融</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机构</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探索建立</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企业创新积分制，依托创新积分开发专属金融产品；支持、引导金融机构开发、推广惠及中小微企业的金融产品，开通中小微企业服务绿色通道，简化贷款手续，增加对中小微企业的信贷投放，合理增加中长期贷款和信用贷款支持。</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第十三条【知识产权服务】</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市、县（区）</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人民政府</w:t>
      </w: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应当依法完善</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知识产权保护机制，健全多部门联合执法机制，加强跨区域知识产权执法协作机制，强化知识产权创造、保护和运用。</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市</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知识产权部门</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负责</w:t>
      </w: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指导、推进</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知识产权运营公共服务平台功能优化</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，制定知识产权公共服务事项清单，为</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市场主体提供</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知识产权保护</w:t>
      </w:r>
      <w:r>
        <w:rPr>
          <w:rFonts w:hint="default" w:ascii="Times New Roman" w:hAnsi="Times New Roman" w:eastAsia="方正仿宋_GBK" w:cs="Times New Roman"/>
          <w:i w:val="0"/>
          <w:iCs w:val="0"/>
          <w:color w:val="000000" w:themeColor="text1"/>
          <w:kern w:val="0"/>
          <w:sz w:val="32"/>
          <w:szCs w:val="32"/>
          <w:highlight w:val="none"/>
          <w:u w:val="none"/>
          <w:lang w:eastAsia="zh-CN"/>
          <w14:textFill>
            <w14:solidFill>
              <w14:schemeClr w14:val="tx1"/>
            </w14:solidFill>
          </w14:textFill>
        </w:rPr>
        <w:t>的</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政策指导、技术咨询等</w:t>
      </w:r>
      <w:r>
        <w:rPr>
          <w:rFonts w:hint="default" w:ascii="Times New Roman" w:hAnsi="Times New Roman" w:eastAsia="方正仿宋_GBK" w:cs="Times New Roman"/>
          <w:i w:val="0"/>
          <w:iCs w:val="0"/>
          <w:color w:val="000000" w:themeColor="text1"/>
          <w:kern w:val="0"/>
          <w:sz w:val="32"/>
          <w:szCs w:val="32"/>
          <w:highlight w:val="none"/>
          <w:u w:val="none"/>
          <w:lang w:eastAsia="zh-CN"/>
          <w14:textFill>
            <w14:solidFill>
              <w14:schemeClr w14:val="tx1"/>
            </w14:solidFill>
          </w14:textFill>
        </w:rPr>
        <w:t>政务</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服务</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建立健全海外知识产权纠纷应对指导及定期会商机制，及时发布风险预警提示，强化</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市场</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主体海外维权援助。</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leftChars="0" w:firstLine="640" w:firstLineChars="200"/>
        <w:jc w:val="both"/>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市知识产权服务机构</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应当</w:t>
      </w: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完善</w:t>
      </w:r>
      <w:r>
        <w:rPr>
          <w:rFonts w:hint="default" w:ascii="Times New Roman" w:hAnsi="Times New Roman" w:eastAsia="方正仿宋_GBK" w:cs="Times New Roman"/>
          <w:color w:val="000000" w:themeColor="text1"/>
          <w:highlight w:val="none"/>
          <w:lang w:val="en-US" w:eastAsia="zh-CN"/>
          <w14:textFill>
            <w14:solidFill>
              <w14:schemeClr w14:val="tx1"/>
            </w14:solidFill>
          </w14:textFill>
        </w:rPr>
        <w:t>服务产业和园区的知识产权信息公共服务网点布局，实现知识产权公共服务全市覆盖；</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会同有关部门依法建立知识产权</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协同保护机制</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加强推广</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知识产权托管服务，实施“技术调查官+商事调解”模式，</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为市场主体</w:t>
      </w: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提供</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代理、托管、评估、交易、金融、保险、版权、公证、调解、</w:t>
      </w: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仲裁、</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维权等知识产权全链条综合服务</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leftChars="0" w:firstLine="640" w:firstLineChars="200"/>
        <w:jc w:val="both"/>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pP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市</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知识产权保护</w:t>
      </w: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机构</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应当发挥专业技术支撑作用，整合专利、商标、版权等资源，推动建立跨部门、跨区域协作机制，推进知识产权协同保护、维权</w:t>
      </w: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援助</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工作。</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leftChars="0" w:firstLine="643" w:firstLineChars="200"/>
        <w:jc w:val="both"/>
        <w:outlineLvl w:val="9"/>
        <w:rPr>
          <w:rFonts w:hint="default" w:ascii="Times New Roman" w:hAnsi="Times New Roman" w:eastAsia="方正仿宋_GBK" w:cs="Times New Roman"/>
          <w:b w:val="0"/>
          <w:bCs w:val="0"/>
          <w:i w:val="0"/>
          <w:iCs w:val="0"/>
          <w:color w:val="000000" w:themeColor="text1"/>
          <w:kern w:val="0"/>
          <w:sz w:val="32"/>
          <w:szCs w:val="32"/>
          <w:highlight w:val="none"/>
          <w:u w:val="none"/>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十四</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人力资源</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服务】</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市、县（区）人民政府及其有关部门应当围绕辖区重点产业发展需要，建立以市场主体需求为导向的人才政策与服务供给机制，在落户安居、子女教育、社会保障等方面为市场主体引进、培育的高层次人才、高技能人才和急需紧缺人才提供便利化服务。</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leftChars="0" w:firstLine="640" w:firstLineChars="200"/>
        <w:jc w:val="both"/>
        <w:outlineLvl w:val="9"/>
        <w:rPr>
          <w:rFonts w:hint="default" w:ascii="Times New Roman" w:hAnsi="Times New Roman" w:eastAsia="方正仿宋_GBK" w:cs="Times New Roman"/>
          <w:i w:val="0"/>
          <w:iCs w:val="0"/>
          <w:color w:val="000000" w:themeColor="text1"/>
          <w:kern w:val="0"/>
          <w:sz w:val="32"/>
          <w:szCs w:val="32"/>
          <w:highlight w:val="none"/>
          <w:u w:val="none"/>
          <w:lang w:val="en-US" w:eastAsia="zh-CN"/>
          <w14:textFill>
            <w14:solidFill>
              <w14:schemeClr w14:val="tx1"/>
            </w14:solidFill>
          </w14:textFill>
        </w:rPr>
      </w:pPr>
      <w:r>
        <w:rPr>
          <w:rFonts w:hint="default" w:ascii="Times New Roman" w:hAnsi="Times New Roman" w:eastAsia="方正仿宋_GBK" w:cs="Times New Roman"/>
          <w:i w:val="0"/>
          <w:iCs w:val="0"/>
          <w:color w:val="000000" w:themeColor="text1"/>
          <w:kern w:val="0"/>
          <w:sz w:val="32"/>
          <w:szCs w:val="32"/>
          <w:highlight w:val="none"/>
          <w:u w:val="none"/>
          <w:lang w:val="en-US" w:eastAsia="zh-CN"/>
          <w14:textFill>
            <w14:solidFill>
              <w14:schemeClr w14:val="tx1"/>
            </w14:solidFill>
          </w14:textFill>
        </w:rPr>
        <w:t>市、县（区）人民政府及其教育、科学技术、人力资源和社会保障等有关部门应当深化产教融合，推进校企合作，采用人才定制培养、构建技能人才“终身培训体系”等方式支持高等院校、职业学校培养与市场主体需求相适应的技能人才。</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leftChars="0" w:firstLine="640" w:firstLineChars="200"/>
        <w:jc w:val="both"/>
        <w:outlineLvl w:val="9"/>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市人力资源和社会保障部门应当加强全市人力资源数据库建设，</w:t>
      </w:r>
      <w:r>
        <w:rPr>
          <w:rFonts w:hint="default" w:ascii="Times New Roman" w:hAnsi="Times New Roman" w:eastAsia="方正仿宋_GBK" w:cs="Times New Roman"/>
          <w:color w:val="000000" w:themeColor="text1"/>
          <w:szCs w:val="32"/>
          <w:highlight w:val="none"/>
          <w14:textFill>
            <w14:solidFill>
              <w14:schemeClr w14:val="tx1"/>
            </w14:solidFill>
          </w14:textFill>
        </w:rPr>
        <w:t>主动为市场主体提供精准化的用工指导、政策匹配及劳动关系风险预警服务</w:t>
      </w:r>
      <w:r>
        <w:rPr>
          <w:rFonts w:hint="default" w:ascii="Times New Roman" w:hAnsi="Times New Roman" w:eastAsia="方正仿宋_GBK" w:cs="Times New Roman"/>
          <w:color w:val="000000" w:themeColor="text1"/>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推动零工市场</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就业驿站等服务平台</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规范化</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2"/>
          <w:highlight w:val="none"/>
          <w:lang w:val="en-US" w:eastAsia="zh-CN"/>
          <w14:textFill>
            <w14:solidFill>
              <w14:schemeClr w14:val="tx1"/>
            </w14:solidFill>
          </w14:textFill>
        </w:rPr>
        <w:t>标准化、体系化</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建设</w:t>
      </w:r>
      <w:r>
        <w:rPr>
          <w:rFonts w:hint="default" w:ascii="Times New Roman" w:hAnsi="Times New Roman" w:eastAsia="方正仿宋_GBK" w:cs="Times New Roman"/>
          <w:color w:val="000000" w:themeColor="text1"/>
          <w:kern w:val="0"/>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kern w:val="0"/>
          <w:sz w:val="32"/>
          <w:szCs w:val="32"/>
          <w:highlight w:val="none"/>
          <w14:textFill>
            <w14:solidFill>
              <w14:schemeClr w14:val="tx1"/>
            </w14:solidFill>
          </w14:textFill>
        </w:rPr>
        <w:t>支持市场主体采用灵活用工机制，引导有需求的市场主体开展共享用工</w:t>
      </w:r>
      <w:r>
        <w:rPr>
          <w:rFonts w:hint="default" w:ascii="Times New Roman" w:hAnsi="Times New Roman" w:eastAsia="方正仿宋_GBK" w:cs="Times New Roman"/>
          <w:i w:val="0"/>
          <w:iCs w:val="0"/>
          <w:color w:val="000000" w:themeColor="text1"/>
          <w:kern w:val="0"/>
          <w:sz w:val="32"/>
          <w:szCs w:val="32"/>
          <w:highlight w:val="none"/>
          <w:u w:val="none"/>
          <w:lang w:eastAsia="zh-CN"/>
          <w14:textFill>
            <w14:solidFill>
              <w14:schemeClr w14:val="tx1"/>
            </w14:solidFill>
          </w14:textFill>
        </w:rPr>
        <w:t>。</w:t>
      </w:r>
    </w:p>
    <w:p>
      <w:pPr>
        <w:keepNext w:val="0"/>
        <w:keepLines w:val="0"/>
        <w:pageBreakBefore w:val="0"/>
        <w:widowControl w:val="0"/>
        <w:kinsoku/>
        <w:wordWrap w:val="0"/>
        <w:overflowPunct/>
        <w:topLinePunct/>
        <w:autoSpaceDE/>
        <w:autoSpaceDN/>
        <w:bidi w:val="0"/>
        <w:adjustRightInd/>
        <w:snapToGrid w:val="0"/>
        <w:spacing w:beforeLines="0" w:afterLines="0" w:line="560" w:lineRule="exact"/>
        <w:ind w:left="0" w:firstLine="643" w:firstLineChars="200"/>
        <w:jc w:val="both"/>
        <w:textAlignment w:val="auto"/>
        <w:outlineLvl w:val="1"/>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十五</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数字化智能化供给服务</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市、县（区）</w:t>
      </w:r>
      <w:r>
        <w:rPr>
          <w:rFonts w:hint="default" w:ascii="Times New Roman" w:hAnsi="Times New Roman" w:eastAsia="方正仿宋_GBK" w:cs="Times New Roman"/>
          <w:color w:val="000000" w:themeColor="text1"/>
          <w:kern w:val="0"/>
          <w:sz w:val="32"/>
          <w:szCs w:val="32"/>
          <w:highlight w:val="none"/>
          <w:lang w:val="en-US" w:eastAsia="zh-CN" w:bidi="ar-SA"/>
          <w14:textFill>
            <w14:solidFill>
              <w14:schemeClr w14:val="tx1"/>
            </w14:solidFill>
          </w14:textFill>
        </w:rPr>
        <w:t>人民政府应当在本级财政预算中安排资金，用于制造业数字化智能化</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转型，增强制造业数字化智能化供给能力</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leftChars="0" w:firstLine="640" w:firstLineChars="200"/>
        <w:jc w:val="both"/>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市、县（区）人民政府应当支持市场主体建设各类工业互联网平台，加强产业链上下游</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协同合作</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，形成高效、高水平的产业链供应链体系。</w:t>
      </w:r>
    </w:p>
    <w:p>
      <w:pPr>
        <w:keepNext w:val="0"/>
        <w:keepLines w:val="0"/>
        <w:pageBreakBefore w:val="0"/>
        <w:widowControl w:val="0"/>
        <w:kinsoku/>
        <w:wordWrap w:val="0"/>
        <w:overflowPunct/>
        <w:topLinePunct/>
        <w:autoSpaceDE/>
        <w:autoSpaceDN/>
        <w:bidi w:val="0"/>
        <w:adjustRightInd/>
        <w:snapToGrid w:val="0"/>
        <w:spacing w:beforeLines="0" w:afterLines="0" w:line="560" w:lineRule="exact"/>
        <w:ind w:left="0" w:firstLine="643" w:firstLineChars="200"/>
        <w:jc w:val="both"/>
        <w:textAlignment w:val="auto"/>
        <w:outlineLvl w:val="1"/>
        <w:rPr>
          <w:rFonts w:hint="default" w:ascii="Times New Roman" w:hAnsi="Times New Roman" w:eastAsia="方正仿宋_GBK" w:cs="Times New Roman"/>
          <w:snapToGrid/>
          <w:color w:val="000000" w:themeColor="text1"/>
          <w:kern w:val="2"/>
          <w:sz w:val="32"/>
          <w:szCs w:val="32"/>
          <w:highlight w:val="none"/>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十六</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对外贸易</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服务】</w:t>
      </w:r>
      <w:r>
        <w:rPr>
          <w:rFonts w:hint="default" w:ascii="Times New Roman" w:hAnsi="Times New Roman" w:eastAsia="方正仿宋_GBK" w:cs="Times New Roman"/>
          <w:snapToGrid/>
          <w:color w:val="000000" w:themeColor="text1"/>
          <w:kern w:val="2"/>
          <w:sz w:val="32"/>
          <w:szCs w:val="32"/>
          <w:highlight w:val="none"/>
          <w:lang w:val="en-US" w:eastAsia="zh-CN"/>
          <w14:textFill>
            <w14:solidFill>
              <w14:schemeClr w14:val="tx1"/>
            </w14:solidFill>
          </w14:textFill>
        </w:rPr>
        <w:t>市人民政府应当加强国际贸易“单一窗口”功能推广应用，推进智慧口岸综合服务平台建设，构建数字化、精准化、便利化口岸运行、监管、服务体系；完善跨境电子商务公共服务平台建设，推进跨境电子商务服务综合园区建设，促进跨境电子商务线上平台和线下园区联动发展，形成跨境电子商务产业链和生态系统；加强自贸协定综合性服务机构建设，提供政策咨询解读、宣传培训推广、贸易投资促进、涉外法律支援等一站式外贸综合性服务。</w:t>
      </w:r>
    </w:p>
    <w:p>
      <w:pPr>
        <w:keepNext w:val="0"/>
        <w:keepLines w:val="0"/>
        <w:pageBreakBefore w:val="0"/>
        <w:widowControl w:val="0"/>
        <w:kinsoku/>
        <w:wordWrap w:val="0"/>
        <w:overflowPunct/>
        <w:topLinePunct/>
        <w:autoSpaceDE/>
        <w:autoSpaceDN/>
        <w:bidi w:val="0"/>
        <w:adjustRightInd/>
        <w:snapToGrid w:val="0"/>
        <w:spacing w:beforeLines="0" w:afterLines="0" w:line="560" w:lineRule="exact"/>
        <w:ind w:left="0" w:firstLine="640" w:firstLineChars="200"/>
        <w:jc w:val="both"/>
        <w:textAlignment w:val="auto"/>
        <w:outlineLvl w:val="9"/>
        <w:rPr>
          <w:rFonts w:hint="default" w:ascii="Times New Roman" w:hAnsi="Times New Roman" w:eastAsia="方正仿宋_GBK" w:cs="Times New Roman"/>
          <w:snapToGrid/>
          <w:color w:val="000000" w:themeColor="text1"/>
          <w:kern w:val="2"/>
          <w:sz w:val="32"/>
          <w:szCs w:val="32"/>
          <w:highlight w:val="none"/>
          <w:lang w:eastAsia="zh-CN"/>
          <w14:textFill>
            <w14:solidFill>
              <w14:schemeClr w14:val="tx1"/>
            </w14:solidFill>
          </w14:textFill>
        </w:rPr>
      </w:pPr>
      <w:r>
        <w:rPr>
          <w:rFonts w:hint="default" w:ascii="Times New Roman" w:hAnsi="Times New Roman" w:eastAsia="方正仿宋_GBK" w:cs="Times New Roman"/>
          <w:snapToGrid/>
          <w:color w:val="000000" w:themeColor="text1"/>
          <w:kern w:val="2"/>
          <w:sz w:val="32"/>
          <w:szCs w:val="32"/>
          <w:highlight w:val="none"/>
          <w:lang w:eastAsia="zh-CN"/>
          <w14:textFill>
            <w14:solidFill>
              <w14:schemeClr w14:val="tx1"/>
            </w14:solidFill>
          </w14:textFill>
        </w:rPr>
        <w:t>市、</w:t>
      </w:r>
      <w:r>
        <w:rPr>
          <w:rFonts w:hint="default" w:ascii="Times New Roman" w:hAnsi="Times New Roman" w:eastAsia="方正仿宋_GBK" w:cs="Times New Roman"/>
          <w:snapToGrid/>
          <w:color w:val="000000" w:themeColor="text1"/>
          <w:kern w:val="2"/>
          <w:sz w:val="32"/>
          <w:szCs w:val="32"/>
          <w:highlight w:val="none"/>
          <w:lang w:val="en-US" w:eastAsia="zh-CN"/>
          <w14:textFill>
            <w14:solidFill>
              <w14:schemeClr w14:val="tx1"/>
            </w14:solidFill>
          </w14:textFill>
        </w:rPr>
        <w:t>县（区）</w:t>
      </w:r>
      <w:r>
        <w:rPr>
          <w:rFonts w:hint="default" w:ascii="Times New Roman" w:hAnsi="Times New Roman" w:eastAsia="方正仿宋_GBK" w:cs="Times New Roman"/>
          <w:snapToGrid/>
          <w:color w:val="000000" w:themeColor="text1"/>
          <w:kern w:val="2"/>
          <w:sz w:val="32"/>
          <w:szCs w:val="32"/>
          <w:highlight w:val="none"/>
          <w:lang w:eastAsia="zh-CN"/>
          <w14:textFill>
            <w14:solidFill>
              <w14:schemeClr w14:val="tx1"/>
            </w14:solidFill>
          </w14:textFill>
        </w:rPr>
        <w:t>人民政府及其有关部门应当鼓励和支持市场主体发展对外贸易，完善对外贸易交流平台搭建</w:t>
      </w:r>
      <w:r>
        <w:rPr>
          <w:rFonts w:hint="default" w:ascii="Times New Roman" w:hAnsi="Times New Roman" w:eastAsia="方正仿宋_GBK" w:cs="Times New Roman"/>
          <w:snapToGrid/>
          <w:color w:val="000000" w:themeColor="text1"/>
          <w:kern w:val="2"/>
          <w:sz w:val="32"/>
          <w:szCs w:val="32"/>
          <w:highlight w:val="none"/>
          <w:lang w:val="en-US" w:eastAsia="zh-CN"/>
          <w14:textFill>
            <w14:solidFill>
              <w14:schemeClr w14:val="tx1"/>
            </w14:solidFill>
          </w14:textFill>
        </w:rPr>
        <w:t>，</w:t>
      </w:r>
      <w:r>
        <w:rPr>
          <w:rFonts w:hint="default" w:ascii="Times New Roman" w:hAnsi="Times New Roman" w:eastAsia="方正仿宋_GBK" w:cs="Times New Roman"/>
          <w:snapToGrid/>
          <w:color w:val="000000" w:themeColor="text1"/>
          <w:kern w:val="2"/>
          <w:sz w:val="32"/>
          <w:szCs w:val="32"/>
          <w:highlight w:val="none"/>
          <w:lang w:eastAsia="zh-CN"/>
          <w14:textFill>
            <w14:solidFill>
              <w14:schemeClr w14:val="tx1"/>
            </w14:solidFill>
          </w14:textFill>
        </w:rPr>
        <w:t>组织</w:t>
      </w:r>
      <w:r>
        <w:rPr>
          <w:rFonts w:hint="default" w:ascii="Times New Roman" w:hAnsi="Times New Roman" w:eastAsia="方正仿宋_GBK" w:cs="Times New Roman"/>
          <w:snapToGrid/>
          <w:color w:val="000000" w:themeColor="text1"/>
          <w:kern w:val="2"/>
          <w:sz w:val="32"/>
          <w:szCs w:val="32"/>
          <w:highlight w:val="none"/>
          <w:lang w:val="en-US" w:eastAsia="zh-CN"/>
          <w14:textFill>
            <w14:solidFill>
              <w14:schemeClr w14:val="tx1"/>
            </w14:solidFill>
          </w14:textFill>
        </w:rPr>
        <w:t>市场主体</w:t>
      </w:r>
      <w:r>
        <w:rPr>
          <w:rFonts w:hint="default" w:ascii="Times New Roman" w:hAnsi="Times New Roman" w:eastAsia="方正仿宋_GBK" w:cs="Times New Roman"/>
          <w:snapToGrid/>
          <w:color w:val="000000" w:themeColor="text1"/>
          <w:kern w:val="2"/>
          <w:sz w:val="32"/>
          <w:szCs w:val="32"/>
          <w:highlight w:val="none"/>
          <w:lang w:eastAsia="zh-CN"/>
          <w14:textFill>
            <w14:solidFill>
              <w14:schemeClr w14:val="tx1"/>
            </w14:solidFill>
          </w14:textFill>
        </w:rPr>
        <w:t>参与</w:t>
      </w:r>
      <w:r>
        <w:rPr>
          <w:rFonts w:hint="default" w:ascii="Times New Roman" w:hAnsi="Times New Roman" w:eastAsia="方正仿宋_GBK" w:cs="Times New Roman"/>
          <w:snapToGrid/>
          <w:color w:val="000000" w:themeColor="text1"/>
          <w:kern w:val="2"/>
          <w:sz w:val="32"/>
          <w:szCs w:val="32"/>
          <w:highlight w:val="none"/>
          <w:lang w:val="en-US" w:eastAsia="zh-CN"/>
          <w14:textFill>
            <w14:solidFill>
              <w14:schemeClr w14:val="tx1"/>
            </w14:solidFill>
          </w14:textFill>
        </w:rPr>
        <w:t>境</w:t>
      </w:r>
      <w:r>
        <w:rPr>
          <w:rFonts w:hint="default" w:ascii="Times New Roman" w:hAnsi="Times New Roman" w:eastAsia="方正仿宋_GBK" w:cs="Times New Roman"/>
          <w:snapToGrid/>
          <w:color w:val="000000" w:themeColor="text1"/>
          <w:kern w:val="2"/>
          <w:sz w:val="32"/>
          <w:szCs w:val="32"/>
          <w:highlight w:val="none"/>
          <w:lang w:eastAsia="zh-CN"/>
          <w14:textFill>
            <w14:solidFill>
              <w14:schemeClr w14:val="tx1"/>
            </w14:solidFill>
          </w14:textFill>
        </w:rPr>
        <w:t>内外主要展会等投资促进活动；探索建立与国际贸易投资规则和国际惯例接轨的商事争端解决机制；</w:t>
      </w:r>
      <w:r>
        <w:rPr>
          <w:rFonts w:hint="default" w:ascii="Times New Roman" w:hAnsi="Times New Roman" w:eastAsia="方正仿宋_GBK" w:cs="Times New Roman"/>
          <w:snapToGrid/>
          <w:color w:val="000000" w:themeColor="text1"/>
          <w:kern w:val="2"/>
          <w:sz w:val="32"/>
          <w:szCs w:val="32"/>
          <w:highlight w:val="none"/>
          <w:lang w:val="en-US" w:eastAsia="zh-CN"/>
          <w14:textFill>
            <w14:solidFill>
              <w14:schemeClr w14:val="tx1"/>
            </w14:solidFill>
          </w14:textFill>
        </w:rPr>
        <w:t>健全</w:t>
      </w:r>
      <w:r>
        <w:rPr>
          <w:rFonts w:hint="default" w:ascii="Times New Roman" w:hAnsi="Times New Roman" w:eastAsia="方正仿宋_GBK" w:cs="Times New Roman"/>
          <w:snapToGrid/>
          <w:color w:val="000000" w:themeColor="text1"/>
          <w:kern w:val="2"/>
          <w:sz w:val="32"/>
          <w:szCs w:val="32"/>
          <w:highlight w:val="none"/>
          <w:lang w:eastAsia="zh-CN"/>
          <w14:textFill>
            <w14:solidFill>
              <w14:schemeClr w14:val="tx1"/>
            </w14:solidFill>
          </w14:textFill>
        </w:rPr>
        <w:t>贸易摩擦信息通报机制，提供相关法规政策信息、风险防范化解等指导</w:t>
      </w:r>
      <w:r>
        <w:rPr>
          <w:rFonts w:hint="default" w:ascii="Times New Roman" w:hAnsi="Times New Roman" w:eastAsia="方正仿宋_GBK" w:cs="Times New Roman"/>
          <w:snapToGrid/>
          <w:color w:val="000000" w:themeColor="text1"/>
          <w:kern w:val="2"/>
          <w:sz w:val="32"/>
          <w:szCs w:val="32"/>
          <w:highlight w:val="none"/>
          <w:lang w:val="en-US" w:eastAsia="zh-CN"/>
          <w14:textFill>
            <w14:solidFill>
              <w14:schemeClr w14:val="tx1"/>
            </w14:solidFill>
          </w14:textFill>
        </w:rPr>
        <w:t>培训服务；</w:t>
      </w:r>
      <w:r>
        <w:rPr>
          <w:rFonts w:hint="default" w:ascii="Times New Roman" w:hAnsi="Times New Roman" w:eastAsia="方正仿宋_GBK" w:cs="Times New Roman"/>
          <w:snapToGrid/>
          <w:color w:val="000000" w:themeColor="text1"/>
          <w:kern w:val="2"/>
          <w:sz w:val="32"/>
          <w:szCs w:val="32"/>
          <w:highlight w:val="none"/>
          <w:lang w:eastAsia="zh-CN"/>
          <w14:textFill>
            <w14:solidFill>
              <w14:schemeClr w14:val="tx1"/>
            </w14:solidFill>
          </w14:textFill>
        </w:rPr>
        <w:t>加大涉外仲裁人才培养力度，推动涉外法治人才交流，提升服务能力和国际竞争力。</w:t>
      </w:r>
    </w:p>
    <w:p>
      <w:pPr>
        <w:pStyle w:val="2"/>
        <w:keepNext w:val="0"/>
        <w:keepLines w:val="0"/>
        <w:pageBreakBefore w:val="0"/>
        <w:widowControl w:val="0"/>
        <w:kinsoku/>
        <w:wordWrap w:val="0"/>
        <w:overflowPunct/>
        <w:topLinePunct/>
        <w:autoSpaceDE/>
        <w:autoSpaceDN/>
        <w:bidi w:val="0"/>
        <w:adjustRightInd/>
        <w:snapToGrid w:val="0"/>
        <w:spacing w:beforeLines="0" w:afterLines="0" w:line="560" w:lineRule="exact"/>
        <w:ind w:left="0" w:leftChars="0" w:firstLine="643" w:firstLineChars="200"/>
        <w:jc w:val="both"/>
        <w:textAlignment w:val="auto"/>
        <w:outlineLvl w:val="1"/>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第十七条【</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纾困救助服务</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因</w:t>
      </w:r>
      <w:r>
        <w:rPr>
          <w:rFonts w:hint="default" w:ascii="Times New Roman" w:hAnsi="Times New Roman" w:eastAsia="方正仿宋_GBK" w:cs="Times New Roman"/>
          <w:color w:val="000000" w:themeColor="text1"/>
          <w:kern w:val="0"/>
          <w:sz w:val="32"/>
          <w:szCs w:val="32"/>
          <w:highlight w:val="none"/>
          <w:lang w:val="en-US" w:eastAsia="zh-CN" w:bidi="ar-SA"/>
          <w14:textFill>
            <w14:solidFill>
              <w14:schemeClr w14:val="tx1"/>
            </w14:solidFill>
          </w14:textFill>
        </w:rPr>
        <w:t>自然灾害、事故灾难或者公共卫生事件等突发事件造成市场主体普遍性生产经营困难的，市、县（区）人民政府及其有关部门应当采取下列纾困救助措施，维护生产秩序和</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产业链供应链稳定，保障市场主体的财产安全和自主经营权利：</w:t>
      </w:r>
    </w:p>
    <w:p>
      <w:pPr>
        <w:pStyle w:val="2"/>
        <w:keepNext w:val="0"/>
        <w:keepLines w:val="0"/>
        <w:pageBreakBefore w:val="0"/>
        <w:widowControl w:val="0"/>
        <w:kinsoku/>
        <w:wordWrap w:val="0"/>
        <w:overflowPunct/>
        <w:topLinePunct/>
        <w:autoSpaceDE/>
        <w:autoSpaceDN/>
        <w:bidi w:val="0"/>
        <w:adjustRightInd/>
        <w:snapToGrid w:val="0"/>
        <w:spacing w:beforeLines="0" w:afterLines="0" w:line="560" w:lineRule="exact"/>
        <w:ind w:left="0" w:leftChars="0"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（一）建立突发事件动态分析评估和反馈机制，对易遭遇风险的行业、市场主体、设施、场所等制定安全保护应急处理方案，纳入应急预案；</w:t>
      </w:r>
    </w:p>
    <w:p>
      <w:pPr>
        <w:pStyle w:val="2"/>
        <w:keepNext w:val="0"/>
        <w:keepLines w:val="0"/>
        <w:pageBreakBefore w:val="0"/>
        <w:widowControl w:val="0"/>
        <w:kinsoku/>
        <w:wordWrap w:val="0"/>
        <w:overflowPunct/>
        <w:topLinePunct/>
        <w:autoSpaceDE/>
        <w:autoSpaceDN/>
        <w:bidi w:val="0"/>
        <w:adjustRightInd/>
        <w:snapToGrid w:val="0"/>
        <w:spacing w:beforeLines="0" w:afterLines="0" w:line="560" w:lineRule="exact"/>
        <w:ind w:left="0" w:leftChars="0"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（二）建立有效的社会动员机制，鼓励市场主体开展互助，采取调整薪酬、弹性工时、轮岗轮休等方式，稳定劳动关系，维持运行并及时复工复产；</w:t>
      </w:r>
    </w:p>
    <w:p>
      <w:pPr>
        <w:pStyle w:val="2"/>
        <w:keepNext w:val="0"/>
        <w:keepLines w:val="0"/>
        <w:pageBreakBefore w:val="0"/>
        <w:widowControl w:val="0"/>
        <w:kinsoku/>
        <w:wordWrap w:val="0"/>
        <w:overflowPunct/>
        <w:topLinePunct/>
        <w:autoSpaceDE/>
        <w:autoSpaceDN/>
        <w:bidi w:val="0"/>
        <w:adjustRightInd/>
        <w:snapToGrid w:val="0"/>
        <w:spacing w:beforeLines="0" w:afterLines="0" w:line="560" w:lineRule="exact"/>
        <w:ind w:left="0" w:leftChars="0"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（三）组织评估突发事件对本地区经济和重点行业的影响，根据评估结果精准制定实施救助、补偿、补贴、减免、返还、安置等措施；</w:t>
      </w:r>
    </w:p>
    <w:p>
      <w:pPr>
        <w:pStyle w:val="2"/>
        <w:keepNext w:val="0"/>
        <w:keepLines w:val="0"/>
        <w:pageBreakBefore w:val="0"/>
        <w:widowControl w:val="0"/>
        <w:kinsoku/>
        <w:wordWrap w:val="0"/>
        <w:overflowPunct/>
        <w:topLinePunct/>
        <w:autoSpaceDE/>
        <w:autoSpaceDN/>
        <w:bidi w:val="0"/>
        <w:adjustRightInd/>
        <w:snapToGrid w:val="0"/>
        <w:spacing w:beforeLines="0" w:afterLines="0" w:line="560" w:lineRule="exact"/>
        <w:ind w:left="0" w:leftChars="0"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（四）鼓励金融机构给予延期还贷、展期续贷、降低利率和减免利息支持；</w:t>
      </w:r>
    </w:p>
    <w:p>
      <w:pPr>
        <w:pStyle w:val="2"/>
        <w:keepNext w:val="0"/>
        <w:keepLines w:val="0"/>
        <w:pageBreakBefore w:val="0"/>
        <w:widowControl w:val="0"/>
        <w:kinsoku/>
        <w:wordWrap w:val="0"/>
        <w:overflowPunct/>
        <w:topLinePunct/>
        <w:autoSpaceDE/>
        <w:autoSpaceDN/>
        <w:bidi w:val="0"/>
        <w:adjustRightInd/>
        <w:snapToGrid w:val="0"/>
        <w:spacing w:beforeLines="0" w:afterLines="0" w:line="560" w:lineRule="exact"/>
        <w:ind w:left="0" w:leftChars="0"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（五）动员行业协会、商会、市场主体开展互助合作；</w:t>
      </w:r>
    </w:p>
    <w:p>
      <w:pPr>
        <w:pStyle w:val="2"/>
        <w:keepNext w:val="0"/>
        <w:keepLines w:val="0"/>
        <w:pageBreakBefore w:val="0"/>
        <w:widowControl w:val="0"/>
        <w:kinsoku/>
        <w:wordWrap w:val="0"/>
        <w:overflowPunct/>
        <w:topLinePunct/>
        <w:autoSpaceDE/>
        <w:autoSpaceDN/>
        <w:bidi w:val="0"/>
        <w:adjustRightInd/>
        <w:snapToGrid w:val="0"/>
        <w:spacing w:beforeLines="0" w:afterLines="0" w:line="560" w:lineRule="exact"/>
        <w:ind w:left="0" w:leftChars="0"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（六）为市场主体寻求法律救济提供必要帮助；</w:t>
      </w:r>
    </w:p>
    <w:p>
      <w:pPr>
        <w:pStyle w:val="2"/>
        <w:keepNext w:val="0"/>
        <w:keepLines w:val="0"/>
        <w:pageBreakBefore w:val="0"/>
        <w:widowControl w:val="0"/>
        <w:kinsoku/>
        <w:wordWrap w:val="0"/>
        <w:overflowPunct/>
        <w:topLinePunct/>
        <w:autoSpaceDE/>
        <w:autoSpaceDN/>
        <w:bidi w:val="0"/>
        <w:adjustRightInd/>
        <w:snapToGrid w:val="0"/>
        <w:spacing w:beforeLines="0" w:afterLines="0" w:line="560" w:lineRule="exact"/>
        <w:ind w:left="0" w:leftChars="0" w:firstLine="640" w:firstLineChars="200"/>
        <w:jc w:val="both"/>
        <w:textAlignment w:val="auto"/>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（七）对突发事件中临时征用的应急物资，应当及时返还，无法返还的，应当依法补偿。</w:t>
      </w:r>
    </w:p>
    <w:p>
      <w:pPr>
        <w:keepNext w:val="0"/>
        <w:keepLines w:val="0"/>
        <w:pageBreakBefore w:val="0"/>
        <w:widowControl w:val="0"/>
        <w:kinsoku/>
        <w:wordWrap w:val="0"/>
        <w:overflowPunct/>
        <w:topLinePunct/>
        <w:autoSpaceDE/>
        <w:autoSpaceDN/>
        <w:bidi w:val="0"/>
        <w:adjustRightInd/>
        <w:snapToGrid w:val="0"/>
        <w:spacing w:beforeLines="0" w:afterLines="0" w:line="560" w:lineRule="exact"/>
        <w:ind w:left="0" w:firstLine="643" w:firstLineChars="200"/>
        <w:jc w:val="both"/>
        <w:textAlignment w:val="auto"/>
        <w:outlineLvl w:val="1"/>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十八条【公用企事业单位公共服务】</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市、县（区）人民政府应当建立健全</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跨部门协同和</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市场主体用水用电用气监测预警保障服务机制；实施</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推广</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“水电气网</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视</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”联合报装制度，</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加强</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市政基础设施综合管理平台建设，</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实现</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供水、供电、供气、通信、</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有线电视</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等业务系统数据互通</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共享</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、道路挖掘审批等关联事项并联办理；</w:t>
      </w:r>
      <w:r>
        <w:rPr>
          <w:rFonts w:hint="default" w:ascii="Times New Roman" w:hAnsi="Times New Roman" w:eastAsia="方正仿宋_GBK" w:cs="Times New Roman"/>
          <w:color w:val="000000" w:themeColor="text1"/>
          <w:highlight w:val="none"/>
          <w:lang w:val="en-US"/>
          <w14:textFill>
            <w14:solidFill>
              <w14:schemeClr w14:val="tx1"/>
            </w14:solidFill>
          </w14:textFill>
        </w:rPr>
        <w:t>实施推广</w:t>
      </w:r>
      <w:r>
        <w:rPr>
          <w:rFonts w:hint="default" w:ascii="Times New Roman" w:hAnsi="Times New Roman" w:eastAsia="方正仿宋_GBK" w:cs="Times New Roman"/>
          <w:color w:val="000000" w:themeColor="text1"/>
          <w:highlight w:val="none"/>
          <w:lang w:val="en-US" w:eastAsia="zh-CN"/>
          <w14:textFill>
            <w14:solidFill>
              <w14:schemeClr w14:val="tx1"/>
            </w14:solidFill>
          </w14:textFill>
        </w:rPr>
        <w:t>“信用+供水服务”</w:t>
      </w:r>
      <w:r>
        <w:rPr>
          <w:rFonts w:hint="default" w:ascii="Times New Roman" w:hAnsi="Times New Roman" w:eastAsia="方正仿宋_GBK" w:cs="Times New Roman"/>
          <w:color w:val="000000" w:themeColor="text1"/>
          <w:highlight w:val="none"/>
          <w:lang w:val="en-US"/>
          <w14:textFill>
            <w14:solidFill>
              <w14:schemeClr w14:val="tx1"/>
            </w14:solidFill>
          </w14:textFill>
        </w:rPr>
        <w:t>“信用+供电服务”</w:t>
      </w:r>
      <w:r>
        <w:rPr>
          <w:rFonts w:hint="default" w:ascii="Times New Roman" w:hAnsi="Times New Roman" w:eastAsia="方正仿宋_GBK" w:cs="Times New Roman"/>
          <w:color w:val="000000" w:themeColor="text1"/>
          <w:highlight w:val="none"/>
          <w:lang w:val="en-US" w:eastAsia="zh-CN"/>
          <w14:textFill>
            <w14:solidFill>
              <w14:schemeClr w14:val="tx1"/>
            </w14:solidFill>
          </w14:textFill>
        </w:rPr>
        <w:t>“信用+供气服务”</w:t>
      </w:r>
      <w:r>
        <w:rPr>
          <w:rFonts w:hint="default" w:ascii="Times New Roman" w:hAnsi="Times New Roman" w:eastAsia="方正仿宋_GBK" w:cs="Times New Roman"/>
          <w:color w:val="000000" w:themeColor="text1"/>
          <w:highlight w:val="none"/>
          <w:lang w:val="en-US"/>
          <w14:textFill>
            <w14:solidFill>
              <w14:schemeClr w14:val="tx1"/>
            </w14:solidFill>
          </w14:textFill>
        </w:rPr>
        <w:t>告知承诺制</w:t>
      </w:r>
      <w:r>
        <w:rPr>
          <w:rFonts w:hint="default" w:ascii="Times New Roman" w:hAnsi="Times New Roman" w:eastAsia="方正仿宋_GBK" w:cs="Times New Roman"/>
          <w:color w:val="000000" w:themeColor="text1"/>
          <w:highlight w:val="none"/>
          <w:lang w:val="en-US" w:eastAsia="zh-CN"/>
          <w14:textFill>
            <w14:solidFill>
              <w14:schemeClr w14:val="tx1"/>
            </w14:solidFill>
          </w14:textFill>
        </w:rPr>
        <w:t>，拓展“信用办水”“信用办电”“信用办气”适用对象范围，</w:t>
      </w:r>
      <w:r>
        <w:rPr>
          <w:rFonts w:hint="default" w:ascii="Times New Roman" w:hAnsi="Times New Roman" w:eastAsia="方正仿宋_GBK" w:cs="Times New Roman"/>
          <w:bCs w:val="0"/>
          <w:smallCaps/>
          <w:snapToGrid/>
          <w:color w:val="000000" w:themeColor="text1"/>
          <w:kern w:val="2"/>
          <w:sz w:val="32"/>
          <w:szCs w:val="32"/>
          <w:highlight w:val="none"/>
          <w:lang w:val="en-US" w:eastAsia="zh-CN"/>
          <w14:textFill>
            <w14:solidFill>
              <w14:schemeClr w14:val="tx1"/>
            </w14:solidFill>
          </w14:textFill>
        </w:rPr>
        <w:t>为符合条件的诚实守信市场主体便捷获得公共服务、降低经营成本提供支持。</w:t>
      </w:r>
    </w:p>
    <w:p>
      <w:pPr>
        <w:keepNext w:val="0"/>
        <w:keepLines w:val="0"/>
        <w:pageBreakBefore w:val="0"/>
        <w:widowControl w:val="0"/>
        <w:kinsoku/>
        <w:wordWrap w:val="0"/>
        <w:overflowPunct/>
        <w:topLinePunct/>
        <w:autoSpaceDE/>
        <w:autoSpaceDN/>
        <w:bidi w:val="0"/>
        <w:snapToGrid w:val="0"/>
        <w:spacing w:beforeLines="0" w:line="560" w:lineRule="exact"/>
        <w:ind w:firstLine="640" w:firstLineChars="200"/>
        <w:rPr>
          <w:rFonts w:hint="default" w:ascii="Times New Roman" w:hAnsi="Times New Roman" w:eastAsia="方正仿宋_GBK" w:cs="Times New Roman"/>
          <w:color w:val="000000" w:themeColor="text1"/>
          <w:highlight w:val="no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供水、供电、供气、通信、</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有线电视</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等公用</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企事业单位应当依法公开服务标准、资费标准、办理流程、办理时限等信息，</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简化报装手续、优化办理流程、</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压缩办理时限，</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提高服务效率；不得</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强迫市场主体接受不合理的服务条件</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严格执行政府价格政策</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，取消不合理收费；</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确保公共服务</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符合安全、消防、环保等相关要求和技术标准，</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保障</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市场主体服务质量，不得违法拒绝或者</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无正当理由</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中断服务。</w:t>
      </w:r>
    </w:p>
    <w:p>
      <w:pPr>
        <w:keepNext w:val="0"/>
        <w:keepLines w:val="0"/>
        <w:pageBreakBefore w:val="0"/>
        <w:widowControl w:val="0"/>
        <w:kinsoku/>
        <w:wordWrap w:val="0"/>
        <w:overflowPunct/>
        <w:topLinePunct/>
        <w:autoSpaceDE/>
        <w:autoSpaceDN/>
        <w:bidi w:val="0"/>
        <w:adjustRightInd/>
        <w:snapToGrid w:val="0"/>
        <w:spacing w:beforeLines="0" w:afterLines="0" w:line="560" w:lineRule="exact"/>
        <w:ind w:left="0" w:firstLine="640" w:firstLineChars="200"/>
        <w:jc w:val="both"/>
        <w:textAlignment w:val="auto"/>
        <w:outlineLvl w:val="9"/>
        <w:rPr>
          <w:rFonts w:hint="default" w:ascii="Times New Roman" w:hAnsi="Times New Roman" w:eastAsia="方正仿宋_GBK" w:cs="Times New Roman"/>
          <w:smallCaps/>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smallCaps/>
          <w:color w:val="000000" w:themeColor="text1"/>
          <w:sz w:val="32"/>
          <w:szCs w:val="32"/>
          <w:highlight w:val="none"/>
          <w:lang w:val="en-US" w:eastAsia="zh-CN"/>
          <w14:textFill>
            <w14:solidFill>
              <w14:schemeClr w14:val="tx1"/>
            </w14:solidFill>
          </w14:textFill>
        </w:rPr>
        <w:t>供水、供电、供气、通信、有线电视等公用企业事业单位负责编制、管理并公布本单位服务事项办事指南。政府行政主管部门应当对办事指南合理性进行审核，并对相关落实情况进行监督检查。</w:t>
      </w:r>
    </w:p>
    <w:p>
      <w:pPr>
        <w:keepNext w:val="0"/>
        <w:keepLines w:val="0"/>
        <w:pageBreakBefore w:val="0"/>
        <w:widowControl w:val="0"/>
        <w:kinsoku/>
        <w:wordWrap w:val="0"/>
        <w:overflowPunct/>
        <w:topLinePunct/>
        <w:autoSpaceDE/>
        <w:autoSpaceDN/>
        <w:bidi w:val="0"/>
        <w:adjustRightInd/>
        <w:snapToGrid w:val="0"/>
        <w:spacing w:beforeLines="0" w:afterLines="0" w:line="560" w:lineRule="exact"/>
        <w:ind w:left="0" w:firstLine="643" w:firstLineChars="200"/>
        <w:jc w:val="both"/>
        <w:textAlignment w:val="auto"/>
        <w:outlineLvl w:val="1"/>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十九条【工商业联合会、行业协会商会服务】</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市、县（区）</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工商业联合会</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应当</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按照法律、法规和章程规定，协助政府开展服务，探索建立适应市场主体发展需要的服务载体和机制，反映市场主体合理诉求，维护市场主体合法权益。</w:t>
      </w:r>
    </w:p>
    <w:p>
      <w:pPr>
        <w:keepNext w:val="0"/>
        <w:keepLines w:val="0"/>
        <w:pageBreakBefore w:val="0"/>
        <w:widowControl w:val="0"/>
        <w:kinsoku/>
        <w:wordWrap w:val="0"/>
        <w:overflowPunct/>
        <w:topLinePunct/>
        <w:autoSpaceDE/>
        <w:autoSpaceDN/>
        <w:bidi w:val="0"/>
        <w:adjustRightInd/>
        <w:snapToGrid w:val="0"/>
        <w:spacing w:beforeLines="0" w:afterLines="0" w:line="560" w:lineRule="exact"/>
        <w:ind w:left="0" w:firstLine="640" w:firstLineChars="200"/>
        <w:jc w:val="both"/>
        <w:textAlignment w:val="auto"/>
        <w:outlineLvl w:val="9"/>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14:textFill>
            <w14:solidFill>
              <w14:schemeClr w14:val="tx1"/>
            </w14:solidFill>
          </w14:textFill>
        </w:rPr>
        <w:t>行业协会商会</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应当</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为所在行业提供信息咨询、宣传培训、市场拓展、权益保护</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以</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及纠纷处理等方面的服务；</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应当建立诚信承诺制度和自律公约，积极规范会员行为，引导本行业的</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市场主体</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依法竞争</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；协助政府开展政策解读、招商引</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资、市场拓</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展</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、信息交流、人才培训</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和行业运行监测</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等工作；参与相关政策、规划和标准制定。</w:t>
      </w:r>
    </w:p>
    <w:p>
      <w:pPr>
        <w:keepNext w:val="0"/>
        <w:keepLines w:val="0"/>
        <w:pageBreakBefore w:val="0"/>
        <w:widowControl w:val="0"/>
        <w:kinsoku/>
        <w:wordWrap w:val="0"/>
        <w:overflowPunct/>
        <w:topLinePunct/>
        <w:autoSpaceDE/>
        <w:autoSpaceDN/>
        <w:bidi w:val="0"/>
        <w:adjustRightInd/>
        <w:snapToGrid w:val="0"/>
        <w:spacing w:beforeLines="0" w:afterLines="0" w:line="560" w:lineRule="exact"/>
        <w:ind w:left="0" w:firstLine="640" w:firstLineChars="200"/>
        <w:jc w:val="both"/>
        <w:textAlignment w:val="auto"/>
        <w:outlineLvl w:val="9"/>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市、县（区）人民政府应当注重指导、培育和发展各类</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行业协会商会</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引导行业协会商会制定</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符合高质量发展要求的行业发展标准、技术服务标准</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依法</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严格</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规范</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和</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监督各类行业协会商会的收费</w:t>
      </w:r>
      <w:r>
        <w:rPr>
          <w:rFonts w:hint="default" w:ascii="Times New Roman" w:hAnsi="Times New Roman" w:eastAsia="方正仿宋_GBK" w:cs="Times New Roman"/>
          <w:i w:val="0"/>
          <w:iCs w:val="0"/>
          <w:color w:val="000000" w:themeColor="text1"/>
          <w:sz w:val="32"/>
          <w:szCs w:val="32"/>
          <w:highlight w:val="none"/>
          <w:u w:val="none"/>
          <w14:textFill>
            <w14:solidFill>
              <w14:schemeClr w14:val="tx1"/>
            </w14:solidFill>
          </w14:textFill>
        </w:rPr>
        <w:t>、评比、认证</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等行为</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；鼓励依法建立行业性纠纷调解或者专业调解组织</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二十</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【规范性</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文件制定要求</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本市制定涉及服务市场主体的地方性法规、规章、行政规范性文件应当符合下列要求：</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（一）进行科学性、合理性以及协调性评估；</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（二）进行公平竞争审查；</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（三）充分听取市场主体</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工商业联合会、企业联合会以及行业协会商会、产业园区的意见；</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（四）设置合理过渡期，为市场主体留出必要的适应调整期；</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（五）明确配套规定制定时限，时限最长不得超过一年；</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（六）法律法规规定的其他要求。</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涉及服务市场主体的本市地方性法规、规章、行政规范性文件设置过渡期的，负责政策实施的主管部门应当做好实施前准备工作，并指导有需要的市场主体制定科学整改方案，帮助市场主体在调整期届满前符合政策要求。</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二十一</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政策公布适用与法治宣传解读</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市、县</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区</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人民政府及其有关部门应当完善涉及</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市场主体</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的政策信息公开发布制度，优化政府网站、政策服务数字化平台等政务媒体的政策集中发布、归类展示、精准推送、查询搜索等功能，为</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市场主体</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查询政策内容和依法可以公开的政务数据信息等事项提供统一便捷的渠道。</w:t>
      </w:r>
    </w:p>
    <w:p>
      <w:pPr>
        <w:keepNext w:val="0"/>
        <w:keepLines w:val="0"/>
        <w:pageBreakBefore w:val="0"/>
        <w:widowControl w:val="0"/>
        <w:kinsoku/>
        <w:wordWrap w:val="0"/>
        <w:overflowPunct/>
        <w:topLinePunct/>
        <w:autoSpaceDE/>
        <w:autoSpaceDN/>
        <w:bidi w:val="0"/>
        <w:snapToGrid w:val="0"/>
        <w:spacing w:beforeLines="0" w:line="560" w:lineRule="exact"/>
        <w:ind w:firstLine="640" w:firstLineChars="200"/>
        <w:outlineLvl w:val="9"/>
        <w:rPr>
          <w:rFonts w:hint="default" w:ascii="Times New Roman" w:hAnsi="Times New Roman" w:eastAsia="方正仿宋_GBK" w:cs="Times New Roman"/>
          <w:color w:val="000000" w:themeColor="text1"/>
          <w:highlight w:val="none"/>
          <w14:textFill>
            <w14:solidFill>
              <w14:schemeClr w14:val="tx1"/>
            </w14:solidFill>
          </w14:textFill>
        </w:rPr>
      </w:pPr>
      <w:r>
        <w:rPr>
          <w:rFonts w:hint="default" w:ascii="Times New Roman" w:hAnsi="Times New Roman" w:eastAsia="方正仿宋_GBK" w:cs="Times New Roman"/>
          <w:color w:val="000000" w:themeColor="text1"/>
          <w:kern w:val="44"/>
          <w:sz w:val="32"/>
          <w:szCs w:val="32"/>
          <w:highlight w:val="none"/>
          <w:lang w:val="en-US" w:eastAsia="zh-CN"/>
          <w14:textFill>
            <w14:solidFill>
              <w14:schemeClr w14:val="tx1"/>
            </w14:solidFill>
          </w14:textFill>
        </w:rPr>
        <w:t>市、县（区）</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人民政府有关部门应当编制免予申报、直接享受的优惠政策清单。符合条件的</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市场主体</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，可以免予申报、直接享受政策。</w:t>
      </w:r>
    </w:p>
    <w:p>
      <w:pPr>
        <w:pStyle w:val="2"/>
        <w:keepNext w:val="0"/>
        <w:keepLines w:val="0"/>
        <w:pageBreakBefore w:val="0"/>
        <w:widowControl w:val="0"/>
        <w:kinsoku/>
        <w:wordWrap w:val="0"/>
        <w:overflowPunct/>
        <w:topLinePunct/>
        <w:autoSpaceDE/>
        <w:autoSpaceDN/>
        <w:bidi w:val="0"/>
        <w:adjustRightInd/>
        <w:snapToGrid w:val="0"/>
        <w:spacing w:beforeLines="0" w:afterLines="0" w:line="560" w:lineRule="exact"/>
        <w:ind w:left="0" w:leftChars="0" w:firstLine="640" w:firstLineChars="200"/>
        <w:jc w:val="both"/>
        <w:textAlignment w:val="auto"/>
        <w:outlineLvl w:val="9"/>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市、县（区）</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人民政府各有关部门应当</w:t>
      </w:r>
      <w:r>
        <w:rPr>
          <w:rFonts w:hint="default" w:ascii="Times New Roman" w:hAnsi="Times New Roman" w:eastAsia="方正仿宋_GBK" w:cs="Times New Roman"/>
          <w:color w:val="000000" w:themeColor="text1"/>
          <w:spacing w:val="6"/>
          <w:kern w:val="0"/>
          <w:sz w:val="32"/>
          <w:szCs w:val="32"/>
          <w:highlight w:val="none"/>
          <w:lang w:val="en-US" w:eastAsia="zh-CN" w:bidi="ar"/>
          <w14:textFill>
            <w14:solidFill>
              <w14:schemeClr w14:val="tx1"/>
            </w14:solidFill>
          </w14:textFill>
        </w:rPr>
        <w:t>联合总工会、工商业联合会、商事仲裁机构、企业联合会、律师协会等组织，</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加强</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优化</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涉及市场主体服务的法律、法规、规章和政策措施的宣传，引导社会力量共同参与</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优化市场主体服务活动</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p>
    <w:p>
      <w:pPr>
        <w:pStyle w:val="2"/>
        <w:keepNext w:val="0"/>
        <w:keepLines w:val="0"/>
        <w:pageBreakBefore w:val="0"/>
        <w:widowControl w:val="0"/>
        <w:kinsoku/>
        <w:wordWrap w:val="0"/>
        <w:overflowPunct/>
        <w:topLinePunct/>
        <w:autoSpaceDE/>
        <w:autoSpaceDN/>
        <w:bidi w:val="0"/>
        <w:adjustRightInd/>
        <w:snapToGrid w:val="0"/>
        <w:spacing w:beforeLines="0" w:afterLines="0" w:line="560" w:lineRule="exact"/>
        <w:ind w:left="0" w:leftChars="0" w:firstLine="640" w:firstLineChars="200"/>
        <w:jc w:val="both"/>
        <w:textAlignment w:val="auto"/>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法律、法规、规章和政策性文件颁布施行可能对市场主体生产经营</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活动</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造成重大影响的，市人民政府各有关部门可以会同相关行业协会商会，为有关市场主体提供法律、法规和政策解读等服务。</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i/>
          <w:iCs/>
          <w:color w:val="000000" w:themeColor="text1"/>
          <w:kern w:val="44"/>
          <w:sz w:val="32"/>
          <w:szCs w:val="32"/>
          <w:highlight w:val="none"/>
          <w:u w:val="single"/>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二十二</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条【政府</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守信践诺保证</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color w:val="000000" w:themeColor="text1"/>
          <w:kern w:val="44"/>
          <w:sz w:val="32"/>
          <w:szCs w:val="32"/>
          <w:highlight w:val="none"/>
          <w:lang w:val="en-US"/>
          <w14:textFill>
            <w14:solidFill>
              <w14:schemeClr w14:val="tx1"/>
            </w14:solidFill>
          </w14:textFill>
        </w:rPr>
        <w:t>各级</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人民政府</w:t>
      </w:r>
      <w:r>
        <w:rPr>
          <w:rFonts w:hint="default" w:ascii="Times New Roman" w:hAnsi="Times New Roman" w:eastAsia="方正仿宋_GBK" w:cs="Times New Roman"/>
          <w:color w:val="000000" w:themeColor="text1"/>
          <w:kern w:val="44"/>
          <w:sz w:val="32"/>
          <w:szCs w:val="32"/>
          <w:highlight w:val="none"/>
          <w:lang w:val="en-US" w:eastAsia="zh-CN"/>
          <w14:textFill>
            <w14:solidFill>
              <w14:schemeClr w14:val="tx1"/>
            </w14:solidFill>
          </w14:textFill>
        </w:rPr>
        <w:t>及其</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有关部门应当保持政策的连续</w:t>
      </w:r>
      <w:r>
        <w:rPr>
          <w:rFonts w:hint="default" w:ascii="Times New Roman" w:hAnsi="Times New Roman" w:eastAsia="方正仿宋_GBK" w:cs="Times New Roman"/>
          <w:color w:val="000000" w:themeColor="text1"/>
          <w:kern w:val="44"/>
          <w:sz w:val="32"/>
          <w:szCs w:val="32"/>
          <w:highlight w:val="none"/>
          <w:lang w:val="en-US" w:eastAsia="zh-CN"/>
          <w14:textFill>
            <w14:solidFill>
              <w14:schemeClr w14:val="tx1"/>
            </w14:solidFill>
          </w14:textFill>
        </w:rPr>
        <w:t>性</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和稳定</w:t>
      </w:r>
      <w:r>
        <w:rPr>
          <w:rFonts w:hint="default" w:ascii="Times New Roman" w:hAnsi="Times New Roman" w:eastAsia="方正仿宋_GBK" w:cs="Times New Roman"/>
          <w:color w:val="000000" w:themeColor="text1"/>
          <w:kern w:val="44"/>
          <w:sz w:val="32"/>
          <w:szCs w:val="32"/>
          <w:highlight w:val="none"/>
          <w:lang w:val="en-US" w:eastAsia="zh-CN"/>
          <w14:textFill>
            <w14:solidFill>
              <w14:schemeClr w14:val="tx1"/>
            </w14:solidFill>
          </w14:textFill>
        </w:rPr>
        <w:t>性</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，履行向市场主体依法作出的政策承诺以及依法订立的合同，不得以行政区划调整、政府换届、机构或者职能调整以及</w:t>
      </w:r>
      <w:r>
        <w:rPr>
          <w:rFonts w:hint="default" w:ascii="Times New Roman" w:hAnsi="Times New Roman" w:eastAsia="方正仿宋_GBK" w:cs="Times New Roman"/>
          <w:color w:val="000000" w:themeColor="text1"/>
          <w:kern w:val="44"/>
          <w:sz w:val="32"/>
          <w:szCs w:val="32"/>
          <w:highlight w:val="none"/>
          <w:lang w:eastAsia="zh-CN"/>
          <w14:textFill>
            <w14:solidFill>
              <w14:schemeClr w14:val="tx1"/>
            </w14:solidFill>
          </w14:textFill>
        </w:rPr>
        <w:t>有关</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责任人更替等为由不履行、不完全履行或者迟延履行。</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kern w:val="44"/>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因国家利益、公共利益或者其他法定事由需要改变政策承诺、合同约定的，应当依照法定权限和程序进行</w:t>
      </w:r>
      <w:r>
        <w:rPr>
          <w:rFonts w:hint="default" w:ascii="Times New Roman" w:hAnsi="Times New Roman" w:eastAsia="方正仿宋_GBK" w:cs="Times New Roman"/>
          <w:color w:val="000000" w:themeColor="text1"/>
          <w:kern w:val="44"/>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给市场主体造成损失的，应当依法与市场主体签订书面补偿协议</w:t>
      </w:r>
      <w:r>
        <w:rPr>
          <w:rFonts w:hint="default" w:ascii="Times New Roman" w:hAnsi="Times New Roman" w:eastAsia="方正仿宋_GBK" w:cs="Times New Roman"/>
          <w:color w:val="000000" w:themeColor="text1"/>
          <w:kern w:val="44"/>
          <w:sz w:val="32"/>
          <w:szCs w:val="32"/>
          <w:highlight w:val="none"/>
          <w:lang w:val="en-US" w:eastAsia="zh-CN"/>
          <w14:textFill>
            <w14:solidFill>
              <w14:schemeClr w14:val="tx1"/>
            </w14:solidFill>
          </w14:textFill>
        </w:rPr>
        <w:t>并</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予以补偿。</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kern w:val="44"/>
          <w:sz w:val="32"/>
          <w:szCs w:val="32"/>
          <w:highlight w:val="none"/>
          <w:lang w:val="en-US" w:eastAsia="zh-CN"/>
          <w14:textFill>
            <w14:solidFill>
              <w14:schemeClr w14:val="tx1"/>
            </w14:solidFill>
          </w14:textFill>
        </w:rPr>
        <w:t>市、县（区）人民政府部门</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职能调整的，应当及时向社会公开职能调整</w:t>
      </w:r>
      <w:r>
        <w:rPr>
          <w:rFonts w:hint="default" w:ascii="Times New Roman" w:hAnsi="Times New Roman" w:eastAsia="方正仿宋_GBK" w:cs="Times New Roman"/>
          <w:color w:val="000000" w:themeColor="text1"/>
          <w:kern w:val="44"/>
          <w:sz w:val="32"/>
          <w:szCs w:val="32"/>
          <w:highlight w:val="none"/>
          <w:lang w:val="en-US" w:eastAsia="zh-CN"/>
          <w14:textFill>
            <w14:solidFill>
              <w14:schemeClr w14:val="tx1"/>
            </w14:solidFill>
          </w14:textFill>
        </w:rPr>
        <w:t>有关</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信息</w:t>
      </w:r>
      <w:r>
        <w:rPr>
          <w:rFonts w:hint="default" w:ascii="Times New Roman" w:hAnsi="Times New Roman" w:eastAsia="方正仿宋_GBK" w:cs="Times New Roman"/>
          <w:color w:val="000000" w:themeColor="text1"/>
          <w:kern w:val="44"/>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需</w:t>
      </w:r>
      <w:r>
        <w:rPr>
          <w:rFonts w:hint="default" w:ascii="Times New Roman" w:hAnsi="Times New Roman" w:eastAsia="方正仿宋_GBK" w:cs="Times New Roman"/>
          <w:color w:val="000000" w:themeColor="text1"/>
          <w:kern w:val="44"/>
          <w:sz w:val="32"/>
          <w:szCs w:val="32"/>
          <w:highlight w:val="none"/>
          <w:lang w:val="en-US" w:eastAsia="zh-CN"/>
          <w14:textFill>
            <w14:solidFill>
              <w14:schemeClr w14:val="tx1"/>
            </w14:solidFill>
          </w14:textFill>
        </w:rPr>
        <w:t>要</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调整原</w:t>
      </w:r>
      <w:r>
        <w:rPr>
          <w:rFonts w:hint="default" w:ascii="Times New Roman" w:hAnsi="Times New Roman" w:eastAsia="方正仿宋_GBK" w:cs="Times New Roman"/>
          <w:color w:val="000000" w:themeColor="text1"/>
          <w:kern w:val="44"/>
          <w:sz w:val="32"/>
          <w:szCs w:val="32"/>
          <w:highlight w:val="none"/>
          <w:lang w:val="en-US" w:eastAsia="zh-CN"/>
          <w14:textFill>
            <w14:solidFill>
              <w14:schemeClr w14:val="tx1"/>
            </w14:solidFill>
          </w14:textFill>
        </w:rPr>
        <w:t>合同</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签约主体的，应当</w:t>
      </w:r>
      <w:r>
        <w:rPr>
          <w:rFonts w:hint="default" w:ascii="Times New Roman" w:hAnsi="Times New Roman" w:eastAsia="方正仿宋_GBK" w:cs="Times New Roman"/>
          <w:color w:val="000000" w:themeColor="text1"/>
          <w:kern w:val="44"/>
          <w:sz w:val="32"/>
          <w:szCs w:val="32"/>
          <w:highlight w:val="none"/>
          <w:lang w:val="en-US" w:eastAsia="zh-CN"/>
          <w14:textFill>
            <w14:solidFill>
              <w14:schemeClr w14:val="tx1"/>
            </w14:solidFill>
          </w14:textFill>
        </w:rPr>
        <w:t>主动</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与</w:t>
      </w:r>
      <w:r>
        <w:rPr>
          <w:rFonts w:hint="default" w:ascii="Times New Roman" w:hAnsi="Times New Roman" w:eastAsia="方正仿宋_GBK" w:cs="Times New Roman"/>
          <w:color w:val="000000" w:themeColor="text1"/>
          <w:kern w:val="44"/>
          <w:sz w:val="32"/>
          <w:szCs w:val="32"/>
          <w:highlight w:val="none"/>
          <w:lang w:val="en-US" w:eastAsia="zh-CN"/>
          <w14:textFill>
            <w14:solidFill>
              <w14:schemeClr w14:val="tx1"/>
            </w14:solidFill>
          </w14:textFill>
        </w:rPr>
        <w:t>有关市场主体</w:t>
      </w:r>
      <w:r>
        <w:rPr>
          <w:rFonts w:hint="default" w:ascii="Times New Roman" w:hAnsi="Times New Roman" w:eastAsia="方正仿宋_GBK" w:cs="Times New Roman"/>
          <w:color w:val="000000" w:themeColor="text1"/>
          <w:kern w:val="44"/>
          <w:sz w:val="32"/>
          <w:szCs w:val="32"/>
          <w:highlight w:val="none"/>
          <w14:textFill>
            <w14:solidFill>
              <w14:schemeClr w14:val="tx1"/>
            </w14:solidFill>
          </w14:textFill>
        </w:rPr>
        <w:t>签订补充协议。</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i w:val="0"/>
          <w:iCs w:val="0"/>
          <w:color w:val="000000" w:themeColor="text1"/>
          <w:sz w:val="32"/>
          <w:szCs w:val="32"/>
          <w:highlight w:val="none"/>
          <w:u w:val="none"/>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第二十三条【法律服务体系、劳动保障措施、</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纠纷解决机制</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w:t>
      </w:r>
      <w:r>
        <w:rPr>
          <w:rFonts w:hint="default" w:ascii="Times New Roman" w:hAnsi="Times New Roman" w:eastAsia="方正仿宋_GBK" w:cs="Times New Roman"/>
          <w:b w:val="0"/>
          <w:bCs w:val="0"/>
          <w:i w:val="0"/>
          <w:iCs w:val="0"/>
          <w:color w:val="000000" w:themeColor="text1"/>
          <w:sz w:val="32"/>
          <w:szCs w:val="32"/>
          <w:highlight w:val="none"/>
          <w:u w:val="none"/>
          <w:lang w:val="en-US" w:eastAsia="zh-CN"/>
          <w14:textFill>
            <w14:solidFill>
              <w14:schemeClr w14:val="tx1"/>
            </w14:solidFill>
          </w14:textFill>
        </w:rPr>
        <w:t>市、县（区）司法行政部门应当</w:t>
      </w:r>
      <w:r>
        <w:rPr>
          <w:rFonts w:hint="default" w:ascii="Times New Roman" w:hAnsi="Times New Roman" w:eastAsia="方正仿宋_GBK" w:cs="Times New Roman"/>
          <w:i w:val="0"/>
          <w:iCs w:val="0"/>
          <w:color w:val="000000" w:themeColor="text1"/>
          <w:sz w:val="32"/>
          <w:szCs w:val="32"/>
          <w:highlight w:val="none"/>
          <w:u w:val="none"/>
          <w14:textFill>
            <w14:solidFill>
              <w14:schemeClr w14:val="tx1"/>
            </w14:solidFill>
          </w14:textFill>
        </w:rPr>
        <w:t>加强公共法律服务体系建设，</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整合</w:t>
      </w:r>
      <w:r>
        <w:rPr>
          <w:rFonts w:hint="default" w:ascii="Times New Roman" w:hAnsi="Times New Roman" w:eastAsia="方正仿宋_GBK" w:cs="Times New Roman"/>
          <w:i w:val="0"/>
          <w:iCs w:val="0"/>
          <w:color w:val="000000" w:themeColor="text1"/>
          <w:sz w:val="32"/>
          <w:szCs w:val="32"/>
          <w:highlight w:val="none"/>
          <w:u w:val="none"/>
          <w14:textFill>
            <w14:solidFill>
              <w14:schemeClr w14:val="tx1"/>
            </w14:solidFill>
          </w14:textFill>
        </w:rPr>
        <w:t>律师、公证、法律援助、司法鉴定、调解、仲裁等公共法律服务资源，加强服务网络建设，为市场主体提供法律咨询、合同审查、知识产权保护、股权设计、融资、税务、劳动用工、涉外纠纷等全链条的法律服务。</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县（区）人力资源社会保障部门应当加强对经营性人力资源服务机构的监督，依法打击违反法律、法规和规章的职业中介活动等行为；加强规范劳动保障监察工作，依法不再查处职工知道或者应当知道权利被侵害之日起2年内未被发现、举报、投诉的违反劳动保障法律、法规和规章的行为；加强与有关部门信息共享分析，加大协同查处侵害社会保险基金行为的力度。</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司法</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行政</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部门</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、人民法院、仲裁机构</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调解组织等应当加强协调配合，完善诉讼、仲裁</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调解等相衔接的纠纷多元化解机制，畅通诉仲对接、诉调对接等途径，推动一站式多元化纠纷解决机制建设。</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第二十四条【行政检查效能提升】</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市、县（区）人民政府有关部门应当根据监管需求，加强协作，明确联动程序，提高跨部门、跨领域联合检查效能。</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i w:val="0"/>
          <w:iCs w:val="0"/>
          <w:color w:val="000000" w:themeColor="text1"/>
          <w:kern w:val="2"/>
          <w:sz w:val="32"/>
          <w:szCs w:val="32"/>
          <w:highlight w:val="none"/>
          <w:u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不同部门需要在特定区域或者时段对同一</w:t>
      </w:r>
      <w:r>
        <w:rPr>
          <w:rFonts w:hint="default" w:ascii="Times New Roman" w:hAnsi="Times New Roman" w:eastAsia="方正仿宋_GBK" w:cs="Times New Roman"/>
          <w:i w:val="0"/>
          <w:iCs w:val="0"/>
          <w:color w:val="000000" w:themeColor="text1"/>
          <w:kern w:val="2"/>
          <w:sz w:val="32"/>
          <w:szCs w:val="32"/>
          <w:highlight w:val="none"/>
          <w:u w:val="none"/>
          <w:lang w:val="en-US" w:eastAsia="zh-CN" w:bidi="ar-SA"/>
          <w14:textFill>
            <w14:solidFill>
              <w14:schemeClr w14:val="tx1"/>
            </w14:solidFill>
          </w14:textFill>
        </w:rPr>
        <w:t>市场主体实施</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多项检查的，</w:t>
      </w:r>
      <w:r>
        <w:rPr>
          <w:rFonts w:hint="default" w:ascii="Times New Roman" w:hAnsi="Times New Roman" w:eastAsia="方正仿宋_GBK" w:cs="Times New Roman"/>
          <w:i w:val="0"/>
          <w:iCs w:val="0"/>
          <w:color w:val="000000" w:themeColor="text1"/>
          <w:kern w:val="2"/>
          <w:sz w:val="32"/>
          <w:szCs w:val="32"/>
          <w:highlight w:val="none"/>
          <w:u w:val="none"/>
          <w:lang w:val="en-US" w:eastAsia="zh-CN" w:bidi="ar-SA"/>
          <w14:textFill>
            <w14:solidFill>
              <w14:schemeClr w14:val="tx1"/>
            </w14:solidFill>
          </w14:textFill>
        </w:rPr>
        <w:t>应当采用联合检查的方式，由主责部门牵头组织其他部门实施一次检查，完成所有检查内容。</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同一</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部门</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同一时期对同一</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市场主体</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实施多项检查的，原则上应当合并进行。除重点监管的市场主体外，同一系统上级部门已对同一</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市场主体</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检查的，下级部门原则上不得再次实施</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检查，但涉及案件办理、投诉举报处理等事项的除外</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b/>
          <w:bCs/>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第二十五条【行政检查规范化】</w:t>
      </w:r>
      <w:r>
        <w:rPr>
          <w:rFonts w:hint="default" w:ascii="Times New Roman" w:hAnsi="Times New Roman" w:eastAsia="方正仿宋_GBK" w:cs="Times New Roman"/>
          <w:b w:val="0"/>
          <w:bCs w:val="0"/>
          <w:color w:val="000000" w:themeColor="text1"/>
          <w:kern w:val="2"/>
          <w:sz w:val="32"/>
          <w:szCs w:val="32"/>
          <w:highlight w:val="none"/>
          <w:lang w:val="en-US" w:eastAsia="zh-CN" w:bidi="ar-SA"/>
          <w14:textFill>
            <w14:solidFill>
              <w14:schemeClr w14:val="tx1"/>
            </w14:solidFill>
          </w14:textFill>
        </w:rPr>
        <w:t>行政执法部门</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实施行政检查应当遵循合法、适当、必要的原则。</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除直接涉及公共安全和人民群众生命健康等特殊行业、重点领域依法依规实行全覆盖的重点监管外，</w:t>
      </w:r>
      <w:r>
        <w:rPr>
          <w:rFonts w:hint="default" w:ascii="Times New Roman" w:hAnsi="Times New Roman" w:eastAsia="方正仿宋_GBK" w:cs="Times New Roman"/>
          <w:b w:val="0"/>
          <w:bCs w:val="0"/>
          <w:color w:val="000000" w:themeColor="text1"/>
          <w:kern w:val="2"/>
          <w:sz w:val="32"/>
          <w:szCs w:val="32"/>
          <w:highlight w:val="none"/>
          <w:lang w:val="en-US" w:eastAsia="zh-CN" w:bidi="ar-SA"/>
          <w14:textFill>
            <w14:solidFill>
              <w14:schemeClr w14:val="tx1"/>
            </w14:solidFill>
          </w14:textFill>
        </w:rPr>
        <w:t>行政执法部门</w:t>
      </w:r>
      <w:r>
        <w:rPr>
          <w:rFonts w:hint="default" w:ascii="Times New Roman" w:hAnsi="Times New Roman" w:eastAsia="方正仿宋_GBK" w:cs="Times New Roman"/>
          <w:i w:val="0"/>
          <w:iCs w:val="0"/>
          <w:color w:val="000000" w:themeColor="text1"/>
          <w:sz w:val="32"/>
          <w:szCs w:val="32"/>
          <w:highlight w:val="none"/>
          <w14:textFill>
            <w14:solidFill>
              <w14:schemeClr w14:val="tx1"/>
            </w14:solidFill>
          </w14:textFill>
        </w:rPr>
        <w:t>开展检查应当采取随机抽取检查对象、随机选派检查人员</w:t>
      </w:r>
      <w:r>
        <w:rPr>
          <w:rFonts w:hint="default" w:ascii="Times New Roman" w:hAnsi="Times New Roman" w:eastAsia="方正仿宋_GBK" w:cs="Times New Roman"/>
          <w:i w:val="0"/>
          <w:iCs w:val="0"/>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方正仿宋_GBK" w:cs="Times New Roman"/>
          <w:i w:val="0"/>
          <w:iCs w:val="0"/>
          <w:color w:val="000000" w:themeColor="text1"/>
          <w:sz w:val="32"/>
          <w:szCs w:val="32"/>
          <w:highlight w:val="none"/>
          <w14:textFill>
            <w14:solidFill>
              <w14:schemeClr w14:val="tx1"/>
            </w14:solidFill>
          </w14:textFill>
        </w:rPr>
        <w:t>方式，并及时公布检查、处理结果</w:t>
      </w:r>
      <w:r>
        <w:rPr>
          <w:rFonts w:hint="default" w:ascii="Times New Roman" w:hAnsi="Times New Roman" w:eastAsia="方正仿宋_GBK" w:cs="Times New Roman"/>
          <w:i w:val="0"/>
          <w:iCs w:val="0"/>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方正仿宋_GBK" w:cs="Times New Roman"/>
          <w:color w:val="000000" w:themeColor="text1"/>
          <w:highlight w:val="none"/>
          <w14:textFill>
            <w14:solidFill>
              <w14:schemeClr w14:val="tx1"/>
            </w14:solidFill>
          </w14:textFill>
        </w:rPr>
        <w:t>各级行政执法</w:t>
      </w:r>
      <w:r>
        <w:rPr>
          <w:rFonts w:hint="default" w:ascii="Times New Roman" w:hAnsi="Times New Roman" w:eastAsia="方正仿宋_GBK" w:cs="Times New Roman"/>
          <w:color w:val="000000" w:themeColor="text1"/>
          <w:highlight w:val="none"/>
          <w:lang w:val="en-US" w:eastAsia="zh-CN"/>
          <w14:textFill>
            <w14:solidFill>
              <w14:schemeClr w14:val="tx1"/>
            </w14:solidFill>
          </w14:textFill>
        </w:rPr>
        <w:t>部门</w:t>
      </w:r>
      <w:r>
        <w:rPr>
          <w:rFonts w:hint="default" w:ascii="Times New Roman" w:hAnsi="Times New Roman" w:eastAsia="方正仿宋_GBK" w:cs="Times New Roman"/>
          <w:color w:val="000000" w:themeColor="text1"/>
          <w:highlight w:val="none"/>
          <w14:textFill>
            <w14:solidFill>
              <w14:schemeClr w14:val="tx1"/>
            </w14:solidFill>
          </w14:textFill>
        </w:rPr>
        <w:t>通过信息共享、书面核查、网络核验、远程监控、在线监测等非现场检查方式能够达到检查目的的，应当优先采用非现场检查方式，且可以不再进行现场检查。</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市、县（区）人民政府应当</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探索</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推行</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涉企</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行政</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检查“白名单”制度，实行动态评估与退出管理；</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探索推行“安静生产期”制度，除省级及以上部门部署的执法检查、专项整治和有关政策法规规定的工作要求，以及直接关系食品安全、药品安全、安全生产、自然资源保护、生态环境保护等重点领域治理，调查处理自然灾害、事故灾难、公共卫生事件、社会安全事件、投诉举报、涉嫌违法活动，安全隐患正在整改，需要现场督促检查等特殊情形外，各级行政执法部门原则上不对市场主体开展现场行政执法检查。</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市司法行政部门负责指导、监督、推广</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涉企行政检查“亮码入企”制度，规范行政</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执法</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部门涉企行政检查行为。行政执法人员对</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市场主体</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实施行政检查活动时，</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应当</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出示电子行政执法证作为身份凭证，接受监督机构实时跟踪监测行政执法人员定位信息、行踪轨迹、涉企检查行为等情况，</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以及市场主体核验身份信息和检查事项合法性。</w:t>
      </w:r>
      <w:r>
        <w:rPr>
          <w:rFonts w:hint="default" w:ascii="Times New Roman" w:hAnsi="Times New Roman" w:eastAsia="方正仿宋_GBK" w:cs="Times New Roman"/>
          <w:i w:val="0"/>
          <w:iCs w:val="0"/>
          <w:color w:val="000000" w:themeColor="text1"/>
          <w:sz w:val="32"/>
          <w:szCs w:val="32"/>
          <w:highlight w:val="none"/>
          <w:lang w:eastAsia="zh-CN"/>
          <w14:textFill>
            <w14:solidFill>
              <w14:schemeClr w14:val="tx1"/>
            </w14:solidFill>
          </w14:textFill>
        </w:rPr>
        <w:t>法律、法规、</w:t>
      </w:r>
      <w:r>
        <w:rPr>
          <w:rFonts w:hint="default" w:ascii="Times New Roman" w:hAnsi="Times New Roman" w:eastAsia="方正仿宋_GBK" w:cs="Times New Roman"/>
          <w:i w:val="0"/>
          <w:iCs w:val="0"/>
          <w:color w:val="000000" w:themeColor="text1"/>
          <w:sz w:val="32"/>
          <w:szCs w:val="32"/>
          <w:highlight w:val="none"/>
          <w:lang w:val="en-US" w:eastAsia="zh-CN"/>
          <w14:textFill>
            <w14:solidFill>
              <w14:schemeClr w14:val="tx1"/>
            </w14:solidFill>
          </w14:textFill>
        </w:rPr>
        <w:t>规章</w:t>
      </w:r>
      <w:r>
        <w:rPr>
          <w:rFonts w:hint="default" w:ascii="Times New Roman" w:hAnsi="Times New Roman" w:eastAsia="方正仿宋_GBK" w:cs="Times New Roman"/>
          <w:i w:val="0"/>
          <w:iCs w:val="0"/>
          <w:color w:val="000000" w:themeColor="text1"/>
          <w:sz w:val="32"/>
          <w:szCs w:val="32"/>
          <w:highlight w:val="none"/>
          <w:lang w:eastAsia="zh-CN"/>
          <w14:textFill>
            <w14:solidFill>
              <w14:schemeClr w14:val="tx1"/>
            </w14:solidFill>
          </w14:textFill>
        </w:rPr>
        <w:t>另有规定的，从其规定</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二十六</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包容审慎原则适用</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市、县（区）</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人民政府有关部门应当编制监管事项清单，明确监管主体、对象、内容、方式以及针对新技术、新产业、新业态、新模式的包容审慎监管措施。监管事项清单应当向社会公布并实行动态调整。</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市、县（区）</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人民政府</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应当健全</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执法“观察期”</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机制</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完善执法“观察期”制度指引。对符合国家和省政策导向的新技术、新产业、新业态、新模式市场主体，按照市、县（区）有关规定，可以给予合理的执法“观察期”。“观察期”内优先采取教育提醒、劝导示范、警示告诫、行政提示、行政指导、行政约谈等柔性执法方式，谨慎使用行政处罚，引导违法市场主体主动纠正违法行为、自觉守法。</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市、县（区）人民政府及其有关部门</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应当依法归集、披露、使用和管理市场主体及其经营管理者</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的</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公共信用信息，不得违法扩大不良信息、严重失信名单的认定范围，不得违法增设监管措施和惩戒措施。</w:t>
      </w:r>
    </w:p>
    <w:p>
      <w:pPr>
        <w:keepNext w:val="0"/>
        <w:keepLines w:val="0"/>
        <w:pageBreakBefore w:val="0"/>
        <w:widowControl w:val="0"/>
        <w:shd w:val="clear" w:color="auto" w:fill="FFFFFF"/>
        <w:kinsoku/>
        <w:wordWrap w:val="0"/>
        <w:overflowPunct/>
        <w:topLinePunct/>
        <w:autoSpaceDE/>
        <w:autoSpaceDN/>
        <w:bidi w:val="0"/>
        <w:snapToGrid w:val="0"/>
        <w:spacing w:beforeLines="0" w:afterLines="0" w:line="560" w:lineRule="exact"/>
        <w:ind w:left="0" w:firstLine="643" w:firstLineChars="200"/>
        <w:jc w:val="both"/>
        <w:textAlignment w:val="baseline"/>
        <w:outlineLvl w:val="1"/>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pPr>
      <w:r>
        <w:rPr>
          <w:rFonts w:hint="default" w:ascii="Times New Roman" w:hAnsi="Times New Roman" w:eastAsia="方正仿宋_GBK" w:cs="Times New Roman"/>
          <w:b/>
          <w:bCs/>
          <w:i w:val="0"/>
          <w:iCs w:val="0"/>
          <w:color w:val="000000" w:themeColor="text1"/>
          <w:sz w:val="32"/>
          <w:szCs w:val="32"/>
          <w:highlight w:val="none"/>
          <w:u w:val="none"/>
          <w14:textFill>
            <w14:solidFill>
              <w14:schemeClr w14:val="tx1"/>
            </w14:solidFill>
          </w14:textFill>
        </w:rPr>
        <w:t>第</w:t>
      </w:r>
      <w:r>
        <w:rPr>
          <w:rFonts w:hint="default" w:ascii="Times New Roman" w:hAnsi="Times New Roman" w:eastAsia="方正仿宋_GBK" w:cs="Times New Roman"/>
          <w:b/>
          <w:bCs/>
          <w:i w:val="0"/>
          <w:iCs w:val="0"/>
          <w:color w:val="000000" w:themeColor="text1"/>
          <w:sz w:val="32"/>
          <w:szCs w:val="32"/>
          <w:highlight w:val="none"/>
          <w:u w:val="none"/>
          <w:lang w:eastAsia="zh-CN"/>
          <w14:textFill>
            <w14:solidFill>
              <w14:schemeClr w14:val="tx1"/>
            </w14:solidFill>
          </w14:textFill>
        </w:rPr>
        <w:t>二十</w:t>
      </w:r>
      <w:r>
        <w:rPr>
          <w:rFonts w:hint="default" w:ascii="Times New Roman" w:hAnsi="Times New Roman" w:eastAsia="方正仿宋_GBK" w:cs="Times New Roman"/>
          <w:b/>
          <w:bCs/>
          <w:i w:val="0"/>
          <w:iCs w:val="0"/>
          <w:color w:val="000000" w:themeColor="text1"/>
          <w:sz w:val="32"/>
          <w:szCs w:val="32"/>
          <w:highlight w:val="none"/>
          <w:u w:val="none"/>
          <w:lang w:val="en-US" w:eastAsia="zh-CN"/>
          <w14:textFill>
            <w14:solidFill>
              <w14:schemeClr w14:val="tx1"/>
            </w14:solidFill>
          </w14:textFill>
        </w:rPr>
        <w:t>七</w:t>
      </w:r>
      <w:r>
        <w:rPr>
          <w:rFonts w:hint="default" w:ascii="Times New Roman" w:hAnsi="Times New Roman" w:eastAsia="方正仿宋_GBK" w:cs="Times New Roman"/>
          <w:b/>
          <w:bCs/>
          <w:i w:val="0"/>
          <w:iCs w:val="0"/>
          <w:color w:val="000000" w:themeColor="text1"/>
          <w:sz w:val="32"/>
          <w:szCs w:val="32"/>
          <w:highlight w:val="none"/>
          <w:u w:val="none"/>
          <w14:textFill>
            <w14:solidFill>
              <w14:schemeClr w14:val="tx1"/>
            </w14:solidFill>
          </w14:textFill>
        </w:rPr>
        <w:t>条【</w:t>
      </w:r>
      <w:r>
        <w:rPr>
          <w:rFonts w:hint="default" w:ascii="Times New Roman" w:hAnsi="Times New Roman" w:eastAsia="方正仿宋_GBK" w:cs="Times New Roman"/>
          <w:b/>
          <w:bCs/>
          <w:i w:val="0"/>
          <w:iCs w:val="0"/>
          <w:color w:val="000000" w:themeColor="text1"/>
          <w:sz w:val="32"/>
          <w:szCs w:val="32"/>
          <w:highlight w:val="none"/>
          <w:u w:val="none"/>
          <w:lang w:val="en-US" w:eastAsia="zh-CN"/>
          <w14:textFill>
            <w14:solidFill>
              <w14:schemeClr w14:val="tx1"/>
            </w14:solidFill>
          </w14:textFill>
        </w:rPr>
        <w:t>市场管理</w:t>
      </w:r>
      <w:r>
        <w:rPr>
          <w:rFonts w:hint="default" w:ascii="Times New Roman" w:hAnsi="Times New Roman" w:eastAsia="方正仿宋_GBK" w:cs="Times New Roman"/>
          <w:b/>
          <w:bCs/>
          <w:i w:val="0"/>
          <w:iCs w:val="0"/>
          <w:color w:val="000000" w:themeColor="text1"/>
          <w:sz w:val="32"/>
          <w:szCs w:val="32"/>
          <w:highlight w:val="none"/>
          <w:u w:val="none"/>
          <w14:textFill>
            <w14:solidFill>
              <w14:schemeClr w14:val="tx1"/>
            </w14:solidFill>
          </w14:textFill>
        </w:rPr>
        <w:t>容错机制】</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市、县（区）</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人民政府及其</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有关</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部门</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可以</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结合实际情况，在法治框架内积极探索</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服务市场</w:t>
      </w:r>
      <w:bookmarkStart w:id="5" w:name="_GoBack"/>
      <w:bookmarkEnd w:id="5"/>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主体的改革举措和</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提升</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服务水平的具体措施。对探索中出现失误或者偏差，</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但符合</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规定条件的</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可以</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予以免</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责</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或者减轻责任。</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市人民政府应当依法建立统一的市场管理容错机制，建立市场主体轻微违法违规经营行为</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不</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予行政处罚和行政强制清单，对违法行为轻微并及时纠正，没有造成危害后果的，不予行政处罚；对违法行为情节轻微或者社会危害</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较小</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的，可以不</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实施</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行政强制措施</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对违法行为依法需要采取法定措施</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或者</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给予行政处罚的，应当与违法行</w:t>
      </w:r>
      <w:r>
        <w:rPr>
          <w:rFonts w:hint="default" w:ascii="Times New Roman" w:hAnsi="Times New Roman" w:eastAsia="方正仿宋_GBK" w:cs="Times New Roman"/>
          <w:i w:val="0"/>
          <w:iCs w:val="0"/>
          <w:color w:val="000000" w:themeColor="text1"/>
          <w:sz w:val="32"/>
          <w:szCs w:val="32"/>
          <w:highlight w:val="none"/>
          <w:u w:val="none"/>
          <w14:textFill>
            <w14:solidFill>
              <w14:schemeClr w14:val="tx1"/>
            </w14:solidFill>
          </w14:textFill>
        </w:rPr>
        <w:t>为的事实、性质、情节以及社会危害程度相当。</w:t>
      </w:r>
    </w:p>
    <w:p>
      <w:pPr>
        <w:pStyle w:val="7"/>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pPr>
      <w:bookmarkStart w:id="3" w:name="_Hlk85962947"/>
      <w:bookmarkStart w:id="4" w:name="_Hlk85962907"/>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二十八</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服务监督机制</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市、县（区）</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人民政府</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可以</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聘请专家学者、行业协会商会负责人、</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市场主体</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代表</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和</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媒体记者</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等</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担任</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社会</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监督员。社会监督员应当</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依法</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搜集、反馈社会各界对</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市场主体服务</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工作的意见建议，客观</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eastAsia="zh-Hans"/>
          <w14:textFill>
            <w14:solidFill>
              <w14:schemeClr w14:val="tx1"/>
            </w14:solidFill>
          </w14:textFill>
        </w:rPr>
        <w:t>公正地提出监督、评价意见。各级人民政府及其有关部门应当接受社会监督员的监督，及时整改查实的问题。</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市、县（区）</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人民政府及其有关部门</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应当</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建立舆情收集和回应机制</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支持新闻媒体</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客观、公正</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地对市场主体服务进行</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舆论监督</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；健全</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完善</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政务服务“好差评”工作机制，优化拓展“好差评”评价渠道，强化对差评服务督促整改；</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完善推广</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惠民速办</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等</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平台</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持续畅通</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“12345”政务服务热线等方式，</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及时受理市场主体对政务服务等工作的意见建议，以及侵害市场主体合法权益等违法行为的投诉举报</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有关部门</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应当</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及时提出初步办理意见，并在法律法规规定的期限内办结</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并向</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建议</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人</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举报人</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反馈结果。</w:t>
      </w:r>
    </w:p>
    <w:bookmarkEnd w:id="3"/>
    <w:bookmarkEnd w:id="4"/>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i/>
          <w:iCs/>
          <w:color w:val="000000" w:themeColor="text1"/>
          <w:kern w:val="2"/>
          <w:sz w:val="32"/>
          <w:szCs w:val="32"/>
          <w:highlight w:val="none"/>
          <w:u w:val="single"/>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二十九</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条【公用企事业单位违法责任】</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公用企事业单位违反本条例第十八条第二款规定，有下列情形之一的，由市、县（区）人民政府有关部门责令改正，依法追究法律责任：</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一</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不向社会公开服务标准、收费标准、办理时限等信息；</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二</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强迫市场主体接受不合理的服务条件；</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i/>
          <w:iCs/>
          <w:color w:val="000000" w:themeColor="text1"/>
          <w:sz w:val="32"/>
          <w:szCs w:val="32"/>
          <w:highlight w:val="none"/>
          <w:u w:val="single"/>
          <w14:textFill>
            <w14:solidFill>
              <w14:schemeClr w14:val="tx1"/>
            </w14:solidFill>
          </w14:textFill>
        </w:rPr>
      </w:pP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三</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违规向市场主体收取费用；</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（四）违法拒绝或者无正当理由中断服务。</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3" w:firstLineChars="200"/>
        <w:jc w:val="both"/>
        <w:outlineLvl w:val="1"/>
        <w:rPr>
          <w:rFonts w:hint="default" w:ascii="Times New Roman" w:hAnsi="Times New Roman" w:eastAsia="方正仿宋_GBK" w:cs="Times New Roman"/>
          <w:i/>
          <w:iCs/>
          <w:color w:val="000000" w:themeColor="text1"/>
          <w:kern w:val="2"/>
          <w:sz w:val="32"/>
          <w:szCs w:val="32"/>
          <w:highlight w:val="none"/>
          <w:u w:val="single"/>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三十</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条【政府部门及其工作人员违法责任】</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市、县（区）人民政府和有关部门及其工作人员有下列行为之一的，</w:t>
      </w:r>
      <w:r>
        <w:rPr>
          <w:rFonts w:hint="default" w:ascii="Times New Roman" w:hAnsi="Times New Roman" w:eastAsia="方正仿宋_GBK" w:cs="Times New Roman"/>
          <w:color w:val="000000" w:themeColor="text1"/>
          <w:kern w:val="2"/>
          <w:sz w:val="32"/>
          <w:szCs w:val="32"/>
          <w:highlight w:val="none"/>
          <w:lang w:val="en-US" w:eastAsia="zh-Hans" w:bidi="ar-SA"/>
          <w14:textFill>
            <w14:solidFill>
              <w14:schemeClr w14:val="tx1"/>
            </w14:solidFill>
          </w14:textFill>
        </w:rPr>
        <w:t>依法</w:t>
      </w:r>
      <w:r>
        <w:rPr>
          <w:rFonts w:hint="default" w:ascii="Times New Roman" w:hAnsi="Times New Roman" w:eastAsia="方正仿宋_GBK" w:cs="Times New Roman"/>
          <w:color w:val="000000" w:themeColor="text1"/>
          <w:kern w:val="2"/>
          <w:sz w:val="32"/>
          <w:szCs w:val="32"/>
          <w:highlight w:val="none"/>
          <w:lang w:val="en-US" w:eastAsia="zh-CN" w:bidi="ar-SA"/>
          <w14:textFill>
            <w14:solidFill>
              <w14:schemeClr w14:val="tx1"/>
            </w14:solidFill>
          </w14:textFill>
        </w:rPr>
        <w:t>依规追究责任：</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rPr>
          <w:rFonts w:hint="default" w:ascii="Times New Roman" w:hAnsi="Times New Roman" w:eastAsia="方正仿宋_GBK" w:cs="Times New Roman"/>
          <w:i/>
          <w:iCs/>
          <w:color w:val="000000" w:themeColor="text1"/>
          <w:sz w:val="32"/>
          <w:szCs w:val="32"/>
          <w:highlight w:val="none"/>
          <w:u w:val="single"/>
          <w14:textFill>
            <w14:solidFill>
              <w14:schemeClr w14:val="tx1"/>
            </w14:solidFill>
          </w14:textFill>
        </w:rPr>
      </w:pPr>
      <w:r>
        <w:rPr>
          <w:rFonts w:hint="default" w:ascii="Times New Roman" w:hAnsi="Times New Roman" w:eastAsia="方正仿宋_GBK" w:cs="Times New Roman"/>
          <w:i w:val="0"/>
          <w:iCs w:val="0"/>
          <w:color w:val="000000" w:themeColor="text1"/>
          <w:sz w:val="32"/>
          <w:szCs w:val="32"/>
          <w:highlight w:val="none"/>
          <w:u w:val="none"/>
          <w14:textFill>
            <w14:solidFill>
              <w14:schemeClr w14:val="tx1"/>
            </w14:solidFill>
          </w14:textFill>
        </w:rPr>
        <w:t>（一）</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违反本条例第二十</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六</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条第</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三</w:t>
      </w:r>
      <w:r>
        <w:rPr>
          <w:rFonts w:hint="default" w:ascii="Times New Roman" w:hAnsi="Times New Roman" w:eastAsia="方正仿宋_GBK" w:cs="Times New Roman"/>
          <w:i w:val="0"/>
          <w:iCs w:val="0"/>
          <w:color w:val="000000" w:themeColor="text1"/>
          <w:sz w:val="32"/>
          <w:szCs w:val="32"/>
          <w:highlight w:val="none"/>
          <w:u w:val="none"/>
          <w:lang w:eastAsia="zh-CN"/>
          <w14:textFill>
            <w14:solidFill>
              <w14:schemeClr w14:val="tx1"/>
            </w14:solidFill>
          </w14:textFill>
        </w:rPr>
        <w:t>款规定，违法扩大不良信息、严重失信名单的认定范围，违法增设监管措施和惩戒措施</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i/>
          <w:iCs/>
          <w:color w:val="000000" w:themeColor="text1"/>
          <w:sz w:val="32"/>
          <w:szCs w:val="32"/>
          <w:highlight w:val="none"/>
          <w:u w:val="single"/>
          <w14:textFill>
            <w14:solidFill>
              <w14:schemeClr w14:val="tx1"/>
            </w14:solidFill>
          </w14:textFill>
        </w:rPr>
      </w:pPr>
      <w:r>
        <w:rPr>
          <w:rFonts w:hint="default" w:ascii="Times New Roman" w:hAnsi="Times New Roman" w:eastAsia="方正仿宋_GBK" w:cs="Times New Roman"/>
          <w:i w:val="0"/>
          <w:iCs w:val="0"/>
          <w:color w:val="000000" w:themeColor="text1"/>
          <w:sz w:val="32"/>
          <w:szCs w:val="32"/>
          <w:highlight w:val="none"/>
          <w:u w:val="none"/>
          <w14:textFill>
            <w14:solidFill>
              <w14:schemeClr w14:val="tx1"/>
            </w14:solidFill>
          </w14:textFill>
        </w:rPr>
        <w:t>（二）</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违反本条例第二十八条第二款规定，</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未受理、办理市场主体诉求或者反馈办理结果；</w:t>
      </w:r>
    </w:p>
    <w:p>
      <w:pPr>
        <w:keepNext w:val="0"/>
        <w:keepLines w:val="0"/>
        <w:pageBreakBefore w:val="0"/>
        <w:widowControl w:val="0"/>
        <w:kinsoku/>
        <w:wordWrap w:val="0"/>
        <w:overflowPunct/>
        <w:topLinePunct/>
        <w:autoSpaceDE/>
        <w:autoSpaceDN/>
        <w:bidi w:val="0"/>
        <w:snapToGrid w:val="0"/>
        <w:spacing w:beforeLines="0" w:afterLines="0" w:line="560" w:lineRule="exact"/>
        <w:ind w:left="0" w:firstLine="640" w:firstLineChars="200"/>
        <w:jc w:val="both"/>
        <w:outlineLvl w:val="9"/>
        <w:rPr>
          <w:rFonts w:hint="default" w:ascii="Times New Roman" w:hAnsi="Times New Roman" w:eastAsia="方正仿宋_GBK" w:cs="Times New Roman"/>
          <w:i/>
          <w:iCs/>
          <w:color w:val="000000" w:themeColor="text1"/>
          <w:sz w:val="32"/>
          <w:szCs w:val="32"/>
          <w:highlight w:val="none"/>
          <w:u w:val="single"/>
          <w:lang w:eastAsia="zh-CN"/>
          <w14:textFill>
            <w14:solidFill>
              <w14:schemeClr w14:val="tx1"/>
            </w14:solidFill>
          </w14:textFill>
        </w:rPr>
      </w:pPr>
      <w:r>
        <w:rPr>
          <w:rFonts w:hint="default" w:ascii="Times New Roman" w:hAnsi="Times New Roman" w:eastAsia="方正仿宋_GBK" w:cs="Times New Roman"/>
          <w:i w:val="0"/>
          <w:iCs w:val="0"/>
          <w:color w:val="000000" w:themeColor="text1"/>
          <w:sz w:val="32"/>
          <w:szCs w:val="32"/>
          <w:highlight w:val="none"/>
          <w:u w:val="none"/>
          <w14:textFill>
            <w14:solidFill>
              <w14:schemeClr w14:val="tx1"/>
            </w14:solidFill>
          </w14:textFill>
        </w:rPr>
        <w:t>（三）</w:t>
      </w:r>
      <w:r>
        <w:rPr>
          <w:rFonts w:hint="default" w:ascii="Times New Roman" w:hAnsi="Times New Roman" w:eastAsia="方正仿宋_GBK" w:cs="Times New Roman"/>
          <w:i w:val="0"/>
          <w:iCs w:val="0"/>
          <w:color w:val="000000" w:themeColor="text1"/>
          <w:sz w:val="32"/>
          <w:szCs w:val="32"/>
          <w:highlight w:val="none"/>
          <w:u w:val="none"/>
          <w:lang w:val="en-US" w:eastAsia="zh-CN"/>
          <w14:textFill>
            <w14:solidFill>
              <w14:schemeClr w14:val="tx1"/>
            </w14:solidFill>
          </w14:textFill>
        </w:rPr>
        <w:t>其他</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不履行市场主体服务工作职责以及损害市场主体权益的情形</w:t>
      </w:r>
      <w:r>
        <w:rPr>
          <w:rFonts w:hint="default" w:ascii="Times New Roman" w:hAnsi="Times New Roman" w:eastAsia="方正仿宋_GBK" w:cs="Times New Roman"/>
          <w:i w:val="0"/>
          <w:iCs w:val="0"/>
          <w:color w:val="000000" w:themeColor="text1"/>
          <w:sz w:val="32"/>
          <w:szCs w:val="32"/>
          <w:highlight w:val="none"/>
          <w:u w:val="none"/>
          <w14:textFill>
            <w14:solidFill>
              <w14:schemeClr w14:val="tx1"/>
            </w14:solidFill>
          </w14:textFill>
        </w:rPr>
        <w:t>。</w:t>
      </w:r>
    </w:p>
    <w:p>
      <w:pPr>
        <w:keepNext w:val="0"/>
        <w:keepLines w:val="0"/>
        <w:pageBreakBefore w:val="0"/>
        <w:widowControl w:val="0"/>
        <w:kinsoku/>
        <w:wordWrap w:val="0"/>
        <w:overflowPunct/>
        <w:topLinePunct/>
        <w:autoSpaceDE/>
        <w:autoSpaceDN/>
        <w:bidi w:val="0"/>
        <w:spacing w:line="560" w:lineRule="exact"/>
        <w:ind w:firstLine="643" w:firstLineChars="200"/>
        <w:outlineLvl w:val="1"/>
        <w:rPr>
          <w:rFonts w:hint="default" w:ascii="Times New Roman" w:hAnsi="Times New Roman" w:eastAsia="方正仿宋_GBK" w:cs="Times New Roman"/>
          <w:color w:val="000000" w:themeColor="text1"/>
          <w:highlight w:val="none"/>
          <w14:textFill>
            <w14:solidFill>
              <w14:schemeClr w14:val="tx1"/>
            </w14:solidFill>
          </w14:textFill>
        </w:rPr>
      </w:pP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第</w:t>
      </w:r>
      <w:r>
        <w:rPr>
          <w:rFonts w:hint="default" w:ascii="Times New Roman" w:hAnsi="Times New Roman" w:eastAsia="方正仿宋_GBK" w:cs="Times New Roman"/>
          <w:b/>
          <w:bCs/>
          <w:color w:val="000000" w:themeColor="text1"/>
          <w:sz w:val="32"/>
          <w:szCs w:val="32"/>
          <w:highlight w:val="none"/>
          <w:lang w:eastAsia="zh-CN"/>
          <w14:textFill>
            <w14:solidFill>
              <w14:schemeClr w14:val="tx1"/>
            </w14:solidFill>
          </w14:textFill>
        </w:rPr>
        <w:t>三十</w:t>
      </w:r>
      <w:r>
        <w:rPr>
          <w:rFonts w:hint="default"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一</w:t>
      </w:r>
      <w:r>
        <w:rPr>
          <w:rFonts w:hint="default" w:ascii="Times New Roman" w:hAnsi="Times New Roman" w:eastAsia="方正仿宋_GBK" w:cs="Times New Roman"/>
          <w:b/>
          <w:bCs/>
          <w:color w:val="000000" w:themeColor="text1"/>
          <w:sz w:val="32"/>
          <w:szCs w:val="32"/>
          <w:highlight w:val="none"/>
          <w14:textFill>
            <w14:solidFill>
              <w14:schemeClr w14:val="tx1"/>
            </w14:solidFill>
          </w14:textFill>
        </w:rPr>
        <w:t>条【施行时间】</w:t>
      </w:r>
      <w:r>
        <w:rPr>
          <w:rFonts w:hint="default" w:ascii="Times New Roman" w:hAnsi="Times New Roman" w:eastAsia="方正仿宋_GBK" w:cs="Times New Roman"/>
          <w:color w:val="000000" w:themeColor="text1"/>
          <w:spacing w:val="6"/>
          <w:sz w:val="32"/>
          <w:szCs w:val="32"/>
          <w:highlight w:val="none"/>
          <w14:textFill>
            <w14:solidFill>
              <w14:schemeClr w14:val="tx1"/>
            </w14:solidFill>
          </w14:textFill>
        </w:rPr>
        <w:t>本条例自20</w:t>
      </w:r>
      <w:r>
        <w:rPr>
          <w:rFonts w:hint="default" w:ascii="Times New Roman" w:hAnsi="Times New Roman" w:eastAsia="方正仿宋_GBK" w:cs="Times New Roman"/>
          <w:color w:val="000000" w:themeColor="text1"/>
          <w:spacing w:val="6"/>
          <w:sz w:val="32"/>
          <w:szCs w:val="32"/>
          <w:highlight w:val="none"/>
          <w:lang w:val="en-US" w:eastAsia="zh-CN"/>
          <w14:textFill>
            <w14:solidFill>
              <w14:schemeClr w14:val="tx1"/>
            </w14:solidFill>
          </w14:textFill>
        </w:rPr>
        <w:t>27</w:t>
      </w:r>
      <w:r>
        <w:rPr>
          <w:rFonts w:hint="default" w:ascii="Times New Roman" w:hAnsi="Times New Roman" w:eastAsia="方正仿宋_GBK" w:cs="Times New Roman"/>
          <w:color w:val="000000" w:themeColor="text1"/>
          <w:spacing w:val="6"/>
          <w:sz w:val="32"/>
          <w:szCs w:val="32"/>
          <w:highlight w:val="none"/>
          <w14:textFill>
            <w14:solidFill>
              <w14:schemeClr w14:val="tx1"/>
            </w14:solidFill>
          </w14:textFill>
        </w:rPr>
        <w:t>年</w:t>
      </w:r>
      <w:r>
        <w:rPr>
          <w:rFonts w:hint="default" w:ascii="Times New Roman" w:hAnsi="Times New Roman" w:eastAsia="方正仿宋_GBK" w:cs="Times New Roman"/>
          <w:color w:val="000000" w:themeColor="text1"/>
          <w:spacing w:val="6"/>
          <w:sz w:val="32"/>
          <w:szCs w:val="32"/>
          <w:highlight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pacing w:val="6"/>
          <w:sz w:val="32"/>
          <w:szCs w:val="32"/>
          <w:highlight w:val="none"/>
          <w14:textFill>
            <w14:solidFill>
              <w14:schemeClr w14:val="tx1"/>
            </w14:solidFill>
          </w14:textFill>
        </w:rPr>
        <w:t>月</w:t>
      </w:r>
      <w:r>
        <w:rPr>
          <w:rFonts w:hint="default" w:ascii="Times New Roman" w:hAnsi="Times New Roman" w:eastAsia="方正仿宋_GBK" w:cs="Times New Roman"/>
          <w:color w:val="000000" w:themeColor="text1"/>
          <w:spacing w:val="6"/>
          <w:sz w:val="32"/>
          <w:szCs w:val="32"/>
          <w:highlight w:val="none"/>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pacing w:val="6"/>
          <w:sz w:val="32"/>
          <w:szCs w:val="32"/>
          <w:highlight w:val="none"/>
          <w14:textFill>
            <w14:solidFill>
              <w14:schemeClr w14:val="tx1"/>
            </w14:solidFill>
          </w14:textFill>
        </w:rPr>
        <w:t>日起施行。</w:t>
      </w:r>
    </w:p>
    <w:sectPr>
      <w:footerReference r:id="rId3" w:type="default"/>
      <w:pgSz w:w="11906" w:h="16838"/>
      <w:pgMar w:top="2098" w:right="1474" w:bottom="1701"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inorEastAsia" w:hAnsiTheme="minorEastAsia" w:eastAsiaTheme="minorEastAsia" w:cstheme="minorEastAsia"/>
                              <w:szCs w:val="18"/>
                            </w:rPr>
                          </w:pPr>
                          <w:r>
                            <w:rPr>
                              <w:rFonts w:hint="eastAsia" w:asciiTheme="minorEastAsia" w:hAnsiTheme="minorEastAsia" w:eastAsiaTheme="minorEastAsia" w:cstheme="minorEastAsia"/>
                              <w:szCs w:val="18"/>
                            </w:rPr>
                            <w:fldChar w:fldCharType="begin"/>
                          </w:r>
                          <w:r>
                            <w:rPr>
                              <w:rFonts w:hint="eastAsia" w:asciiTheme="minorEastAsia" w:hAnsiTheme="minorEastAsia" w:eastAsiaTheme="minorEastAsia" w:cstheme="minorEastAsia"/>
                              <w:szCs w:val="18"/>
                            </w:rPr>
                            <w:instrText xml:space="preserve"> PAGE  \* MERGEFORMAT </w:instrText>
                          </w:r>
                          <w:r>
                            <w:rPr>
                              <w:rFonts w:hint="eastAsia" w:asciiTheme="minorEastAsia" w:hAnsiTheme="minorEastAsia" w:eastAsiaTheme="minorEastAsia" w:cstheme="minorEastAsia"/>
                              <w:szCs w:val="18"/>
                            </w:rPr>
                            <w:fldChar w:fldCharType="separate"/>
                          </w:r>
                          <w:r>
                            <w:rPr>
                              <w:rFonts w:hint="eastAsia" w:asciiTheme="minorEastAsia" w:hAnsiTheme="minorEastAsia" w:eastAsiaTheme="minorEastAsia" w:cstheme="minorEastAsia"/>
                              <w:szCs w:val="18"/>
                            </w:rPr>
                            <w:t>1</w:t>
                          </w:r>
                          <w:r>
                            <w:rPr>
                              <w:rFonts w:hint="eastAsia" w:asciiTheme="minorEastAsia" w:hAnsiTheme="minorEastAsia" w:eastAsiaTheme="minorEastAsia" w:cstheme="minorEastAsia"/>
                              <w:szCs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Theme="minorEastAsia" w:hAnsiTheme="minorEastAsia" w:eastAsiaTheme="minorEastAsia" w:cstheme="minorEastAsia"/>
                        <w:szCs w:val="18"/>
                      </w:rPr>
                    </w:pPr>
                    <w:r>
                      <w:rPr>
                        <w:rFonts w:hint="eastAsia" w:asciiTheme="minorEastAsia" w:hAnsiTheme="minorEastAsia" w:eastAsiaTheme="minorEastAsia" w:cstheme="minorEastAsia"/>
                        <w:szCs w:val="18"/>
                      </w:rPr>
                      <w:fldChar w:fldCharType="begin"/>
                    </w:r>
                    <w:r>
                      <w:rPr>
                        <w:rFonts w:hint="eastAsia" w:asciiTheme="minorEastAsia" w:hAnsiTheme="minorEastAsia" w:eastAsiaTheme="minorEastAsia" w:cstheme="minorEastAsia"/>
                        <w:szCs w:val="18"/>
                      </w:rPr>
                      <w:instrText xml:space="preserve"> PAGE  \* MERGEFORMAT </w:instrText>
                    </w:r>
                    <w:r>
                      <w:rPr>
                        <w:rFonts w:hint="eastAsia" w:asciiTheme="minorEastAsia" w:hAnsiTheme="minorEastAsia" w:eastAsiaTheme="minorEastAsia" w:cstheme="minorEastAsia"/>
                        <w:szCs w:val="18"/>
                      </w:rPr>
                      <w:fldChar w:fldCharType="separate"/>
                    </w:r>
                    <w:r>
                      <w:rPr>
                        <w:rFonts w:hint="eastAsia" w:asciiTheme="minorEastAsia" w:hAnsiTheme="minorEastAsia" w:eastAsiaTheme="minorEastAsia" w:cstheme="minorEastAsia"/>
                        <w:szCs w:val="18"/>
                      </w:rPr>
                      <w:t>1</w:t>
                    </w:r>
                    <w:r>
                      <w:rPr>
                        <w:rFonts w:hint="eastAsia" w:asciiTheme="minorEastAsia" w:hAnsiTheme="minorEastAsia" w:eastAsiaTheme="minorEastAsia" w:cstheme="minorEastAsia"/>
                        <w:szCs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iOTMzMDRiMGMxZmVmOWRhNTZjYzQ4MmQxMzU1NTgifQ=="/>
  </w:docVars>
  <w:rsids>
    <w:rsidRoot w:val="BD7DD870"/>
    <w:rsid w:val="00021A10"/>
    <w:rsid w:val="00065F88"/>
    <w:rsid w:val="00351898"/>
    <w:rsid w:val="00D64AE1"/>
    <w:rsid w:val="019127B6"/>
    <w:rsid w:val="021E7FE8"/>
    <w:rsid w:val="0295532A"/>
    <w:rsid w:val="032A57B8"/>
    <w:rsid w:val="038431FA"/>
    <w:rsid w:val="048F0E57"/>
    <w:rsid w:val="052E772B"/>
    <w:rsid w:val="054C5973"/>
    <w:rsid w:val="0566210A"/>
    <w:rsid w:val="058A78E3"/>
    <w:rsid w:val="05C018BB"/>
    <w:rsid w:val="063B3638"/>
    <w:rsid w:val="06947FC5"/>
    <w:rsid w:val="0745649A"/>
    <w:rsid w:val="082B42D9"/>
    <w:rsid w:val="0841764C"/>
    <w:rsid w:val="08BF3F80"/>
    <w:rsid w:val="09CA261C"/>
    <w:rsid w:val="0A0E497C"/>
    <w:rsid w:val="0A116801"/>
    <w:rsid w:val="0A3D797F"/>
    <w:rsid w:val="0A3E06CF"/>
    <w:rsid w:val="0A8C3C8C"/>
    <w:rsid w:val="0B9F6806"/>
    <w:rsid w:val="0C1C1816"/>
    <w:rsid w:val="0D1501F4"/>
    <w:rsid w:val="0D5F3D38"/>
    <w:rsid w:val="0D6F6028"/>
    <w:rsid w:val="0E324BA8"/>
    <w:rsid w:val="0E893EA2"/>
    <w:rsid w:val="0E8C4EBA"/>
    <w:rsid w:val="0ED725D7"/>
    <w:rsid w:val="0F0D124F"/>
    <w:rsid w:val="0F753152"/>
    <w:rsid w:val="0FB6788B"/>
    <w:rsid w:val="0FCC6DDA"/>
    <w:rsid w:val="10173669"/>
    <w:rsid w:val="103E1879"/>
    <w:rsid w:val="1087271B"/>
    <w:rsid w:val="114415F3"/>
    <w:rsid w:val="11CF4A58"/>
    <w:rsid w:val="11F97F43"/>
    <w:rsid w:val="12A23325"/>
    <w:rsid w:val="12D40455"/>
    <w:rsid w:val="132B07C2"/>
    <w:rsid w:val="142373DC"/>
    <w:rsid w:val="145C31A9"/>
    <w:rsid w:val="146F0CB7"/>
    <w:rsid w:val="14A50B30"/>
    <w:rsid w:val="14FE0F31"/>
    <w:rsid w:val="154257CE"/>
    <w:rsid w:val="15F54FD4"/>
    <w:rsid w:val="175D4D43"/>
    <w:rsid w:val="17BD539A"/>
    <w:rsid w:val="17CF1E32"/>
    <w:rsid w:val="18BB781D"/>
    <w:rsid w:val="18D8074F"/>
    <w:rsid w:val="191B1102"/>
    <w:rsid w:val="19A339D0"/>
    <w:rsid w:val="1A297E41"/>
    <w:rsid w:val="1A6E76E0"/>
    <w:rsid w:val="1AE414DF"/>
    <w:rsid w:val="1AE96D67"/>
    <w:rsid w:val="1AFE000C"/>
    <w:rsid w:val="1AFF47DC"/>
    <w:rsid w:val="1B1A17DE"/>
    <w:rsid w:val="1B634D6B"/>
    <w:rsid w:val="1C3F2CB1"/>
    <w:rsid w:val="1C427968"/>
    <w:rsid w:val="1C6C6F82"/>
    <w:rsid w:val="1C872916"/>
    <w:rsid w:val="1CFD15B8"/>
    <w:rsid w:val="1D150CCF"/>
    <w:rsid w:val="1D3E2D0B"/>
    <w:rsid w:val="1D7F039D"/>
    <w:rsid w:val="1D882867"/>
    <w:rsid w:val="1DF95845"/>
    <w:rsid w:val="1EA23DFC"/>
    <w:rsid w:val="1EFD247E"/>
    <w:rsid w:val="1EFD35D0"/>
    <w:rsid w:val="1FCF61BF"/>
    <w:rsid w:val="21792073"/>
    <w:rsid w:val="220B3A67"/>
    <w:rsid w:val="2298377C"/>
    <w:rsid w:val="23EA4789"/>
    <w:rsid w:val="245C3D57"/>
    <w:rsid w:val="25BF6CA0"/>
    <w:rsid w:val="25DF2A86"/>
    <w:rsid w:val="2624159B"/>
    <w:rsid w:val="26337C4D"/>
    <w:rsid w:val="26347509"/>
    <w:rsid w:val="27446D55"/>
    <w:rsid w:val="275E36AF"/>
    <w:rsid w:val="276E472B"/>
    <w:rsid w:val="27F305C0"/>
    <w:rsid w:val="283F26BC"/>
    <w:rsid w:val="284C7E44"/>
    <w:rsid w:val="284F42B3"/>
    <w:rsid w:val="2868159B"/>
    <w:rsid w:val="28815D36"/>
    <w:rsid w:val="28A91781"/>
    <w:rsid w:val="298A3181"/>
    <w:rsid w:val="29D37560"/>
    <w:rsid w:val="2A160F67"/>
    <w:rsid w:val="2A3B458B"/>
    <w:rsid w:val="2A6E7A50"/>
    <w:rsid w:val="2AF31BD3"/>
    <w:rsid w:val="2BB9536F"/>
    <w:rsid w:val="2C277F12"/>
    <w:rsid w:val="2C582598"/>
    <w:rsid w:val="2CAC25B2"/>
    <w:rsid w:val="2CB709A8"/>
    <w:rsid w:val="2CBD4D60"/>
    <w:rsid w:val="2CC654C6"/>
    <w:rsid w:val="2DD80BA8"/>
    <w:rsid w:val="2F9C7CAF"/>
    <w:rsid w:val="2FF045F7"/>
    <w:rsid w:val="2FF21434"/>
    <w:rsid w:val="2FFE677A"/>
    <w:rsid w:val="30D634EA"/>
    <w:rsid w:val="31051556"/>
    <w:rsid w:val="31A65BAD"/>
    <w:rsid w:val="32897AD6"/>
    <w:rsid w:val="335E2E40"/>
    <w:rsid w:val="33AE6D56"/>
    <w:rsid w:val="3555678A"/>
    <w:rsid w:val="36C81799"/>
    <w:rsid w:val="36F206C0"/>
    <w:rsid w:val="376B7C12"/>
    <w:rsid w:val="389669C0"/>
    <w:rsid w:val="389B3DA9"/>
    <w:rsid w:val="38D909BB"/>
    <w:rsid w:val="38F21508"/>
    <w:rsid w:val="39F33E3D"/>
    <w:rsid w:val="39FC6D93"/>
    <w:rsid w:val="3A5867E9"/>
    <w:rsid w:val="3A76046E"/>
    <w:rsid w:val="3B0C0B24"/>
    <w:rsid w:val="3B8406BA"/>
    <w:rsid w:val="3BCC29AD"/>
    <w:rsid w:val="3C66674C"/>
    <w:rsid w:val="3C702F4B"/>
    <w:rsid w:val="3CBE1FF1"/>
    <w:rsid w:val="3D027E28"/>
    <w:rsid w:val="3D5359EB"/>
    <w:rsid w:val="3D540560"/>
    <w:rsid w:val="3D54375C"/>
    <w:rsid w:val="3DFA11B7"/>
    <w:rsid w:val="3E99447C"/>
    <w:rsid w:val="3FDE43D3"/>
    <w:rsid w:val="3FF57DD8"/>
    <w:rsid w:val="406E0575"/>
    <w:rsid w:val="408777E2"/>
    <w:rsid w:val="4232363C"/>
    <w:rsid w:val="4249450D"/>
    <w:rsid w:val="424A68CC"/>
    <w:rsid w:val="425447D0"/>
    <w:rsid w:val="42925BF0"/>
    <w:rsid w:val="4316241F"/>
    <w:rsid w:val="433B053C"/>
    <w:rsid w:val="4396542E"/>
    <w:rsid w:val="43A5788D"/>
    <w:rsid w:val="43D16E24"/>
    <w:rsid w:val="44C52467"/>
    <w:rsid w:val="453864EB"/>
    <w:rsid w:val="453F463A"/>
    <w:rsid w:val="45493AD4"/>
    <w:rsid w:val="45596713"/>
    <w:rsid w:val="45617FBB"/>
    <w:rsid w:val="45BE2FE0"/>
    <w:rsid w:val="46FB1FF6"/>
    <w:rsid w:val="47D253FA"/>
    <w:rsid w:val="47EA46B9"/>
    <w:rsid w:val="48687DA8"/>
    <w:rsid w:val="48844110"/>
    <w:rsid w:val="49A92E17"/>
    <w:rsid w:val="4B4802BC"/>
    <w:rsid w:val="4B4D0BBD"/>
    <w:rsid w:val="4B9B5F74"/>
    <w:rsid w:val="4B9D63CD"/>
    <w:rsid w:val="4C286E40"/>
    <w:rsid w:val="4C9B3AB5"/>
    <w:rsid w:val="4C9F00F5"/>
    <w:rsid w:val="4CCD05AB"/>
    <w:rsid w:val="4EA03EE2"/>
    <w:rsid w:val="4F085514"/>
    <w:rsid w:val="4F530025"/>
    <w:rsid w:val="4FC213DA"/>
    <w:rsid w:val="50992CFC"/>
    <w:rsid w:val="50CE3BAA"/>
    <w:rsid w:val="51956707"/>
    <w:rsid w:val="519923E6"/>
    <w:rsid w:val="51FD70C0"/>
    <w:rsid w:val="525F3068"/>
    <w:rsid w:val="55652CC8"/>
    <w:rsid w:val="55B265D3"/>
    <w:rsid w:val="55D366CD"/>
    <w:rsid w:val="566733A4"/>
    <w:rsid w:val="56B223CE"/>
    <w:rsid w:val="584C62A1"/>
    <w:rsid w:val="58694DA2"/>
    <w:rsid w:val="5A3E2B3C"/>
    <w:rsid w:val="5A6B222D"/>
    <w:rsid w:val="5AB521E6"/>
    <w:rsid w:val="5AC2228F"/>
    <w:rsid w:val="5B06269C"/>
    <w:rsid w:val="5C454BA5"/>
    <w:rsid w:val="5C514191"/>
    <w:rsid w:val="5C7A1BCF"/>
    <w:rsid w:val="5CA62B4E"/>
    <w:rsid w:val="5CC31D99"/>
    <w:rsid w:val="5D084C32"/>
    <w:rsid w:val="5E4F59F4"/>
    <w:rsid w:val="5E6B6C6B"/>
    <w:rsid w:val="5E8D700B"/>
    <w:rsid w:val="5F1570AD"/>
    <w:rsid w:val="5F4A5375"/>
    <w:rsid w:val="5F5C70D4"/>
    <w:rsid w:val="5F626C83"/>
    <w:rsid w:val="5F99648B"/>
    <w:rsid w:val="5FA94F4E"/>
    <w:rsid w:val="5FD05D59"/>
    <w:rsid w:val="5FD16B14"/>
    <w:rsid w:val="5FD7274E"/>
    <w:rsid w:val="602F3F48"/>
    <w:rsid w:val="6031230F"/>
    <w:rsid w:val="60731E14"/>
    <w:rsid w:val="60B652B3"/>
    <w:rsid w:val="61362E37"/>
    <w:rsid w:val="6203787A"/>
    <w:rsid w:val="62C70D8D"/>
    <w:rsid w:val="62FB059F"/>
    <w:rsid w:val="63026F62"/>
    <w:rsid w:val="63D51F6E"/>
    <w:rsid w:val="64037C8A"/>
    <w:rsid w:val="64763C84"/>
    <w:rsid w:val="649E0B16"/>
    <w:rsid w:val="65385EEE"/>
    <w:rsid w:val="655B1BDC"/>
    <w:rsid w:val="65AF572D"/>
    <w:rsid w:val="66004760"/>
    <w:rsid w:val="661A1A97"/>
    <w:rsid w:val="673A3767"/>
    <w:rsid w:val="674337EB"/>
    <w:rsid w:val="67FB14A5"/>
    <w:rsid w:val="685611B4"/>
    <w:rsid w:val="68BC158C"/>
    <w:rsid w:val="68BE2BAE"/>
    <w:rsid w:val="68C64A8F"/>
    <w:rsid w:val="68E60147"/>
    <w:rsid w:val="696A4AE4"/>
    <w:rsid w:val="69781289"/>
    <w:rsid w:val="697A2F79"/>
    <w:rsid w:val="69A63FD5"/>
    <w:rsid w:val="69C37B91"/>
    <w:rsid w:val="6A1C5DDE"/>
    <w:rsid w:val="6A2B18A0"/>
    <w:rsid w:val="6A385EB2"/>
    <w:rsid w:val="6AAB5721"/>
    <w:rsid w:val="6B151116"/>
    <w:rsid w:val="6BBE076B"/>
    <w:rsid w:val="6C0F0C37"/>
    <w:rsid w:val="6DAF2645"/>
    <w:rsid w:val="6E2510C9"/>
    <w:rsid w:val="6E8822D0"/>
    <w:rsid w:val="6EE825E8"/>
    <w:rsid w:val="6F326B6A"/>
    <w:rsid w:val="6F77599C"/>
    <w:rsid w:val="6FED6C05"/>
    <w:rsid w:val="6FF2313D"/>
    <w:rsid w:val="702310F3"/>
    <w:rsid w:val="70737309"/>
    <w:rsid w:val="70F970E4"/>
    <w:rsid w:val="710870BC"/>
    <w:rsid w:val="71430F73"/>
    <w:rsid w:val="719A5610"/>
    <w:rsid w:val="719C51F0"/>
    <w:rsid w:val="71E371D2"/>
    <w:rsid w:val="7278653E"/>
    <w:rsid w:val="72F97FA1"/>
    <w:rsid w:val="73060629"/>
    <w:rsid w:val="730B690B"/>
    <w:rsid w:val="73171573"/>
    <w:rsid w:val="73B62C65"/>
    <w:rsid w:val="75A66E6C"/>
    <w:rsid w:val="75B06E5A"/>
    <w:rsid w:val="765B54C8"/>
    <w:rsid w:val="76C907BE"/>
    <w:rsid w:val="770764B8"/>
    <w:rsid w:val="77E330D5"/>
    <w:rsid w:val="784F3822"/>
    <w:rsid w:val="78ED2105"/>
    <w:rsid w:val="792C3B64"/>
    <w:rsid w:val="7956688A"/>
    <w:rsid w:val="796C3B67"/>
    <w:rsid w:val="79893A5A"/>
    <w:rsid w:val="79F878BB"/>
    <w:rsid w:val="7A4037DD"/>
    <w:rsid w:val="7B682908"/>
    <w:rsid w:val="7B836D74"/>
    <w:rsid w:val="7BC2255D"/>
    <w:rsid w:val="7BD7689E"/>
    <w:rsid w:val="7C0B07AB"/>
    <w:rsid w:val="7C6E523C"/>
    <w:rsid w:val="7C806AB1"/>
    <w:rsid w:val="7C91552B"/>
    <w:rsid w:val="7CFB3262"/>
    <w:rsid w:val="7DAF0021"/>
    <w:rsid w:val="7E6D056A"/>
    <w:rsid w:val="7F16403E"/>
    <w:rsid w:val="B7D74397"/>
    <w:rsid w:val="BAFE0201"/>
    <w:rsid w:val="BD7DD870"/>
    <w:rsid w:val="F2C734D3"/>
    <w:rsid w:val="FEEBC3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仿宋_GB2312" w:cs="Times New Roman"/>
      <w:kern w:val="2"/>
      <w:sz w:val="32"/>
      <w:szCs w:val="32"/>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Calibri" w:hAnsi="Calibri" w:eastAsia="宋体" w:cs="Times New Roman"/>
    </w:rPr>
  </w:style>
  <w:style w:type="paragraph" w:styleId="3">
    <w:name w:val="Body Text"/>
    <w:basedOn w:val="1"/>
    <w:next w:val="1"/>
    <w:qFormat/>
    <w:uiPriority w:val="0"/>
    <w:pPr>
      <w:spacing w:after="120" w:afterLines="0" w:afterAutospacing="0"/>
    </w:pPr>
  </w:style>
  <w:style w:type="paragraph" w:styleId="4">
    <w:name w:val="Plain Text"/>
    <w:basedOn w:val="1"/>
    <w:qFormat/>
    <w:uiPriority w:val="0"/>
    <w:rPr>
      <w:rFonts w:ascii="宋体" w:hAnsi="Courier New" w:cs="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2"/>
    <w:basedOn w:val="1"/>
    <w:next w:val="1"/>
    <w:qFormat/>
    <w:uiPriority w:val="0"/>
    <w:pPr>
      <w:ind w:left="210"/>
    </w:pPr>
    <w:rPr>
      <w:smallCaps/>
      <w:szCs w:val="20"/>
    </w:rPr>
  </w:style>
  <w:style w:type="table" w:styleId="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Default"/>
    <w:qFormat/>
    <w:uiPriority w:val="0"/>
    <w:pPr>
      <w:widowControl w:val="0"/>
      <w:autoSpaceDE w:val="0"/>
      <w:autoSpaceDN w:val="0"/>
      <w:adjustRightInd w:val="0"/>
    </w:pPr>
    <w:rPr>
      <w:rFonts w:hint="eastAsia" w:ascii="方正仿宋_GBK" w:hAnsi="方正仿宋_GBK" w:eastAsia="方正仿宋_GBK" w:cs="Times New Roman"/>
      <w:color w:val="000000"/>
      <w:sz w:val="24"/>
      <w:szCs w:val="22"/>
      <w:lang w:val="en-US" w:eastAsia="zh-CN" w:bidi="ar-SA"/>
    </w:rPr>
  </w:style>
  <w:style w:type="paragraph" w:customStyle="1" w:styleId="12">
    <w:name w:val="标题：二号小标宋"/>
    <w:qFormat/>
    <w:uiPriority w:val="0"/>
    <w:pPr>
      <w:spacing w:line="560" w:lineRule="exact"/>
      <w:jc w:val="center"/>
    </w:pPr>
    <w:rPr>
      <w:rFonts w:ascii="方正小标宋简体" w:hAnsi="Times New Roman" w:eastAsia="方正小标宋简体" w:cs="Times New Roman"/>
      <w:kern w:val="2"/>
      <w:sz w:val="44"/>
      <w:szCs w:val="44"/>
      <w:lang w:val="en-US" w:eastAsia="zh-CN" w:bidi="ar-SA"/>
    </w:rPr>
  </w:style>
  <w:style w:type="character" w:customStyle="1" w:styleId="13">
    <w:name w:val="readonlyfield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2d1031cd-2f3c-49d0-bfa5-0851d8cde66c</errorID>
      <errorWord>（</errorWord>
      <group>L1_Format</group>
      <groupName>格式问题</groupName>
      <ability>L2_HalfPunc</ability>
      <abilityName>全半角检查</abilityName>
      <candidateList>
        <item>(</item>
      </candidateList>
      <explain>文本全半角错误。</explain>
      <paraID>2A52F6A5</paraID>
      <start>0</start>
      <end>1</end>
      <status>unmodified</status>
      <modifiedWord/>
      <trackRevisions>false</trackRevisions>
    </reviewItem>
    <reviewItem>
      <errorID>f5324e25-cc6e-417c-ba40-2371aa2180d8</errorID>
      <errorWord>）</errorWord>
      <group>L1_Format</group>
      <groupName>格式问题</groupName>
      <ability>L2_HalfPunc</ability>
      <abilityName>全半角检查</abilityName>
      <candidateList>
        <item>)</item>
      </candidateList>
      <explain>文本全半角错误。</explain>
      <paraID>2A52F6A5</paraID>
      <start>12</start>
      <end>13</end>
      <status>unmodified</status>
      <modifiedWord/>
      <trackRevisions>false</trackRevisions>
    </reviewItem>
    <reviewItem>
      <errorID>3eba98fd-524d-49be-a31f-9bcaba846fea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1911AABC</paraID>
      <start>105</start>
      <end>108</end>
      <status>unmodified</status>
      <modifiedWord/>
      <trackRevisions>false</trackRevisions>
    </reviewItem>
    <reviewItem>
      <errorID>54e8a5c4-58ee-4c9e-86e5-d97326aeb89f</errorID>
      <errorWord>(</errorWord>
      <group>L1_Format</group>
      <groupName>格式问题</groupName>
      <ability>L2_HalfPunc</ability>
      <abilityName>全半角检查</abilityName>
      <candidateList>
        <item>（</item>
      </candidateList>
      <explain>文本全半角错误。</explain>
      <paraID>4F8E43C7</paraID>
      <start>162</start>
      <end>163</end>
      <status>unmodified</status>
      <modifiedWord/>
      <trackRevisions>false</trackRevisions>
    </reviewItem>
    <reviewItem>
      <errorID>1b1bccdd-887c-4b88-957c-9d6225b23034</errorID>
      <errorWord>)</errorWord>
      <group>L1_Format</group>
      <groupName>格式问题</groupName>
      <ability>L2_HalfPunc</ability>
      <abilityName>全半角检查</abilityName>
      <candidateList>
        <item>）</item>
      </candidateList>
      <explain>文本全半角错误。</explain>
      <paraID>4F8E43C7</paraID>
      <start>269</start>
      <end>270</end>
      <status>unmodified</status>
      <modifiedWord/>
      <trackRevisions>false</trackRevisions>
    </reviewItem>
    <reviewItem>
      <errorID>2999d9ac-1569-4733-9a29-7aabdb8e2ee9</errorID>
      <errorWord>同一</errorWord>
      <group>L1_Word</group>
      <groupName>字词问题</groupName>
      <ability>L2_Typo</ability>
      <abilityName>字词错误</abilityName>
      <candidateList>
        <item>统一</item>
      </candidateList>
      <explain>❶〈动〉部分联成整体；分歧归于一致：～体｜～祖国｜大家的意见逐渐～了。❷〈形〉一致的；整体的；单一的：～的意见｜～调配｜～领导。</explain>
      <paraID>1425DD06</paraID>
      <start>44</start>
      <end>46</end>
      <status>unmodified</status>
      <modifiedWord/>
      <trackRevisions>false</trackRevisions>
    </reviewItem>
    <reviewItem>
      <errorID>30f81d95-1715-4266-9834-1de4f79a42c7</errorID>
      <errorWord>。；</errorWord>
      <group>L1_Punc</group>
      <groupName>标点问题</groupName>
      <ability>L2_Punc</ability>
      <abilityName>标点符号检查</abilityName>
      <candidateList>
        <item>。</item>
      </candidateList>
      <explain/>
      <paraID>44340EC8</paraID>
      <start>91</start>
      <end>93</end>
      <status>unmodified</status>
      <modifiedWord/>
      <trackRevisions>false</trackRevisions>
    </reviewItem>
    <reviewItem>
      <errorID>6111d4ae-3364-4981-b5bc-9db0cf9926c9</errorID>
      <errorWord>法律、法规</errorWord>
      <group>L1_Word</group>
      <groupName>字词问题</groupName>
      <ability>L2_Typo</ability>
      <abilityName>字词错误</abilityName>
      <candidateList>
        <item>法律法规</item>
      </candidateList>
      <explain/>
      <paraID>562E782C</paraID>
      <start>37</start>
      <end>42</end>
      <status>unmodified</status>
      <modifiedWord/>
      <trackRevisions>false</trackRevisions>
    </reviewItem>
    <reviewItem>
      <errorID>a2b06614-bf01-45e3-ad28-841e1bbcf512</errorID>
      <errorWord>法律、法规</errorWord>
      <group>L1_Word</group>
      <groupName>字词问题</groupName>
      <ability>L2_Typo</ability>
      <abilityName>字词错误</abilityName>
      <candidateList>
        <item>法律法规</item>
      </candidateList>
      <explain/>
      <paraID>29803415</paraID>
      <start>64</start>
      <end>69</end>
      <status>unmodified</status>
      <modifiedWord/>
      <trackRevisions>false</trackRevisions>
    </reviewItem>
    <reviewItem>
      <errorID>91a4178c-5c0d-4314-b453-de6f445a916b</errorID>
      <errorWord>法律、法规</errorWord>
      <group>L1_Word</group>
      <groupName>字词问题</groupName>
      <ability>L2_Typo</ability>
      <abilityName>字词错误</abilityName>
      <candidateList>
        <item>法律法规</item>
      </candidateList>
      <explain/>
      <paraID>3FD50412</paraID>
      <start>0</start>
      <end>5</end>
      <status>unmodified</status>
      <modifiedWord/>
      <trackRevisions>false</trackRevisions>
    </reviewItem>
    <reviewItem>
      <errorID>b4354b65-64a2-4bb3-8769-360aaa11a163</errorID>
      <errorWord>法律、法规</errorWord>
      <group>L1_Word</group>
      <groupName>字词问题</groupName>
      <ability>L2_Typo</ability>
      <abilityName>字词错误</abilityName>
      <candidateList>
        <item>法律法规</item>
      </candidateList>
      <explain/>
      <paraID>3FD50412</paraID>
      <start>71</start>
      <end>76</end>
      <status>unmodified</status>
      <modifiedWord/>
      <trackRevisions>false</trackRevisions>
    </reviewItem>
    <reviewItem>
      <errorID>ab4bd3a9-9d7e-498f-bdee-b59d90caf2ea</errorID>
      <errorWord>法律、法规</errorWord>
      <group>L1_Word</group>
      <groupName>字词问题</groupName>
      <ability>L2_Typo</ability>
      <abilityName>字词错误</abilityName>
      <candidateList>
        <item>法律法规</item>
      </candidateList>
      <explain/>
      <paraID>5B07AE82</paraID>
      <start>42</start>
      <end>47</end>
      <status>unmodified</status>
      <modifiedWord/>
      <trackRevisions>false</trackRevisions>
    </reviewItem>
    <reviewItem>
      <errorID>6c17f94a-a983-4d4e-864d-9ec6c6ea9bd6</errorID>
      <errorWord>强</errorWord>
      <group>L1_Word</group>
      <groupName>字词问题</groupName>
      <ability>L2_Typo</ability>
      <abilityName>字词错误</abilityName>
      <candidateList>
        <item>强和</item>
      </candidateList>
      <explain/>
      <paraID>5B07AE82</paraID>
      <start>62</start>
      <end>63</end>
      <status>unmodified</status>
      <modifiedWord/>
      <trackRevisions>false</trackRevisions>
    </reviewItem>
    <reviewItem>
      <errorID>e2a86b67-753c-402d-9fa4-c7c690a37d18</errorID>
      <errorWord>法律、法规</errorWord>
      <group>L1_Word</group>
      <groupName>字词问题</groupName>
      <ability>L2_Typo</ability>
      <abilityName>字词错误</abilityName>
      <candidateList>
        <item>法律法规</item>
      </candidateList>
      <explain/>
      <paraID>5B07AE82</paraID>
      <start>118</start>
      <end>123</end>
      <status>unmodified</status>
      <modifiedWord/>
      <trackRevisions>false</trackRevisions>
    </reviewItem>
    <reviewItem>
      <errorID>6f68ff7d-3658-4c54-bc53-87c395f39908</errorID>
      <errorWord>（</errorWord>
      <group>L1_Punc</group>
      <groupName>标点问题</groupName>
      <ability>L2_Punc</ability>
      <abilityName>标点符号检查</abilityName>
      <candidateList/>
      <explain>同一形式括号套用。</explain>
      <paraID> EDC4E6B</paraID>
      <start>19</start>
      <end>20</end>
      <status>unmodified</status>
      <modifiedWord/>
      <trackRevisions>false</trackRevisions>
    </reviewItem>
    <reviewItem>
      <errorID>6a90447b-0474-4255-9d35-e7ba4ed8e101</errorID>
      <errorWord>）</errorWord>
      <group>L1_Punc</group>
      <groupName>标点问题</groupName>
      <ability>L2_Punc</ability>
      <abilityName>标点符号检查</abilityName>
      <candidateList/>
      <explain>同一形式括号套用。</explain>
      <paraID> EDC4E6B</paraID>
      <start>25</start>
      <end>26</end>
      <status>unmodified</status>
      <modifiedWord/>
      <trackRevisions>false</trackRevisions>
    </reviewItem>
    <reviewItem>
      <errorID>e9359b01-8797-4224-a5fa-a258eca049ea</errorID>
      <errorWord>法律、法规</errorWord>
      <group>L1_Word</group>
      <groupName>字词问题</groupName>
      <ability>L2_Typo</ability>
      <abilityName>字词错误</abilityName>
      <candidateList>
        <item>法律法规</item>
      </candidateList>
      <explain/>
      <paraID>7D362116</paraID>
      <start>147</start>
      <end>152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abdd47-0470-4949-aa14-e906d260652f}">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9001</Words>
  <Characters>9015</Characters>
  <Lines>0</Lines>
  <Paragraphs>0</Paragraphs>
  <TotalTime>3</TotalTime>
  <ScaleCrop>false</ScaleCrop>
  <LinksUpToDate>false</LinksUpToDate>
  <CharactersWithSpaces>9017</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2022-06-29T02:59:00Z</dcterms:created>
  <dc:creator>@xiehaoran</dc:creator>
  <cp:lastModifiedBy>oss</cp:lastModifiedBy>
  <cp:lastPrinted>2025-10-22T16:25:00Z</cp:lastPrinted>
  <dcterms:modified xsi:type="dcterms:W3CDTF">2026-02-06T02:54:26Z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37638102789F4DA5AA2AE48B44E8BCA0_13</vt:lpwstr>
  </property>
  <property fmtid="{D5CDD505-2E9C-101B-9397-08002B2CF9AE}" pid="4" name="KSOTemplateDocerSaveRecord">
    <vt:lpwstr>eyJoZGlkIjoiNTk0MDE3OTA3N2M5Y2ZhMjkxNjA3YWExOGZlYjg0Y2MiLCJ1c2VySWQiOiIxMTY5MTk3MjA3In0=</vt:lpwstr>
  </property>
</Properties>
</file>