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269CD0">
      <w:pPr>
        <w:keepNext w:val="0"/>
        <w:keepLines w:val="0"/>
        <w:pageBreakBefore w:val="0"/>
        <w:widowControl w:val="0"/>
        <w:kinsoku/>
        <w:wordWrap/>
        <w:overflowPunct/>
        <w:topLinePunct w:val="0"/>
        <w:autoSpaceDE/>
        <w:autoSpaceDN/>
        <w:bidi w:val="0"/>
        <w:adjustRightInd/>
        <w:snapToGrid/>
        <w:spacing w:before="0" w:beforeLines="0" w:after="0" w:afterLines="0" w:line="700" w:lineRule="exact"/>
        <w:ind w:left="0" w:leftChars="0" w:right="0" w:rightChars="0"/>
        <w:jc w:val="center"/>
        <w:textAlignment w:val="auto"/>
        <w:outlineLvl w:val="9"/>
        <w:rPr>
          <w:rFonts w:hint="eastAsia" w:ascii="方正小标宋_GBK" w:hAnsi="方正小标宋_GBK" w:eastAsia="方正小标宋_GBK" w:cs="方正小标宋_GBK"/>
          <w:b w:val="0"/>
          <w:bCs w:val="0"/>
          <w:color w:val="auto"/>
          <w:sz w:val="44"/>
          <w:szCs w:val="44"/>
          <w:highlight w:val="none"/>
          <w:u w:val="none" w:color="auto"/>
          <w:shd w:val="clear" w:color="auto" w:fill="auto"/>
        </w:rPr>
      </w:pPr>
      <w:r>
        <w:rPr>
          <w:rFonts w:hint="eastAsia" w:ascii="方正小标宋_GBK" w:hAnsi="方正小标宋_GBK" w:eastAsia="方正小标宋_GBK" w:cs="方正小标宋_GBK"/>
          <w:b w:val="0"/>
          <w:bCs w:val="0"/>
          <w:color w:val="auto"/>
          <w:sz w:val="44"/>
          <w:szCs w:val="44"/>
          <w:highlight w:val="none"/>
          <w:u w:val="none" w:color="auto"/>
          <w:shd w:val="clear" w:color="auto" w:fill="auto"/>
        </w:rPr>
        <w:t>辽源市国民经济和社会发展</w:t>
      </w:r>
    </w:p>
    <w:p w14:paraId="49BCD222">
      <w:pPr>
        <w:keepNext w:val="0"/>
        <w:keepLines w:val="0"/>
        <w:pageBreakBefore w:val="0"/>
        <w:widowControl w:val="0"/>
        <w:kinsoku/>
        <w:wordWrap/>
        <w:overflowPunct/>
        <w:topLinePunct w:val="0"/>
        <w:autoSpaceDE/>
        <w:autoSpaceDN/>
        <w:bidi w:val="0"/>
        <w:adjustRightInd/>
        <w:snapToGrid/>
        <w:spacing w:before="0" w:beforeLines="0" w:after="0" w:afterLines="0" w:line="700" w:lineRule="exact"/>
        <w:ind w:left="0" w:leftChars="0" w:right="0" w:rightChars="0"/>
        <w:jc w:val="center"/>
        <w:textAlignment w:val="auto"/>
        <w:outlineLvl w:val="9"/>
        <w:rPr>
          <w:rFonts w:hint="eastAsia" w:ascii="方正小标宋_GBK" w:hAnsi="方正小标宋_GBK" w:eastAsia="方正小标宋_GBK" w:cs="方正小标宋_GBK"/>
          <w:b w:val="0"/>
          <w:bCs w:val="0"/>
          <w:color w:val="auto"/>
          <w:sz w:val="48"/>
          <w:szCs w:val="48"/>
          <w:highlight w:val="none"/>
          <w:u w:val="none" w:color="auto"/>
          <w:shd w:val="clear" w:color="auto" w:fill="auto"/>
        </w:rPr>
      </w:pPr>
      <w:r>
        <w:rPr>
          <w:rFonts w:hint="eastAsia" w:ascii="方正小标宋_GBK" w:hAnsi="方正小标宋_GBK" w:eastAsia="方正小标宋_GBK" w:cs="方正小标宋_GBK"/>
          <w:b w:val="0"/>
          <w:bCs w:val="0"/>
          <w:color w:val="auto"/>
          <w:sz w:val="44"/>
          <w:szCs w:val="44"/>
          <w:highlight w:val="none"/>
          <w:u w:val="none" w:color="auto"/>
          <w:shd w:val="clear" w:color="auto" w:fill="auto"/>
        </w:rPr>
        <w:t>第十</w:t>
      </w:r>
      <w:r>
        <w:rPr>
          <w:rFonts w:hint="eastAsia" w:ascii="方正小标宋_GBK" w:hAnsi="方正小标宋_GBK" w:eastAsia="方正小标宋_GBK" w:cs="方正小标宋_GBK"/>
          <w:b w:val="0"/>
          <w:bCs w:val="0"/>
          <w:color w:val="auto"/>
          <w:sz w:val="44"/>
          <w:szCs w:val="44"/>
          <w:highlight w:val="none"/>
          <w:u w:val="none" w:color="auto"/>
          <w:shd w:val="clear" w:color="auto" w:fill="auto"/>
          <w:lang w:eastAsia="zh-CN"/>
        </w:rPr>
        <w:t>五</w:t>
      </w:r>
      <w:r>
        <w:rPr>
          <w:rFonts w:hint="eastAsia" w:ascii="方正小标宋_GBK" w:hAnsi="方正小标宋_GBK" w:eastAsia="方正小标宋_GBK" w:cs="方正小标宋_GBK"/>
          <w:b w:val="0"/>
          <w:bCs w:val="0"/>
          <w:color w:val="auto"/>
          <w:sz w:val="44"/>
          <w:szCs w:val="44"/>
          <w:highlight w:val="none"/>
          <w:u w:val="none" w:color="auto"/>
          <w:shd w:val="clear" w:color="auto" w:fill="auto"/>
        </w:rPr>
        <w:t>个五年规划纲要</w:t>
      </w:r>
    </w:p>
    <w:p w14:paraId="6883397A">
      <w:pPr>
        <w:keepNext w:val="0"/>
        <w:keepLines w:val="0"/>
        <w:pageBreakBefore w:val="0"/>
        <w:widowControl w:val="0"/>
        <w:kinsoku/>
        <w:wordWrap/>
        <w:overflowPunct/>
        <w:topLinePunct w:val="0"/>
        <w:autoSpaceDE/>
        <w:autoSpaceDN/>
        <w:bidi w:val="0"/>
        <w:adjustRightInd/>
        <w:snapToGrid/>
        <w:spacing w:before="0" w:beforeLines="0" w:after="0" w:afterLines="0" w:line="576" w:lineRule="exact"/>
        <w:ind w:left="0" w:leftChars="0" w:right="0" w:rightChars="0"/>
        <w:jc w:val="center"/>
        <w:textAlignment w:val="auto"/>
        <w:outlineLvl w:val="9"/>
        <w:rPr>
          <w:rFonts w:hint="eastAsia" w:ascii="Times New Roman" w:hAnsi="Times New Roman" w:eastAsia="楷体" w:cs="Times New Roman"/>
          <w:b w:val="0"/>
          <w:bCs w:val="0"/>
          <w:color w:val="auto"/>
          <w:sz w:val="36"/>
          <w:szCs w:val="36"/>
          <w:highlight w:val="none"/>
          <w:u w:val="none" w:color="auto"/>
          <w:shd w:val="clear" w:color="auto" w:fill="auto"/>
          <w:lang w:eastAsia="zh-CN"/>
        </w:rPr>
      </w:pPr>
    </w:p>
    <w:p w14:paraId="1DD6D3D3">
      <w:pPr>
        <w:pStyle w:val="4"/>
        <w:rPr>
          <w:rFonts w:hint="default"/>
          <w:color w:val="auto"/>
          <w:highlight w:val="none"/>
        </w:rPr>
      </w:pPr>
    </w:p>
    <w:p w14:paraId="322CE49D">
      <w:pPr>
        <w:keepNext w:val="0"/>
        <w:keepLines w:val="0"/>
        <w:pageBreakBefore w:val="0"/>
        <w:widowControl w:val="0"/>
        <w:kinsoku/>
        <w:wordWrap/>
        <w:overflowPunct/>
        <w:topLinePunct w:val="0"/>
        <w:autoSpaceDE/>
        <w:autoSpaceDN/>
        <w:bidi w:val="0"/>
        <w:adjustRightInd/>
        <w:snapToGrid/>
        <w:spacing w:before="0" w:beforeLines="0" w:after="0" w:afterLines="0"/>
        <w:ind w:left="0" w:leftChars="0" w:right="0" w:rightChars="0"/>
        <w:jc w:val="center"/>
        <w:textAlignment w:val="auto"/>
        <w:outlineLvl w:val="9"/>
        <w:rPr>
          <w:rFonts w:hint="default" w:ascii="Times New Roman" w:hAnsi="Times New Roman" w:cs="Times New Roman"/>
          <w:b/>
          <w:bCs/>
          <w:color w:val="auto"/>
          <w:sz w:val="32"/>
          <w:szCs w:val="32"/>
          <w:highlight w:val="none"/>
          <w:u w:val="none" w:color="auto"/>
          <w:shd w:val="clear" w:color="auto" w:fill="auto"/>
        </w:rPr>
      </w:pPr>
    </w:p>
    <w:p w14:paraId="5FAFE27A">
      <w:pPr>
        <w:keepNext w:val="0"/>
        <w:keepLines w:val="0"/>
        <w:pageBreakBefore w:val="0"/>
        <w:widowControl w:val="0"/>
        <w:kinsoku/>
        <w:wordWrap/>
        <w:overflowPunct/>
        <w:topLinePunct w:val="0"/>
        <w:autoSpaceDE/>
        <w:autoSpaceDN/>
        <w:bidi w:val="0"/>
        <w:adjustRightInd/>
        <w:snapToGrid/>
        <w:spacing w:before="0" w:beforeLines="0" w:after="0" w:afterLines="0"/>
        <w:ind w:left="0" w:leftChars="0" w:right="0" w:rightChars="0"/>
        <w:jc w:val="center"/>
        <w:textAlignment w:val="auto"/>
        <w:outlineLvl w:val="9"/>
        <w:rPr>
          <w:rFonts w:hint="default" w:ascii="Times New Roman" w:hAnsi="Times New Roman" w:cs="Times New Roman"/>
          <w:b/>
          <w:bCs/>
          <w:color w:val="auto"/>
          <w:sz w:val="32"/>
          <w:szCs w:val="32"/>
          <w:highlight w:val="none"/>
          <w:u w:val="none" w:color="auto"/>
          <w:shd w:val="clear" w:color="auto" w:fill="auto"/>
        </w:rPr>
      </w:pPr>
    </w:p>
    <w:p w14:paraId="1D1DFEF4">
      <w:pPr>
        <w:pStyle w:val="4"/>
        <w:rPr>
          <w:rFonts w:hint="default"/>
          <w:color w:val="auto"/>
        </w:rPr>
      </w:pPr>
    </w:p>
    <w:p w14:paraId="4FC193E5">
      <w:pPr>
        <w:keepNext w:val="0"/>
        <w:keepLines w:val="0"/>
        <w:pageBreakBefore w:val="0"/>
        <w:widowControl w:val="0"/>
        <w:kinsoku/>
        <w:wordWrap/>
        <w:overflowPunct/>
        <w:topLinePunct w:val="0"/>
        <w:autoSpaceDE/>
        <w:autoSpaceDN/>
        <w:bidi w:val="0"/>
        <w:adjustRightInd/>
        <w:snapToGrid/>
        <w:spacing w:before="0" w:beforeLines="0" w:after="0" w:afterLines="0"/>
        <w:ind w:left="0" w:leftChars="0" w:right="0" w:rightChars="0"/>
        <w:jc w:val="center"/>
        <w:textAlignment w:val="auto"/>
        <w:outlineLvl w:val="9"/>
        <w:rPr>
          <w:rFonts w:hint="default" w:ascii="Times New Roman" w:hAnsi="Times New Roman" w:cs="Times New Roman"/>
          <w:b/>
          <w:bCs/>
          <w:color w:val="auto"/>
          <w:sz w:val="32"/>
          <w:szCs w:val="32"/>
          <w:highlight w:val="none"/>
          <w:u w:val="none" w:color="auto"/>
          <w:shd w:val="clear" w:color="auto" w:fill="auto"/>
        </w:rPr>
      </w:pPr>
    </w:p>
    <w:p w14:paraId="3CDB9018">
      <w:pPr>
        <w:keepNext w:val="0"/>
        <w:keepLines w:val="0"/>
        <w:pageBreakBefore w:val="0"/>
        <w:widowControl w:val="0"/>
        <w:kinsoku/>
        <w:wordWrap/>
        <w:overflowPunct/>
        <w:topLinePunct w:val="0"/>
        <w:autoSpaceDE/>
        <w:autoSpaceDN/>
        <w:bidi w:val="0"/>
        <w:adjustRightInd/>
        <w:snapToGrid/>
        <w:spacing w:before="0" w:beforeLines="0" w:after="0" w:afterLines="0"/>
        <w:ind w:left="0" w:leftChars="0" w:right="0" w:rightChars="0"/>
        <w:jc w:val="center"/>
        <w:textAlignment w:val="auto"/>
        <w:outlineLvl w:val="9"/>
        <w:rPr>
          <w:rFonts w:hint="default" w:ascii="Times New Roman" w:hAnsi="Times New Roman" w:cs="Times New Roman"/>
          <w:b/>
          <w:bCs/>
          <w:color w:val="auto"/>
          <w:sz w:val="32"/>
          <w:szCs w:val="32"/>
          <w:highlight w:val="none"/>
          <w:u w:val="none" w:color="auto"/>
          <w:shd w:val="clear" w:color="auto" w:fill="auto"/>
        </w:rPr>
      </w:pPr>
    </w:p>
    <w:p w14:paraId="039252C7">
      <w:pPr>
        <w:keepNext w:val="0"/>
        <w:keepLines w:val="0"/>
        <w:pageBreakBefore w:val="0"/>
        <w:widowControl w:val="0"/>
        <w:kinsoku/>
        <w:wordWrap/>
        <w:overflowPunct/>
        <w:topLinePunct w:val="0"/>
        <w:autoSpaceDE/>
        <w:autoSpaceDN/>
        <w:bidi w:val="0"/>
        <w:adjustRightInd/>
        <w:snapToGrid/>
        <w:spacing w:before="0" w:beforeLines="0" w:after="0" w:afterLines="0"/>
        <w:ind w:left="0" w:leftChars="0" w:right="0" w:rightChars="0"/>
        <w:jc w:val="center"/>
        <w:textAlignment w:val="auto"/>
        <w:outlineLvl w:val="9"/>
        <w:rPr>
          <w:rFonts w:hint="default" w:ascii="Times New Roman" w:hAnsi="Times New Roman" w:cs="Times New Roman"/>
          <w:b/>
          <w:bCs/>
          <w:color w:val="auto"/>
          <w:sz w:val="32"/>
          <w:szCs w:val="32"/>
          <w:highlight w:val="none"/>
          <w:u w:val="none" w:color="auto"/>
          <w:shd w:val="clear" w:color="auto" w:fill="auto"/>
        </w:rPr>
      </w:pPr>
    </w:p>
    <w:p w14:paraId="783C3FB9">
      <w:pPr>
        <w:keepNext w:val="0"/>
        <w:keepLines w:val="0"/>
        <w:pageBreakBefore w:val="0"/>
        <w:widowControl w:val="0"/>
        <w:kinsoku/>
        <w:wordWrap/>
        <w:overflowPunct/>
        <w:topLinePunct w:val="0"/>
        <w:autoSpaceDE/>
        <w:autoSpaceDN/>
        <w:bidi w:val="0"/>
        <w:adjustRightInd/>
        <w:snapToGrid/>
        <w:spacing w:before="0" w:beforeLines="0" w:after="0" w:afterLines="0"/>
        <w:ind w:left="0" w:leftChars="0" w:right="0" w:rightChars="0"/>
        <w:jc w:val="center"/>
        <w:textAlignment w:val="auto"/>
        <w:outlineLvl w:val="9"/>
        <w:rPr>
          <w:rFonts w:hint="default" w:ascii="Times New Roman" w:hAnsi="Times New Roman" w:cs="Times New Roman"/>
          <w:b/>
          <w:bCs/>
          <w:color w:val="auto"/>
          <w:sz w:val="32"/>
          <w:szCs w:val="32"/>
          <w:highlight w:val="none"/>
          <w:u w:val="none" w:color="auto"/>
          <w:shd w:val="clear" w:color="auto" w:fill="auto"/>
        </w:rPr>
      </w:pPr>
    </w:p>
    <w:p w14:paraId="10D881F3">
      <w:pPr>
        <w:keepNext w:val="0"/>
        <w:keepLines w:val="0"/>
        <w:pageBreakBefore w:val="0"/>
        <w:widowControl w:val="0"/>
        <w:kinsoku/>
        <w:wordWrap/>
        <w:overflowPunct/>
        <w:topLinePunct w:val="0"/>
        <w:autoSpaceDE/>
        <w:autoSpaceDN/>
        <w:bidi w:val="0"/>
        <w:adjustRightInd/>
        <w:snapToGrid/>
        <w:spacing w:before="0" w:beforeLines="0" w:after="0" w:afterLines="0" w:line="576" w:lineRule="exact"/>
        <w:ind w:left="0" w:leftChars="0" w:right="0" w:rightChars="0"/>
        <w:jc w:val="center"/>
        <w:textAlignment w:val="auto"/>
        <w:outlineLvl w:val="9"/>
        <w:rPr>
          <w:rFonts w:hint="default" w:ascii="Times New Roman" w:hAnsi="Times New Roman" w:eastAsia="楷体" w:cs="Times New Roman"/>
          <w:b w:val="0"/>
          <w:bCs w:val="0"/>
          <w:color w:val="auto"/>
          <w:sz w:val="33"/>
          <w:szCs w:val="33"/>
          <w:highlight w:val="none"/>
          <w:u w:val="none" w:color="auto"/>
          <w:shd w:val="clear" w:color="auto" w:fill="auto"/>
        </w:rPr>
      </w:pPr>
    </w:p>
    <w:p w14:paraId="66B68233">
      <w:pPr>
        <w:keepNext w:val="0"/>
        <w:keepLines w:val="0"/>
        <w:pageBreakBefore w:val="0"/>
        <w:widowControl w:val="0"/>
        <w:kinsoku/>
        <w:wordWrap/>
        <w:overflowPunct/>
        <w:topLinePunct w:val="0"/>
        <w:autoSpaceDE/>
        <w:autoSpaceDN/>
        <w:bidi w:val="0"/>
        <w:adjustRightInd/>
        <w:snapToGrid/>
        <w:spacing w:before="0" w:beforeLines="0" w:after="0" w:afterLines="0" w:line="576" w:lineRule="exact"/>
        <w:ind w:left="0" w:leftChars="0" w:right="0" w:rightChars="0"/>
        <w:jc w:val="center"/>
        <w:textAlignment w:val="auto"/>
        <w:outlineLvl w:val="9"/>
        <w:rPr>
          <w:rFonts w:hint="default" w:ascii="Times New Roman" w:hAnsi="Times New Roman" w:eastAsia="楷体" w:cs="Times New Roman"/>
          <w:b w:val="0"/>
          <w:bCs w:val="0"/>
          <w:color w:val="auto"/>
          <w:sz w:val="33"/>
          <w:szCs w:val="33"/>
          <w:highlight w:val="none"/>
          <w:u w:val="none" w:color="auto"/>
          <w:shd w:val="clear" w:color="auto" w:fill="auto"/>
        </w:rPr>
      </w:pPr>
    </w:p>
    <w:p w14:paraId="26EE8AEA">
      <w:pPr>
        <w:keepNext w:val="0"/>
        <w:keepLines w:val="0"/>
        <w:pageBreakBefore w:val="0"/>
        <w:widowControl w:val="0"/>
        <w:kinsoku/>
        <w:wordWrap/>
        <w:overflowPunct/>
        <w:topLinePunct w:val="0"/>
        <w:autoSpaceDE/>
        <w:autoSpaceDN/>
        <w:bidi w:val="0"/>
        <w:adjustRightInd/>
        <w:snapToGrid/>
        <w:spacing w:before="0" w:beforeLines="0" w:after="0" w:afterLines="0" w:line="576" w:lineRule="exact"/>
        <w:ind w:left="0" w:leftChars="0" w:right="0" w:rightChars="0"/>
        <w:jc w:val="center"/>
        <w:textAlignment w:val="auto"/>
        <w:outlineLvl w:val="9"/>
        <w:rPr>
          <w:rFonts w:hint="default" w:ascii="Times New Roman" w:hAnsi="Times New Roman" w:eastAsia="楷体" w:cs="Times New Roman"/>
          <w:b w:val="0"/>
          <w:bCs w:val="0"/>
          <w:color w:val="auto"/>
          <w:sz w:val="33"/>
          <w:szCs w:val="33"/>
          <w:highlight w:val="none"/>
          <w:u w:val="none" w:color="auto"/>
          <w:shd w:val="clear" w:color="auto" w:fill="auto"/>
        </w:rPr>
      </w:pPr>
    </w:p>
    <w:p w14:paraId="0F5833F6">
      <w:pPr>
        <w:keepNext w:val="0"/>
        <w:keepLines w:val="0"/>
        <w:pageBreakBefore w:val="0"/>
        <w:widowControl w:val="0"/>
        <w:kinsoku/>
        <w:wordWrap/>
        <w:overflowPunct/>
        <w:topLinePunct w:val="0"/>
        <w:autoSpaceDE/>
        <w:autoSpaceDN/>
        <w:bidi w:val="0"/>
        <w:adjustRightInd/>
        <w:snapToGrid/>
        <w:spacing w:before="0" w:beforeLines="0" w:after="0" w:afterLines="0" w:line="576" w:lineRule="exact"/>
        <w:ind w:left="0" w:leftChars="0" w:right="0" w:rightChars="0"/>
        <w:jc w:val="center"/>
        <w:textAlignment w:val="auto"/>
        <w:outlineLvl w:val="9"/>
        <w:rPr>
          <w:rFonts w:hint="default" w:ascii="Times New Roman" w:hAnsi="Times New Roman" w:eastAsia="楷体" w:cs="Times New Roman"/>
          <w:b w:val="0"/>
          <w:bCs w:val="0"/>
          <w:color w:val="auto"/>
          <w:sz w:val="33"/>
          <w:szCs w:val="33"/>
          <w:highlight w:val="none"/>
          <w:u w:val="none" w:color="auto"/>
          <w:shd w:val="clear" w:color="auto" w:fill="auto"/>
        </w:rPr>
      </w:pPr>
    </w:p>
    <w:p w14:paraId="431225B5">
      <w:pPr>
        <w:keepNext w:val="0"/>
        <w:keepLines w:val="0"/>
        <w:pageBreakBefore w:val="0"/>
        <w:widowControl w:val="0"/>
        <w:kinsoku/>
        <w:wordWrap/>
        <w:overflowPunct/>
        <w:topLinePunct w:val="0"/>
        <w:autoSpaceDE/>
        <w:autoSpaceDN/>
        <w:bidi w:val="0"/>
        <w:adjustRightInd/>
        <w:snapToGrid/>
        <w:spacing w:before="0" w:beforeLines="0" w:after="0" w:afterLines="0" w:line="576" w:lineRule="exact"/>
        <w:ind w:left="0" w:leftChars="0" w:right="0" w:rightChars="0"/>
        <w:jc w:val="center"/>
        <w:textAlignment w:val="auto"/>
        <w:outlineLvl w:val="9"/>
        <w:rPr>
          <w:rFonts w:hint="eastAsia" w:ascii="方正楷体_GBK" w:hAnsi="方正楷体_GBK" w:eastAsia="方正楷体_GBK" w:cs="方正楷体_GBK"/>
          <w:b w:val="0"/>
          <w:bCs w:val="0"/>
          <w:color w:val="auto"/>
          <w:sz w:val="32"/>
          <w:szCs w:val="32"/>
          <w:highlight w:val="none"/>
          <w:u w:val="none" w:color="auto"/>
          <w:shd w:val="clear" w:color="auto" w:fill="auto"/>
        </w:rPr>
      </w:pPr>
      <w:r>
        <w:rPr>
          <w:rFonts w:hint="eastAsia" w:ascii="方正楷体_GBK" w:hAnsi="方正楷体_GBK" w:eastAsia="方正楷体_GBK" w:cs="方正楷体_GBK"/>
          <w:b w:val="0"/>
          <w:bCs w:val="0"/>
          <w:color w:val="auto"/>
          <w:sz w:val="32"/>
          <w:szCs w:val="32"/>
          <w:highlight w:val="none"/>
          <w:u w:val="none" w:color="auto"/>
          <w:shd w:val="clear" w:color="auto" w:fill="auto"/>
        </w:rPr>
        <w:t>辽源市</w:t>
      </w:r>
      <w:r>
        <w:rPr>
          <w:rFonts w:hint="eastAsia" w:ascii="方正楷体_GBK" w:hAnsi="方正楷体_GBK" w:eastAsia="方正楷体_GBK" w:cs="方正楷体_GBK"/>
          <w:b w:val="0"/>
          <w:bCs w:val="0"/>
          <w:color w:val="auto"/>
          <w:sz w:val="32"/>
          <w:szCs w:val="32"/>
          <w:highlight w:val="none"/>
          <w:u w:val="none" w:color="auto"/>
          <w:shd w:val="clear" w:color="auto" w:fill="auto"/>
          <w:lang w:val="en-US" w:eastAsia="zh-CN"/>
        </w:rPr>
        <w:t>人民政府</w:t>
      </w:r>
    </w:p>
    <w:p w14:paraId="5F074CF7">
      <w:pPr>
        <w:keepNext w:val="0"/>
        <w:keepLines w:val="0"/>
        <w:pageBreakBefore w:val="0"/>
        <w:widowControl w:val="0"/>
        <w:kinsoku/>
        <w:wordWrap/>
        <w:overflowPunct/>
        <w:topLinePunct w:val="0"/>
        <w:autoSpaceDE/>
        <w:autoSpaceDN/>
        <w:bidi w:val="0"/>
        <w:adjustRightInd/>
        <w:snapToGrid/>
        <w:spacing w:before="0" w:beforeLines="0" w:after="0" w:afterLines="0" w:line="480" w:lineRule="exact"/>
        <w:ind w:left="0" w:leftChars="0" w:right="0" w:rightChars="0"/>
        <w:jc w:val="center"/>
        <w:textAlignment w:val="auto"/>
        <w:outlineLvl w:val="9"/>
        <w:rPr>
          <w:rFonts w:hint="eastAsia" w:ascii="仿宋" w:hAnsi="仿宋" w:eastAsia="仿宋" w:cs="仿宋"/>
          <w:b w:val="0"/>
          <w:bCs w:val="0"/>
          <w:color w:val="auto"/>
          <w:sz w:val="36"/>
          <w:szCs w:val="36"/>
          <w:highlight w:val="none"/>
          <w:u w:val="none" w:color="auto"/>
          <w:shd w:val="clear" w:color="auto" w:fill="auto"/>
        </w:rPr>
      </w:pPr>
      <w:r>
        <w:rPr>
          <w:rFonts w:hint="eastAsia" w:ascii="方正楷体_GBK" w:hAnsi="方正楷体_GBK" w:eastAsia="方正楷体_GBK" w:cs="方正楷体_GBK"/>
          <w:b w:val="0"/>
          <w:bCs w:val="0"/>
          <w:color w:val="auto"/>
          <w:sz w:val="32"/>
          <w:szCs w:val="32"/>
          <w:highlight w:val="none"/>
          <w:u w:val="none" w:color="auto"/>
          <w:shd w:val="clear" w:color="auto" w:fill="auto"/>
        </w:rPr>
        <w:t>202</w:t>
      </w:r>
      <w:r>
        <w:rPr>
          <w:rFonts w:hint="eastAsia" w:ascii="方正楷体_GBK" w:hAnsi="方正楷体_GBK" w:eastAsia="方正楷体_GBK" w:cs="方正楷体_GBK"/>
          <w:b w:val="0"/>
          <w:bCs w:val="0"/>
          <w:color w:val="auto"/>
          <w:sz w:val="32"/>
          <w:szCs w:val="32"/>
          <w:highlight w:val="none"/>
          <w:u w:val="none" w:color="auto"/>
          <w:shd w:val="clear" w:color="auto" w:fill="auto"/>
          <w:lang w:val="en-US" w:eastAsia="zh-CN"/>
        </w:rPr>
        <w:t>6</w:t>
      </w:r>
      <w:r>
        <w:rPr>
          <w:rFonts w:hint="eastAsia" w:ascii="方正楷体_GBK" w:hAnsi="方正楷体_GBK" w:eastAsia="方正楷体_GBK" w:cs="方正楷体_GBK"/>
          <w:b w:val="0"/>
          <w:bCs w:val="0"/>
          <w:color w:val="auto"/>
          <w:sz w:val="32"/>
          <w:szCs w:val="32"/>
          <w:highlight w:val="none"/>
          <w:u w:val="none" w:color="auto"/>
          <w:shd w:val="clear" w:color="auto" w:fill="auto"/>
        </w:rPr>
        <w:t>年</w:t>
      </w:r>
      <w:r>
        <w:rPr>
          <w:rFonts w:hint="eastAsia" w:ascii="方正楷体_GBK" w:hAnsi="方正楷体_GBK" w:eastAsia="方正楷体_GBK" w:cs="方正楷体_GBK"/>
          <w:b w:val="0"/>
          <w:bCs w:val="0"/>
          <w:color w:val="auto"/>
          <w:sz w:val="32"/>
          <w:szCs w:val="32"/>
          <w:highlight w:val="none"/>
          <w:u w:val="none" w:color="auto"/>
          <w:shd w:val="clear" w:color="auto" w:fill="auto"/>
          <w:lang w:val="en-US" w:eastAsia="zh-CN"/>
        </w:rPr>
        <w:t>6</w:t>
      </w:r>
      <w:r>
        <w:rPr>
          <w:rFonts w:hint="eastAsia" w:ascii="方正楷体_GBK" w:hAnsi="方正楷体_GBK" w:eastAsia="方正楷体_GBK" w:cs="方正楷体_GBK"/>
          <w:b w:val="0"/>
          <w:bCs w:val="0"/>
          <w:color w:val="auto"/>
          <w:sz w:val="32"/>
          <w:szCs w:val="32"/>
          <w:highlight w:val="none"/>
          <w:u w:val="none" w:color="auto"/>
          <w:shd w:val="clear" w:color="auto" w:fill="auto"/>
        </w:rPr>
        <w:t>月</w:t>
      </w:r>
    </w:p>
    <w:p w14:paraId="6D9FE198">
      <w:pPr>
        <w:keepNext w:val="0"/>
        <w:keepLines w:val="0"/>
        <w:pageBreakBefore w:val="0"/>
        <w:widowControl w:val="0"/>
        <w:kinsoku/>
        <w:wordWrap/>
        <w:overflowPunct/>
        <w:topLinePunct w:val="0"/>
        <w:autoSpaceDE/>
        <w:autoSpaceDN/>
        <w:bidi w:val="0"/>
        <w:adjustRightInd/>
        <w:snapToGrid/>
        <w:spacing w:line="574" w:lineRule="exact"/>
        <w:ind w:firstLine="640" w:firstLineChars="200"/>
        <w:textAlignment w:val="auto"/>
        <w:rPr>
          <w:rFonts w:hint="eastAsia" w:ascii="方正仿宋_GBK" w:hAnsi="方正仿宋_GBK" w:eastAsia="方正仿宋_GBK" w:cs="方正仿宋_GBK"/>
          <w:color w:val="auto"/>
          <w:sz w:val="32"/>
          <w:szCs w:val="32"/>
        </w:rPr>
      </w:pPr>
    </w:p>
    <w:p w14:paraId="38512295">
      <w:pPr>
        <w:pStyle w:val="2"/>
        <w:jc w:val="center"/>
        <w:rPr>
          <w:rFonts w:hint="eastAsia" w:ascii="方正小标宋_GBK" w:hAnsi="方正小标宋_GBK" w:eastAsia="方正小标宋_GBK" w:cs="方正小标宋_GBK"/>
          <w:b w:val="0"/>
          <w:bCs w:val="0"/>
          <w:color w:val="auto"/>
          <w:kern w:val="2"/>
          <w:sz w:val="44"/>
          <w:szCs w:val="44"/>
          <w:highlight w:val="none"/>
          <w:u w:val="none" w:color="auto"/>
        </w:rPr>
        <w:sectPr>
          <w:footerReference r:id="rId3" w:type="default"/>
          <w:pgSz w:w="11906" w:h="16838"/>
          <w:pgMar w:top="2098" w:right="1474" w:bottom="1984" w:left="1587" w:header="851" w:footer="1474" w:gutter="0"/>
          <w:pgBorders>
            <w:top w:val="none" w:sz="0" w:space="0"/>
            <w:left w:val="none" w:sz="0" w:space="0"/>
            <w:bottom w:val="none" w:sz="0" w:space="0"/>
            <w:right w:val="none" w:sz="0" w:space="0"/>
          </w:pgBorders>
          <w:pgNumType w:fmt="decimalFullWidth"/>
          <w:cols w:space="720" w:num="1"/>
          <w:rtlGutter w:val="0"/>
          <w:docGrid w:type="lines" w:linePitch="312" w:charSpace="0"/>
        </w:sectPr>
      </w:pPr>
    </w:p>
    <w:p w14:paraId="5A558C50">
      <w:pPr>
        <w:pStyle w:val="2"/>
        <w:jc w:val="center"/>
        <w:rPr>
          <w:rFonts w:hint="eastAsia" w:ascii="方正小标宋_GBK" w:hAnsi="方正小标宋_GBK" w:eastAsia="方正小标宋_GBK" w:cs="方正小标宋_GBK"/>
          <w:b w:val="0"/>
          <w:bCs w:val="0"/>
          <w:color w:val="auto"/>
          <w:kern w:val="2"/>
          <w:sz w:val="44"/>
          <w:szCs w:val="44"/>
          <w:highlight w:val="none"/>
          <w:u w:val="none" w:color="auto"/>
        </w:rPr>
      </w:pPr>
      <w:r>
        <w:rPr>
          <w:rFonts w:hint="eastAsia" w:ascii="方正小标宋_GBK" w:hAnsi="方正小标宋_GBK" w:eastAsia="方正小标宋_GBK" w:cs="方正小标宋_GBK"/>
          <w:b w:val="0"/>
          <w:bCs w:val="0"/>
          <w:color w:val="auto"/>
          <w:kern w:val="2"/>
          <w:sz w:val="44"/>
          <w:szCs w:val="44"/>
          <w:highlight w:val="none"/>
          <w:u w:val="none" w:color="auto"/>
        </w:rPr>
        <w:t xml:space="preserve">目  </w:t>
      </w:r>
      <w:r>
        <w:rPr>
          <w:rFonts w:hint="eastAsia" w:ascii="方正小标宋_GBK" w:hAnsi="方正小标宋_GBK" w:eastAsia="方正小标宋_GBK" w:cs="方正小标宋_GBK"/>
          <w:b w:val="0"/>
          <w:bCs w:val="0"/>
          <w:color w:val="auto"/>
          <w:kern w:val="2"/>
          <w:sz w:val="44"/>
          <w:szCs w:val="44"/>
          <w:highlight w:val="none"/>
          <w:u w:val="none" w:color="auto"/>
          <w:lang w:val="en-US" w:eastAsia="zh-CN"/>
        </w:rPr>
        <w:t xml:space="preserve"> </w:t>
      </w:r>
      <w:r>
        <w:rPr>
          <w:rFonts w:hint="eastAsia" w:ascii="方正小标宋_GBK" w:hAnsi="方正小标宋_GBK" w:eastAsia="方正小标宋_GBK" w:cs="方正小标宋_GBK"/>
          <w:b w:val="0"/>
          <w:bCs w:val="0"/>
          <w:color w:val="auto"/>
          <w:kern w:val="2"/>
          <w:sz w:val="44"/>
          <w:szCs w:val="44"/>
          <w:highlight w:val="none"/>
          <w:u w:val="none" w:color="auto"/>
        </w:rPr>
        <w:t xml:space="preserve"> 录</w:t>
      </w:r>
    </w:p>
    <w:p w14:paraId="07A94C6F">
      <w:pPr>
        <w:pStyle w:val="2"/>
        <w:keepNext w:val="0"/>
        <w:keepLines w:val="0"/>
        <w:pageBreakBefore w:val="0"/>
        <w:widowControl w:val="0"/>
        <w:tabs>
          <w:tab w:val="left" w:leader="dot" w:pos="7980"/>
        </w:tabs>
        <w:kinsoku/>
        <w:wordWrap/>
        <w:overflowPunct/>
        <w:topLinePunct w:val="0"/>
        <w:autoSpaceDE/>
        <w:autoSpaceDN/>
        <w:bidi w:val="0"/>
        <w:adjustRightInd/>
        <w:snapToGrid/>
        <w:spacing w:after="0" w:line="620" w:lineRule="exact"/>
        <w:jc w:val="center"/>
        <w:textAlignment w:val="auto"/>
        <w:rPr>
          <w:rFonts w:hint="eastAsia" w:ascii="方正黑体_GBK" w:hAnsi="方正黑体_GBK" w:eastAsia="方正黑体_GBK" w:cs="方正黑体_GBK"/>
          <w:b w:val="0"/>
          <w:bCs w:val="0"/>
          <w:color w:val="auto"/>
          <w:kern w:val="2"/>
          <w:sz w:val="32"/>
          <w:szCs w:val="32"/>
          <w:highlight w:val="none"/>
          <w:u w:val="none" w:color="auto"/>
        </w:rPr>
      </w:pPr>
      <w:r>
        <w:rPr>
          <w:rFonts w:hint="eastAsia" w:ascii="方正黑体_GBK" w:hAnsi="方正黑体_GBK" w:eastAsia="方正黑体_GBK" w:cs="方正黑体_GBK"/>
          <w:b w:val="0"/>
          <w:bCs w:val="0"/>
          <w:color w:val="auto"/>
          <w:kern w:val="2"/>
          <w:sz w:val="32"/>
          <w:szCs w:val="32"/>
          <w:highlight w:val="none"/>
          <w:u w:val="none" w:color="auto"/>
          <w:lang w:val="en-US" w:eastAsia="zh-CN"/>
        </w:rPr>
        <w:t>第一章　</w:t>
      </w:r>
      <w:r>
        <w:rPr>
          <w:rFonts w:hint="eastAsia" w:ascii="方正黑体_GBK" w:hAnsi="方正黑体_GBK" w:eastAsia="方正黑体_GBK" w:cs="方正黑体_GBK"/>
          <w:b w:val="0"/>
          <w:bCs w:val="0"/>
          <w:color w:val="auto"/>
          <w:kern w:val="2"/>
          <w:sz w:val="32"/>
          <w:szCs w:val="32"/>
          <w:highlight w:val="none"/>
          <w:u w:val="none" w:color="auto"/>
        </w:rPr>
        <w:t>夯实高质量发展基础 开启全面建设社会主义现代化辽</w:t>
      </w:r>
    </w:p>
    <w:p w14:paraId="243773C0">
      <w:pPr>
        <w:pStyle w:val="2"/>
        <w:keepNext w:val="0"/>
        <w:keepLines w:val="0"/>
        <w:pageBreakBefore w:val="0"/>
        <w:widowControl w:val="0"/>
        <w:numPr>
          <w:ilvl w:val="0"/>
          <w:numId w:val="0"/>
        </w:numPr>
        <w:tabs>
          <w:tab w:val="left" w:leader="dot" w:pos="7980"/>
        </w:tabs>
        <w:kinsoku/>
        <w:wordWrap/>
        <w:overflowPunct/>
        <w:topLinePunct w:val="0"/>
        <w:autoSpaceDE/>
        <w:autoSpaceDN/>
        <w:bidi w:val="0"/>
        <w:adjustRightInd/>
        <w:snapToGrid/>
        <w:spacing w:after="0" w:line="620" w:lineRule="exact"/>
        <w:jc w:val="both"/>
        <w:textAlignment w:val="auto"/>
        <w:rPr>
          <w:rFonts w:hint="eastAsia" w:ascii="方正楷体_GBK" w:hAnsi="方正楷体_GBK" w:eastAsia="方正黑体_GBK" w:cs="方正楷体_GBK"/>
          <w:b w:val="0"/>
          <w:bCs w:val="0"/>
          <w:color w:val="auto"/>
          <w:kern w:val="2"/>
          <w:sz w:val="32"/>
          <w:szCs w:val="32"/>
          <w:highlight w:val="none"/>
          <w:u w:val="none" w:color="auto"/>
          <w:lang w:eastAsia="zh-CN"/>
        </w:rPr>
      </w:pPr>
      <w:r>
        <w:rPr>
          <w:rFonts w:hint="eastAsia" w:ascii="方正黑体_GBK" w:hAnsi="方正黑体_GBK" w:eastAsia="方正黑体_GBK" w:cs="方正黑体_GBK"/>
          <w:b w:val="0"/>
          <w:bCs w:val="0"/>
          <w:color w:val="auto"/>
          <w:kern w:val="2"/>
          <w:sz w:val="32"/>
          <w:szCs w:val="32"/>
          <w:highlight w:val="none"/>
          <w:u w:val="none" w:color="auto"/>
          <w:lang w:eastAsia="zh-CN"/>
        </w:rPr>
        <w:t>　　　　</w:t>
      </w:r>
      <w:r>
        <w:rPr>
          <w:rFonts w:hint="eastAsia" w:ascii="方正黑体_GBK" w:hAnsi="方正黑体_GBK" w:eastAsia="方正黑体_GBK" w:cs="方正黑体_GBK"/>
          <w:b w:val="0"/>
          <w:bCs w:val="0"/>
          <w:color w:val="auto"/>
          <w:kern w:val="2"/>
          <w:sz w:val="32"/>
          <w:szCs w:val="32"/>
          <w:highlight w:val="none"/>
          <w:u w:val="none" w:color="auto"/>
        </w:rPr>
        <w:t>源新篇章</w:t>
      </w:r>
      <w:r>
        <w:rPr>
          <w:rFonts w:hint="eastAsia" w:ascii="方正黑体_GBK" w:hAnsi="方正黑体_GBK" w:eastAsia="方正黑体_GBK" w:cs="方正黑体_GBK"/>
          <w:b w:val="0"/>
          <w:bCs w:val="0"/>
          <w:color w:val="auto"/>
          <w:kern w:val="2"/>
          <w:sz w:val="32"/>
          <w:szCs w:val="32"/>
          <w:highlight w:val="none"/>
          <w:u w:val="none" w:color="auto"/>
          <w:lang w:val="en-US" w:eastAsia="zh-CN"/>
        </w:rPr>
        <w:tab/>
      </w:r>
      <w:r>
        <w:rPr>
          <w:rFonts w:hint="eastAsia" w:ascii="方正黑体_GBK" w:hAnsi="方正黑体_GBK" w:eastAsia="方正黑体_GBK" w:cs="方正黑体_GBK"/>
          <w:b w:val="0"/>
          <w:bCs w:val="0"/>
          <w:color w:val="auto"/>
          <w:kern w:val="2"/>
          <w:sz w:val="32"/>
          <w:szCs w:val="32"/>
          <w:highlight w:val="none"/>
          <w:u w:val="none" w:color="auto"/>
          <w:lang w:eastAsia="zh-CN"/>
        </w:rPr>
        <w:t>（</w:t>
      </w:r>
      <w:r>
        <w:rPr>
          <w:rFonts w:hint="eastAsia" w:ascii="方正黑体_GBK" w:hAnsi="方正黑体_GBK" w:eastAsia="方正黑体_GBK" w:cs="方正黑体_GBK"/>
          <w:b w:val="0"/>
          <w:bCs w:val="0"/>
          <w:color w:val="auto"/>
          <w:kern w:val="2"/>
          <w:sz w:val="32"/>
          <w:szCs w:val="32"/>
          <w:highlight w:val="none"/>
          <w:u w:val="none" w:color="auto"/>
          <w:lang w:val="en-US" w:eastAsia="zh-CN"/>
        </w:rPr>
        <w:t>1</w:t>
      </w:r>
      <w:r>
        <w:rPr>
          <w:rFonts w:hint="eastAsia" w:ascii="方正黑体_GBK" w:hAnsi="方正黑体_GBK" w:eastAsia="方正黑体_GBK" w:cs="方正黑体_GBK"/>
          <w:b w:val="0"/>
          <w:bCs w:val="0"/>
          <w:color w:val="auto"/>
          <w:kern w:val="2"/>
          <w:sz w:val="32"/>
          <w:szCs w:val="32"/>
          <w:highlight w:val="none"/>
          <w:u w:val="none" w:color="auto"/>
          <w:lang w:eastAsia="zh-CN"/>
        </w:rPr>
        <w:t>）</w:t>
      </w:r>
    </w:p>
    <w:p w14:paraId="225FDD71">
      <w:pPr>
        <w:pStyle w:val="2"/>
        <w:keepNext w:val="0"/>
        <w:keepLines w:val="0"/>
        <w:pageBreakBefore w:val="0"/>
        <w:widowControl w:val="0"/>
        <w:tabs>
          <w:tab w:val="left" w:leader="middleDot" w:pos="7980"/>
          <w:tab w:val="left" w:leader="middleDot" w:pos="8190"/>
        </w:tabs>
        <w:kinsoku/>
        <w:wordWrap/>
        <w:overflowPunct/>
        <w:topLinePunct w:val="0"/>
        <w:autoSpaceDE/>
        <w:autoSpaceDN/>
        <w:bidi w:val="0"/>
        <w:adjustRightInd/>
        <w:snapToGrid/>
        <w:spacing w:after="0" w:line="620" w:lineRule="exact"/>
        <w:ind w:firstLine="640" w:firstLineChars="200"/>
        <w:jc w:val="both"/>
        <w:textAlignment w:val="auto"/>
        <w:rPr>
          <w:rFonts w:hint="eastAsia" w:ascii="方正楷体_GBK" w:hAnsi="方正楷体_GBK" w:eastAsia="方正楷体_GBK" w:cs="方正楷体_GBK"/>
          <w:b w:val="0"/>
          <w:bCs w:val="0"/>
          <w:color w:val="auto"/>
          <w:kern w:val="2"/>
          <w:sz w:val="32"/>
          <w:szCs w:val="32"/>
          <w:highlight w:val="none"/>
          <w:u w:val="none" w:color="auto"/>
        </w:rPr>
      </w:pPr>
      <w:r>
        <w:rPr>
          <w:rFonts w:hint="eastAsia" w:ascii="方正楷体_GBK" w:hAnsi="方正楷体_GBK" w:eastAsia="方正楷体_GBK" w:cs="方正楷体_GBK"/>
          <w:b w:val="0"/>
          <w:bCs w:val="0"/>
          <w:color w:val="auto"/>
          <w:kern w:val="2"/>
          <w:sz w:val="32"/>
          <w:szCs w:val="32"/>
          <w:highlight w:val="none"/>
          <w:u w:val="none" w:color="auto"/>
        </w:rPr>
        <w:t>第一节  发展</w:t>
      </w:r>
      <w:r>
        <w:rPr>
          <w:rFonts w:hint="eastAsia" w:ascii="方正楷体_GBK" w:hAnsi="方正楷体_GBK" w:eastAsia="方正楷体_GBK" w:cs="方正楷体_GBK"/>
          <w:b w:val="0"/>
          <w:bCs w:val="0"/>
          <w:color w:val="auto"/>
          <w:kern w:val="2"/>
          <w:sz w:val="32"/>
          <w:szCs w:val="32"/>
          <w:highlight w:val="none"/>
          <w:u w:val="none" w:color="auto"/>
          <w:lang w:eastAsia="zh-CN"/>
        </w:rPr>
        <w:t>基础</w:t>
      </w:r>
      <w:r>
        <w:rPr>
          <w:rFonts w:hint="eastAsia" w:ascii="方正楷体_GBK" w:hAnsi="方正楷体_GBK" w:eastAsia="方正楷体_GBK" w:cs="方正楷体_GBK"/>
          <w:b w:val="0"/>
          <w:bCs w:val="0"/>
          <w:color w:val="auto"/>
          <w:kern w:val="2"/>
          <w:sz w:val="32"/>
          <w:szCs w:val="32"/>
          <w:highlight w:val="none"/>
          <w:u w:val="none" w:color="auto"/>
          <w:lang w:val="en-US" w:eastAsia="zh-CN"/>
        </w:rPr>
        <w:tab/>
      </w:r>
      <w:r>
        <w:rPr>
          <w:rFonts w:hint="eastAsia" w:ascii="宋体" w:hAnsi="宋体" w:eastAsia="宋体" w:cs="宋体"/>
          <w:b w:val="0"/>
          <w:bCs w:val="0"/>
          <w:color w:val="auto"/>
          <w:kern w:val="2"/>
          <w:sz w:val="28"/>
          <w:szCs w:val="28"/>
          <w:highlight w:val="none"/>
          <w:u w:val="none" w:color="auto"/>
          <w:lang w:eastAsia="zh-CN"/>
        </w:rPr>
        <w:t>（</w:t>
      </w:r>
      <w:r>
        <w:rPr>
          <w:rFonts w:hint="eastAsia" w:ascii="宋体" w:hAnsi="宋体" w:cs="宋体"/>
          <w:b w:val="0"/>
          <w:bCs w:val="0"/>
          <w:color w:val="auto"/>
          <w:kern w:val="2"/>
          <w:sz w:val="28"/>
          <w:szCs w:val="28"/>
          <w:highlight w:val="none"/>
          <w:u w:val="none" w:color="auto"/>
          <w:lang w:val="en-US" w:eastAsia="zh-CN"/>
        </w:rPr>
        <w:t>1</w:t>
      </w:r>
      <w:r>
        <w:rPr>
          <w:rFonts w:hint="eastAsia" w:ascii="宋体" w:hAnsi="宋体" w:eastAsia="宋体" w:cs="宋体"/>
          <w:b w:val="0"/>
          <w:bCs w:val="0"/>
          <w:color w:val="auto"/>
          <w:kern w:val="2"/>
          <w:sz w:val="28"/>
          <w:szCs w:val="28"/>
          <w:highlight w:val="none"/>
          <w:u w:val="none" w:color="auto"/>
          <w:lang w:eastAsia="zh-CN"/>
        </w:rPr>
        <w:t>）</w:t>
      </w:r>
    </w:p>
    <w:p w14:paraId="3D1FD089">
      <w:pPr>
        <w:pStyle w:val="2"/>
        <w:keepNext w:val="0"/>
        <w:keepLines w:val="0"/>
        <w:pageBreakBefore w:val="0"/>
        <w:widowControl w:val="0"/>
        <w:tabs>
          <w:tab w:val="left" w:leader="dot" w:pos="7980"/>
          <w:tab w:val="left" w:leader="middleDot" w:pos="8190"/>
        </w:tabs>
        <w:kinsoku/>
        <w:wordWrap/>
        <w:overflowPunct/>
        <w:topLinePunct w:val="0"/>
        <w:autoSpaceDE/>
        <w:autoSpaceDN/>
        <w:bidi w:val="0"/>
        <w:adjustRightInd/>
        <w:snapToGrid/>
        <w:spacing w:after="0" w:line="620" w:lineRule="exact"/>
        <w:ind w:firstLine="640" w:firstLineChars="200"/>
        <w:jc w:val="both"/>
        <w:textAlignment w:val="auto"/>
        <w:rPr>
          <w:rFonts w:hint="eastAsia" w:ascii="方正楷体_GBK" w:hAnsi="方正楷体_GBK" w:eastAsia="方正楷体_GBK" w:cs="方正楷体_GBK"/>
          <w:b w:val="0"/>
          <w:bCs w:val="0"/>
          <w:color w:val="auto"/>
          <w:kern w:val="2"/>
          <w:sz w:val="32"/>
          <w:szCs w:val="32"/>
          <w:highlight w:val="none"/>
          <w:u w:val="none" w:color="auto"/>
        </w:rPr>
      </w:pPr>
      <w:r>
        <w:rPr>
          <w:rFonts w:hint="eastAsia" w:ascii="方正楷体_GBK" w:hAnsi="方正楷体_GBK" w:eastAsia="方正楷体_GBK" w:cs="方正楷体_GBK"/>
          <w:b w:val="0"/>
          <w:bCs w:val="0"/>
          <w:color w:val="auto"/>
          <w:kern w:val="2"/>
          <w:sz w:val="32"/>
          <w:szCs w:val="32"/>
          <w:highlight w:val="none"/>
          <w:u w:val="none" w:color="auto"/>
        </w:rPr>
        <w:t>第二节  发展环境</w:t>
      </w:r>
      <w:r>
        <w:rPr>
          <w:rFonts w:hint="eastAsia" w:ascii="方正楷体_GBK" w:hAnsi="方正楷体_GBK" w:eastAsia="方正楷体_GBK" w:cs="方正楷体_GBK"/>
          <w:b w:val="0"/>
          <w:bCs w:val="0"/>
          <w:color w:val="auto"/>
          <w:kern w:val="2"/>
          <w:sz w:val="32"/>
          <w:szCs w:val="32"/>
          <w:highlight w:val="none"/>
          <w:u w:val="none" w:color="auto"/>
        </w:rPr>
        <w:tab/>
      </w:r>
      <w:r>
        <w:rPr>
          <w:rFonts w:hint="eastAsia" w:ascii="宋体" w:hAnsi="宋体" w:eastAsia="宋体" w:cs="宋体"/>
          <w:b w:val="0"/>
          <w:bCs w:val="0"/>
          <w:color w:val="auto"/>
          <w:kern w:val="2"/>
          <w:sz w:val="28"/>
          <w:szCs w:val="28"/>
          <w:highlight w:val="none"/>
          <w:u w:val="none" w:color="auto"/>
          <w:lang w:eastAsia="zh-CN"/>
        </w:rPr>
        <w:t>（</w:t>
      </w:r>
      <w:r>
        <w:rPr>
          <w:rFonts w:hint="eastAsia" w:ascii="宋体" w:hAnsi="宋体" w:cs="宋体"/>
          <w:b w:val="0"/>
          <w:bCs w:val="0"/>
          <w:color w:val="auto"/>
          <w:kern w:val="2"/>
          <w:sz w:val="28"/>
          <w:szCs w:val="28"/>
          <w:highlight w:val="none"/>
          <w:u w:val="none" w:color="auto"/>
          <w:lang w:val="en-US" w:eastAsia="zh-CN"/>
        </w:rPr>
        <w:t>4</w:t>
      </w:r>
      <w:r>
        <w:rPr>
          <w:rFonts w:hint="eastAsia" w:ascii="宋体" w:hAnsi="宋体" w:eastAsia="宋体" w:cs="宋体"/>
          <w:b w:val="0"/>
          <w:bCs w:val="0"/>
          <w:color w:val="auto"/>
          <w:kern w:val="2"/>
          <w:sz w:val="28"/>
          <w:szCs w:val="28"/>
          <w:highlight w:val="none"/>
          <w:u w:val="none" w:color="auto"/>
          <w:lang w:eastAsia="zh-CN"/>
        </w:rPr>
        <w:t>）</w:t>
      </w:r>
    </w:p>
    <w:p w14:paraId="0BEAF56B">
      <w:pPr>
        <w:pStyle w:val="2"/>
        <w:keepNext w:val="0"/>
        <w:keepLines w:val="0"/>
        <w:pageBreakBefore w:val="0"/>
        <w:widowControl w:val="0"/>
        <w:tabs>
          <w:tab w:val="left" w:leader="dot" w:pos="7980"/>
          <w:tab w:val="left" w:leader="middleDot" w:pos="8190"/>
        </w:tabs>
        <w:kinsoku/>
        <w:wordWrap/>
        <w:overflowPunct/>
        <w:topLinePunct w:val="0"/>
        <w:autoSpaceDE/>
        <w:autoSpaceDN/>
        <w:bidi w:val="0"/>
        <w:adjustRightInd/>
        <w:snapToGrid/>
        <w:spacing w:after="0" w:line="620" w:lineRule="exact"/>
        <w:ind w:firstLine="640" w:firstLineChars="200"/>
        <w:jc w:val="both"/>
        <w:textAlignment w:val="auto"/>
        <w:rPr>
          <w:rFonts w:hint="eastAsia" w:ascii="方正楷体_GBK" w:hAnsi="方正楷体_GBK" w:eastAsia="方正楷体_GBK" w:cs="方正楷体_GBK"/>
          <w:b w:val="0"/>
          <w:bCs w:val="0"/>
          <w:color w:val="auto"/>
          <w:kern w:val="2"/>
          <w:sz w:val="32"/>
          <w:szCs w:val="32"/>
          <w:highlight w:val="none"/>
          <w:u w:val="none" w:color="auto"/>
          <w:lang w:eastAsia="zh-CN"/>
        </w:rPr>
      </w:pPr>
      <w:r>
        <w:rPr>
          <w:rFonts w:hint="eastAsia" w:ascii="方正楷体_GBK" w:hAnsi="方正楷体_GBK" w:eastAsia="方正楷体_GBK" w:cs="方正楷体_GBK"/>
          <w:b w:val="0"/>
          <w:bCs w:val="0"/>
          <w:color w:val="auto"/>
          <w:kern w:val="2"/>
          <w:sz w:val="32"/>
          <w:szCs w:val="32"/>
          <w:highlight w:val="none"/>
          <w:u w:val="none" w:color="auto"/>
        </w:rPr>
        <w:t>第三节  总体要求</w:t>
      </w:r>
      <w:r>
        <w:rPr>
          <w:rFonts w:hint="eastAsia" w:ascii="方正楷体_GBK" w:hAnsi="方正楷体_GBK" w:eastAsia="方正楷体_GBK" w:cs="方正楷体_GBK"/>
          <w:b w:val="0"/>
          <w:bCs w:val="0"/>
          <w:color w:val="auto"/>
          <w:kern w:val="2"/>
          <w:sz w:val="32"/>
          <w:szCs w:val="32"/>
          <w:highlight w:val="none"/>
          <w:u w:val="none" w:color="auto"/>
        </w:rPr>
        <w:tab/>
      </w:r>
      <w:r>
        <w:rPr>
          <w:rFonts w:hint="eastAsia" w:ascii="宋体" w:hAnsi="宋体" w:eastAsia="宋体" w:cs="宋体"/>
          <w:b w:val="0"/>
          <w:bCs w:val="0"/>
          <w:color w:val="auto"/>
          <w:kern w:val="2"/>
          <w:sz w:val="28"/>
          <w:szCs w:val="28"/>
          <w:highlight w:val="none"/>
          <w:u w:val="none" w:color="auto"/>
          <w:lang w:eastAsia="zh-CN"/>
        </w:rPr>
        <w:t>（</w:t>
      </w:r>
      <w:r>
        <w:rPr>
          <w:rFonts w:hint="eastAsia" w:ascii="宋体" w:hAnsi="宋体" w:cs="宋体"/>
          <w:b w:val="0"/>
          <w:bCs w:val="0"/>
          <w:color w:val="auto"/>
          <w:kern w:val="2"/>
          <w:sz w:val="28"/>
          <w:szCs w:val="28"/>
          <w:highlight w:val="none"/>
          <w:u w:val="none" w:color="auto"/>
          <w:lang w:val="en-US" w:eastAsia="zh-CN"/>
        </w:rPr>
        <w:t>6</w:t>
      </w:r>
      <w:r>
        <w:rPr>
          <w:rFonts w:hint="eastAsia" w:ascii="宋体" w:hAnsi="宋体" w:eastAsia="宋体" w:cs="宋体"/>
          <w:b w:val="0"/>
          <w:bCs w:val="0"/>
          <w:color w:val="auto"/>
          <w:kern w:val="2"/>
          <w:sz w:val="28"/>
          <w:szCs w:val="28"/>
          <w:highlight w:val="none"/>
          <w:u w:val="none" w:color="auto"/>
          <w:lang w:eastAsia="zh-CN"/>
        </w:rPr>
        <w:t>）</w:t>
      </w:r>
    </w:p>
    <w:p w14:paraId="7EADD60C">
      <w:pPr>
        <w:pStyle w:val="2"/>
        <w:keepNext w:val="0"/>
        <w:keepLines w:val="0"/>
        <w:pageBreakBefore w:val="0"/>
        <w:widowControl w:val="0"/>
        <w:tabs>
          <w:tab w:val="left" w:leader="dot" w:pos="7980"/>
          <w:tab w:val="left" w:leader="middleDot" w:pos="8190"/>
        </w:tabs>
        <w:kinsoku/>
        <w:wordWrap/>
        <w:overflowPunct/>
        <w:topLinePunct w:val="0"/>
        <w:autoSpaceDE/>
        <w:autoSpaceDN/>
        <w:bidi w:val="0"/>
        <w:adjustRightInd/>
        <w:snapToGrid/>
        <w:spacing w:after="0" w:line="620" w:lineRule="exact"/>
        <w:ind w:firstLine="640" w:firstLineChars="200"/>
        <w:jc w:val="both"/>
        <w:textAlignment w:val="auto"/>
        <w:rPr>
          <w:rFonts w:hint="eastAsia" w:ascii="方正楷体_GBK" w:hAnsi="方正楷体_GBK" w:eastAsia="方正楷体_GBK" w:cs="方正楷体_GBK"/>
          <w:b w:val="0"/>
          <w:bCs w:val="0"/>
          <w:color w:val="auto"/>
          <w:kern w:val="2"/>
          <w:sz w:val="32"/>
          <w:szCs w:val="32"/>
          <w:highlight w:val="none"/>
          <w:u w:val="none" w:color="auto"/>
        </w:rPr>
      </w:pPr>
      <w:r>
        <w:rPr>
          <w:rFonts w:hint="eastAsia" w:ascii="方正楷体_GBK" w:hAnsi="方正楷体_GBK" w:eastAsia="方正楷体_GBK" w:cs="方正楷体_GBK"/>
          <w:b w:val="0"/>
          <w:bCs w:val="0"/>
          <w:color w:val="auto"/>
          <w:kern w:val="2"/>
          <w:sz w:val="32"/>
          <w:szCs w:val="32"/>
          <w:highlight w:val="none"/>
          <w:u w:val="none" w:color="auto"/>
        </w:rPr>
        <w:t>第四节  发展定位</w:t>
      </w:r>
      <w:r>
        <w:rPr>
          <w:rFonts w:hint="eastAsia" w:ascii="方正楷体_GBK" w:hAnsi="方正楷体_GBK" w:eastAsia="方正楷体_GBK" w:cs="方正楷体_GBK"/>
          <w:b w:val="0"/>
          <w:bCs w:val="0"/>
          <w:color w:val="auto"/>
          <w:kern w:val="2"/>
          <w:sz w:val="32"/>
          <w:szCs w:val="32"/>
          <w:highlight w:val="none"/>
          <w:u w:val="none" w:color="auto"/>
        </w:rPr>
        <w:tab/>
      </w:r>
      <w:r>
        <w:rPr>
          <w:rFonts w:hint="eastAsia" w:ascii="宋体" w:hAnsi="宋体" w:eastAsia="宋体" w:cs="宋体"/>
          <w:b w:val="0"/>
          <w:bCs w:val="0"/>
          <w:color w:val="auto"/>
          <w:kern w:val="2"/>
          <w:sz w:val="28"/>
          <w:szCs w:val="28"/>
          <w:highlight w:val="none"/>
          <w:u w:val="none" w:color="auto"/>
          <w:lang w:eastAsia="zh-CN"/>
        </w:rPr>
        <w:t>（</w:t>
      </w:r>
      <w:r>
        <w:rPr>
          <w:rFonts w:hint="eastAsia" w:ascii="宋体" w:hAnsi="宋体" w:cs="宋体"/>
          <w:b w:val="0"/>
          <w:bCs w:val="0"/>
          <w:color w:val="auto"/>
          <w:kern w:val="2"/>
          <w:sz w:val="28"/>
          <w:szCs w:val="28"/>
          <w:highlight w:val="none"/>
          <w:u w:val="none" w:color="auto"/>
          <w:lang w:val="en-US" w:eastAsia="zh-CN"/>
        </w:rPr>
        <w:t>9</w:t>
      </w:r>
      <w:r>
        <w:rPr>
          <w:rFonts w:hint="eastAsia" w:ascii="宋体" w:hAnsi="宋体" w:eastAsia="宋体" w:cs="宋体"/>
          <w:b w:val="0"/>
          <w:bCs w:val="0"/>
          <w:color w:val="auto"/>
          <w:kern w:val="2"/>
          <w:sz w:val="28"/>
          <w:szCs w:val="28"/>
          <w:highlight w:val="none"/>
          <w:u w:val="none" w:color="auto"/>
          <w:lang w:eastAsia="zh-CN"/>
        </w:rPr>
        <w:t>）</w:t>
      </w:r>
    </w:p>
    <w:p w14:paraId="42671A6F">
      <w:pPr>
        <w:pStyle w:val="2"/>
        <w:keepNext w:val="0"/>
        <w:keepLines w:val="0"/>
        <w:pageBreakBefore w:val="0"/>
        <w:widowControl w:val="0"/>
        <w:tabs>
          <w:tab w:val="left" w:leader="dot" w:pos="7980"/>
          <w:tab w:val="left" w:leader="middleDot" w:pos="8190"/>
        </w:tabs>
        <w:kinsoku/>
        <w:wordWrap/>
        <w:overflowPunct/>
        <w:topLinePunct w:val="0"/>
        <w:autoSpaceDE/>
        <w:autoSpaceDN/>
        <w:bidi w:val="0"/>
        <w:adjustRightInd/>
        <w:snapToGrid/>
        <w:spacing w:after="0" w:line="620" w:lineRule="exact"/>
        <w:ind w:firstLine="640" w:firstLineChars="200"/>
        <w:jc w:val="both"/>
        <w:textAlignment w:val="auto"/>
        <w:rPr>
          <w:rFonts w:hint="eastAsia" w:ascii="方正楷体_GBK" w:hAnsi="方正楷体_GBK" w:eastAsia="方正楷体_GBK" w:cs="方正楷体_GBK"/>
          <w:b w:val="0"/>
          <w:bCs w:val="0"/>
          <w:color w:val="auto"/>
          <w:kern w:val="2"/>
          <w:sz w:val="32"/>
          <w:szCs w:val="32"/>
          <w:highlight w:val="none"/>
          <w:u w:val="none" w:color="auto"/>
        </w:rPr>
      </w:pPr>
      <w:r>
        <w:rPr>
          <w:rFonts w:hint="eastAsia" w:ascii="方正楷体_GBK" w:hAnsi="方正楷体_GBK" w:eastAsia="方正楷体_GBK" w:cs="方正楷体_GBK"/>
          <w:b w:val="0"/>
          <w:bCs w:val="0"/>
          <w:color w:val="auto"/>
          <w:kern w:val="2"/>
          <w:sz w:val="32"/>
          <w:szCs w:val="32"/>
          <w:highlight w:val="none"/>
          <w:u w:val="none" w:color="auto"/>
        </w:rPr>
        <w:t>第五节  发展目标</w:t>
      </w:r>
      <w:r>
        <w:rPr>
          <w:rFonts w:hint="eastAsia" w:ascii="方正楷体_GBK" w:hAnsi="方正楷体_GBK" w:eastAsia="方正楷体_GBK" w:cs="方正楷体_GBK"/>
          <w:b w:val="0"/>
          <w:bCs w:val="0"/>
          <w:color w:val="auto"/>
          <w:kern w:val="2"/>
          <w:sz w:val="32"/>
          <w:szCs w:val="32"/>
          <w:highlight w:val="none"/>
          <w:u w:val="none" w:color="auto"/>
        </w:rPr>
        <w:tab/>
      </w:r>
      <w:r>
        <w:rPr>
          <w:rFonts w:hint="eastAsia" w:ascii="宋体" w:hAnsi="宋体" w:eastAsia="宋体" w:cs="宋体"/>
          <w:b w:val="0"/>
          <w:bCs w:val="0"/>
          <w:color w:val="auto"/>
          <w:kern w:val="2"/>
          <w:sz w:val="28"/>
          <w:szCs w:val="28"/>
          <w:highlight w:val="none"/>
          <w:u w:val="none" w:color="auto"/>
          <w:lang w:eastAsia="zh-CN"/>
        </w:rPr>
        <w:t>（</w:t>
      </w:r>
      <w:r>
        <w:rPr>
          <w:rFonts w:hint="default" w:ascii="宋体" w:hAnsi="宋体" w:eastAsia="宋体" w:cs="宋体"/>
          <w:b w:val="0"/>
          <w:bCs w:val="0"/>
          <w:color w:val="auto"/>
          <w:kern w:val="2"/>
          <w:sz w:val="28"/>
          <w:szCs w:val="28"/>
          <w:highlight w:val="none"/>
          <w:u w:val="none" w:color="auto"/>
          <w:lang w:val="en-US" w:eastAsia="zh-CN"/>
        </w:rPr>
        <w:t>10</w:t>
      </w:r>
      <w:r>
        <w:rPr>
          <w:rFonts w:hint="eastAsia" w:ascii="宋体" w:hAnsi="宋体" w:eastAsia="宋体" w:cs="宋体"/>
          <w:b w:val="0"/>
          <w:bCs w:val="0"/>
          <w:color w:val="auto"/>
          <w:kern w:val="2"/>
          <w:sz w:val="28"/>
          <w:szCs w:val="28"/>
          <w:highlight w:val="none"/>
          <w:u w:val="none" w:color="auto"/>
          <w:lang w:eastAsia="zh-CN"/>
        </w:rPr>
        <w:t>）</w:t>
      </w:r>
    </w:p>
    <w:p w14:paraId="6563D615">
      <w:pPr>
        <w:pStyle w:val="2"/>
        <w:keepNext w:val="0"/>
        <w:keepLines w:val="0"/>
        <w:pageBreakBefore w:val="0"/>
        <w:widowControl w:val="0"/>
        <w:tabs>
          <w:tab w:val="left" w:leader="dot" w:pos="7980"/>
        </w:tabs>
        <w:kinsoku/>
        <w:wordWrap/>
        <w:overflowPunct/>
        <w:topLinePunct w:val="0"/>
        <w:autoSpaceDE/>
        <w:autoSpaceDN/>
        <w:bidi w:val="0"/>
        <w:adjustRightInd/>
        <w:snapToGrid/>
        <w:spacing w:after="0" w:line="620" w:lineRule="exact"/>
        <w:jc w:val="both"/>
        <w:textAlignment w:val="auto"/>
        <w:rPr>
          <w:rFonts w:hint="eastAsia" w:ascii="方正黑体_GBK" w:hAnsi="方正黑体_GBK" w:eastAsia="方正黑体_GBK" w:cs="方正黑体_GBK"/>
          <w:b w:val="0"/>
          <w:bCs w:val="0"/>
          <w:color w:val="auto"/>
          <w:kern w:val="2"/>
          <w:sz w:val="32"/>
          <w:szCs w:val="32"/>
          <w:highlight w:val="none"/>
          <w:u w:val="none" w:color="auto"/>
        </w:rPr>
      </w:pPr>
      <w:r>
        <w:rPr>
          <w:rFonts w:hint="eastAsia" w:ascii="方正黑体_GBK" w:hAnsi="方正黑体_GBK" w:eastAsia="方正黑体_GBK" w:cs="方正黑体_GBK"/>
          <w:b w:val="0"/>
          <w:bCs w:val="0"/>
          <w:color w:val="auto"/>
          <w:kern w:val="2"/>
          <w:sz w:val="32"/>
          <w:szCs w:val="32"/>
          <w:highlight w:val="none"/>
          <w:u w:val="none" w:color="auto"/>
        </w:rPr>
        <w:t>第二章  构建现代化产业体系 巩固壮大实体经济根基</w:t>
      </w:r>
      <w:r>
        <w:rPr>
          <w:rFonts w:hint="eastAsia" w:ascii="方正黑体_GBK" w:hAnsi="方正黑体_GBK" w:eastAsia="方正黑体_GBK" w:cs="方正黑体_GBK"/>
          <w:b w:val="0"/>
          <w:bCs w:val="0"/>
          <w:color w:val="auto"/>
          <w:kern w:val="2"/>
          <w:sz w:val="32"/>
          <w:szCs w:val="32"/>
          <w:highlight w:val="none"/>
          <w:u w:val="none" w:color="auto"/>
        </w:rPr>
        <w:tab/>
      </w:r>
      <w:r>
        <w:rPr>
          <w:rFonts w:hint="eastAsia" w:ascii="方正黑体_GBK" w:hAnsi="方正黑体_GBK" w:eastAsia="方正黑体_GBK" w:cs="方正黑体_GBK"/>
          <w:b w:val="0"/>
          <w:bCs w:val="0"/>
          <w:color w:val="auto"/>
          <w:kern w:val="2"/>
          <w:sz w:val="32"/>
          <w:szCs w:val="32"/>
          <w:highlight w:val="none"/>
          <w:u w:val="none" w:color="auto"/>
          <w:lang w:eastAsia="zh-CN"/>
        </w:rPr>
        <w:t>（</w:t>
      </w:r>
      <w:r>
        <w:rPr>
          <w:rFonts w:hint="eastAsia" w:ascii="方正黑体_GBK" w:hAnsi="方正黑体_GBK" w:eastAsia="方正黑体_GBK" w:cs="方正黑体_GBK"/>
          <w:b w:val="0"/>
          <w:bCs w:val="0"/>
          <w:color w:val="auto"/>
          <w:kern w:val="2"/>
          <w:sz w:val="32"/>
          <w:szCs w:val="32"/>
          <w:highlight w:val="none"/>
          <w:u w:val="none" w:color="auto"/>
        </w:rPr>
        <w:t>14</w:t>
      </w:r>
      <w:r>
        <w:rPr>
          <w:rFonts w:hint="eastAsia" w:ascii="方正黑体_GBK" w:hAnsi="方正黑体_GBK" w:eastAsia="方正黑体_GBK" w:cs="方正黑体_GBK"/>
          <w:b w:val="0"/>
          <w:bCs w:val="0"/>
          <w:color w:val="auto"/>
          <w:kern w:val="2"/>
          <w:sz w:val="32"/>
          <w:szCs w:val="32"/>
          <w:highlight w:val="none"/>
          <w:u w:val="none" w:color="auto"/>
          <w:lang w:eastAsia="zh-CN"/>
        </w:rPr>
        <w:t>）</w:t>
      </w:r>
    </w:p>
    <w:p w14:paraId="7FF6C7CE">
      <w:pPr>
        <w:pStyle w:val="2"/>
        <w:keepNext w:val="0"/>
        <w:keepLines w:val="0"/>
        <w:pageBreakBefore w:val="0"/>
        <w:widowControl w:val="0"/>
        <w:tabs>
          <w:tab w:val="left" w:leader="dot" w:pos="7980"/>
        </w:tabs>
        <w:kinsoku/>
        <w:wordWrap/>
        <w:overflowPunct/>
        <w:topLinePunct w:val="0"/>
        <w:autoSpaceDE/>
        <w:autoSpaceDN/>
        <w:bidi w:val="0"/>
        <w:adjustRightInd/>
        <w:snapToGrid/>
        <w:spacing w:after="0" w:line="620" w:lineRule="exact"/>
        <w:ind w:firstLine="640" w:firstLineChars="200"/>
        <w:jc w:val="both"/>
        <w:textAlignment w:val="auto"/>
        <w:rPr>
          <w:rFonts w:hint="eastAsia" w:ascii="方正楷体_GBK" w:hAnsi="方正楷体_GBK" w:eastAsia="方正楷体_GBK" w:cs="方正楷体_GBK"/>
          <w:b w:val="0"/>
          <w:bCs w:val="0"/>
          <w:color w:val="auto"/>
          <w:kern w:val="2"/>
          <w:sz w:val="32"/>
          <w:szCs w:val="32"/>
          <w:highlight w:val="none"/>
          <w:u w:val="none" w:color="auto"/>
          <w:lang w:eastAsia="zh-CN"/>
        </w:rPr>
      </w:pPr>
      <w:r>
        <w:rPr>
          <w:rFonts w:hint="eastAsia" w:ascii="方正楷体_GBK" w:hAnsi="方正楷体_GBK" w:eastAsia="方正楷体_GBK" w:cs="方正楷体_GBK"/>
          <w:b w:val="0"/>
          <w:bCs w:val="0"/>
          <w:color w:val="auto"/>
          <w:kern w:val="2"/>
          <w:sz w:val="32"/>
          <w:szCs w:val="32"/>
          <w:highlight w:val="none"/>
          <w:u w:val="none" w:color="auto"/>
        </w:rPr>
        <w:t>第一节  优化提升传统优势产业</w:t>
      </w:r>
      <w:r>
        <w:rPr>
          <w:rFonts w:hint="eastAsia" w:ascii="方正楷体_GBK" w:hAnsi="方正楷体_GBK" w:eastAsia="方正楷体_GBK" w:cs="方正楷体_GBK"/>
          <w:b w:val="0"/>
          <w:bCs w:val="0"/>
          <w:color w:val="auto"/>
          <w:kern w:val="2"/>
          <w:sz w:val="32"/>
          <w:szCs w:val="32"/>
          <w:highlight w:val="none"/>
          <w:u w:val="none" w:color="auto"/>
          <w:lang w:val="en-US" w:eastAsia="zh-CN"/>
        </w:rPr>
        <w:tab/>
      </w:r>
      <w:r>
        <w:rPr>
          <w:rFonts w:hint="eastAsia" w:ascii="宋体" w:hAnsi="宋体" w:eastAsia="宋体" w:cs="宋体"/>
          <w:b w:val="0"/>
          <w:bCs w:val="0"/>
          <w:color w:val="auto"/>
          <w:kern w:val="2"/>
          <w:sz w:val="28"/>
          <w:szCs w:val="28"/>
          <w:highlight w:val="none"/>
          <w:u w:val="none" w:color="auto"/>
          <w:lang w:eastAsia="zh-CN"/>
        </w:rPr>
        <w:t>（</w:t>
      </w:r>
      <w:r>
        <w:rPr>
          <w:rFonts w:hint="eastAsia" w:ascii="宋体" w:hAnsi="宋体" w:eastAsia="宋体" w:cs="宋体"/>
          <w:b w:val="0"/>
          <w:bCs w:val="0"/>
          <w:color w:val="auto"/>
          <w:kern w:val="2"/>
          <w:sz w:val="28"/>
          <w:szCs w:val="28"/>
          <w:highlight w:val="none"/>
          <w:u w:val="none" w:color="auto"/>
          <w:lang w:val="en-US" w:eastAsia="zh-CN"/>
        </w:rPr>
        <w:t>1</w:t>
      </w:r>
      <w:r>
        <w:rPr>
          <w:rFonts w:hint="eastAsia" w:ascii="宋体" w:hAnsi="宋体" w:cs="宋体"/>
          <w:b w:val="0"/>
          <w:bCs w:val="0"/>
          <w:color w:val="auto"/>
          <w:kern w:val="2"/>
          <w:sz w:val="28"/>
          <w:szCs w:val="28"/>
          <w:highlight w:val="none"/>
          <w:u w:val="none" w:color="auto"/>
          <w:lang w:val="en-US" w:eastAsia="zh-CN"/>
        </w:rPr>
        <w:t>4</w:t>
      </w:r>
      <w:r>
        <w:rPr>
          <w:rFonts w:hint="eastAsia" w:ascii="宋体" w:hAnsi="宋体" w:eastAsia="宋体" w:cs="宋体"/>
          <w:b w:val="0"/>
          <w:bCs w:val="0"/>
          <w:color w:val="auto"/>
          <w:kern w:val="2"/>
          <w:sz w:val="28"/>
          <w:szCs w:val="28"/>
          <w:highlight w:val="none"/>
          <w:u w:val="none" w:color="auto"/>
          <w:lang w:eastAsia="zh-CN"/>
        </w:rPr>
        <w:t>）</w:t>
      </w:r>
    </w:p>
    <w:p w14:paraId="51A3C007">
      <w:pPr>
        <w:pStyle w:val="2"/>
        <w:keepNext w:val="0"/>
        <w:keepLines w:val="0"/>
        <w:pageBreakBefore w:val="0"/>
        <w:widowControl w:val="0"/>
        <w:tabs>
          <w:tab w:val="left" w:leader="dot" w:pos="7980"/>
        </w:tabs>
        <w:kinsoku/>
        <w:wordWrap/>
        <w:overflowPunct/>
        <w:topLinePunct w:val="0"/>
        <w:autoSpaceDE/>
        <w:autoSpaceDN/>
        <w:bidi w:val="0"/>
        <w:adjustRightInd/>
        <w:snapToGrid/>
        <w:spacing w:after="0" w:line="620" w:lineRule="exact"/>
        <w:ind w:firstLine="640" w:firstLineChars="200"/>
        <w:jc w:val="both"/>
        <w:textAlignment w:val="auto"/>
        <w:rPr>
          <w:rFonts w:hint="eastAsia" w:ascii="方正楷体_GBK" w:hAnsi="方正楷体_GBK" w:eastAsia="方正楷体_GBK" w:cs="方正楷体_GBK"/>
          <w:b w:val="0"/>
          <w:bCs w:val="0"/>
          <w:color w:val="auto"/>
          <w:kern w:val="2"/>
          <w:sz w:val="32"/>
          <w:szCs w:val="32"/>
          <w:highlight w:val="none"/>
          <w:u w:val="none" w:color="auto"/>
        </w:rPr>
      </w:pPr>
      <w:r>
        <w:rPr>
          <w:rFonts w:hint="eastAsia" w:ascii="方正楷体_GBK" w:hAnsi="方正楷体_GBK" w:eastAsia="方正楷体_GBK" w:cs="方正楷体_GBK"/>
          <w:b w:val="0"/>
          <w:bCs w:val="0"/>
          <w:color w:val="auto"/>
          <w:kern w:val="2"/>
          <w:sz w:val="32"/>
          <w:szCs w:val="32"/>
          <w:highlight w:val="none"/>
          <w:u w:val="none" w:color="auto"/>
        </w:rPr>
        <w:t>第二节  培育壮大新兴产业和未来产业</w:t>
      </w:r>
      <w:r>
        <w:rPr>
          <w:rFonts w:hint="eastAsia" w:ascii="方正楷体_GBK" w:hAnsi="方正楷体_GBK" w:eastAsia="方正楷体_GBK" w:cs="方正楷体_GBK"/>
          <w:b w:val="0"/>
          <w:bCs w:val="0"/>
          <w:color w:val="auto"/>
          <w:kern w:val="2"/>
          <w:sz w:val="32"/>
          <w:szCs w:val="32"/>
          <w:highlight w:val="none"/>
          <w:u w:val="none" w:color="auto"/>
          <w:lang w:val="en-US" w:eastAsia="zh-CN"/>
        </w:rPr>
        <w:tab/>
      </w:r>
      <w:r>
        <w:rPr>
          <w:rFonts w:hint="eastAsia" w:ascii="宋体" w:hAnsi="宋体" w:eastAsia="宋体" w:cs="宋体"/>
          <w:b w:val="0"/>
          <w:bCs w:val="0"/>
          <w:color w:val="auto"/>
          <w:kern w:val="2"/>
          <w:sz w:val="28"/>
          <w:szCs w:val="28"/>
          <w:highlight w:val="none"/>
          <w:u w:val="none" w:color="auto"/>
          <w:lang w:eastAsia="zh-CN"/>
        </w:rPr>
        <w:t>（</w:t>
      </w:r>
      <w:r>
        <w:rPr>
          <w:rFonts w:hint="default" w:ascii="宋体" w:hAnsi="宋体" w:eastAsia="宋体" w:cs="宋体"/>
          <w:b w:val="0"/>
          <w:bCs w:val="0"/>
          <w:color w:val="auto"/>
          <w:kern w:val="2"/>
          <w:sz w:val="28"/>
          <w:szCs w:val="28"/>
          <w:highlight w:val="none"/>
          <w:u w:val="none" w:color="auto"/>
          <w:lang w:val="en-US" w:eastAsia="zh-CN"/>
        </w:rPr>
        <w:t>1</w:t>
      </w:r>
      <w:r>
        <w:rPr>
          <w:rFonts w:hint="eastAsia" w:ascii="宋体" w:hAnsi="宋体" w:cs="宋体"/>
          <w:b w:val="0"/>
          <w:bCs w:val="0"/>
          <w:color w:val="auto"/>
          <w:kern w:val="2"/>
          <w:sz w:val="28"/>
          <w:szCs w:val="28"/>
          <w:highlight w:val="none"/>
          <w:u w:val="none" w:color="auto"/>
          <w:lang w:val="en-US" w:eastAsia="zh-CN"/>
        </w:rPr>
        <w:t>7</w:t>
      </w:r>
      <w:r>
        <w:rPr>
          <w:rFonts w:hint="eastAsia" w:ascii="宋体" w:hAnsi="宋体" w:eastAsia="宋体" w:cs="宋体"/>
          <w:b w:val="0"/>
          <w:bCs w:val="0"/>
          <w:color w:val="auto"/>
          <w:kern w:val="2"/>
          <w:sz w:val="28"/>
          <w:szCs w:val="28"/>
          <w:highlight w:val="none"/>
          <w:u w:val="none" w:color="auto"/>
          <w:lang w:eastAsia="zh-CN"/>
        </w:rPr>
        <w:t>）</w:t>
      </w:r>
    </w:p>
    <w:p w14:paraId="1B51459C">
      <w:pPr>
        <w:pStyle w:val="2"/>
        <w:keepNext w:val="0"/>
        <w:keepLines w:val="0"/>
        <w:pageBreakBefore w:val="0"/>
        <w:widowControl w:val="0"/>
        <w:tabs>
          <w:tab w:val="left" w:leader="dot" w:pos="7980"/>
        </w:tabs>
        <w:kinsoku/>
        <w:wordWrap/>
        <w:overflowPunct/>
        <w:topLinePunct w:val="0"/>
        <w:autoSpaceDE/>
        <w:autoSpaceDN/>
        <w:bidi w:val="0"/>
        <w:adjustRightInd/>
        <w:snapToGrid/>
        <w:spacing w:after="0" w:line="620" w:lineRule="exact"/>
        <w:ind w:firstLine="640" w:firstLineChars="200"/>
        <w:jc w:val="both"/>
        <w:textAlignment w:val="auto"/>
        <w:rPr>
          <w:rFonts w:hint="eastAsia" w:ascii="方正楷体_GBK" w:hAnsi="方正楷体_GBK" w:eastAsia="方正楷体_GBK" w:cs="方正楷体_GBK"/>
          <w:b w:val="0"/>
          <w:bCs w:val="0"/>
          <w:color w:val="auto"/>
          <w:kern w:val="2"/>
          <w:sz w:val="32"/>
          <w:szCs w:val="32"/>
          <w:highlight w:val="none"/>
          <w:u w:val="none" w:color="auto"/>
        </w:rPr>
      </w:pPr>
      <w:r>
        <w:rPr>
          <w:rFonts w:hint="eastAsia" w:ascii="方正楷体_GBK" w:hAnsi="方正楷体_GBK" w:eastAsia="方正楷体_GBK" w:cs="方正楷体_GBK"/>
          <w:b w:val="0"/>
          <w:bCs w:val="0"/>
          <w:color w:val="auto"/>
          <w:kern w:val="2"/>
          <w:sz w:val="32"/>
          <w:szCs w:val="32"/>
          <w:highlight w:val="none"/>
          <w:u w:val="none" w:color="auto"/>
        </w:rPr>
        <w:t>第三节  促进服务业优质高效发展</w:t>
      </w:r>
      <w:r>
        <w:rPr>
          <w:rFonts w:hint="eastAsia" w:ascii="方正楷体_GBK" w:hAnsi="方正楷体_GBK" w:eastAsia="方正楷体_GBK" w:cs="方正楷体_GBK"/>
          <w:b w:val="0"/>
          <w:bCs w:val="0"/>
          <w:color w:val="auto"/>
          <w:kern w:val="2"/>
          <w:sz w:val="32"/>
          <w:szCs w:val="32"/>
          <w:highlight w:val="none"/>
          <w:u w:val="none" w:color="auto"/>
          <w:lang w:val="en-US" w:eastAsia="zh-CN"/>
        </w:rPr>
        <w:tab/>
      </w:r>
      <w:r>
        <w:rPr>
          <w:rFonts w:hint="eastAsia" w:ascii="宋体" w:hAnsi="宋体" w:eastAsia="宋体" w:cs="宋体"/>
          <w:b w:val="0"/>
          <w:bCs w:val="0"/>
          <w:color w:val="auto"/>
          <w:kern w:val="2"/>
          <w:sz w:val="28"/>
          <w:szCs w:val="28"/>
          <w:highlight w:val="none"/>
          <w:u w:val="none" w:color="auto"/>
          <w:lang w:eastAsia="zh-CN"/>
        </w:rPr>
        <w:t>（</w:t>
      </w:r>
      <w:r>
        <w:rPr>
          <w:rFonts w:hint="default" w:ascii="宋体" w:hAnsi="宋体" w:eastAsia="宋体" w:cs="宋体"/>
          <w:b w:val="0"/>
          <w:bCs w:val="0"/>
          <w:color w:val="auto"/>
          <w:kern w:val="2"/>
          <w:sz w:val="28"/>
          <w:szCs w:val="28"/>
          <w:highlight w:val="none"/>
          <w:u w:val="none" w:color="auto"/>
          <w:lang w:val="en-US" w:eastAsia="zh-CN"/>
        </w:rPr>
        <w:t>20</w:t>
      </w:r>
      <w:r>
        <w:rPr>
          <w:rFonts w:hint="eastAsia" w:ascii="宋体" w:hAnsi="宋体" w:eastAsia="宋体" w:cs="宋体"/>
          <w:b w:val="0"/>
          <w:bCs w:val="0"/>
          <w:color w:val="auto"/>
          <w:kern w:val="2"/>
          <w:sz w:val="28"/>
          <w:szCs w:val="28"/>
          <w:highlight w:val="none"/>
          <w:u w:val="none" w:color="auto"/>
          <w:lang w:eastAsia="zh-CN"/>
        </w:rPr>
        <w:t>）</w:t>
      </w:r>
    </w:p>
    <w:p w14:paraId="330016BF">
      <w:pPr>
        <w:pStyle w:val="2"/>
        <w:keepNext w:val="0"/>
        <w:keepLines w:val="0"/>
        <w:pageBreakBefore w:val="0"/>
        <w:widowControl w:val="0"/>
        <w:tabs>
          <w:tab w:val="left" w:leader="dot" w:pos="7980"/>
        </w:tabs>
        <w:kinsoku/>
        <w:wordWrap/>
        <w:overflowPunct/>
        <w:topLinePunct w:val="0"/>
        <w:autoSpaceDE/>
        <w:autoSpaceDN/>
        <w:bidi w:val="0"/>
        <w:adjustRightInd/>
        <w:snapToGrid/>
        <w:spacing w:after="0" w:line="620" w:lineRule="exact"/>
        <w:jc w:val="both"/>
        <w:textAlignment w:val="auto"/>
        <w:rPr>
          <w:rFonts w:hint="eastAsia" w:ascii="方正黑体_GBK" w:hAnsi="方正黑体_GBK" w:eastAsia="方正黑体_GBK" w:cs="方正黑体_GBK"/>
          <w:b w:val="0"/>
          <w:bCs w:val="0"/>
          <w:color w:val="auto"/>
          <w:kern w:val="2"/>
          <w:sz w:val="32"/>
          <w:szCs w:val="32"/>
          <w:highlight w:val="none"/>
          <w:u w:val="none" w:color="auto"/>
        </w:rPr>
      </w:pPr>
      <w:r>
        <w:rPr>
          <w:rFonts w:hint="eastAsia" w:ascii="方正黑体_GBK" w:hAnsi="方正黑体_GBK" w:eastAsia="方正黑体_GBK" w:cs="方正黑体_GBK"/>
          <w:b w:val="0"/>
          <w:bCs w:val="0"/>
          <w:color w:val="auto"/>
          <w:kern w:val="2"/>
          <w:sz w:val="32"/>
          <w:szCs w:val="32"/>
          <w:highlight w:val="none"/>
          <w:u w:val="none" w:color="auto"/>
        </w:rPr>
        <w:t>第三章  突出科技创新引领 激发高质量发展核心动能</w:t>
      </w:r>
      <w:r>
        <w:rPr>
          <w:rFonts w:hint="eastAsia" w:ascii="方正黑体_GBK" w:hAnsi="方正黑体_GBK" w:eastAsia="方正黑体_GBK" w:cs="方正黑体_GBK"/>
          <w:b w:val="0"/>
          <w:bCs w:val="0"/>
          <w:color w:val="auto"/>
          <w:kern w:val="2"/>
          <w:sz w:val="32"/>
          <w:szCs w:val="32"/>
          <w:highlight w:val="none"/>
          <w:u w:val="none" w:color="auto"/>
          <w:lang w:val="en-US" w:eastAsia="zh-CN"/>
        </w:rPr>
        <w:tab/>
      </w:r>
      <w:r>
        <w:rPr>
          <w:rFonts w:hint="eastAsia" w:ascii="方正黑体_GBK" w:hAnsi="方正黑体_GBK" w:eastAsia="方正黑体_GBK" w:cs="方正黑体_GBK"/>
          <w:b w:val="0"/>
          <w:bCs w:val="0"/>
          <w:color w:val="auto"/>
          <w:kern w:val="2"/>
          <w:sz w:val="32"/>
          <w:szCs w:val="32"/>
          <w:highlight w:val="none"/>
          <w:u w:val="none" w:color="auto"/>
          <w:lang w:eastAsia="zh-CN"/>
        </w:rPr>
        <w:t>（</w:t>
      </w:r>
      <w:r>
        <w:rPr>
          <w:rFonts w:hint="default" w:ascii="方正黑体_GBK" w:hAnsi="方正黑体_GBK" w:eastAsia="方正黑体_GBK" w:cs="方正黑体_GBK"/>
          <w:b w:val="0"/>
          <w:bCs w:val="0"/>
          <w:color w:val="auto"/>
          <w:kern w:val="2"/>
          <w:sz w:val="32"/>
          <w:szCs w:val="32"/>
          <w:highlight w:val="none"/>
          <w:u w:val="none" w:color="auto"/>
          <w:lang w:val="en-US" w:eastAsia="zh-CN"/>
        </w:rPr>
        <w:t>24</w:t>
      </w:r>
      <w:r>
        <w:rPr>
          <w:rFonts w:hint="eastAsia" w:ascii="方正黑体_GBK" w:hAnsi="方正黑体_GBK" w:eastAsia="方正黑体_GBK" w:cs="方正黑体_GBK"/>
          <w:b w:val="0"/>
          <w:bCs w:val="0"/>
          <w:color w:val="auto"/>
          <w:kern w:val="2"/>
          <w:sz w:val="32"/>
          <w:szCs w:val="32"/>
          <w:highlight w:val="none"/>
          <w:u w:val="none" w:color="auto"/>
          <w:lang w:eastAsia="zh-CN"/>
        </w:rPr>
        <w:t>）</w:t>
      </w:r>
    </w:p>
    <w:p w14:paraId="17678A63">
      <w:pPr>
        <w:pStyle w:val="2"/>
        <w:keepNext w:val="0"/>
        <w:keepLines w:val="0"/>
        <w:pageBreakBefore w:val="0"/>
        <w:widowControl w:val="0"/>
        <w:tabs>
          <w:tab w:val="left" w:leader="dot" w:pos="7980"/>
        </w:tabs>
        <w:kinsoku/>
        <w:wordWrap/>
        <w:overflowPunct/>
        <w:topLinePunct w:val="0"/>
        <w:autoSpaceDE/>
        <w:autoSpaceDN/>
        <w:bidi w:val="0"/>
        <w:adjustRightInd/>
        <w:snapToGrid/>
        <w:spacing w:after="0" w:line="620" w:lineRule="exact"/>
        <w:ind w:firstLine="640" w:firstLineChars="200"/>
        <w:jc w:val="both"/>
        <w:textAlignment w:val="auto"/>
        <w:rPr>
          <w:rFonts w:hint="eastAsia" w:ascii="方正楷体_GBK" w:hAnsi="方正楷体_GBK" w:eastAsia="方正楷体_GBK" w:cs="方正楷体_GBK"/>
          <w:b w:val="0"/>
          <w:bCs w:val="0"/>
          <w:color w:val="auto"/>
          <w:kern w:val="2"/>
          <w:sz w:val="32"/>
          <w:szCs w:val="32"/>
          <w:highlight w:val="none"/>
          <w:u w:val="none" w:color="auto"/>
        </w:rPr>
      </w:pPr>
      <w:r>
        <w:rPr>
          <w:rFonts w:hint="eastAsia" w:ascii="方正楷体_GBK" w:hAnsi="方正楷体_GBK" w:eastAsia="方正楷体_GBK" w:cs="方正楷体_GBK"/>
          <w:b w:val="0"/>
          <w:bCs w:val="0"/>
          <w:color w:val="auto"/>
          <w:kern w:val="2"/>
          <w:sz w:val="32"/>
          <w:szCs w:val="32"/>
          <w:highlight w:val="none"/>
          <w:u w:val="none" w:color="auto"/>
        </w:rPr>
        <w:t>第一节  搭建高能级创新平台载体</w:t>
      </w:r>
      <w:r>
        <w:rPr>
          <w:rFonts w:hint="eastAsia" w:ascii="方正楷体_GBK" w:hAnsi="方正楷体_GBK" w:eastAsia="方正楷体_GBK" w:cs="方正楷体_GBK"/>
          <w:b w:val="0"/>
          <w:bCs w:val="0"/>
          <w:color w:val="auto"/>
          <w:kern w:val="2"/>
          <w:sz w:val="32"/>
          <w:szCs w:val="32"/>
          <w:highlight w:val="none"/>
          <w:u w:val="none" w:color="auto"/>
        </w:rPr>
        <w:tab/>
      </w:r>
      <w:r>
        <w:rPr>
          <w:rFonts w:hint="eastAsia" w:ascii="宋体" w:hAnsi="宋体" w:eastAsia="宋体" w:cs="宋体"/>
          <w:b w:val="0"/>
          <w:bCs w:val="0"/>
          <w:color w:val="auto"/>
          <w:kern w:val="2"/>
          <w:sz w:val="28"/>
          <w:szCs w:val="28"/>
          <w:highlight w:val="none"/>
          <w:u w:val="none" w:color="auto"/>
          <w:lang w:eastAsia="zh-CN"/>
        </w:rPr>
        <w:t>（</w:t>
      </w:r>
      <w:r>
        <w:rPr>
          <w:rFonts w:hint="default" w:ascii="宋体" w:hAnsi="宋体" w:eastAsia="宋体" w:cs="宋体"/>
          <w:b w:val="0"/>
          <w:bCs w:val="0"/>
          <w:color w:val="auto"/>
          <w:kern w:val="2"/>
          <w:sz w:val="28"/>
          <w:szCs w:val="28"/>
          <w:highlight w:val="none"/>
          <w:u w:val="none" w:color="auto"/>
          <w:lang w:val="en-US" w:eastAsia="zh-CN"/>
        </w:rPr>
        <w:t>24</w:t>
      </w:r>
      <w:r>
        <w:rPr>
          <w:rFonts w:hint="eastAsia" w:ascii="宋体" w:hAnsi="宋体" w:eastAsia="宋体" w:cs="宋体"/>
          <w:b w:val="0"/>
          <w:bCs w:val="0"/>
          <w:color w:val="auto"/>
          <w:kern w:val="2"/>
          <w:sz w:val="28"/>
          <w:szCs w:val="28"/>
          <w:highlight w:val="none"/>
          <w:u w:val="none" w:color="auto"/>
          <w:lang w:eastAsia="zh-CN"/>
        </w:rPr>
        <w:t>）</w:t>
      </w:r>
    </w:p>
    <w:p w14:paraId="4DEF7CA2">
      <w:pPr>
        <w:pStyle w:val="2"/>
        <w:keepNext w:val="0"/>
        <w:keepLines w:val="0"/>
        <w:pageBreakBefore w:val="0"/>
        <w:widowControl w:val="0"/>
        <w:tabs>
          <w:tab w:val="left" w:leader="dot" w:pos="7980"/>
        </w:tabs>
        <w:kinsoku/>
        <w:wordWrap/>
        <w:overflowPunct/>
        <w:topLinePunct w:val="0"/>
        <w:autoSpaceDE/>
        <w:autoSpaceDN/>
        <w:bidi w:val="0"/>
        <w:adjustRightInd/>
        <w:snapToGrid/>
        <w:spacing w:after="0" w:line="620" w:lineRule="exact"/>
        <w:ind w:firstLine="640" w:firstLineChars="200"/>
        <w:jc w:val="both"/>
        <w:textAlignment w:val="auto"/>
        <w:rPr>
          <w:rFonts w:hint="eastAsia" w:ascii="CESI仿宋-GB13000" w:hAnsi="CESI仿宋-GB13000" w:eastAsia="CESI仿宋-GB13000" w:cs="CESI仿宋-GB13000"/>
          <w:b w:val="0"/>
          <w:bCs w:val="0"/>
          <w:color w:val="auto"/>
          <w:kern w:val="2"/>
          <w:sz w:val="32"/>
          <w:szCs w:val="32"/>
          <w:highlight w:val="none"/>
          <w:u w:val="none" w:color="auto"/>
          <w:lang w:eastAsia="zh-CN"/>
        </w:rPr>
      </w:pPr>
      <w:r>
        <w:rPr>
          <w:rFonts w:hint="eastAsia" w:ascii="方正楷体_GBK" w:hAnsi="方正楷体_GBK" w:eastAsia="方正楷体_GBK" w:cs="方正楷体_GBK"/>
          <w:b w:val="0"/>
          <w:bCs w:val="0"/>
          <w:color w:val="auto"/>
          <w:kern w:val="2"/>
          <w:sz w:val="32"/>
          <w:szCs w:val="32"/>
          <w:highlight w:val="none"/>
          <w:u w:val="none" w:color="auto"/>
        </w:rPr>
        <w:t>第二节  强化企业科技创新主体地位</w:t>
      </w:r>
      <w:r>
        <w:rPr>
          <w:rFonts w:hint="eastAsia" w:ascii="方正楷体_GBK" w:hAnsi="方正楷体_GBK" w:eastAsia="方正楷体_GBK" w:cs="方正楷体_GBK"/>
          <w:b w:val="0"/>
          <w:bCs w:val="0"/>
          <w:color w:val="auto"/>
          <w:kern w:val="2"/>
          <w:sz w:val="32"/>
          <w:szCs w:val="32"/>
          <w:highlight w:val="none"/>
          <w:u w:val="none" w:color="auto"/>
        </w:rPr>
        <w:tab/>
      </w:r>
      <w:r>
        <w:rPr>
          <w:rFonts w:hint="eastAsia" w:ascii="宋体" w:hAnsi="宋体" w:eastAsia="宋体" w:cs="宋体"/>
          <w:b w:val="0"/>
          <w:bCs w:val="0"/>
          <w:color w:val="auto"/>
          <w:kern w:val="2"/>
          <w:sz w:val="28"/>
          <w:szCs w:val="28"/>
          <w:highlight w:val="none"/>
          <w:u w:val="none" w:color="auto"/>
          <w:lang w:eastAsia="zh-CN"/>
        </w:rPr>
        <w:t>（</w:t>
      </w:r>
      <w:r>
        <w:rPr>
          <w:rFonts w:hint="default" w:ascii="宋体" w:hAnsi="宋体" w:eastAsia="宋体" w:cs="宋体"/>
          <w:b w:val="0"/>
          <w:bCs w:val="0"/>
          <w:color w:val="auto"/>
          <w:kern w:val="2"/>
          <w:sz w:val="28"/>
          <w:szCs w:val="28"/>
          <w:highlight w:val="none"/>
          <w:u w:val="none" w:color="auto"/>
          <w:lang w:val="en-US" w:eastAsia="zh-CN"/>
        </w:rPr>
        <w:t>25</w:t>
      </w:r>
      <w:r>
        <w:rPr>
          <w:rFonts w:hint="eastAsia" w:ascii="宋体" w:hAnsi="宋体" w:eastAsia="宋体" w:cs="宋体"/>
          <w:b w:val="0"/>
          <w:bCs w:val="0"/>
          <w:color w:val="auto"/>
          <w:kern w:val="2"/>
          <w:sz w:val="28"/>
          <w:szCs w:val="28"/>
          <w:highlight w:val="none"/>
          <w:u w:val="none" w:color="auto"/>
          <w:lang w:eastAsia="zh-CN"/>
        </w:rPr>
        <w:t>）</w:t>
      </w:r>
    </w:p>
    <w:p w14:paraId="7846E363">
      <w:pPr>
        <w:pStyle w:val="2"/>
        <w:keepNext w:val="0"/>
        <w:keepLines w:val="0"/>
        <w:pageBreakBefore w:val="0"/>
        <w:widowControl w:val="0"/>
        <w:tabs>
          <w:tab w:val="left" w:leader="dot" w:pos="7980"/>
        </w:tabs>
        <w:kinsoku/>
        <w:wordWrap/>
        <w:overflowPunct/>
        <w:topLinePunct w:val="0"/>
        <w:autoSpaceDE/>
        <w:autoSpaceDN/>
        <w:bidi w:val="0"/>
        <w:adjustRightInd/>
        <w:snapToGrid/>
        <w:spacing w:after="0" w:line="620" w:lineRule="exact"/>
        <w:ind w:firstLine="640" w:firstLineChars="200"/>
        <w:jc w:val="both"/>
        <w:textAlignment w:val="auto"/>
        <w:rPr>
          <w:rFonts w:hint="eastAsia" w:ascii="方正楷体_GBK" w:hAnsi="方正楷体_GBK" w:eastAsia="方正楷体_GBK" w:cs="方正楷体_GBK"/>
          <w:b w:val="0"/>
          <w:bCs w:val="0"/>
          <w:color w:val="auto"/>
          <w:kern w:val="2"/>
          <w:sz w:val="32"/>
          <w:szCs w:val="32"/>
          <w:highlight w:val="none"/>
          <w:u w:val="none" w:color="auto"/>
        </w:rPr>
      </w:pPr>
      <w:r>
        <w:rPr>
          <w:rFonts w:hint="eastAsia" w:ascii="方正楷体_GBK" w:hAnsi="方正楷体_GBK" w:eastAsia="方正楷体_GBK" w:cs="方正楷体_GBK"/>
          <w:b w:val="0"/>
          <w:bCs w:val="0"/>
          <w:color w:val="auto"/>
          <w:kern w:val="2"/>
          <w:sz w:val="32"/>
          <w:szCs w:val="32"/>
          <w:highlight w:val="none"/>
          <w:u w:val="none" w:color="auto"/>
        </w:rPr>
        <w:t>第三节  优化全链条创新创业生态环境</w:t>
      </w:r>
      <w:r>
        <w:rPr>
          <w:rFonts w:hint="eastAsia" w:ascii="方正楷体_GBK" w:hAnsi="方正楷体_GBK" w:eastAsia="方正楷体_GBK" w:cs="方正楷体_GBK"/>
          <w:b w:val="0"/>
          <w:bCs w:val="0"/>
          <w:color w:val="auto"/>
          <w:kern w:val="2"/>
          <w:sz w:val="32"/>
          <w:szCs w:val="32"/>
          <w:highlight w:val="none"/>
          <w:u w:val="none" w:color="auto"/>
        </w:rPr>
        <w:tab/>
      </w:r>
      <w:r>
        <w:rPr>
          <w:rFonts w:hint="eastAsia" w:ascii="宋体" w:hAnsi="宋体" w:eastAsia="宋体" w:cs="宋体"/>
          <w:b w:val="0"/>
          <w:bCs w:val="0"/>
          <w:color w:val="auto"/>
          <w:kern w:val="2"/>
          <w:sz w:val="28"/>
          <w:szCs w:val="28"/>
          <w:highlight w:val="none"/>
          <w:u w:val="none" w:color="auto"/>
          <w:lang w:eastAsia="zh-CN"/>
        </w:rPr>
        <w:t>（</w:t>
      </w:r>
      <w:r>
        <w:rPr>
          <w:rFonts w:hint="default" w:ascii="宋体" w:hAnsi="宋体" w:eastAsia="宋体" w:cs="宋体"/>
          <w:b w:val="0"/>
          <w:bCs w:val="0"/>
          <w:color w:val="auto"/>
          <w:kern w:val="2"/>
          <w:sz w:val="28"/>
          <w:szCs w:val="28"/>
          <w:highlight w:val="none"/>
          <w:u w:val="none" w:color="auto"/>
          <w:lang w:val="en-US" w:eastAsia="zh-CN"/>
        </w:rPr>
        <w:t>26</w:t>
      </w:r>
      <w:r>
        <w:rPr>
          <w:rFonts w:hint="eastAsia" w:ascii="宋体" w:hAnsi="宋体" w:eastAsia="宋体" w:cs="宋体"/>
          <w:b w:val="0"/>
          <w:bCs w:val="0"/>
          <w:color w:val="auto"/>
          <w:kern w:val="2"/>
          <w:sz w:val="28"/>
          <w:szCs w:val="28"/>
          <w:highlight w:val="none"/>
          <w:u w:val="none" w:color="auto"/>
          <w:lang w:eastAsia="zh-CN"/>
        </w:rPr>
        <w:t>）</w:t>
      </w:r>
    </w:p>
    <w:p w14:paraId="4E4BAB34">
      <w:pPr>
        <w:pStyle w:val="2"/>
        <w:keepNext w:val="0"/>
        <w:keepLines w:val="0"/>
        <w:pageBreakBefore w:val="0"/>
        <w:widowControl w:val="0"/>
        <w:tabs>
          <w:tab w:val="left" w:leader="dot" w:pos="7980"/>
        </w:tabs>
        <w:kinsoku/>
        <w:wordWrap/>
        <w:overflowPunct/>
        <w:topLinePunct w:val="0"/>
        <w:autoSpaceDE/>
        <w:autoSpaceDN/>
        <w:bidi w:val="0"/>
        <w:adjustRightInd/>
        <w:snapToGrid/>
        <w:spacing w:after="0" w:line="620" w:lineRule="exact"/>
        <w:jc w:val="both"/>
        <w:textAlignment w:val="auto"/>
        <w:rPr>
          <w:rFonts w:hint="eastAsia" w:ascii="方正黑体_GBK" w:hAnsi="方正黑体_GBK" w:eastAsia="方正黑体_GBK" w:cs="方正黑体_GBK"/>
          <w:b w:val="0"/>
          <w:bCs w:val="0"/>
          <w:color w:val="auto"/>
          <w:kern w:val="2"/>
          <w:sz w:val="32"/>
          <w:szCs w:val="32"/>
          <w:highlight w:val="none"/>
          <w:u w:val="none" w:color="auto"/>
          <w:lang w:eastAsia="zh-CN"/>
        </w:rPr>
      </w:pPr>
      <w:r>
        <w:rPr>
          <w:rFonts w:hint="eastAsia" w:ascii="方正黑体_GBK" w:hAnsi="方正黑体_GBK" w:eastAsia="方正黑体_GBK" w:cs="方正黑体_GBK"/>
          <w:b w:val="0"/>
          <w:bCs w:val="0"/>
          <w:color w:val="auto"/>
          <w:kern w:val="2"/>
          <w:sz w:val="32"/>
          <w:szCs w:val="32"/>
          <w:highlight w:val="none"/>
          <w:u w:val="none" w:color="auto"/>
        </w:rPr>
        <w:t>第四章  强化消费投资驱动 全方位扩大有效需求</w:t>
      </w:r>
      <w:r>
        <w:rPr>
          <w:rFonts w:hint="eastAsia" w:ascii="方正黑体_GBK" w:hAnsi="方正黑体_GBK" w:eastAsia="方正黑体_GBK" w:cs="方正黑体_GBK"/>
          <w:b w:val="0"/>
          <w:bCs w:val="0"/>
          <w:color w:val="auto"/>
          <w:kern w:val="2"/>
          <w:sz w:val="32"/>
          <w:szCs w:val="32"/>
          <w:highlight w:val="none"/>
          <w:u w:val="none" w:color="auto"/>
        </w:rPr>
        <w:tab/>
      </w:r>
      <w:r>
        <w:rPr>
          <w:rFonts w:hint="eastAsia" w:ascii="方正黑体_GBK" w:hAnsi="方正黑体_GBK" w:eastAsia="方正黑体_GBK" w:cs="方正黑体_GBK"/>
          <w:b w:val="0"/>
          <w:bCs w:val="0"/>
          <w:color w:val="auto"/>
          <w:kern w:val="2"/>
          <w:sz w:val="32"/>
          <w:szCs w:val="32"/>
          <w:highlight w:val="none"/>
          <w:u w:val="none" w:color="auto"/>
          <w:lang w:eastAsia="zh-CN"/>
        </w:rPr>
        <w:t>（</w:t>
      </w:r>
      <w:r>
        <w:rPr>
          <w:rFonts w:hint="default" w:ascii="方正黑体_GBK" w:hAnsi="方正黑体_GBK" w:eastAsia="方正黑体_GBK" w:cs="方正黑体_GBK"/>
          <w:b w:val="0"/>
          <w:bCs w:val="0"/>
          <w:color w:val="auto"/>
          <w:kern w:val="2"/>
          <w:sz w:val="32"/>
          <w:szCs w:val="32"/>
          <w:highlight w:val="none"/>
          <w:u w:val="none" w:color="auto"/>
          <w:lang w:val="en-US" w:eastAsia="zh-CN"/>
        </w:rPr>
        <w:t>28</w:t>
      </w:r>
      <w:r>
        <w:rPr>
          <w:rFonts w:hint="eastAsia" w:ascii="方正黑体_GBK" w:hAnsi="方正黑体_GBK" w:eastAsia="方正黑体_GBK" w:cs="方正黑体_GBK"/>
          <w:b w:val="0"/>
          <w:bCs w:val="0"/>
          <w:color w:val="auto"/>
          <w:kern w:val="2"/>
          <w:sz w:val="32"/>
          <w:szCs w:val="32"/>
          <w:highlight w:val="none"/>
          <w:u w:val="none" w:color="auto"/>
          <w:lang w:eastAsia="zh-CN"/>
        </w:rPr>
        <w:t>）</w:t>
      </w:r>
    </w:p>
    <w:p w14:paraId="475D0CE4">
      <w:pPr>
        <w:pStyle w:val="2"/>
        <w:keepNext w:val="0"/>
        <w:keepLines w:val="0"/>
        <w:pageBreakBefore w:val="0"/>
        <w:widowControl w:val="0"/>
        <w:tabs>
          <w:tab w:val="left" w:leader="dot" w:pos="7980"/>
        </w:tabs>
        <w:kinsoku/>
        <w:wordWrap/>
        <w:overflowPunct/>
        <w:topLinePunct w:val="0"/>
        <w:autoSpaceDE/>
        <w:autoSpaceDN/>
        <w:bidi w:val="0"/>
        <w:adjustRightInd/>
        <w:snapToGrid/>
        <w:spacing w:after="0" w:line="620" w:lineRule="exact"/>
        <w:ind w:firstLine="640" w:firstLineChars="200"/>
        <w:jc w:val="both"/>
        <w:textAlignment w:val="auto"/>
        <w:rPr>
          <w:rFonts w:hint="eastAsia" w:ascii="方正楷体_GBK" w:hAnsi="方正楷体_GBK" w:eastAsia="方正楷体_GBK" w:cs="方正楷体_GBK"/>
          <w:b w:val="0"/>
          <w:bCs w:val="0"/>
          <w:color w:val="auto"/>
          <w:kern w:val="2"/>
          <w:sz w:val="32"/>
          <w:szCs w:val="32"/>
          <w:highlight w:val="none"/>
          <w:u w:val="none" w:color="auto"/>
        </w:rPr>
      </w:pPr>
      <w:r>
        <w:rPr>
          <w:rFonts w:hint="eastAsia" w:ascii="方正楷体_GBK" w:hAnsi="方正楷体_GBK" w:eastAsia="方正楷体_GBK" w:cs="方正楷体_GBK"/>
          <w:b w:val="0"/>
          <w:bCs w:val="0"/>
          <w:color w:val="auto"/>
          <w:kern w:val="2"/>
          <w:sz w:val="32"/>
          <w:szCs w:val="32"/>
          <w:highlight w:val="none"/>
          <w:u w:val="none" w:color="auto"/>
        </w:rPr>
        <w:t>第一节  推动消费扩容提质</w:t>
      </w:r>
      <w:r>
        <w:rPr>
          <w:rFonts w:hint="eastAsia" w:ascii="方正楷体_GBK" w:hAnsi="方正楷体_GBK" w:eastAsia="方正楷体_GBK" w:cs="方正楷体_GBK"/>
          <w:b w:val="0"/>
          <w:bCs w:val="0"/>
          <w:color w:val="auto"/>
          <w:kern w:val="2"/>
          <w:sz w:val="32"/>
          <w:szCs w:val="32"/>
          <w:highlight w:val="none"/>
          <w:u w:val="none" w:color="auto"/>
        </w:rPr>
        <w:tab/>
      </w:r>
      <w:r>
        <w:rPr>
          <w:rFonts w:hint="eastAsia" w:ascii="宋体" w:hAnsi="宋体" w:eastAsia="宋体" w:cs="宋体"/>
          <w:b w:val="0"/>
          <w:bCs w:val="0"/>
          <w:color w:val="auto"/>
          <w:kern w:val="2"/>
          <w:sz w:val="28"/>
          <w:szCs w:val="28"/>
          <w:highlight w:val="none"/>
          <w:u w:val="none" w:color="auto"/>
          <w:lang w:eastAsia="zh-CN"/>
        </w:rPr>
        <w:t>（</w:t>
      </w:r>
      <w:r>
        <w:rPr>
          <w:rFonts w:hint="default" w:ascii="宋体" w:hAnsi="宋体" w:eastAsia="宋体" w:cs="宋体"/>
          <w:b w:val="0"/>
          <w:bCs w:val="0"/>
          <w:color w:val="auto"/>
          <w:kern w:val="2"/>
          <w:sz w:val="28"/>
          <w:szCs w:val="28"/>
          <w:highlight w:val="none"/>
          <w:u w:val="none" w:color="auto"/>
          <w:lang w:val="en-US" w:eastAsia="zh-CN"/>
        </w:rPr>
        <w:t>28</w:t>
      </w:r>
      <w:r>
        <w:rPr>
          <w:rFonts w:hint="eastAsia" w:ascii="宋体" w:hAnsi="宋体" w:eastAsia="宋体" w:cs="宋体"/>
          <w:b w:val="0"/>
          <w:bCs w:val="0"/>
          <w:color w:val="auto"/>
          <w:kern w:val="2"/>
          <w:sz w:val="28"/>
          <w:szCs w:val="28"/>
          <w:highlight w:val="none"/>
          <w:u w:val="none" w:color="auto"/>
          <w:lang w:eastAsia="zh-CN"/>
        </w:rPr>
        <w:t>）</w:t>
      </w:r>
    </w:p>
    <w:p w14:paraId="0FB0204C">
      <w:pPr>
        <w:pStyle w:val="2"/>
        <w:keepNext w:val="0"/>
        <w:keepLines w:val="0"/>
        <w:pageBreakBefore w:val="0"/>
        <w:widowControl w:val="0"/>
        <w:tabs>
          <w:tab w:val="left" w:leader="dot" w:pos="7980"/>
        </w:tabs>
        <w:kinsoku/>
        <w:wordWrap/>
        <w:overflowPunct/>
        <w:topLinePunct w:val="0"/>
        <w:autoSpaceDE/>
        <w:autoSpaceDN/>
        <w:bidi w:val="0"/>
        <w:adjustRightInd/>
        <w:snapToGrid/>
        <w:spacing w:after="0" w:line="620" w:lineRule="exact"/>
        <w:ind w:firstLine="640" w:firstLineChars="200"/>
        <w:jc w:val="both"/>
        <w:textAlignment w:val="auto"/>
        <w:rPr>
          <w:rFonts w:hint="eastAsia" w:ascii="方正楷体_GBK" w:hAnsi="方正楷体_GBK" w:eastAsia="方正楷体_GBK" w:cs="方正楷体_GBK"/>
          <w:b w:val="0"/>
          <w:bCs w:val="0"/>
          <w:color w:val="auto"/>
          <w:kern w:val="2"/>
          <w:sz w:val="32"/>
          <w:szCs w:val="32"/>
          <w:highlight w:val="none"/>
          <w:u w:val="none" w:color="auto"/>
        </w:rPr>
      </w:pPr>
      <w:r>
        <w:rPr>
          <w:rFonts w:hint="eastAsia" w:ascii="方正楷体_GBK" w:hAnsi="方正楷体_GBK" w:eastAsia="方正楷体_GBK" w:cs="方正楷体_GBK"/>
          <w:b w:val="0"/>
          <w:bCs w:val="0"/>
          <w:color w:val="auto"/>
          <w:kern w:val="2"/>
          <w:sz w:val="32"/>
          <w:szCs w:val="32"/>
          <w:highlight w:val="none"/>
          <w:u w:val="none" w:color="auto"/>
        </w:rPr>
        <w:t>第二节  扩大精准有效投资</w:t>
      </w:r>
      <w:r>
        <w:rPr>
          <w:rFonts w:hint="eastAsia" w:ascii="方正楷体_GBK" w:hAnsi="方正楷体_GBK" w:eastAsia="方正楷体_GBK" w:cs="方正楷体_GBK"/>
          <w:b w:val="0"/>
          <w:bCs w:val="0"/>
          <w:color w:val="auto"/>
          <w:kern w:val="2"/>
          <w:sz w:val="32"/>
          <w:szCs w:val="32"/>
          <w:highlight w:val="none"/>
          <w:u w:val="none" w:color="auto"/>
        </w:rPr>
        <w:tab/>
      </w:r>
      <w:r>
        <w:rPr>
          <w:rFonts w:hint="eastAsia" w:ascii="宋体" w:hAnsi="宋体" w:eastAsia="宋体" w:cs="宋体"/>
          <w:b w:val="0"/>
          <w:bCs w:val="0"/>
          <w:color w:val="auto"/>
          <w:kern w:val="2"/>
          <w:sz w:val="28"/>
          <w:szCs w:val="28"/>
          <w:highlight w:val="none"/>
          <w:u w:val="none" w:color="auto"/>
          <w:lang w:eastAsia="zh-CN"/>
        </w:rPr>
        <w:t>（</w:t>
      </w:r>
      <w:r>
        <w:rPr>
          <w:rFonts w:hint="default" w:ascii="宋体" w:hAnsi="宋体" w:eastAsia="宋体" w:cs="宋体"/>
          <w:b w:val="0"/>
          <w:bCs w:val="0"/>
          <w:color w:val="auto"/>
          <w:kern w:val="2"/>
          <w:sz w:val="28"/>
          <w:szCs w:val="28"/>
          <w:highlight w:val="none"/>
          <w:u w:val="none" w:color="auto"/>
          <w:lang w:val="en-US" w:eastAsia="zh-CN"/>
        </w:rPr>
        <w:t>30</w:t>
      </w:r>
      <w:r>
        <w:rPr>
          <w:rFonts w:hint="eastAsia" w:ascii="宋体" w:hAnsi="宋体" w:eastAsia="宋体" w:cs="宋体"/>
          <w:b w:val="0"/>
          <w:bCs w:val="0"/>
          <w:color w:val="auto"/>
          <w:kern w:val="2"/>
          <w:sz w:val="28"/>
          <w:szCs w:val="28"/>
          <w:highlight w:val="none"/>
          <w:u w:val="none" w:color="auto"/>
          <w:lang w:eastAsia="zh-CN"/>
        </w:rPr>
        <w:t>）</w:t>
      </w:r>
    </w:p>
    <w:p w14:paraId="057B87D0">
      <w:pPr>
        <w:pStyle w:val="2"/>
        <w:keepNext w:val="0"/>
        <w:keepLines w:val="0"/>
        <w:pageBreakBefore w:val="0"/>
        <w:widowControl w:val="0"/>
        <w:tabs>
          <w:tab w:val="left" w:leader="dot" w:pos="7980"/>
        </w:tabs>
        <w:kinsoku/>
        <w:wordWrap/>
        <w:overflowPunct/>
        <w:topLinePunct w:val="0"/>
        <w:autoSpaceDE/>
        <w:autoSpaceDN/>
        <w:bidi w:val="0"/>
        <w:adjustRightInd/>
        <w:snapToGrid/>
        <w:spacing w:after="0" w:line="620" w:lineRule="exact"/>
        <w:ind w:firstLine="640" w:firstLineChars="200"/>
        <w:jc w:val="both"/>
        <w:textAlignment w:val="auto"/>
        <w:rPr>
          <w:rFonts w:hint="eastAsia" w:ascii="方正楷体_GBK" w:hAnsi="方正楷体_GBK" w:eastAsia="方正楷体_GBK" w:cs="方正楷体_GBK"/>
          <w:b w:val="0"/>
          <w:bCs w:val="0"/>
          <w:color w:val="auto"/>
          <w:kern w:val="2"/>
          <w:sz w:val="32"/>
          <w:szCs w:val="32"/>
          <w:highlight w:val="none"/>
          <w:u w:val="none" w:color="auto"/>
        </w:rPr>
      </w:pPr>
      <w:r>
        <w:rPr>
          <w:rFonts w:hint="eastAsia" w:ascii="方正楷体_GBK" w:hAnsi="方正楷体_GBK" w:eastAsia="方正楷体_GBK" w:cs="方正楷体_GBK"/>
          <w:b w:val="0"/>
          <w:bCs w:val="0"/>
          <w:color w:val="auto"/>
          <w:kern w:val="2"/>
          <w:sz w:val="32"/>
          <w:szCs w:val="32"/>
          <w:highlight w:val="none"/>
          <w:u w:val="none" w:color="auto"/>
        </w:rPr>
        <w:t>第三节  强化项目谋划和建设</w:t>
      </w:r>
      <w:r>
        <w:rPr>
          <w:rFonts w:hint="eastAsia" w:ascii="方正楷体_GBK" w:hAnsi="方正楷体_GBK" w:eastAsia="方正楷体_GBK" w:cs="方正楷体_GBK"/>
          <w:b w:val="0"/>
          <w:bCs w:val="0"/>
          <w:color w:val="auto"/>
          <w:kern w:val="2"/>
          <w:sz w:val="32"/>
          <w:szCs w:val="32"/>
          <w:highlight w:val="none"/>
          <w:u w:val="none" w:color="auto"/>
        </w:rPr>
        <w:tab/>
      </w:r>
      <w:r>
        <w:rPr>
          <w:rFonts w:hint="eastAsia" w:ascii="宋体" w:hAnsi="宋体" w:eastAsia="宋体" w:cs="宋体"/>
          <w:b w:val="0"/>
          <w:bCs w:val="0"/>
          <w:color w:val="auto"/>
          <w:kern w:val="2"/>
          <w:sz w:val="28"/>
          <w:szCs w:val="28"/>
          <w:highlight w:val="none"/>
          <w:u w:val="none" w:color="auto"/>
          <w:lang w:eastAsia="zh-CN"/>
        </w:rPr>
        <w:t>（</w:t>
      </w:r>
      <w:r>
        <w:rPr>
          <w:rFonts w:hint="default" w:ascii="宋体" w:hAnsi="宋体" w:eastAsia="宋体" w:cs="宋体"/>
          <w:b w:val="0"/>
          <w:bCs w:val="0"/>
          <w:color w:val="auto"/>
          <w:kern w:val="2"/>
          <w:sz w:val="28"/>
          <w:szCs w:val="28"/>
          <w:highlight w:val="none"/>
          <w:u w:val="none" w:color="auto"/>
          <w:lang w:val="en-US" w:eastAsia="zh-CN"/>
        </w:rPr>
        <w:t>32</w:t>
      </w:r>
      <w:r>
        <w:rPr>
          <w:rFonts w:hint="eastAsia" w:ascii="宋体" w:hAnsi="宋体" w:eastAsia="宋体" w:cs="宋体"/>
          <w:b w:val="0"/>
          <w:bCs w:val="0"/>
          <w:color w:val="auto"/>
          <w:kern w:val="2"/>
          <w:sz w:val="28"/>
          <w:szCs w:val="28"/>
          <w:highlight w:val="none"/>
          <w:u w:val="none" w:color="auto"/>
          <w:lang w:eastAsia="zh-CN"/>
        </w:rPr>
        <w:t>）</w:t>
      </w:r>
    </w:p>
    <w:p w14:paraId="677CE54A">
      <w:pPr>
        <w:pStyle w:val="2"/>
        <w:keepNext w:val="0"/>
        <w:keepLines w:val="0"/>
        <w:pageBreakBefore w:val="0"/>
        <w:widowControl w:val="0"/>
        <w:tabs>
          <w:tab w:val="left" w:leader="dot" w:pos="7980"/>
        </w:tabs>
        <w:kinsoku/>
        <w:wordWrap/>
        <w:overflowPunct/>
        <w:topLinePunct w:val="0"/>
        <w:autoSpaceDE/>
        <w:autoSpaceDN/>
        <w:bidi w:val="0"/>
        <w:adjustRightInd/>
        <w:snapToGrid/>
        <w:spacing w:after="0" w:line="620" w:lineRule="exact"/>
        <w:jc w:val="both"/>
        <w:textAlignment w:val="auto"/>
        <w:rPr>
          <w:rFonts w:hint="eastAsia" w:ascii="方正黑体_GBK" w:hAnsi="方正黑体_GBK" w:eastAsia="方正黑体_GBK" w:cs="方正黑体_GBK"/>
          <w:b w:val="0"/>
          <w:bCs w:val="0"/>
          <w:color w:val="auto"/>
          <w:kern w:val="2"/>
          <w:sz w:val="32"/>
          <w:szCs w:val="32"/>
          <w:highlight w:val="none"/>
          <w:u w:val="none" w:color="auto"/>
          <w:lang w:eastAsia="zh-CN"/>
        </w:rPr>
      </w:pPr>
      <w:r>
        <w:rPr>
          <w:rFonts w:hint="eastAsia" w:ascii="方正黑体_GBK" w:hAnsi="方正黑体_GBK" w:eastAsia="方正黑体_GBK" w:cs="方正黑体_GBK"/>
          <w:b w:val="0"/>
          <w:bCs w:val="0"/>
          <w:color w:val="auto"/>
          <w:kern w:val="2"/>
          <w:sz w:val="32"/>
          <w:szCs w:val="32"/>
          <w:highlight w:val="none"/>
          <w:u w:val="none" w:color="auto"/>
        </w:rPr>
        <w:t>第五章  深化体制机制改革 增强开放发展内生动力</w:t>
      </w:r>
      <w:r>
        <w:rPr>
          <w:rFonts w:hint="eastAsia" w:ascii="方正黑体_GBK" w:hAnsi="方正黑体_GBK" w:eastAsia="方正黑体_GBK" w:cs="方正黑体_GBK"/>
          <w:b w:val="0"/>
          <w:bCs w:val="0"/>
          <w:color w:val="auto"/>
          <w:kern w:val="2"/>
          <w:sz w:val="32"/>
          <w:szCs w:val="32"/>
          <w:highlight w:val="none"/>
          <w:u w:val="none" w:color="auto"/>
        </w:rPr>
        <w:tab/>
      </w:r>
      <w:r>
        <w:rPr>
          <w:rFonts w:hint="eastAsia" w:ascii="方正黑体_GBK" w:hAnsi="方正黑体_GBK" w:eastAsia="方正黑体_GBK" w:cs="方正黑体_GBK"/>
          <w:b w:val="0"/>
          <w:bCs w:val="0"/>
          <w:color w:val="auto"/>
          <w:kern w:val="2"/>
          <w:sz w:val="32"/>
          <w:szCs w:val="32"/>
          <w:highlight w:val="none"/>
          <w:u w:val="none" w:color="auto"/>
          <w:lang w:eastAsia="zh-CN"/>
        </w:rPr>
        <w:t>（</w:t>
      </w:r>
      <w:r>
        <w:rPr>
          <w:rFonts w:hint="default" w:ascii="方正黑体_GBK" w:hAnsi="方正黑体_GBK" w:eastAsia="方正黑体_GBK" w:cs="方正黑体_GBK"/>
          <w:b w:val="0"/>
          <w:bCs w:val="0"/>
          <w:color w:val="auto"/>
          <w:kern w:val="2"/>
          <w:sz w:val="32"/>
          <w:szCs w:val="32"/>
          <w:highlight w:val="none"/>
          <w:u w:val="none" w:color="auto"/>
          <w:lang w:val="en-US" w:eastAsia="zh-CN"/>
        </w:rPr>
        <w:t>33</w:t>
      </w:r>
      <w:r>
        <w:rPr>
          <w:rFonts w:hint="eastAsia" w:ascii="方正黑体_GBK" w:hAnsi="方正黑体_GBK" w:eastAsia="方正黑体_GBK" w:cs="方正黑体_GBK"/>
          <w:b w:val="0"/>
          <w:bCs w:val="0"/>
          <w:color w:val="auto"/>
          <w:kern w:val="2"/>
          <w:sz w:val="32"/>
          <w:szCs w:val="32"/>
          <w:highlight w:val="none"/>
          <w:u w:val="none" w:color="auto"/>
          <w:lang w:eastAsia="zh-CN"/>
        </w:rPr>
        <w:t>）</w:t>
      </w:r>
    </w:p>
    <w:p w14:paraId="05ABEFD6">
      <w:pPr>
        <w:pStyle w:val="2"/>
        <w:keepNext w:val="0"/>
        <w:keepLines w:val="0"/>
        <w:pageBreakBefore w:val="0"/>
        <w:widowControl w:val="0"/>
        <w:tabs>
          <w:tab w:val="left" w:leader="dot" w:pos="7980"/>
        </w:tabs>
        <w:kinsoku/>
        <w:wordWrap/>
        <w:overflowPunct/>
        <w:topLinePunct w:val="0"/>
        <w:autoSpaceDE/>
        <w:autoSpaceDN/>
        <w:bidi w:val="0"/>
        <w:adjustRightInd/>
        <w:snapToGrid/>
        <w:spacing w:after="0" w:line="620" w:lineRule="exact"/>
        <w:ind w:firstLine="640" w:firstLineChars="200"/>
        <w:jc w:val="both"/>
        <w:textAlignment w:val="auto"/>
        <w:rPr>
          <w:rFonts w:hint="eastAsia" w:ascii="方正楷体_GBK" w:hAnsi="方正楷体_GBK" w:eastAsia="方正楷体_GBK" w:cs="方正楷体_GBK"/>
          <w:b w:val="0"/>
          <w:bCs w:val="0"/>
          <w:color w:val="auto"/>
          <w:kern w:val="2"/>
          <w:sz w:val="32"/>
          <w:szCs w:val="32"/>
          <w:highlight w:val="none"/>
          <w:u w:val="none" w:color="auto"/>
        </w:rPr>
      </w:pPr>
      <w:r>
        <w:rPr>
          <w:rFonts w:hint="eastAsia" w:ascii="方正楷体_GBK" w:hAnsi="方正楷体_GBK" w:eastAsia="方正楷体_GBK" w:cs="方正楷体_GBK"/>
          <w:b w:val="0"/>
          <w:bCs w:val="0"/>
          <w:color w:val="auto"/>
          <w:kern w:val="2"/>
          <w:sz w:val="32"/>
          <w:szCs w:val="32"/>
          <w:highlight w:val="none"/>
          <w:u w:val="none" w:color="auto"/>
        </w:rPr>
        <w:t>第一节  增强市场主体活力</w:t>
      </w:r>
      <w:r>
        <w:rPr>
          <w:rFonts w:hint="eastAsia" w:ascii="方正楷体_GBK" w:hAnsi="方正楷体_GBK" w:eastAsia="方正楷体_GBK" w:cs="方正楷体_GBK"/>
          <w:b w:val="0"/>
          <w:bCs w:val="0"/>
          <w:color w:val="auto"/>
          <w:kern w:val="2"/>
          <w:sz w:val="32"/>
          <w:szCs w:val="32"/>
          <w:highlight w:val="none"/>
          <w:u w:val="none" w:color="auto"/>
        </w:rPr>
        <w:tab/>
      </w:r>
      <w:r>
        <w:rPr>
          <w:rFonts w:hint="eastAsia" w:ascii="宋体" w:hAnsi="宋体" w:eastAsia="宋体" w:cs="宋体"/>
          <w:b w:val="0"/>
          <w:bCs w:val="0"/>
          <w:color w:val="auto"/>
          <w:kern w:val="2"/>
          <w:sz w:val="28"/>
          <w:szCs w:val="28"/>
          <w:highlight w:val="none"/>
          <w:u w:val="none" w:color="auto"/>
          <w:lang w:eastAsia="zh-CN"/>
        </w:rPr>
        <w:t>（</w:t>
      </w:r>
      <w:r>
        <w:rPr>
          <w:rFonts w:hint="default" w:ascii="宋体" w:hAnsi="宋体" w:eastAsia="宋体" w:cs="宋体"/>
          <w:b w:val="0"/>
          <w:bCs w:val="0"/>
          <w:color w:val="auto"/>
          <w:kern w:val="2"/>
          <w:sz w:val="28"/>
          <w:szCs w:val="28"/>
          <w:highlight w:val="none"/>
          <w:u w:val="none" w:color="auto"/>
          <w:lang w:val="en-US" w:eastAsia="zh-CN"/>
        </w:rPr>
        <w:t>33</w:t>
      </w:r>
      <w:r>
        <w:rPr>
          <w:rFonts w:hint="eastAsia" w:ascii="宋体" w:hAnsi="宋体" w:eastAsia="宋体" w:cs="宋体"/>
          <w:b w:val="0"/>
          <w:bCs w:val="0"/>
          <w:color w:val="auto"/>
          <w:kern w:val="2"/>
          <w:sz w:val="28"/>
          <w:szCs w:val="28"/>
          <w:highlight w:val="none"/>
          <w:u w:val="none" w:color="auto"/>
          <w:lang w:eastAsia="zh-CN"/>
        </w:rPr>
        <w:t>）</w:t>
      </w:r>
    </w:p>
    <w:p w14:paraId="5DEC7060">
      <w:pPr>
        <w:pStyle w:val="2"/>
        <w:keepNext w:val="0"/>
        <w:keepLines w:val="0"/>
        <w:pageBreakBefore w:val="0"/>
        <w:widowControl w:val="0"/>
        <w:tabs>
          <w:tab w:val="left" w:leader="dot" w:pos="7980"/>
        </w:tabs>
        <w:kinsoku/>
        <w:wordWrap/>
        <w:overflowPunct/>
        <w:topLinePunct w:val="0"/>
        <w:autoSpaceDE/>
        <w:autoSpaceDN/>
        <w:bidi w:val="0"/>
        <w:adjustRightInd/>
        <w:snapToGrid/>
        <w:spacing w:after="0" w:line="620" w:lineRule="exact"/>
        <w:ind w:firstLine="640" w:firstLineChars="200"/>
        <w:jc w:val="both"/>
        <w:textAlignment w:val="auto"/>
        <w:rPr>
          <w:rFonts w:hint="eastAsia" w:ascii="方正楷体_GBK" w:hAnsi="方正楷体_GBK" w:eastAsia="方正楷体_GBK" w:cs="方正楷体_GBK"/>
          <w:b w:val="0"/>
          <w:bCs w:val="0"/>
          <w:color w:val="auto"/>
          <w:kern w:val="2"/>
          <w:sz w:val="32"/>
          <w:szCs w:val="32"/>
          <w:highlight w:val="none"/>
          <w:u w:val="none" w:color="auto"/>
        </w:rPr>
      </w:pPr>
      <w:r>
        <w:rPr>
          <w:rFonts w:hint="eastAsia" w:ascii="方正楷体_GBK" w:hAnsi="方正楷体_GBK" w:eastAsia="方正楷体_GBK" w:cs="方正楷体_GBK"/>
          <w:b w:val="0"/>
          <w:bCs w:val="0"/>
          <w:color w:val="auto"/>
          <w:kern w:val="2"/>
          <w:sz w:val="32"/>
          <w:szCs w:val="32"/>
          <w:highlight w:val="none"/>
          <w:u w:val="none" w:color="auto"/>
        </w:rPr>
        <w:t>第二节  推动重点领域改革</w:t>
      </w:r>
      <w:r>
        <w:rPr>
          <w:rFonts w:hint="eastAsia" w:ascii="方正楷体_GBK" w:hAnsi="方正楷体_GBK" w:eastAsia="方正楷体_GBK" w:cs="方正楷体_GBK"/>
          <w:b w:val="0"/>
          <w:bCs w:val="0"/>
          <w:color w:val="auto"/>
          <w:kern w:val="2"/>
          <w:sz w:val="32"/>
          <w:szCs w:val="32"/>
          <w:highlight w:val="none"/>
          <w:u w:val="none" w:color="auto"/>
        </w:rPr>
        <w:tab/>
      </w:r>
      <w:r>
        <w:rPr>
          <w:rFonts w:hint="eastAsia" w:ascii="宋体" w:hAnsi="宋体" w:eastAsia="宋体" w:cs="宋体"/>
          <w:b w:val="0"/>
          <w:bCs w:val="0"/>
          <w:color w:val="auto"/>
          <w:kern w:val="2"/>
          <w:sz w:val="28"/>
          <w:szCs w:val="28"/>
          <w:highlight w:val="none"/>
          <w:u w:val="none" w:color="auto"/>
          <w:lang w:eastAsia="zh-CN"/>
        </w:rPr>
        <w:t>（</w:t>
      </w:r>
      <w:r>
        <w:rPr>
          <w:rFonts w:hint="default" w:ascii="宋体" w:hAnsi="宋体" w:eastAsia="宋体" w:cs="宋体"/>
          <w:b w:val="0"/>
          <w:bCs w:val="0"/>
          <w:color w:val="auto"/>
          <w:kern w:val="2"/>
          <w:sz w:val="28"/>
          <w:szCs w:val="28"/>
          <w:highlight w:val="none"/>
          <w:u w:val="none" w:color="auto"/>
          <w:lang w:val="en-US" w:eastAsia="zh-CN"/>
        </w:rPr>
        <w:t>35</w:t>
      </w:r>
      <w:r>
        <w:rPr>
          <w:rFonts w:hint="eastAsia" w:ascii="宋体" w:hAnsi="宋体" w:eastAsia="宋体" w:cs="宋体"/>
          <w:b w:val="0"/>
          <w:bCs w:val="0"/>
          <w:color w:val="auto"/>
          <w:kern w:val="2"/>
          <w:sz w:val="28"/>
          <w:szCs w:val="28"/>
          <w:highlight w:val="none"/>
          <w:u w:val="none" w:color="auto"/>
          <w:lang w:eastAsia="zh-CN"/>
        </w:rPr>
        <w:t>）</w:t>
      </w:r>
    </w:p>
    <w:p w14:paraId="1897E9A5">
      <w:pPr>
        <w:pStyle w:val="2"/>
        <w:keepNext w:val="0"/>
        <w:keepLines w:val="0"/>
        <w:pageBreakBefore w:val="0"/>
        <w:widowControl w:val="0"/>
        <w:tabs>
          <w:tab w:val="left" w:leader="dot" w:pos="7980"/>
        </w:tabs>
        <w:kinsoku/>
        <w:wordWrap/>
        <w:overflowPunct/>
        <w:topLinePunct w:val="0"/>
        <w:autoSpaceDE/>
        <w:autoSpaceDN/>
        <w:bidi w:val="0"/>
        <w:adjustRightInd/>
        <w:snapToGrid/>
        <w:spacing w:after="0" w:line="620" w:lineRule="exact"/>
        <w:ind w:firstLine="640" w:firstLineChars="200"/>
        <w:jc w:val="both"/>
        <w:textAlignment w:val="auto"/>
        <w:rPr>
          <w:rFonts w:hint="eastAsia" w:ascii="方正楷体_GBK" w:hAnsi="方正楷体_GBK" w:eastAsia="方正楷体_GBK" w:cs="方正楷体_GBK"/>
          <w:b w:val="0"/>
          <w:bCs w:val="0"/>
          <w:color w:val="auto"/>
          <w:kern w:val="2"/>
          <w:sz w:val="32"/>
          <w:szCs w:val="32"/>
          <w:highlight w:val="none"/>
          <w:u w:val="none" w:color="auto"/>
        </w:rPr>
      </w:pPr>
      <w:r>
        <w:rPr>
          <w:rFonts w:hint="eastAsia" w:ascii="方正楷体_GBK" w:hAnsi="方正楷体_GBK" w:eastAsia="方正楷体_GBK" w:cs="方正楷体_GBK"/>
          <w:b w:val="0"/>
          <w:bCs w:val="0"/>
          <w:color w:val="auto"/>
          <w:kern w:val="2"/>
          <w:sz w:val="32"/>
          <w:szCs w:val="32"/>
          <w:highlight w:val="none"/>
          <w:u w:val="none" w:color="auto"/>
        </w:rPr>
        <w:t>第三节  深化要素市场化配置改革</w:t>
      </w:r>
      <w:r>
        <w:rPr>
          <w:rFonts w:hint="eastAsia" w:ascii="方正楷体_GBK" w:hAnsi="方正楷体_GBK" w:eastAsia="方正楷体_GBK" w:cs="方正楷体_GBK"/>
          <w:b w:val="0"/>
          <w:bCs w:val="0"/>
          <w:color w:val="auto"/>
          <w:kern w:val="2"/>
          <w:sz w:val="32"/>
          <w:szCs w:val="32"/>
          <w:highlight w:val="none"/>
          <w:u w:val="none" w:color="auto"/>
        </w:rPr>
        <w:tab/>
      </w:r>
      <w:r>
        <w:rPr>
          <w:rFonts w:hint="eastAsia" w:ascii="宋体" w:hAnsi="宋体" w:eastAsia="宋体" w:cs="宋体"/>
          <w:b w:val="0"/>
          <w:bCs w:val="0"/>
          <w:color w:val="auto"/>
          <w:kern w:val="2"/>
          <w:sz w:val="28"/>
          <w:szCs w:val="28"/>
          <w:highlight w:val="none"/>
          <w:u w:val="none" w:color="auto"/>
          <w:lang w:eastAsia="zh-CN"/>
        </w:rPr>
        <w:t>（</w:t>
      </w:r>
      <w:r>
        <w:rPr>
          <w:rFonts w:hint="default" w:ascii="宋体" w:hAnsi="宋体" w:eastAsia="宋体" w:cs="宋体"/>
          <w:b w:val="0"/>
          <w:bCs w:val="0"/>
          <w:color w:val="auto"/>
          <w:kern w:val="2"/>
          <w:sz w:val="28"/>
          <w:szCs w:val="28"/>
          <w:highlight w:val="none"/>
          <w:u w:val="none" w:color="auto"/>
          <w:lang w:val="en-US" w:eastAsia="zh-CN"/>
        </w:rPr>
        <w:t>37</w:t>
      </w:r>
      <w:r>
        <w:rPr>
          <w:rFonts w:hint="eastAsia" w:ascii="宋体" w:hAnsi="宋体" w:eastAsia="宋体" w:cs="宋体"/>
          <w:b w:val="0"/>
          <w:bCs w:val="0"/>
          <w:color w:val="auto"/>
          <w:kern w:val="2"/>
          <w:sz w:val="28"/>
          <w:szCs w:val="28"/>
          <w:highlight w:val="none"/>
          <w:u w:val="none" w:color="auto"/>
          <w:lang w:eastAsia="zh-CN"/>
        </w:rPr>
        <w:t>）</w:t>
      </w:r>
    </w:p>
    <w:p w14:paraId="2A4F0D5E">
      <w:pPr>
        <w:pStyle w:val="2"/>
        <w:keepNext w:val="0"/>
        <w:keepLines w:val="0"/>
        <w:pageBreakBefore w:val="0"/>
        <w:widowControl w:val="0"/>
        <w:tabs>
          <w:tab w:val="left" w:leader="dot" w:pos="7980"/>
        </w:tabs>
        <w:kinsoku/>
        <w:wordWrap/>
        <w:overflowPunct/>
        <w:topLinePunct w:val="0"/>
        <w:autoSpaceDE/>
        <w:autoSpaceDN/>
        <w:bidi w:val="0"/>
        <w:adjustRightInd/>
        <w:snapToGrid/>
        <w:spacing w:after="0" w:line="620" w:lineRule="exact"/>
        <w:ind w:firstLine="640" w:firstLineChars="200"/>
        <w:jc w:val="both"/>
        <w:textAlignment w:val="auto"/>
        <w:rPr>
          <w:rFonts w:hint="eastAsia" w:ascii="方正楷体_GBK" w:hAnsi="方正楷体_GBK" w:eastAsia="方正楷体_GBK" w:cs="方正楷体_GBK"/>
          <w:b w:val="0"/>
          <w:bCs w:val="0"/>
          <w:color w:val="auto"/>
          <w:kern w:val="2"/>
          <w:sz w:val="32"/>
          <w:szCs w:val="32"/>
          <w:highlight w:val="none"/>
          <w:u w:val="none" w:color="auto"/>
        </w:rPr>
      </w:pPr>
      <w:r>
        <w:rPr>
          <w:rFonts w:hint="eastAsia" w:ascii="方正楷体_GBK" w:hAnsi="方正楷体_GBK" w:eastAsia="方正楷体_GBK" w:cs="方正楷体_GBK"/>
          <w:b w:val="0"/>
          <w:bCs w:val="0"/>
          <w:color w:val="auto"/>
          <w:kern w:val="2"/>
          <w:sz w:val="32"/>
          <w:szCs w:val="32"/>
          <w:highlight w:val="none"/>
          <w:u w:val="none" w:color="auto"/>
        </w:rPr>
        <w:t>第四节  扩大高水平对外开放合作</w:t>
      </w:r>
      <w:r>
        <w:rPr>
          <w:rFonts w:hint="eastAsia" w:ascii="方正楷体_GBK" w:hAnsi="方正楷体_GBK" w:eastAsia="方正楷体_GBK" w:cs="方正楷体_GBK"/>
          <w:b w:val="0"/>
          <w:bCs w:val="0"/>
          <w:color w:val="auto"/>
          <w:kern w:val="2"/>
          <w:sz w:val="32"/>
          <w:szCs w:val="32"/>
          <w:highlight w:val="none"/>
          <w:u w:val="none" w:color="auto"/>
        </w:rPr>
        <w:tab/>
      </w:r>
      <w:r>
        <w:rPr>
          <w:rFonts w:hint="eastAsia" w:ascii="宋体" w:hAnsi="宋体" w:eastAsia="宋体" w:cs="宋体"/>
          <w:b w:val="0"/>
          <w:bCs w:val="0"/>
          <w:color w:val="auto"/>
          <w:kern w:val="2"/>
          <w:sz w:val="28"/>
          <w:szCs w:val="28"/>
          <w:highlight w:val="none"/>
          <w:u w:val="none" w:color="auto"/>
          <w:lang w:eastAsia="zh-CN"/>
        </w:rPr>
        <w:t>（</w:t>
      </w:r>
      <w:r>
        <w:rPr>
          <w:rFonts w:hint="default" w:ascii="宋体" w:hAnsi="宋体" w:eastAsia="宋体" w:cs="宋体"/>
          <w:b w:val="0"/>
          <w:bCs w:val="0"/>
          <w:color w:val="auto"/>
          <w:kern w:val="2"/>
          <w:sz w:val="28"/>
          <w:szCs w:val="28"/>
          <w:highlight w:val="none"/>
          <w:u w:val="none" w:color="auto"/>
          <w:lang w:val="en-US" w:eastAsia="zh-CN"/>
        </w:rPr>
        <w:t>38</w:t>
      </w:r>
      <w:r>
        <w:rPr>
          <w:rFonts w:hint="eastAsia" w:ascii="宋体" w:hAnsi="宋体" w:eastAsia="宋体" w:cs="宋体"/>
          <w:b w:val="0"/>
          <w:bCs w:val="0"/>
          <w:color w:val="auto"/>
          <w:kern w:val="2"/>
          <w:sz w:val="28"/>
          <w:szCs w:val="28"/>
          <w:highlight w:val="none"/>
          <w:u w:val="none" w:color="auto"/>
          <w:lang w:eastAsia="zh-CN"/>
        </w:rPr>
        <w:t>）</w:t>
      </w:r>
    </w:p>
    <w:p w14:paraId="7168A00D">
      <w:pPr>
        <w:pStyle w:val="2"/>
        <w:keepNext w:val="0"/>
        <w:keepLines w:val="0"/>
        <w:pageBreakBefore w:val="0"/>
        <w:widowControl w:val="0"/>
        <w:tabs>
          <w:tab w:val="left" w:leader="dot" w:pos="7980"/>
        </w:tabs>
        <w:kinsoku/>
        <w:wordWrap/>
        <w:overflowPunct/>
        <w:topLinePunct w:val="0"/>
        <w:autoSpaceDE/>
        <w:autoSpaceDN/>
        <w:bidi w:val="0"/>
        <w:adjustRightInd/>
        <w:snapToGrid/>
        <w:spacing w:after="0" w:line="620" w:lineRule="exact"/>
        <w:jc w:val="both"/>
        <w:textAlignment w:val="auto"/>
        <w:rPr>
          <w:rFonts w:hint="eastAsia" w:ascii="方正黑体_GBK" w:hAnsi="方正黑体_GBK" w:eastAsia="方正黑体_GBK" w:cs="方正黑体_GBK"/>
          <w:b w:val="0"/>
          <w:bCs w:val="0"/>
          <w:color w:val="auto"/>
          <w:kern w:val="2"/>
          <w:sz w:val="32"/>
          <w:szCs w:val="32"/>
          <w:highlight w:val="none"/>
          <w:u w:val="none" w:color="auto"/>
        </w:rPr>
      </w:pPr>
      <w:r>
        <w:rPr>
          <w:rFonts w:hint="eastAsia" w:ascii="方正黑体_GBK" w:hAnsi="方正黑体_GBK" w:eastAsia="方正黑体_GBK" w:cs="方正黑体_GBK"/>
          <w:b w:val="0"/>
          <w:bCs w:val="0"/>
          <w:color w:val="auto"/>
          <w:spacing w:val="-6"/>
          <w:kern w:val="2"/>
          <w:sz w:val="32"/>
          <w:szCs w:val="32"/>
          <w:highlight w:val="none"/>
          <w:u w:val="none" w:color="auto"/>
        </w:rPr>
        <w:t>第六章  协同推进长春现代化都市圈建设 强力拉动振兴发展</w:t>
      </w:r>
      <w:r>
        <w:rPr>
          <w:rFonts w:hint="eastAsia" w:ascii="方正黑体_GBK" w:hAnsi="方正黑体_GBK" w:eastAsia="方正黑体_GBK" w:cs="方正黑体_GBK"/>
          <w:b w:val="0"/>
          <w:bCs w:val="0"/>
          <w:color w:val="auto"/>
          <w:spacing w:val="-6"/>
          <w:kern w:val="2"/>
          <w:sz w:val="32"/>
          <w:szCs w:val="32"/>
          <w:highlight w:val="none"/>
          <w:u w:val="none" w:color="auto"/>
          <w:lang w:eastAsia="zh-CN"/>
        </w:rPr>
        <w:t>（</w:t>
      </w:r>
      <w:r>
        <w:rPr>
          <w:rFonts w:hint="default" w:ascii="方正黑体_GBK" w:hAnsi="方正黑体_GBK" w:eastAsia="方正黑体_GBK" w:cs="方正黑体_GBK"/>
          <w:b w:val="0"/>
          <w:bCs w:val="0"/>
          <w:color w:val="auto"/>
          <w:spacing w:val="-6"/>
          <w:kern w:val="2"/>
          <w:sz w:val="32"/>
          <w:szCs w:val="32"/>
          <w:highlight w:val="none"/>
          <w:u w:val="none" w:color="auto"/>
          <w:lang w:val="en-US" w:eastAsia="zh-CN"/>
        </w:rPr>
        <w:t>39</w:t>
      </w:r>
      <w:r>
        <w:rPr>
          <w:rFonts w:hint="eastAsia" w:ascii="方正黑体_GBK" w:hAnsi="方正黑体_GBK" w:eastAsia="方正黑体_GBK" w:cs="方正黑体_GBK"/>
          <w:b w:val="0"/>
          <w:bCs w:val="0"/>
          <w:color w:val="auto"/>
          <w:spacing w:val="-6"/>
          <w:kern w:val="2"/>
          <w:sz w:val="32"/>
          <w:szCs w:val="32"/>
          <w:highlight w:val="none"/>
          <w:u w:val="none" w:color="auto"/>
          <w:lang w:eastAsia="zh-CN"/>
        </w:rPr>
        <w:t>）</w:t>
      </w:r>
    </w:p>
    <w:p w14:paraId="52DC72C2">
      <w:pPr>
        <w:pStyle w:val="2"/>
        <w:keepNext w:val="0"/>
        <w:keepLines w:val="0"/>
        <w:pageBreakBefore w:val="0"/>
        <w:widowControl w:val="0"/>
        <w:tabs>
          <w:tab w:val="left" w:leader="dot" w:pos="7980"/>
        </w:tabs>
        <w:kinsoku/>
        <w:wordWrap/>
        <w:overflowPunct/>
        <w:topLinePunct w:val="0"/>
        <w:autoSpaceDE/>
        <w:autoSpaceDN/>
        <w:bidi w:val="0"/>
        <w:adjustRightInd/>
        <w:snapToGrid/>
        <w:spacing w:after="0" w:line="620" w:lineRule="exact"/>
        <w:ind w:firstLine="640" w:firstLineChars="200"/>
        <w:jc w:val="both"/>
        <w:textAlignment w:val="auto"/>
        <w:rPr>
          <w:rFonts w:hint="eastAsia" w:ascii="方正楷体_GBK" w:hAnsi="方正楷体_GBK" w:eastAsia="方正楷体_GBK" w:cs="方正楷体_GBK"/>
          <w:b w:val="0"/>
          <w:bCs w:val="0"/>
          <w:color w:val="auto"/>
          <w:kern w:val="2"/>
          <w:sz w:val="32"/>
          <w:szCs w:val="32"/>
          <w:highlight w:val="none"/>
          <w:u w:val="none" w:color="auto"/>
        </w:rPr>
      </w:pPr>
      <w:r>
        <w:rPr>
          <w:rFonts w:hint="eastAsia" w:ascii="方正楷体_GBK" w:hAnsi="方正楷体_GBK" w:eastAsia="方正楷体_GBK" w:cs="方正楷体_GBK"/>
          <w:b w:val="0"/>
          <w:bCs w:val="0"/>
          <w:color w:val="auto"/>
          <w:kern w:val="2"/>
          <w:sz w:val="32"/>
          <w:szCs w:val="32"/>
          <w:highlight w:val="none"/>
          <w:u w:val="none" w:color="auto"/>
        </w:rPr>
        <w:t>第一节  积极融入都市圈空间布局</w:t>
      </w:r>
      <w:r>
        <w:rPr>
          <w:rFonts w:hint="default" w:ascii="方正楷体_GBK" w:hAnsi="方正楷体_GBK" w:eastAsia="方正楷体_GBK" w:cs="方正楷体_GBK"/>
          <w:b w:val="0"/>
          <w:bCs w:val="0"/>
          <w:color w:val="auto"/>
          <w:kern w:val="2"/>
          <w:sz w:val="32"/>
          <w:szCs w:val="32"/>
          <w:highlight w:val="none"/>
          <w:u w:val="none" w:color="auto"/>
          <w:lang w:val="en-US"/>
        </w:rPr>
        <w:tab/>
      </w:r>
      <w:r>
        <w:rPr>
          <w:rFonts w:hint="eastAsia" w:ascii="宋体" w:hAnsi="宋体" w:eastAsia="宋体" w:cs="宋体"/>
          <w:b w:val="0"/>
          <w:bCs w:val="0"/>
          <w:color w:val="auto"/>
          <w:kern w:val="2"/>
          <w:sz w:val="28"/>
          <w:szCs w:val="28"/>
          <w:highlight w:val="none"/>
          <w:u w:val="none" w:color="auto"/>
          <w:lang w:eastAsia="zh-CN"/>
        </w:rPr>
        <w:t>（</w:t>
      </w:r>
      <w:r>
        <w:rPr>
          <w:rFonts w:hint="default" w:ascii="宋体" w:hAnsi="宋体" w:eastAsia="宋体" w:cs="宋体"/>
          <w:b w:val="0"/>
          <w:bCs w:val="0"/>
          <w:color w:val="auto"/>
          <w:kern w:val="2"/>
          <w:sz w:val="28"/>
          <w:szCs w:val="28"/>
          <w:highlight w:val="none"/>
          <w:u w:val="none" w:color="auto"/>
          <w:lang w:val="en-US" w:eastAsia="zh-CN"/>
        </w:rPr>
        <w:t>39</w:t>
      </w:r>
      <w:r>
        <w:rPr>
          <w:rFonts w:hint="eastAsia" w:ascii="宋体" w:hAnsi="宋体" w:eastAsia="宋体" w:cs="宋体"/>
          <w:b w:val="0"/>
          <w:bCs w:val="0"/>
          <w:color w:val="auto"/>
          <w:kern w:val="2"/>
          <w:sz w:val="28"/>
          <w:szCs w:val="28"/>
          <w:highlight w:val="none"/>
          <w:u w:val="none" w:color="auto"/>
          <w:lang w:eastAsia="zh-CN"/>
        </w:rPr>
        <w:t>）</w:t>
      </w:r>
    </w:p>
    <w:p w14:paraId="1FC46AFA">
      <w:pPr>
        <w:pStyle w:val="2"/>
        <w:keepNext w:val="0"/>
        <w:keepLines w:val="0"/>
        <w:pageBreakBefore w:val="0"/>
        <w:widowControl w:val="0"/>
        <w:tabs>
          <w:tab w:val="left" w:leader="dot" w:pos="7980"/>
        </w:tabs>
        <w:kinsoku/>
        <w:wordWrap/>
        <w:overflowPunct/>
        <w:topLinePunct w:val="0"/>
        <w:autoSpaceDE/>
        <w:autoSpaceDN/>
        <w:bidi w:val="0"/>
        <w:adjustRightInd/>
        <w:snapToGrid/>
        <w:spacing w:after="0" w:line="620" w:lineRule="exact"/>
        <w:ind w:firstLine="640" w:firstLineChars="200"/>
        <w:jc w:val="both"/>
        <w:textAlignment w:val="auto"/>
        <w:rPr>
          <w:rFonts w:hint="eastAsia" w:ascii="方正楷体_GBK" w:hAnsi="方正楷体_GBK" w:eastAsia="方正楷体_GBK" w:cs="方正楷体_GBK"/>
          <w:b w:val="0"/>
          <w:bCs w:val="0"/>
          <w:color w:val="auto"/>
          <w:kern w:val="2"/>
          <w:sz w:val="32"/>
          <w:szCs w:val="32"/>
          <w:highlight w:val="none"/>
          <w:u w:val="none" w:color="auto"/>
        </w:rPr>
      </w:pPr>
      <w:r>
        <w:rPr>
          <w:rFonts w:hint="eastAsia" w:ascii="方正楷体_GBK" w:hAnsi="方正楷体_GBK" w:eastAsia="方正楷体_GBK" w:cs="方正楷体_GBK"/>
          <w:b w:val="0"/>
          <w:bCs w:val="0"/>
          <w:color w:val="auto"/>
          <w:kern w:val="2"/>
          <w:sz w:val="32"/>
          <w:szCs w:val="32"/>
          <w:highlight w:val="none"/>
          <w:u w:val="none" w:color="auto"/>
        </w:rPr>
        <w:t>第二节  加快建设都市圈同城化发展先行区</w:t>
      </w:r>
      <w:r>
        <w:rPr>
          <w:rFonts w:hint="eastAsia" w:ascii="方正楷体_GBK" w:hAnsi="方正楷体_GBK" w:eastAsia="方正楷体_GBK" w:cs="方正楷体_GBK"/>
          <w:b w:val="0"/>
          <w:bCs w:val="0"/>
          <w:color w:val="auto"/>
          <w:kern w:val="2"/>
          <w:sz w:val="32"/>
          <w:szCs w:val="32"/>
          <w:highlight w:val="none"/>
          <w:u w:val="none" w:color="auto"/>
        </w:rPr>
        <w:tab/>
      </w:r>
      <w:r>
        <w:rPr>
          <w:rFonts w:hint="eastAsia" w:ascii="宋体" w:hAnsi="宋体" w:eastAsia="宋体" w:cs="宋体"/>
          <w:b w:val="0"/>
          <w:bCs w:val="0"/>
          <w:color w:val="auto"/>
          <w:kern w:val="2"/>
          <w:sz w:val="28"/>
          <w:szCs w:val="28"/>
          <w:highlight w:val="none"/>
          <w:u w:val="none" w:color="auto"/>
          <w:lang w:eastAsia="zh-CN"/>
        </w:rPr>
        <w:t>（</w:t>
      </w:r>
      <w:r>
        <w:rPr>
          <w:rFonts w:hint="default" w:ascii="宋体" w:hAnsi="宋体" w:eastAsia="宋体" w:cs="宋体"/>
          <w:b w:val="0"/>
          <w:bCs w:val="0"/>
          <w:color w:val="auto"/>
          <w:kern w:val="2"/>
          <w:sz w:val="28"/>
          <w:szCs w:val="28"/>
          <w:highlight w:val="none"/>
          <w:u w:val="none" w:color="auto"/>
          <w:lang w:val="en-US" w:eastAsia="zh-CN"/>
        </w:rPr>
        <w:t>41</w:t>
      </w:r>
      <w:r>
        <w:rPr>
          <w:rFonts w:hint="eastAsia" w:ascii="宋体" w:hAnsi="宋体" w:eastAsia="宋体" w:cs="宋体"/>
          <w:b w:val="0"/>
          <w:bCs w:val="0"/>
          <w:color w:val="auto"/>
          <w:kern w:val="2"/>
          <w:sz w:val="28"/>
          <w:szCs w:val="28"/>
          <w:highlight w:val="none"/>
          <w:u w:val="none" w:color="auto"/>
          <w:lang w:eastAsia="zh-CN"/>
        </w:rPr>
        <w:t>）</w:t>
      </w:r>
    </w:p>
    <w:p w14:paraId="15BF7CBF">
      <w:pPr>
        <w:pStyle w:val="2"/>
        <w:keepNext w:val="0"/>
        <w:keepLines w:val="0"/>
        <w:pageBreakBefore w:val="0"/>
        <w:widowControl w:val="0"/>
        <w:tabs>
          <w:tab w:val="left" w:leader="dot" w:pos="7980"/>
        </w:tabs>
        <w:kinsoku/>
        <w:wordWrap/>
        <w:overflowPunct/>
        <w:topLinePunct w:val="0"/>
        <w:autoSpaceDE/>
        <w:autoSpaceDN/>
        <w:bidi w:val="0"/>
        <w:adjustRightInd/>
        <w:snapToGrid/>
        <w:spacing w:after="0" w:line="620" w:lineRule="exact"/>
        <w:ind w:firstLine="640" w:firstLineChars="200"/>
        <w:jc w:val="both"/>
        <w:textAlignment w:val="auto"/>
        <w:rPr>
          <w:rFonts w:hint="eastAsia" w:ascii="方正楷体_GBK" w:hAnsi="方正楷体_GBK" w:eastAsia="方正楷体_GBK" w:cs="方正楷体_GBK"/>
          <w:b w:val="0"/>
          <w:bCs w:val="0"/>
          <w:color w:val="auto"/>
          <w:kern w:val="2"/>
          <w:sz w:val="32"/>
          <w:szCs w:val="32"/>
          <w:highlight w:val="none"/>
          <w:u w:val="none" w:color="auto"/>
        </w:rPr>
      </w:pPr>
      <w:r>
        <w:rPr>
          <w:rFonts w:hint="eastAsia" w:ascii="方正楷体_GBK" w:hAnsi="方正楷体_GBK" w:eastAsia="方正楷体_GBK" w:cs="方正楷体_GBK"/>
          <w:b w:val="0"/>
          <w:bCs w:val="0"/>
          <w:color w:val="auto"/>
          <w:kern w:val="2"/>
          <w:sz w:val="32"/>
          <w:szCs w:val="32"/>
          <w:highlight w:val="none"/>
          <w:u w:val="none" w:color="auto"/>
        </w:rPr>
        <w:t>第三节  促进都市圈各城市同城化发展</w:t>
      </w:r>
      <w:r>
        <w:rPr>
          <w:rFonts w:hint="eastAsia" w:ascii="方正楷体_GBK" w:hAnsi="方正楷体_GBK" w:eastAsia="方正楷体_GBK" w:cs="方正楷体_GBK"/>
          <w:b w:val="0"/>
          <w:bCs w:val="0"/>
          <w:color w:val="auto"/>
          <w:kern w:val="2"/>
          <w:sz w:val="32"/>
          <w:szCs w:val="32"/>
          <w:highlight w:val="none"/>
          <w:u w:val="none" w:color="auto"/>
        </w:rPr>
        <w:tab/>
      </w:r>
      <w:r>
        <w:rPr>
          <w:rFonts w:hint="eastAsia" w:ascii="宋体" w:hAnsi="宋体" w:eastAsia="宋体" w:cs="宋体"/>
          <w:b w:val="0"/>
          <w:bCs w:val="0"/>
          <w:color w:val="auto"/>
          <w:kern w:val="2"/>
          <w:sz w:val="28"/>
          <w:szCs w:val="28"/>
          <w:highlight w:val="none"/>
          <w:u w:val="none" w:color="auto"/>
          <w:lang w:eastAsia="zh-CN"/>
        </w:rPr>
        <w:t>（</w:t>
      </w:r>
      <w:r>
        <w:rPr>
          <w:rFonts w:hint="default" w:ascii="宋体" w:hAnsi="宋体" w:eastAsia="宋体" w:cs="宋体"/>
          <w:b w:val="0"/>
          <w:bCs w:val="0"/>
          <w:color w:val="auto"/>
          <w:kern w:val="2"/>
          <w:sz w:val="28"/>
          <w:szCs w:val="28"/>
          <w:highlight w:val="none"/>
          <w:u w:val="none" w:color="auto"/>
          <w:lang w:val="en-US" w:eastAsia="zh-CN"/>
        </w:rPr>
        <w:t>42</w:t>
      </w:r>
      <w:r>
        <w:rPr>
          <w:rFonts w:hint="eastAsia" w:ascii="宋体" w:hAnsi="宋体" w:eastAsia="宋体" w:cs="宋体"/>
          <w:b w:val="0"/>
          <w:bCs w:val="0"/>
          <w:color w:val="auto"/>
          <w:kern w:val="2"/>
          <w:sz w:val="28"/>
          <w:szCs w:val="28"/>
          <w:highlight w:val="none"/>
          <w:u w:val="none" w:color="auto"/>
          <w:lang w:eastAsia="zh-CN"/>
        </w:rPr>
        <w:t>）</w:t>
      </w:r>
    </w:p>
    <w:p w14:paraId="3D39C255">
      <w:pPr>
        <w:pStyle w:val="2"/>
        <w:keepNext w:val="0"/>
        <w:keepLines w:val="0"/>
        <w:pageBreakBefore w:val="0"/>
        <w:widowControl w:val="0"/>
        <w:tabs>
          <w:tab w:val="left" w:leader="dot" w:pos="7980"/>
        </w:tabs>
        <w:kinsoku/>
        <w:wordWrap/>
        <w:overflowPunct/>
        <w:topLinePunct w:val="0"/>
        <w:autoSpaceDE/>
        <w:autoSpaceDN/>
        <w:bidi w:val="0"/>
        <w:adjustRightInd/>
        <w:snapToGrid/>
        <w:spacing w:after="0" w:line="620" w:lineRule="exact"/>
        <w:jc w:val="both"/>
        <w:textAlignment w:val="auto"/>
        <w:rPr>
          <w:rFonts w:hint="eastAsia" w:ascii="方正黑体_GBK" w:hAnsi="方正黑体_GBK" w:eastAsia="方正黑体_GBK" w:cs="方正黑体_GBK"/>
          <w:b w:val="0"/>
          <w:bCs w:val="0"/>
          <w:color w:val="auto"/>
          <w:kern w:val="2"/>
          <w:sz w:val="32"/>
          <w:szCs w:val="32"/>
          <w:highlight w:val="none"/>
          <w:u w:val="none" w:color="auto"/>
          <w:lang w:eastAsia="zh-CN"/>
        </w:rPr>
      </w:pPr>
      <w:r>
        <w:rPr>
          <w:rFonts w:hint="eastAsia" w:ascii="方正黑体_GBK" w:hAnsi="方正黑体_GBK" w:eastAsia="方正黑体_GBK" w:cs="方正黑体_GBK"/>
          <w:b w:val="0"/>
          <w:bCs w:val="0"/>
          <w:color w:val="auto"/>
          <w:kern w:val="2"/>
          <w:sz w:val="32"/>
          <w:szCs w:val="32"/>
          <w:highlight w:val="none"/>
          <w:u w:val="none" w:color="auto"/>
        </w:rPr>
        <w:t>第七章  推进乡村全面振兴 加快实现农业农村现代化</w:t>
      </w:r>
      <w:r>
        <w:rPr>
          <w:rFonts w:hint="eastAsia" w:ascii="方正黑体_GBK" w:hAnsi="方正黑体_GBK" w:eastAsia="方正黑体_GBK" w:cs="方正黑体_GBK"/>
          <w:b w:val="0"/>
          <w:bCs w:val="0"/>
          <w:color w:val="auto"/>
          <w:kern w:val="2"/>
          <w:sz w:val="32"/>
          <w:szCs w:val="32"/>
          <w:highlight w:val="none"/>
          <w:u w:val="none" w:color="auto"/>
        </w:rPr>
        <w:tab/>
      </w:r>
      <w:r>
        <w:rPr>
          <w:rFonts w:hint="eastAsia" w:ascii="方正黑体_GBK" w:hAnsi="方正黑体_GBK" w:eastAsia="方正黑体_GBK" w:cs="方正黑体_GBK"/>
          <w:b w:val="0"/>
          <w:bCs w:val="0"/>
          <w:color w:val="auto"/>
          <w:kern w:val="2"/>
          <w:sz w:val="32"/>
          <w:szCs w:val="32"/>
          <w:highlight w:val="none"/>
          <w:u w:val="none" w:color="auto"/>
          <w:lang w:eastAsia="zh-CN"/>
        </w:rPr>
        <w:t>（</w:t>
      </w:r>
      <w:r>
        <w:rPr>
          <w:rFonts w:hint="default" w:ascii="方正黑体_GBK" w:hAnsi="方正黑体_GBK" w:eastAsia="方正黑体_GBK" w:cs="方正黑体_GBK"/>
          <w:b w:val="0"/>
          <w:bCs w:val="0"/>
          <w:color w:val="auto"/>
          <w:kern w:val="2"/>
          <w:sz w:val="32"/>
          <w:szCs w:val="32"/>
          <w:highlight w:val="none"/>
          <w:u w:val="none" w:color="auto"/>
          <w:lang w:val="en-US" w:eastAsia="zh-CN"/>
        </w:rPr>
        <w:t>45</w:t>
      </w:r>
      <w:r>
        <w:rPr>
          <w:rFonts w:hint="eastAsia" w:ascii="方正黑体_GBK" w:hAnsi="方正黑体_GBK" w:eastAsia="方正黑体_GBK" w:cs="方正黑体_GBK"/>
          <w:b w:val="0"/>
          <w:bCs w:val="0"/>
          <w:color w:val="auto"/>
          <w:kern w:val="2"/>
          <w:sz w:val="32"/>
          <w:szCs w:val="32"/>
          <w:highlight w:val="none"/>
          <w:u w:val="none" w:color="auto"/>
          <w:lang w:eastAsia="zh-CN"/>
        </w:rPr>
        <w:t>）</w:t>
      </w:r>
    </w:p>
    <w:p w14:paraId="4408D23A">
      <w:pPr>
        <w:pStyle w:val="2"/>
        <w:keepNext w:val="0"/>
        <w:keepLines w:val="0"/>
        <w:pageBreakBefore w:val="0"/>
        <w:widowControl w:val="0"/>
        <w:tabs>
          <w:tab w:val="left" w:leader="dot" w:pos="7980"/>
        </w:tabs>
        <w:kinsoku/>
        <w:wordWrap/>
        <w:overflowPunct/>
        <w:topLinePunct w:val="0"/>
        <w:autoSpaceDE/>
        <w:autoSpaceDN/>
        <w:bidi w:val="0"/>
        <w:adjustRightInd/>
        <w:snapToGrid/>
        <w:spacing w:after="0" w:line="620" w:lineRule="exact"/>
        <w:ind w:firstLine="640" w:firstLineChars="200"/>
        <w:jc w:val="both"/>
        <w:textAlignment w:val="auto"/>
        <w:rPr>
          <w:rFonts w:hint="eastAsia" w:ascii="方正楷体_GBK" w:hAnsi="方正楷体_GBK" w:eastAsia="方正楷体_GBK" w:cs="方正楷体_GBK"/>
          <w:b w:val="0"/>
          <w:bCs w:val="0"/>
          <w:color w:val="auto"/>
          <w:kern w:val="2"/>
          <w:sz w:val="32"/>
          <w:szCs w:val="32"/>
          <w:highlight w:val="none"/>
          <w:u w:val="none" w:color="auto"/>
        </w:rPr>
      </w:pPr>
      <w:r>
        <w:rPr>
          <w:rFonts w:hint="eastAsia" w:ascii="方正楷体_GBK" w:hAnsi="方正楷体_GBK" w:eastAsia="方正楷体_GBK" w:cs="方正楷体_GBK"/>
          <w:b w:val="0"/>
          <w:bCs w:val="0"/>
          <w:color w:val="auto"/>
          <w:kern w:val="2"/>
          <w:sz w:val="32"/>
          <w:szCs w:val="32"/>
          <w:highlight w:val="none"/>
          <w:u w:val="none" w:color="auto"/>
        </w:rPr>
        <w:t>第一节  维护国家粮食安全</w:t>
      </w:r>
      <w:r>
        <w:rPr>
          <w:rFonts w:hint="eastAsia" w:ascii="方正楷体_GBK" w:hAnsi="方正楷体_GBK" w:eastAsia="方正楷体_GBK" w:cs="方正楷体_GBK"/>
          <w:b w:val="0"/>
          <w:bCs w:val="0"/>
          <w:color w:val="auto"/>
          <w:kern w:val="2"/>
          <w:sz w:val="32"/>
          <w:szCs w:val="32"/>
          <w:highlight w:val="none"/>
          <w:u w:val="none" w:color="auto"/>
        </w:rPr>
        <w:tab/>
      </w:r>
      <w:r>
        <w:rPr>
          <w:rFonts w:hint="eastAsia" w:ascii="宋体" w:hAnsi="宋体" w:eastAsia="宋体" w:cs="宋体"/>
          <w:b w:val="0"/>
          <w:bCs w:val="0"/>
          <w:color w:val="auto"/>
          <w:kern w:val="2"/>
          <w:sz w:val="28"/>
          <w:szCs w:val="28"/>
          <w:highlight w:val="none"/>
          <w:u w:val="none" w:color="auto"/>
          <w:lang w:eastAsia="zh-CN"/>
        </w:rPr>
        <w:t>（</w:t>
      </w:r>
      <w:r>
        <w:rPr>
          <w:rFonts w:hint="default" w:ascii="宋体" w:hAnsi="宋体" w:eastAsia="宋体" w:cs="宋体"/>
          <w:b w:val="0"/>
          <w:bCs w:val="0"/>
          <w:color w:val="auto"/>
          <w:kern w:val="2"/>
          <w:sz w:val="28"/>
          <w:szCs w:val="28"/>
          <w:highlight w:val="none"/>
          <w:u w:val="none" w:color="auto"/>
          <w:lang w:val="en-US" w:eastAsia="zh-CN"/>
        </w:rPr>
        <w:t>45</w:t>
      </w:r>
      <w:r>
        <w:rPr>
          <w:rFonts w:hint="eastAsia" w:ascii="宋体" w:hAnsi="宋体" w:eastAsia="宋体" w:cs="宋体"/>
          <w:b w:val="0"/>
          <w:bCs w:val="0"/>
          <w:color w:val="auto"/>
          <w:kern w:val="2"/>
          <w:sz w:val="28"/>
          <w:szCs w:val="28"/>
          <w:highlight w:val="none"/>
          <w:u w:val="none" w:color="auto"/>
          <w:lang w:eastAsia="zh-CN"/>
        </w:rPr>
        <w:t>）</w:t>
      </w:r>
    </w:p>
    <w:p w14:paraId="1988AC90">
      <w:pPr>
        <w:pStyle w:val="2"/>
        <w:keepNext w:val="0"/>
        <w:keepLines w:val="0"/>
        <w:pageBreakBefore w:val="0"/>
        <w:widowControl w:val="0"/>
        <w:tabs>
          <w:tab w:val="left" w:leader="dot" w:pos="7980"/>
        </w:tabs>
        <w:kinsoku/>
        <w:wordWrap/>
        <w:overflowPunct/>
        <w:topLinePunct w:val="0"/>
        <w:autoSpaceDE/>
        <w:autoSpaceDN/>
        <w:bidi w:val="0"/>
        <w:adjustRightInd/>
        <w:snapToGrid/>
        <w:spacing w:after="0" w:line="620" w:lineRule="exact"/>
        <w:ind w:firstLine="640" w:firstLineChars="200"/>
        <w:jc w:val="both"/>
        <w:textAlignment w:val="auto"/>
        <w:rPr>
          <w:rFonts w:hint="eastAsia" w:ascii="方正楷体_GBK" w:hAnsi="方正楷体_GBK" w:eastAsia="方正楷体_GBK" w:cs="方正楷体_GBK"/>
          <w:b w:val="0"/>
          <w:bCs w:val="0"/>
          <w:color w:val="auto"/>
          <w:kern w:val="2"/>
          <w:sz w:val="32"/>
          <w:szCs w:val="32"/>
          <w:highlight w:val="none"/>
          <w:u w:val="none" w:color="auto"/>
        </w:rPr>
      </w:pPr>
      <w:r>
        <w:rPr>
          <w:rFonts w:hint="eastAsia" w:ascii="方正楷体_GBK" w:hAnsi="方正楷体_GBK" w:eastAsia="方正楷体_GBK" w:cs="方正楷体_GBK"/>
          <w:b w:val="0"/>
          <w:bCs w:val="0"/>
          <w:color w:val="auto"/>
          <w:kern w:val="2"/>
          <w:sz w:val="32"/>
          <w:szCs w:val="32"/>
          <w:highlight w:val="none"/>
          <w:u w:val="none" w:color="auto"/>
        </w:rPr>
        <w:t>第二节  完善现代农业“三大体系”</w:t>
      </w:r>
      <w:r>
        <w:rPr>
          <w:rFonts w:hint="default" w:ascii="方正楷体_GBK" w:hAnsi="方正楷体_GBK" w:eastAsia="方正楷体_GBK" w:cs="方正楷体_GBK"/>
          <w:b w:val="0"/>
          <w:bCs w:val="0"/>
          <w:color w:val="auto"/>
          <w:kern w:val="2"/>
          <w:sz w:val="32"/>
          <w:szCs w:val="32"/>
          <w:highlight w:val="none"/>
          <w:u w:val="none" w:color="auto"/>
          <w:lang w:val="en-US"/>
        </w:rPr>
        <w:tab/>
      </w:r>
      <w:r>
        <w:rPr>
          <w:rFonts w:hint="eastAsia" w:ascii="宋体" w:hAnsi="宋体" w:eastAsia="宋体" w:cs="宋体"/>
          <w:b w:val="0"/>
          <w:bCs w:val="0"/>
          <w:color w:val="auto"/>
          <w:kern w:val="2"/>
          <w:sz w:val="28"/>
          <w:szCs w:val="28"/>
          <w:highlight w:val="none"/>
          <w:u w:val="none" w:color="auto"/>
          <w:lang w:eastAsia="zh-CN"/>
        </w:rPr>
        <w:t>（</w:t>
      </w:r>
      <w:r>
        <w:rPr>
          <w:rFonts w:hint="default" w:ascii="宋体" w:hAnsi="宋体" w:eastAsia="宋体" w:cs="宋体"/>
          <w:b w:val="0"/>
          <w:bCs w:val="0"/>
          <w:color w:val="auto"/>
          <w:kern w:val="2"/>
          <w:sz w:val="28"/>
          <w:szCs w:val="28"/>
          <w:highlight w:val="none"/>
          <w:u w:val="none" w:color="auto"/>
          <w:lang w:val="en-US" w:eastAsia="zh-CN"/>
        </w:rPr>
        <w:t>47</w:t>
      </w:r>
      <w:r>
        <w:rPr>
          <w:rFonts w:hint="eastAsia" w:ascii="宋体" w:hAnsi="宋体" w:eastAsia="宋体" w:cs="宋体"/>
          <w:b w:val="0"/>
          <w:bCs w:val="0"/>
          <w:color w:val="auto"/>
          <w:kern w:val="2"/>
          <w:sz w:val="28"/>
          <w:szCs w:val="28"/>
          <w:highlight w:val="none"/>
          <w:u w:val="none" w:color="auto"/>
          <w:lang w:eastAsia="zh-CN"/>
        </w:rPr>
        <w:t>）</w:t>
      </w:r>
    </w:p>
    <w:p w14:paraId="69ED9118">
      <w:pPr>
        <w:pStyle w:val="2"/>
        <w:keepNext w:val="0"/>
        <w:keepLines w:val="0"/>
        <w:pageBreakBefore w:val="0"/>
        <w:widowControl w:val="0"/>
        <w:tabs>
          <w:tab w:val="left" w:leader="dot" w:pos="7980"/>
        </w:tabs>
        <w:kinsoku/>
        <w:wordWrap/>
        <w:overflowPunct/>
        <w:topLinePunct w:val="0"/>
        <w:autoSpaceDE/>
        <w:autoSpaceDN/>
        <w:bidi w:val="0"/>
        <w:adjustRightInd/>
        <w:snapToGrid/>
        <w:spacing w:after="0" w:line="620" w:lineRule="exact"/>
        <w:ind w:firstLine="640" w:firstLineChars="200"/>
        <w:jc w:val="both"/>
        <w:textAlignment w:val="auto"/>
        <w:rPr>
          <w:rFonts w:hint="eastAsia" w:ascii="方正楷体_GBK" w:hAnsi="方正楷体_GBK" w:eastAsia="方正楷体_GBK" w:cs="方正楷体_GBK"/>
          <w:b w:val="0"/>
          <w:bCs w:val="0"/>
          <w:color w:val="auto"/>
          <w:kern w:val="2"/>
          <w:sz w:val="32"/>
          <w:szCs w:val="32"/>
          <w:highlight w:val="none"/>
          <w:u w:val="none" w:color="auto"/>
        </w:rPr>
      </w:pPr>
      <w:r>
        <w:rPr>
          <w:rFonts w:hint="eastAsia" w:ascii="方正楷体_GBK" w:hAnsi="方正楷体_GBK" w:eastAsia="方正楷体_GBK" w:cs="方正楷体_GBK"/>
          <w:b w:val="0"/>
          <w:bCs w:val="0"/>
          <w:color w:val="auto"/>
          <w:kern w:val="2"/>
          <w:sz w:val="32"/>
          <w:szCs w:val="32"/>
          <w:highlight w:val="none"/>
          <w:u w:val="none" w:color="auto"/>
        </w:rPr>
        <w:t>第三节  做优做大农产品加工和食品工业</w:t>
      </w:r>
      <w:r>
        <w:rPr>
          <w:rFonts w:hint="eastAsia" w:ascii="方正楷体_GBK" w:hAnsi="方正楷体_GBK" w:eastAsia="方正楷体_GBK" w:cs="方正楷体_GBK"/>
          <w:b w:val="0"/>
          <w:bCs w:val="0"/>
          <w:color w:val="auto"/>
          <w:kern w:val="2"/>
          <w:sz w:val="32"/>
          <w:szCs w:val="32"/>
          <w:highlight w:val="none"/>
          <w:u w:val="none" w:color="auto"/>
        </w:rPr>
        <w:tab/>
      </w:r>
      <w:r>
        <w:rPr>
          <w:rFonts w:hint="eastAsia" w:ascii="宋体" w:hAnsi="宋体" w:eastAsia="宋体" w:cs="宋体"/>
          <w:b w:val="0"/>
          <w:bCs w:val="0"/>
          <w:color w:val="auto"/>
          <w:kern w:val="2"/>
          <w:sz w:val="28"/>
          <w:szCs w:val="28"/>
          <w:highlight w:val="none"/>
          <w:u w:val="none" w:color="auto"/>
          <w:lang w:eastAsia="zh-CN"/>
        </w:rPr>
        <w:t>（</w:t>
      </w:r>
      <w:r>
        <w:rPr>
          <w:rFonts w:hint="default" w:ascii="宋体" w:hAnsi="宋体" w:eastAsia="宋体" w:cs="宋体"/>
          <w:b w:val="0"/>
          <w:bCs w:val="0"/>
          <w:color w:val="auto"/>
          <w:kern w:val="2"/>
          <w:sz w:val="28"/>
          <w:szCs w:val="28"/>
          <w:highlight w:val="none"/>
          <w:u w:val="none" w:color="auto"/>
          <w:lang w:val="en-US" w:eastAsia="zh-CN"/>
        </w:rPr>
        <w:t>49</w:t>
      </w:r>
      <w:r>
        <w:rPr>
          <w:rFonts w:hint="eastAsia" w:ascii="宋体" w:hAnsi="宋体" w:eastAsia="宋体" w:cs="宋体"/>
          <w:b w:val="0"/>
          <w:bCs w:val="0"/>
          <w:color w:val="auto"/>
          <w:kern w:val="2"/>
          <w:sz w:val="28"/>
          <w:szCs w:val="28"/>
          <w:highlight w:val="none"/>
          <w:u w:val="none" w:color="auto"/>
          <w:lang w:eastAsia="zh-CN"/>
        </w:rPr>
        <w:t>）</w:t>
      </w:r>
    </w:p>
    <w:p w14:paraId="6D1DDF9B">
      <w:pPr>
        <w:pStyle w:val="2"/>
        <w:keepNext w:val="0"/>
        <w:keepLines w:val="0"/>
        <w:pageBreakBefore w:val="0"/>
        <w:widowControl w:val="0"/>
        <w:tabs>
          <w:tab w:val="left" w:leader="dot" w:pos="7980"/>
        </w:tabs>
        <w:kinsoku/>
        <w:wordWrap/>
        <w:overflowPunct/>
        <w:topLinePunct w:val="0"/>
        <w:autoSpaceDE/>
        <w:autoSpaceDN/>
        <w:bidi w:val="0"/>
        <w:adjustRightInd/>
        <w:snapToGrid/>
        <w:spacing w:after="0" w:line="620" w:lineRule="exact"/>
        <w:ind w:firstLine="640" w:firstLineChars="200"/>
        <w:jc w:val="both"/>
        <w:textAlignment w:val="auto"/>
        <w:rPr>
          <w:rFonts w:hint="eastAsia" w:ascii="方正楷体_GBK" w:hAnsi="方正楷体_GBK" w:eastAsia="方正楷体_GBK" w:cs="方正楷体_GBK"/>
          <w:b w:val="0"/>
          <w:bCs w:val="0"/>
          <w:color w:val="auto"/>
          <w:kern w:val="2"/>
          <w:sz w:val="32"/>
          <w:szCs w:val="32"/>
          <w:highlight w:val="none"/>
          <w:u w:val="none" w:color="auto"/>
        </w:rPr>
      </w:pPr>
      <w:r>
        <w:rPr>
          <w:rFonts w:hint="eastAsia" w:ascii="方正楷体_GBK" w:hAnsi="方正楷体_GBK" w:eastAsia="方正楷体_GBK" w:cs="方正楷体_GBK"/>
          <w:b w:val="0"/>
          <w:bCs w:val="0"/>
          <w:color w:val="auto"/>
          <w:kern w:val="2"/>
          <w:sz w:val="32"/>
          <w:szCs w:val="32"/>
          <w:highlight w:val="none"/>
          <w:u w:val="none" w:color="auto"/>
        </w:rPr>
        <w:t>第四节  推进宜居宜业和美乡村建设</w:t>
      </w:r>
      <w:r>
        <w:rPr>
          <w:rFonts w:hint="eastAsia" w:ascii="方正楷体_GBK" w:hAnsi="方正楷体_GBK" w:eastAsia="方正楷体_GBK" w:cs="方正楷体_GBK"/>
          <w:b w:val="0"/>
          <w:bCs w:val="0"/>
          <w:color w:val="auto"/>
          <w:kern w:val="2"/>
          <w:sz w:val="32"/>
          <w:szCs w:val="32"/>
          <w:highlight w:val="none"/>
          <w:u w:val="none" w:color="auto"/>
        </w:rPr>
        <w:tab/>
      </w:r>
      <w:r>
        <w:rPr>
          <w:rFonts w:hint="eastAsia" w:ascii="宋体" w:hAnsi="宋体" w:eastAsia="宋体" w:cs="宋体"/>
          <w:b w:val="0"/>
          <w:bCs w:val="0"/>
          <w:color w:val="auto"/>
          <w:kern w:val="2"/>
          <w:sz w:val="28"/>
          <w:szCs w:val="28"/>
          <w:highlight w:val="none"/>
          <w:u w:val="none" w:color="auto"/>
          <w:lang w:eastAsia="zh-CN"/>
        </w:rPr>
        <w:t>（</w:t>
      </w:r>
      <w:r>
        <w:rPr>
          <w:rFonts w:hint="default" w:ascii="宋体" w:hAnsi="宋体" w:eastAsia="宋体" w:cs="宋体"/>
          <w:b w:val="0"/>
          <w:bCs w:val="0"/>
          <w:color w:val="auto"/>
          <w:kern w:val="2"/>
          <w:sz w:val="28"/>
          <w:szCs w:val="28"/>
          <w:highlight w:val="none"/>
          <w:u w:val="none" w:color="auto"/>
          <w:lang w:val="en-US" w:eastAsia="zh-CN"/>
        </w:rPr>
        <w:t>52</w:t>
      </w:r>
      <w:r>
        <w:rPr>
          <w:rFonts w:hint="eastAsia" w:ascii="宋体" w:hAnsi="宋体" w:eastAsia="宋体" w:cs="宋体"/>
          <w:b w:val="0"/>
          <w:bCs w:val="0"/>
          <w:color w:val="auto"/>
          <w:kern w:val="2"/>
          <w:sz w:val="28"/>
          <w:szCs w:val="28"/>
          <w:highlight w:val="none"/>
          <w:u w:val="none" w:color="auto"/>
          <w:lang w:eastAsia="zh-CN"/>
        </w:rPr>
        <w:t>）</w:t>
      </w:r>
    </w:p>
    <w:p w14:paraId="54106CFB">
      <w:pPr>
        <w:pStyle w:val="2"/>
        <w:keepNext w:val="0"/>
        <w:keepLines w:val="0"/>
        <w:pageBreakBefore w:val="0"/>
        <w:widowControl w:val="0"/>
        <w:tabs>
          <w:tab w:val="left" w:leader="dot" w:pos="7980"/>
        </w:tabs>
        <w:kinsoku/>
        <w:wordWrap/>
        <w:overflowPunct/>
        <w:topLinePunct w:val="0"/>
        <w:autoSpaceDE/>
        <w:autoSpaceDN/>
        <w:bidi w:val="0"/>
        <w:adjustRightInd/>
        <w:snapToGrid/>
        <w:spacing w:after="0" w:line="620" w:lineRule="exact"/>
        <w:ind w:firstLine="640" w:firstLineChars="200"/>
        <w:jc w:val="both"/>
        <w:textAlignment w:val="auto"/>
        <w:rPr>
          <w:rFonts w:hint="eastAsia" w:ascii="方正楷体_GBK" w:hAnsi="方正楷体_GBK" w:eastAsia="方正楷体_GBK" w:cs="方正楷体_GBK"/>
          <w:b w:val="0"/>
          <w:bCs w:val="0"/>
          <w:color w:val="auto"/>
          <w:kern w:val="2"/>
          <w:sz w:val="32"/>
          <w:szCs w:val="32"/>
          <w:highlight w:val="none"/>
          <w:u w:val="none" w:color="auto"/>
        </w:rPr>
      </w:pPr>
      <w:r>
        <w:rPr>
          <w:rFonts w:hint="eastAsia" w:ascii="方正楷体_GBK" w:hAnsi="方正楷体_GBK" w:eastAsia="方正楷体_GBK" w:cs="方正楷体_GBK"/>
          <w:b w:val="0"/>
          <w:bCs w:val="0"/>
          <w:color w:val="auto"/>
          <w:kern w:val="2"/>
          <w:sz w:val="32"/>
          <w:szCs w:val="32"/>
          <w:highlight w:val="none"/>
          <w:u w:val="none" w:color="auto"/>
        </w:rPr>
        <w:t>第五节  完善强农惠农富农支持制度</w:t>
      </w:r>
      <w:r>
        <w:rPr>
          <w:rFonts w:hint="eastAsia" w:ascii="方正楷体_GBK" w:hAnsi="方正楷体_GBK" w:eastAsia="方正楷体_GBK" w:cs="方正楷体_GBK"/>
          <w:b w:val="0"/>
          <w:bCs w:val="0"/>
          <w:color w:val="auto"/>
          <w:kern w:val="2"/>
          <w:sz w:val="32"/>
          <w:szCs w:val="32"/>
          <w:highlight w:val="none"/>
          <w:u w:val="none" w:color="auto"/>
        </w:rPr>
        <w:tab/>
      </w:r>
      <w:r>
        <w:rPr>
          <w:rFonts w:hint="eastAsia" w:ascii="宋体" w:hAnsi="宋体" w:eastAsia="宋体" w:cs="宋体"/>
          <w:b w:val="0"/>
          <w:bCs w:val="0"/>
          <w:color w:val="auto"/>
          <w:kern w:val="2"/>
          <w:sz w:val="28"/>
          <w:szCs w:val="28"/>
          <w:highlight w:val="none"/>
          <w:u w:val="none" w:color="auto"/>
          <w:lang w:eastAsia="zh-CN"/>
        </w:rPr>
        <w:t>（</w:t>
      </w:r>
      <w:r>
        <w:rPr>
          <w:rFonts w:hint="default" w:ascii="宋体" w:hAnsi="宋体" w:eastAsia="宋体" w:cs="宋体"/>
          <w:b w:val="0"/>
          <w:bCs w:val="0"/>
          <w:color w:val="auto"/>
          <w:kern w:val="2"/>
          <w:sz w:val="28"/>
          <w:szCs w:val="28"/>
          <w:highlight w:val="none"/>
          <w:u w:val="none" w:color="auto"/>
          <w:lang w:val="en-US" w:eastAsia="zh-CN"/>
        </w:rPr>
        <w:t>53</w:t>
      </w:r>
      <w:r>
        <w:rPr>
          <w:rFonts w:hint="eastAsia" w:ascii="宋体" w:hAnsi="宋体" w:eastAsia="宋体" w:cs="宋体"/>
          <w:b w:val="0"/>
          <w:bCs w:val="0"/>
          <w:color w:val="auto"/>
          <w:kern w:val="2"/>
          <w:sz w:val="28"/>
          <w:szCs w:val="28"/>
          <w:highlight w:val="none"/>
          <w:u w:val="none" w:color="auto"/>
          <w:lang w:eastAsia="zh-CN"/>
        </w:rPr>
        <w:t>）</w:t>
      </w:r>
    </w:p>
    <w:p w14:paraId="364EE114">
      <w:pPr>
        <w:pStyle w:val="2"/>
        <w:keepNext w:val="0"/>
        <w:keepLines w:val="0"/>
        <w:pageBreakBefore w:val="0"/>
        <w:widowControl w:val="0"/>
        <w:tabs>
          <w:tab w:val="left" w:leader="dot" w:pos="7980"/>
        </w:tabs>
        <w:kinsoku/>
        <w:wordWrap/>
        <w:overflowPunct/>
        <w:topLinePunct w:val="0"/>
        <w:autoSpaceDE/>
        <w:autoSpaceDN/>
        <w:bidi w:val="0"/>
        <w:adjustRightInd/>
        <w:snapToGrid/>
        <w:spacing w:after="0" w:line="620" w:lineRule="exact"/>
        <w:jc w:val="both"/>
        <w:textAlignment w:val="auto"/>
        <w:rPr>
          <w:rFonts w:hint="eastAsia" w:ascii="方正黑体_GBK" w:hAnsi="方正黑体_GBK" w:eastAsia="方正黑体_GBK" w:cs="方正黑体_GBK"/>
          <w:b w:val="0"/>
          <w:bCs w:val="0"/>
          <w:color w:val="auto"/>
          <w:kern w:val="2"/>
          <w:sz w:val="32"/>
          <w:szCs w:val="32"/>
          <w:highlight w:val="none"/>
          <w:u w:val="none" w:color="auto"/>
          <w:lang w:eastAsia="zh-CN"/>
        </w:rPr>
      </w:pPr>
      <w:r>
        <w:rPr>
          <w:rFonts w:hint="eastAsia" w:ascii="方正黑体_GBK" w:hAnsi="方正黑体_GBK" w:eastAsia="方正黑体_GBK" w:cs="方正黑体_GBK"/>
          <w:b w:val="0"/>
          <w:bCs w:val="0"/>
          <w:color w:val="auto"/>
          <w:kern w:val="2"/>
          <w:sz w:val="32"/>
          <w:szCs w:val="32"/>
          <w:highlight w:val="none"/>
          <w:u w:val="none" w:color="auto"/>
        </w:rPr>
        <w:t>第八章  优化区域功能布局 建设宜居韧性智慧城市</w:t>
      </w:r>
      <w:r>
        <w:rPr>
          <w:rFonts w:hint="eastAsia" w:ascii="方正黑体_GBK" w:hAnsi="方正黑体_GBK" w:eastAsia="方正黑体_GBK" w:cs="方正黑体_GBK"/>
          <w:b w:val="0"/>
          <w:bCs w:val="0"/>
          <w:color w:val="auto"/>
          <w:kern w:val="2"/>
          <w:sz w:val="32"/>
          <w:szCs w:val="32"/>
          <w:highlight w:val="none"/>
          <w:u w:val="none" w:color="auto"/>
        </w:rPr>
        <w:tab/>
      </w:r>
      <w:r>
        <w:rPr>
          <w:rFonts w:hint="eastAsia" w:ascii="方正黑体_GBK" w:hAnsi="方正黑体_GBK" w:eastAsia="方正黑体_GBK" w:cs="方正黑体_GBK"/>
          <w:b w:val="0"/>
          <w:bCs w:val="0"/>
          <w:color w:val="auto"/>
          <w:kern w:val="2"/>
          <w:sz w:val="32"/>
          <w:szCs w:val="32"/>
          <w:highlight w:val="none"/>
          <w:u w:val="none" w:color="auto"/>
          <w:lang w:eastAsia="zh-CN"/>
        </w:rPr>
        <w:t>（</w:t>
      </w:r>
      <w:r>
        <w:rPr>
          <w:rFonts w:hint="default" w:ascii="方正黑体_GBK" w:hAnsi="方正黑体_GBK" w:eastAsia="方正黑体_GBK" w:cs="方正黑体_GBK"/>
          <w:b w:val="0"/>
          <w:bCs w:val="0"/>
          <w:color w:val="auto"/>
          <w:kern w:val="2"/>
          <w:sz w:val="32"/>
          <w:szCs w:val="32"/>
          <w:highlight w:val="none"/>
          <w:u w:val="none" w:color="auto"/>
          <w:lang w:val="en-US" w:eastAsia="zh-CN"/>
        </w:rPr>
        <w:t>55</w:t>
      </w:r>
      <w:r>
        <w:rPr>
          <w:rFonts w:hint="eastAsia" w:ascii="方正黑体_GBK" w:hAnsi="方正黑体_GBK" w:eastAsia="方正黑体_GBK" w:cs="方正黑体_GBK"/>
          <w:b w:val="0"/>
          <w:bCs w:val="0"/>
          <w:color w:val="auto"/>
          <w:kern w:val="2"/>
          <w:sz w:val="32"/>
          <w:szCs w:val="32"/>
          <w:highlight w:val="none"/>
          <w:u w:val="none" w:color="auto"/>
          <w:lang w:eastAsia="zh-CN"/>
        </w:rPr>
        <w:t>）</w:t>
      </w:r>
    </w:p>
    <w:p w14:paraId="230A547F">
      <w:pPr>
        <w:pStyle w:val="2"/>
        <w:keepNext w:val="0"/>
        <w:keepLines w:val="0"/>
        <w:pageBreakBefore w:val="0"/>
        <w:widowControl w:val="0"/>
        <w:tabs>
          <w:tab w:val="left" w:leader="dot" w:pos="7980"/>
        </w:tabs>
        <w:kinsoku/>
        <w:wordWrap/>
        <w:overflowPunct/>
        <w:topLinePunct w:val="0"/>
        <w:autoSpaceDE/>
        <w:autoSpaceDN/>
        <w:bidi w:val="0"/>
        <w:adjustRightInd/>
        <w:snapToGrid/>
        <w:spacing w:after="0" w:line="620" w:lineRule="exact"/>
        <w:ind w:firstLine="640" w:firstLineChars="200"/>
        <w:jc w:val="both"/>
        <w:textAlignment w:val="auto"/>
        <w:rPr>
          <w:rFonts w:hint="eastAsia" w:ascii="方正楷体_GBK" w:hAnsi="方正楷体_GBK" w:eastAsia="方正楷体_GBK" w:cs="方正楷体_GBK"/>
          <w:b w:val="0"/>
          <w:bCs w:val="0"/>
          <w:color w:val="auto"/>
          <w:kern w:val="2"/>
          <w:sz w:val="32"/>
          <w:szCs w:val="32"/>
          <w:highlight w:val="none"/>
          <w:u w:val="none" w:color="auto"/>
        </w:rPr>
      </w:pPr>
      <w:r>
        <w:rPr>
          <w:rFonts w:hint="eastAsia" w:ascii="方正楷体_GBK" w:hAnsi="方正楷体_GBK" w:eastAsia="方正楷体_GBK" w:cs="方正楷体_GBK"/>
          <w:b w:val="0"/>
          <w:bCs w:val="0"/>
          <w:color w:val="auto"/>
          <w:kern w:val="2"/>
          <w:sz w:val="32"/>
          <w:szCs w:val="32"/>
          <w:highlight w:val="none"/>
          <w:u w:val="none" w:color="auto"/>
        </w:rPr>
        <w:t>第一节  优化国土空间发展格局</w:t>
      </w:r>
      <w:r>
        <w:rPr>
          <w:rFonts w:hint="eastAsia" w:ascii="方正楷体_GBK" w:hAnsi="方正楷体_GBK" w:eastAsia="方正楷体_GBK" w:cs="方正楷体_GBK"/>
          <w:b w:val="0"/>
          <w:bCs w:val="0"/>
          <w:color w:val="auto"/>
          <w:kern w:val="2"/>
          <w:sz w:val="32"/>
          <w:szCs w:val="32"/>
          <w:highlight w:val="none"/>
          <w:u w:val="none" w:color="auto"/>
        </w:rPr>
        <w:tab/>
      </w:r>
      <w:r>
        <w:rPr>
          <w:rFonts w:hint="eastAsia" w:ascii="宋体" w:hAnsi="宋体" w:eastAsia="宋体" w:cs="宋体"/>
          <w:b w:val="0"/>
          <w:bCs w:val="0"/>
          <w:color w:val="auto"/>
          <w:kern w:val="2"/>
          <w:sz w:val="28"/>
          <w:szCs w:val="28"/>
          <w:highlight w:val="none"/>
          <w:u w:val="none" w:color="auto"/>
          <w:lang w:eastAsia="zh-CN"/>
        </w:rPr>
        <w:t>（</w:t>
      </w:r>
      <w:r>
        <w:rPr>
          <w:rFonts w:hint="default" w:ascii="宋体" w:hAnsi="宋体" w:eastAsia="宋体" w:cs="宋体"/>
          <w:b w:val="0"/>
          <w:bCs w:val="0"/>
          <w:color w:val="auto"/>
          <w:kern w:val="2"/>
          <w:sz w:val="28"/>
          <w:szCs w:val="28"/>
          <w:highlight w:val="none"/>
          <w:u w:val="none" w:color="auto"/>
          <w:lang w:val="en-US" w:eastAsia="zh-CN"/>
        </w:rPr>
        <w:t>55</w:t>
      </w:r>
      <w:r>
        <w:rPr>
          <w:rFonts w:hint="eastAsia" w:ascii="宋体" w:hAnsi="宋体" w:eastAsia="宋体" w:cs="宋体"/>
          <w:b w:val="0"/>
          <w:bCs w:val="0"/>
          <w:color w:val="auto"/>
          <w:kern w:val="2"/>
          <w:sz w:val="28"/>
          <w:szCs w:val="28"/>
          <w:highlight w:val="none"/>
          <w:u w:val="none" w:color="auto"/>
          <w:lang w:eastAsia="zh-CN"/>
        </w:rPr>
        <w:t>）</w:t>
      </w:r>
    </w:p>
    <w:p w14:paraId="7B1A7563">
      <w:pPr>
        <w:pStyle w:val="2"/>
        <w:keepNext w:val="0"/>
        <w:keepLines w:val="0"/>
        <w:pageBreakBefore w:val="0"/>
        <w:widowControl w:val="0"/>
        <w:tabs>
          <w:tab w:val="left" w:leader="dot" w:pos="7980"/>
        </w:tabs>
        <w:kinsoku/>
        <w:wordWrap/>
        <w:overflowPunct/>
        <w:topLinePunct w:val="0"/>
        <w:autoSpaceDE/>
        <w:autoSpaceDN/>
        <w:bidi w:val="0"/>
        <w:adjustRightInd/>
        <w:snapToGrid/>
        <w:spacing w:after="0" w:line="620" w:lineRule="exact"/>
        <w:ind w:firstLine="640" w:firstLineChars="200"/>
        <w:jc w:val="both"/>
        <w:textAlignment w:val="auto"/>
        <w:rPr>
          <w:rFonts w:hint="eastAsia" w:ascii="方正楷体_GBK" w:hAnsi="方正楷体_GBK" w:eastAsia="方正楷体_GBK" w:cs="方正楷体_GBK"/>
          <w:b w:val="0"/>
          <w:bCs w:val="0"/>
          <w:color w:val="auto"/>
          <w:kern w:val="2"/>
          <w:sz w:val="32"/>
          <w:szCs w:val="32"/>
          <w:highlight w:val="none"/>
          <w:u w:val="none" w:color="auto"/>
        </w:rPr>
      </w:pPr>
      <w:r>
        <w:rPr>
          <w:rFonts w:hint="eastAsia" w:ascii="方正楷体_GBK" w:hAnsi="方正楷体_GBK" w:eastAsia="方正楷体_GBK" w:cs="方正楷体_GBK"/>
          <w:b w:val="0"/>
          <w:bCs w:val="0"/>
          <w:color w:val="auto"/>
          <w:kern w:val="2"/>
          <w:sz w:val="32"/>
          <w:szCs w:val="32"/>
          <w:highlight w:val="none"/>
          <w:u w:val="none" w:color="auto"/>
        </w:rPr>
        <w:t>第二节  持续提升城市承载能力</w:t>
      </w:r>
      <w:r>
        <w:rPr>
          <w:rFonts w:hint="eastAsia" w:ascii="方正楷体_GBK" w:hAnsi="方正楷体_GBK" w:eastAsia="方正楷体_GBK" w:cs="方正楷体_GBK"/>
          <w:b w:val="0"/>
          <w:bCs w:val="0"/>
          <w:color w:val="auto"/>
          <w:kern w:val="2"/>
          <w:sz w:val="32"/>
          <w:szCs w:val="32"/>
          <w:highlight w:val="none"/>
          <w:u w:val="none" w:color="auto"/>
        </w:rPr>
        <w:tab/>
      </w:r>
      <w:r>
        <w:rPr>
          <w:rFonts w:hint="eastAsia" w:ascii="宋体" w:hAnsi="宋体" w:eastAsia="宋体" w:cs="宋体"/>
          <w:b w:val="0"/>
          <w:bCs w:val="0"/>
          <w:color w:val="auto"/>
          <w:kern w:val="2"/>
          <w:sz w:val="28"/>
          <w:szCs w:val="28"/>
          <w:highlight w:val="none"/>
          <w:u w:val="none" w:color="auto"/>
          <w:lang w:eastAsia="zh-CN"/>
        </w:rPr>
        <w:t>（</w:t>
      </w:r>
      <w:r>
        <w:rPr>
          <w:rFonts w:hint="default" w:ascii="宋体" w:hAnsi="宋体" w:eastAsia="宋体" w:cs="宋体"/>
          <w:b w:val="0"/>
          <w:bCs w:val="0"/>
          <w:color w:val="auto"/>
          <w:kern w:val="2"/>
          <w:sz w:val="28"/>
          <w:szCs w:val="28"/>
          <w:highlight w:val="none"/>
          <w:u w:val="none" w:color="auto"/>
          <w:lang w:val="en-US" w:eastAsia="zh-CN"/>
        </w:rPr>
        <w:t>56</w:t>
      </w:r>
      <w:r>
        <w:rPr>
          <w:rFonts w:hint="eastAsia" w:ascii="宋体" w:hAnsi="宋体" w:eastAsia="宋体" w:cs="宋体"/>
          <w:b w:val="0"/>
          <w:bCs w:val="0"/>
          <w:color w:val="auto"/>
          <w:kern w:val="2"/>
          <w:sz w:val="28"/>
          <w:szCs w:val="28"/>
          <w:highlight w:val="none"/>
          <w:u w:val="none" w:color="auto"/>
          <w:lang w:eastAsia="zh-CN"/>
        </w:rPr>
        <w:t>）</w:t>
      </w:r>
    </w:p>
    <w:p w14:paraId="5706BBB9">
      <w:pPr>
        <w:pStyle w:val="2"/>
        <w:keepNext w:val="0"/>
        <w:keepLines w:val="0"/>
        <w:pageBreakBefore w:val="0"/>
        <w:widowControl w:val="0"/>
        <w:tabs>
          <w:tab w:val="left" w:leader="dot" w:pos="7980"/>
        </w:tabs>
        <w:kinsoku/>
        <w:wordWrap/>
        <w:overflowPunct/>
        <w:topLinePunct w:val="0"/>
        <w:autoSpaceDE/>
        <w:autoSpaceDN/>
        <w:bidi w:val="0"/>
        <w:adjustRightInd/>
        <w:snapToGrid/>
        <w:spacing w:after="0" w:line="620" w:lineRule="exact"/>
        <w:ind w:firstLine="640" w:firstLineChars="200"/>
        <w:jc w:val="both"/>
        <w:textAlignment w:val="auto"/>
        <w:rPr>
          <w:rFonts w:hint="eastAsia" w:ascii="方正楷体_GBK" w:hAnsi="方正楷体_GBK" w:eastAsia="方正楷体_GBK" w:cs="方正楷体_GBK"/>
          <w:b w:val="0"/>
          <w:bCs w:val="0"/>
          <w:color w:val="auto"/>
          <w:kern w:val="2"/>
          <w:sz w:val="32"/>
          <w:szCs w:val="32"/>
          <w:highlight w:val="none"/>
          <w:u w:val="none" w:color="auto"/>
        </w:rPr>
      </w:pPr>
      <w:r>
        <w:rPr>
          <w:rFonts w:hint="eastAsia" w:ascii="方正楷体_GBK" w:hAnsi="方正楷体_GBK" w:eastAsia="方正楷体_GBK" w:cs="方正楷体_GBK"/>
          <w:b w:val="0"/>
          <w:bCs w:val="0"/>
          <w:color w:val="auto"/>
          <w:kern w:val="2"/>
          <w:sz w:val="32"/>
          <w:szCs w:val="32"/>
          <w:highlight w:val="none"/>
          <w:u w:val="none" w:color="auto"/>
        </w:rPr>
        <w:t>第三节  推进城市全域数字化转型</w:t>
      </w:r>
      <w:r>
        <w:rPr>
          <w:rFonts w:hint="eastAsia" w:ascii="方正楷体_GBK" w:hAnsi="方正楷体_GBK" w:eastAsia="方正楷体_GBK" w:cs="方正楷体_GBK"/>
          <w:b w:val="0"/>
          <w:bCs w:val="0"/>
          <w:color w:val="auto"/>
          <w:kern w:val="2"/>
          <w:sz w:val="32"/>
          <w:szCs w:val="32"/>
          <w:highlight w:val="none"/>
          <w:u w:val="none" w:color="auto"/>
        </w:rPr>
        <w:tab/>
      </w:r>
      <w:r>
        <w:rPr>
          <w:rFonts w:hint="eastAsia" w:ascii="宋体" w:hAnsi="宋体" w:eastAsia="宋体" w:cs="宋体"/>
          <w:b w:val="0"/>
          <w:bCs w:val="0"/>
          <w:color w:val="auto"/>
          <w:kern w:val="2"/>
          <w:sz w:val="28"/>
          <w:szCs w:val="28"/>
          <w:highlight w:val="none"/>
          <w:u w:val="none" w:color="auto"/>
          <w:lang w:eastAsia="zh-CN"/>
        </w:rPr>
        <w:t>（</w:t>
      </w:r>
      <w:r>
        <w:rPr>
          <w:rFonts w:hint="default" w:ascii="宋体" w:hAnsi="宋体" w:eastAsia="宋体" w:cs="宋体"/>
          <w:b w:val="0"/>
          <w:bCs w:val="0"/>
          <w:color w:val="auto"/>
          <w:kern w:val="2"/>
          <w:sz w:val="28"/>
          <w:szCs w:val="28"/>
          <w:highlight w:val="none"/>
          <w:u w:val="none" w:color="auto"/>
          <w:lang w:val="en-US" w:eastAsia="zh-CN"/>
        </w:rPr>
        <w:t>59</w:t>
      </w:r>
      <w:r>
        <w:rPr>
          <w:rFonts w:hint="eastAsia" w:ascii="宋体" w:hAnsi="宋体" w:eastAsia="宋体" w:cs="宋体"/>
          <w:b w:val="0"/>
          <w:bCs w:val="0"/>
          <w:color w:val="auto"/>
          <w:kern w:val="2"/>
          <w:sz w:val="28"/>
          <w:szCs w:val="28"/>
          <w:highlight w:val="none"/>
          <w:u w:val="none" w:color="auto"/>
          <w:lang w:eastAsia="zh-CN"/>
        </w:rPr>
        <w:t>）</w:t>
      </w:r>
    </w:p>
    <w:p w14:paraId="0790BA5F">
      <w:pPr>
        <w:pStyle w:val="2"/>
        <w:keepNext w:val="0"/>
        <w:keepLines w:val="0"/>
        <w:pageBreakBefore w:val="0"/>
        <w:widowControl w:val="0"/>
        <w:tabs>
          <w:tab w:val="left" w:leader="dot" w:pos="7980"/>
        </w:tabs>
        <w:kinsoku/>
        <w:wordWrap/>
        <w:overflowPunct/>
        <w:topLinePunct w:val="0"/>
        <w:autoSpaceDE/>
        <w:autoSpaceDN/>
        <w:bidi w:val="0"/>
        <w:adjustRightInd/>
        <w:snapToGrid/>
        <w:spacing w:after="0" w:line="620" w:lineRule="exact"/>
        <w:ind w:firstLine="640" w:firstLineChars="200"/>
        <w:jc w:val="both"/>
        <w:textAlignment w:val="auto"/>
        <w:rPr>
          <w:rFonts w:hint="eastAsia" w:ascii="方正楷体_GBK" w:hAnsi="方正楷体_GBK" w:eastAsia="方正楷体_GBK" w:cs="方正楷体_GBK"/>
          <w:b w:val="0"/>
          <w:bCs w:val="0"/>
          <w:color w:val="auto"/>
          <w:kern w:val="2"/>
          <w:sz w:val="32"/>
          <w:szCs w:val="32"/>
          <w:highlight w:val="none"/>
          <w:u w:val="none" w:color="auto"/>
        </w:rPr>
      </w:pPr>
      <w:r>
        <w:rPr>
          <w:rFonts w:hint="eastAsia" w:ascii="方正楷体_GBK" w:hAnsi="方正楷体_GBK" w:eastAsia="方正楷体_GBK" w:cs="方正楷体_GBK"/>
          <w:b w:val="0"/>
          <w:bCs w:val="0"/>
          <w:color w:val="auto"/>
          <w:kern w:val="2"/>
          <w:sz w:val="32"/>
          <w:szCs w:val="32"/>
          <w:highlight w:val="none"/>
          <w:u w:val="none" w:color="auto"/>
        </w:rPr>
        <w:t>第四节  加快推动以人为本新型城镇化</w:t>
      </w:r>
      <w:r>
        <w:rPr>
          <w:rFonts w:hint="eastAsia" w:ascii="方正楷体_GBK" w:hAnsi="方正楷体_GBK" w:eastAsia="方正楷体_GBK" w:cs="方正楷体_GBK"/>
          <w:b w:val="0"/>
          <w:bCs w:val="0"/>
          <w:color w:val="auto"/>
          <w:kern w:val="2"/>
          <w:sz w:val="32"/>
          <w:szCs w:val="32"/>
          <w:highlight w:val="none"/>
          <w:u w:val="none" w:color="auto"/>
        </w:rPr>
        <w:tab/>
      </w:r>
      <w:r>
        <w:rPr>
          <w:rFonts w:hint="eastAsia" w:ascii="宋体" w:hAnsi="宋体" w:eastAsia="宋体" w:cs="宋体"/>
          <w:b w:val="0"/>
          <w:bCs w:val="0"/>
          <w:color w:val="auto"/>
          <w:kern w:val="2"/>
          <w:sz w:val="28"/>
          <w:szCs w:val="28"/>
          <w:highlight w:val="none"/>
          <w:u w:val="none" w:color="auto"/>
          <w:lang w:eastAsia="zh-CN"/>
        </w:rPr>
        <w:t>（</w:t>
      </w:r>
      <w:r>
        <w:rPr>
          <w:rFonts w:hint="default" w:ascii="宋体" w:hAnsi="宋体" w:eastAsia="宋体" w:cs="宋体"/>
          <w:b w:val="0"/>
          <w:bCs w:val="0"/>
          <w:color w:val="auto"/>
          <w:kern w:val="2"/>
          <w:sz w:val="28"/>
          <w:szCs w:val="28"/>
          <w:highlight w:val="none"/>
          <w:u w:val="none" w:color="auto"/>
          <w:lang w:val="en-US" w:eastAsia="zh-CN"/>
        </w:rPr>
        <w:t>60</w:t>
      </w:r>
      <w:r>
        <w:rPr>
          <w:rFonts w:hint="eastAsia" w:ascii="宋体" w:hAnsi="宋体" w:eastAsia="宋体" w:cs="宋体"/>
          <w:b w:val="0"/>
          <w:bCs w:val="0"/>
          <w:color w:val="auto"/>
          <w:kern w:val="2"/>
          <w:sz w:val="28"/>
          <w:szCs w:val="28"/>
          <w:highlight w:val="none"/>
          <w:u w:val="none" w:color="auto"/>
          <w:lang w:eastAsia="zh-CN"/>
        </w:rPr>
        <w:t>）</w:t>
      </w:r>
    </w:p>
    <w:p w14:paraId="5D41DE5F">
      <w:pPr>
        <w:pStyle w:val="2"/>
        <w:keepNext w:val="0"/>
        <w:keepLines w:val="0"/>
        <w:pageBreakBefore w:val="0"/>
        <w:widowControl w:val="0"/>
        <w:tabs>
          <w:tab w:val="left" w:leader="dot" w:pos="7980"/>
        </w:tabs>
        <w:kinsoku/>
        <w:wordWrap/>
        <w:overflowPunct/>
        <w:topLinePunct w:val="0"/>
        <w:autoSpaceDE/>
        <w:autoSpaceDN/>
        <w:bidi w:val="0"/>
        <w:adjustRightInd/>
        <w:snapToGrid/>
        <w:spacing w:after="0" w:line="620" w:lineRule="exact"/>
        <w:jc w:val="both"/>
        <w:textAlignment w:val="auto"/>
        <w:rPr>
          <w:rFonts w:hint="eastAsia" w:ascii="方正黑体_GBK" w:hAnsi="方正黑体_GBK" w:eastAsia="方正黑体_GBK" w:cs="方正黑体_GBK"/>
          <w:b w:val="0"/>
          <w:bCs w:val="0"/>
          <w:color w:val="auto"/>
          <w:kern w:val="2"/>
          <w:sz w:val="32"/>
          <w:szCs w:val="32"/>
          <w:highlight w:val="none"/>
          <w:u w:val="none" w:color="auto"/>
          <w:lang w:eastAsia="zh-CN"/>
        </w:rPr>
      </w:pPr>
      <w:r>
        <w:rPr>
          <w:rFonts w:hint="eastAsia" w:ascii="方正黑体_GBK" w:hAnsi="方正黑体_GBK" w:eastAsia="方正黑体_GBK" w:cs="方正黑体_GBK"/>
          <w:b w:val="0"/>
          <w:bCs w:val="0"/>
          <w:color w:val="auto"/>
          <w:kern w:val="2"/>
          <w:sz w:val="32"/>
          <w:szCs w:val="32"/>
          <w:highlight w:val="none"/>
          <w:u w:val="none" w:color="auto"/>
        </w:rPr>
        <w:t>第九章  激发文化创新创造活力 实现文体旅深度融合发展</w:t>
      </w:r>
      <w:r>
        <w:rPr>
          <w:rFonts w:hint="eastAsia" w:ascii="方正黑体_GBK" w:hAnsi="方正黑体_GBK" w:eastAsia="方正黑体_GBK" w:cs="方正黑体_GBK"/>
          <w:b w:val="0"/>
          <w:bCs w:val="0"/>
          <w:color w:val="auto"/>
          <w:kern w:val="2"/>
          <w:sz w:val="32"/>
          <w:szCs w:val="32"/>
          <w:highlight w:val="none"/>
          <w:u w:val="none" w:color="auto"/>
          <w:lang w:eastAsia="zh-CN"/>
        </w:rPr>
        <w:t>（</w:t>
      </w:r>
      <w:r>
        <w:rPr>
          <w:rFonts w:hint="default" w:ascii="方正黑体_GBK" w:hAnsi="方正黑体_GBK" w:eastAsia="方正黑体_GBK" w:cs="方正黑体_GBK"/>
          <w:b w:val="0"/>
          <w:bCs w:val="0"/>
          <w:color w:val="auto"/>
          <w:kern w:val="2"/>
          <w:sz w:val="32"/>
          <w:szCs w:val="32"/>
          <w:highlight w:val="none"/>
          <w:u w:val="none" w:color="auto"/>
          <w:lang w:val="en-US" w:eastAsia="zh-CN"/>
        </w:rPr>
        <w:t>62</w:t>
      </w:r>
      <w:r>
        <w:rPr>
          <w:rFonts w:hint="eastAsia" w:ascii="方正黑体_GBK" w:hAnsi="方正黑体_GBK" w:eastAsia="方正黑体_GBK" w:cs="方正黑体_GBK"/>
          <w:b w:val="0"/>
          <w:bCs w:val="0"/>
          <w:color w:val="auto"/>
          <w:kern w:val="2"/>
          <w:sz w:val="32"/>
          <w:szCs w:val="32"/>
          <w:highlight w:val="none"/>
          <w:u w:val="none" w:color="auto"/>
          <w:lang w:eastAsia="zh-CN"/>
        </w:rPr>
        <w:t>）</w:t>
      </w:r>
    </w:p>
    <w:p w14:paraId="06BB3BDE">
      <w:pPr>
        <w:pStyle w:val="2"/>
        <w:keepNext w:val="0"/>
        <w:keepLines w:val="0"/>
        <w:pageBreakBefore w:val="0"/>
        <w:widowControl w:val="0"/>
        <w:tabs>
          <w:tab w:val="left" w:leader="dot" w:pos="7980"/>
        </w:tabs>
        <w:kinsoku/>
        <w:wordWrap/>
        <w:overflowPunct/>
        <w:topLinePunct w:val="0"/>
        <w:autoSpaceDE/>
        <w:autoSpaceDN/>
        <w:bidi w:val="0"/>
        <w:adjustRightInd/>
        <w:snapToGrid/>
        <w:spacing w:after="0" w:line="620" w:lineRule="exact"/>
        <w:ind w:firstLine="640" w:firstLineChars="200"/>
        <w:jc w:val="both"/>
        <w:textAlignment w:val="auto"/>
        <w:rPr>
          <w:rFonts w:hint="eastAsia" w:ascii="方正楷体_GBK" w:hAnsi="方正楷体_GBK" w:eastAsia="方正楷体_GBK" w:cs="方正楷体_GBK"/>
          <w:b w:val="0"/>
          <w:bCs w:val="0"/>
          <w:color w:val="auto"/>
          <w:kern w:val="2"/>
          <w:sz w:val="32"/>
          <w:szCs w:val="32"/>
          <w:highlight w:val="none"/>
          <w:u w:val="none" w:color="auto"/>
        </w:rPr>
      </w:pPr>
      <w:r>
        <w:rPr>
          <w:rFonts w:hint="eastAsia" w:ascii="方正楷体_GBK" w:hAnsi="方正楷体_GBK" w:eastAsia="方正楷体_GBK" w:cs="方正楷体_GBK"/>
          <w:b w:val="0"/>
          <w:bCs w:val="0"/>
          <w:color w:val="auto"/>
          <w:kern w:val="2"/>
          <w:sz w:val="32"/>
          <w:szCs w:val="32"/>
          <w:highlight w:val="none"/>
          <w:u w:val="none" w:color="auto"/>
        </w:rPr>
        <w:t>第一节  弘扬和践行社会主义核心价值观</w:t>
      </w:r>
      <w:r>
        <w:rPr>
          <w:rFonts w:hint="eastAsia" w:ascii="方正楷体_GBK" w:hAnsi="方正楷体_GBK" w:eastAsia="方正楷体_GBK" w:cs="方正楷体_GBK"/>
          <w:b w:val="0"/>
          <w:bCs w:val="0"/>
          <w:color w:val="auto"/>
          <w:kern w:val="2"/>
          <w:sz w:val="32"/>
          <w:szCs w:val="32"/>
          <w:highlight w:val="none"/>
          <w:u w:val="none" w:color="auto"/>
        </w:rPr>
        <w:tab/>
      </w:r>
      <w:r>
        <w:rPr>
          <w:rFonts w:hint="eastAsia" w:ascii="宋体" w:hAnsi="宋体" w:eastAsia="宋体" w:cs="宋体"/>
          <w:b w:val="0"/>
          <w:bCs w:val="0"/>
          <w:color w:val="auto"/>
          <w:kern w:val="2"/>
          <w:sz w:val="28"/>
          <w:szCs w:val="28"/>
          <w:highlight w:val="none"/>
          <w:u w:val="none" w:color="auto"/>
          <w:lang w:eastAsia="zh-CN"/>
        </w:rPr>
        <w:t>（</w:t>
      </w:r>
      <w:r>
        <w:rPr>
          <w:rFonts w:hint="default" w:ascii="宋体" w:hAnsi="宋体" w:eastAsia="宋体" w:cs="宋体"/>
          <w:b w:val="0"/>
          <w:bCs w:val="0"/>
          <w:color w:val="auto"/>
          <w:kern w:val="2"/>
          <w:sz w:val="28"/>
          <w:szCs w:val="28"/>
          <w:highlight w:val="none"/>
          <w:u w:val="none" w:color="auto"/>
          <w:lang w:val="en-US" w:eastAsia="zh-CN"/>
        </w:rPr>
        <w:t>62</w:t>
      </w:r>
      <w:r>
        <w:rPr>
          <w:rFonts w:hint="eastAsia" w:ascii="宋体" w:hAnsi="宋体" w:eastAsia="宋体" w:cs="宋体"/>
          <w:b w:val="0"/>
          <w:bCs w:val="0"/>
          <w:color w:val="auto"/>
          <w:kern w:val="2"/>
          <w:sz w:val="28"/>
          <w:szCs w:val="28"/>
          <w:highlight w:val="none"/>
          <w:u w:val="none" w:color="auto"/>
          <w:lang w:eastAsia="zh-CN"/>
        </w:rPr>
        <w:t>）</w:t>
      </w:r>
    </w:p>
    <w:p w14:paraId="34A45112">
      <w:pPr>
        <w:pStyle w:val="2"/>
        <w:keepNext w:val="0"/>
        <w:keepLines w:val="0"/>
        <w:pageBreakBefore w:val="0"/>
        <w:widowControl w:val="0"/>
        <w:tabs>
          <w:tab w:val="left" w:leader="dot" w:pos="7980"/>
        </w:tabs>
        <w:kinsoku/>
        <w:wordWrap/>
        <w:overflowPunct/>
        <w:topLinePunct w:val="0"/>
        <w:autoSpaceDE/>
        <w:autoSpaceDN/>
        <w:bidi w:val="0"/>
        <w:adjustRightInd/>
        <w:snapToGrid/>
        <w:spacing w:after="0" w:line="620" w:lineRule="exact"/>
        <w:ind w:firstLine="640" w:firstLineChars="200"/>
        <w:jc w:val="both"/>
        <w:textAlignment w:val="auto"/>
        <w:rPr>
          <w:rFonts w:hint="eastAsia" w:ascii="方正楷体_GBK" w:hAnsi="方正楷体_GBK" w:eastAsia="方正楷体_GBK" w:cs="方正楷体_GBK"/>
          <w:b w:val="0"/>
          <w:bCs w:val="0"/>
          <w:color w:val="auto"/>
          <w:kern w:val="2"/>
          <w:sz w:val="32"/>
          <w:szCs w:val="32"/>
          <w:highlight w:val="none"/>
          <w:u w:val="none" w:color="auto"/>
        </w:rPr>
      </w:pPr>
      <w:r>
        <w:rPr>
          <w:rFonts w:hint="eastAsia" w:ascii="方正楷体_GBK" w:hAnsi="方正楷体_GBK" w:eastAsia="方正楷体_GBK" w:cs="方正楷体_GBK"/>
          <w:b w:val="0"/>
          <w:bCs w:val="0"/>
          <w:color w:val="auto"/>
          <w:kern w:val="2"/>
          <w:sz w:val="32"/>
          <w:szCs w:val="32"/>
          <w:highlight w:val="none"/>
          <w:u w:val="none" w:color="auto"/>
        </w:rPr>
        <w:t>第二节  加强历史文化保护传承利用</w:t>
      </w:r>
      <w:r>
        <w:rPr>
          <w:rFonts w:hint="eastAsia" w:ascii="方正楷体_GBK" w:hAnsi="方正楷体_GBK" w:eastAsia="方正楷体_GBK" w:cs="方正楷体_GBK"/>
          <w:b w:val="0"/>
          <w:bCs w:val="0"/>
          <w:color w:val="auto"/>
          <w:kern w:val="2"/>
          <w:sz w:val="32"/>
          <w:szCs w:val="32"/>
          <w:highlight w:val="none"/>
          <w:u w:val="none" w:color="auto"/>
        </w:rPr>
        <w:tab/>
      </w:r>
      <w:r>
        <w:rPr>
          <w:rFonts w:hint="eastAsia" w:ascii="宋体" w:hAnsi="宋体" w:eastAsia="宋体" w:cs="宋体"/>
          <w:b w:val="0"/>
          <w:bCs w:val="0"/>
          <w:color w:val="auto"/>
          <w:kern w:val="2"/>
          <w:sz w:val="28"/>
          <w:szCs w:val="28"/>
          <w:highlight w:val="none"/>
          <w:u w:val="none" w:color="auto"/>
          <w:lang w:eastAsia="zh-CN"/>
        </w:rPr>
        <w:t>（</w:t>
      </w:r>
      <w:r>
        <w:rPr>
          <w:rFonts w:hint="default" w:ascii="宋体" w:hAnsi="宋体" w:eastAsia="宋体" w:cs="宋体"/>
          <w:b w:val="0"/>
          <w:bCs w:val="0"/>
          <w:color w:val="auto"/>
          <w:kern w:val="2"/>
          <w:sz w:val="28"/>
          <w:szCs w:val="28"/>
          <w:highlight w:val="none"/>
          <w:u w:val="none" w:color="auto"/>
          <w:lang w:val="en-US" w:eastAsia="zh-CN"/>
        </w:rPr>
        <w:t>63</w:t>
      </w:r>
      <w:r>
        <w:rPr>
          <w:rFonts w:hint="eastAsia" w:ascii="宋体" w:hAnsi="宋体" w:eastAsia="宋体" w:cs="宋体"/>
          <w:b w:val="0"/>
          <w:bCs w:val="0"/>
          <w:color w:val="auto"/>
          <w:kern w:val="2"/>
          <w:sz w:val="28"/>
          <w:szCs w:val="28"/>
          <w:highlight w:val="none"/>
          <w:u w:val="none" w:color="auto"/>
          <w:lang w:eastAsia="zh-CN"/>
        </w:rPr>
        <w:t>）</w:t>
      </w:r>
    </w:p>
    <w:p w14:paraId="0711EA96">
      <w:pPr>
        <w:pStyle w:val="2"/>
        <w:keepNext w:val="0"/>
        <w:keepLines w:val="0"/>
        <w:pageBreakBefore w:val="0"/>
        <w:widowControl w:val="0"/>
        <w:tabs>
          <w:tab w:val="left" w:leader="dot" w:pos="7980"/>
        </w:tabs>
        <w:kinsoku/>
        <w:wordWrap/>
        <w:overflowPunct/>
        <w:topLinePunct w:val="0"/>
        <w:autoSpaceDE/>
        <w:autoSpaceDN/>
        <w:bidi w:val="0"/>
        <w:adjustRightInd/>
        <w:snapToGrid/>
        <w:spacing w:after="0" w:line="620" w:lineRule="exact"/>
        <w:ind w:firstLine="640" w:firstLineChars="200"/>
        <w:jc w:val="both"/>
        <w:textAlignment w:val="auto"/>
        <w:rPr>
          <w:rFonts w:hint="eastAsia" w:ascii="方正楷体_GBK" w:hAnsi="方正楷体_GBK" w:eastAsia="方正楷体_GBK" w:cs="方正楷体_GBK"/>
          <w:b w:val="0"/>
          <w:bCs w:val="0"/>
          <w:color w:val="auto"/>
          <w:kern w:val="2"/>
          <w:sz w:val="32"/>
          <w:szCs w:val="32"/>
          <w:highlight w:val="none"/>
          <w:u w:val="none" w:color="auto"/>
        </w:rPr>
      </w:pPr>
      <w:r>
        <w:rPr>
          <w:rFonts w:hint="eastAsia" w:ascii="方正楷体_GBK" w:hAnsi="方正楷体_GBK" w:eastAsia="方正楷体_GBK" w:cs="方正楷体_GBK"/>
          <w:b w:val="0"/>
          <w:bCs w:val="0"/>
          <w:color w:val="auto"/>
          <w:kern w:val="2"/>
          <w:sz w:val="32"/>
          <w:szCs w:val="32"/>
          <w:highlight w:val="none"/>
          <w:u w:val="none" w:color="auto"/>
        </w:rPr>
        <w:t>第三节  推动文化事业和文化产业发展</w:t>
      </w:r>
      <w:r>
        <w:rPr>
          <w:rFonts w:hint="eastAsia" w:ascii="方正楷体_GBK" w:hAnsi="方正楷体_GBK" w:eastAsia="方正楷体_GBK" w:cs="方正楷体_GBK"/>
          <w:b w:val="0"/>
          <w:bCs w:val="0"/>
          <w:color w:val="auto"/>
          <w:kern w:val="2"/>
          <w:sz w:val="32"/>
          <w:szCs w:val="32"/>
          <w:highlight w:val="none"/>
          <w:u w:val="none" w:color="auto"/>
        </w:rPr>
        <w:tab/>
      </w:r>
      <w:r>
        <w:rPr>
          <w:rFonts w:hint="eastAsia" w:ascii="宋体" w:hAnsi="宋体" w:eastAsia="宋体" w:cs="宋体"/>
          <w:b w:val="0"/>
          <w:bCs w:val="0"/>
          <w:color w:val="auto"/>
          <w:kern w:val="2"/>
          <w:sz w:val="28"/>
          <w:szCs w:val="28"/>
          <w:highlight w:val="none"/>
          <w:u w:val="none" w:color="auto"/>
          <w:lang w:eastAsia="zh-CN"/>
        </w:rPr>
        <w:t>（</w:t>
      </w:r>
      <w:r>
        <w:rPr>
          <w:rFonts w:hint="default" w:ascii="宋体" w:hAnsi="宋体" w:eastAsia="宋体" w:cs="宋体"/>
          <w:b w:val="0"/>
          <w:bCs w:val="0"/>
          <w:color w:val="auto"/>
          <w:kern w:val="2"/>
          <w:sz w:val="28"/>
          <w:szCs w:val="28"/>
          <w:highlight w:val="none"/>
          <w:u w:val="none" w:color="auto"/>
          <w:lang w:val="en-US" w:eastAsia="zh-CN"/>
        </w:rPr>
        <w:t>6</w:t>
      </w:r>
      <w:r>
        <w:rPr>
          <w:rFonts w:hint="eastAsia" w:ascii="宋体" w:hAnsi="宋体" w:cs="宋体"/>
          <w:b w:val="0"/>
          <w:bCs w:val="0"/>
          <w:color w:val="auto"/>
          <w:kern w:val="2"/>
          <w:sz w:val="28"/>
          <w:szCs w:val="28"/>
          <w:highlight w:val="none"/>
          <w:u w:val="none" w:color="auto"/>
          <w:lang w:val="en-US" w:eastAsia="zh-CN"/>
        </w:rPr>
        <w:t>4</w:t>
      </w:r>
      <w:r>
        <w:rPr>
          <w:rFonts w:hint="eastAsia" w:ascii="宋体" w:hAnsi="宋体" w:eastAsia="宋体" w:cs="宋体"/>
          <w:b w:val="0"/>
          <w:bCs w:val="0"/>
          <w:color w:val="auto"/>
          <w:kern w:val="2"/>
          <w:sz w:val="28"/>
          <w:szCs w:val="28"/>
          <w:highlight w:val="none"/>
          <w:u w:val="none" w:color="auto"/>
          <w:lang w:eastAsia="zh-CN"/>
        </w:rPr>
        <w:t>）</w:t>
      </w:r>
    </w:p>
    <w:p w14:paraId="43792E6D">
      <w:pPr>
        <w:pStyle w:val="2"/>
        <w:keepNext w:val="0"/>
        <w:keepLines w:val="0"/>
        <w:pageBreakBefore w:val="0"/>
        <w:widowControl w:val="0"/>
        <w:tabs>
          <w:tab w:val="left" w:leader="dot" w:pos="7980"/>
        </w:tabs>
        <w:kinsoku/>
        <w:wordWrap/>
        <w:overflowPunct/>
        <w:topLinePunct w:val="0"/>
        <w:autoSpaceDE/>
        <w:autoSpaceDN/>
        <w:bidi w:val="0"/>
        <w:adjustRightInd/>
        <w:snapToGrid/>
        <w:spacing w:after="0" w:line="620" w:lineRule="exact"/>
        <w:ind w:firstLine="640" w:firstLineChars="200"/>
        <w:jc w:val="both"/>
        <w:textAlignment w:val="auto"/>
        <w:rPr>
          <w:rFonts w:hint="eastAsia" w:ascii="方正楷体_GBK" w:hAnsi="方正楷体_GBK" w:eastAsia="方正楷体_GBK" w:cs="方正楷体_GBK"/>
          <w:b w:val="0"/>
          <w:bCs w:val="0"/>
          <w:color w:val="auto"/>
          <w:kern w:val="2"/>
          <w:sz w:val="32"/>
          <w:szCs w:val="32"/>
          <w:highlight w:val="none"/>
          <w:u w:val="none" w:color="auto"/>
        </w:rPr>
      </w:pPr>
      <w:r>
        <w:rPr>
          <w:rFonts w:hint="eastAsia" w:ascii="方正楷体_GBK" w:hAnsi="方正楷体_GBK" w:eastAsia="方正楷体_GBK" w:cs="方正楷体_GBK"/>
          <w:b w:val="0"/>
          <w:bCs w:val="0"/>
          <w:color w:val="auto"/>
          <w:kern w:val="2"/>
          <w:sz w:val="32"/>
          <w:szCs w:val="32"/>
          <w:highlight w:val="none"/>
          <w:u w:val="none" w:color="auto"/>
        </w:rPr>
        <w:t>第四节  建设全域文旅城市</w:t>
      </w:r>
      <w:r>
        <w:rPr>
          <w:rFonts w:hint="eastAsia" w:ascii="方正楷体_GBK" w:hAnsi="方正楷体_GBK" w:eastAsia="方正楷体_GBK" w:cs="方正楷体_GBK"/>
          <w:b w:val="0"/>
          <w:bCs w:val="0"/>
          <w:color w:val="auto"/>
          <w:kern w:val="2"/>
          <w:sz w:val="32"/>
          <w:szCs w:val="32"/>
          <w:highlight w:val="none"/>
          <w:u w:val="none" w:color="auto"/>
        </w:rPr>
        <w:tab/>
      </w:r>
      <w:r>
        <w:rPr>
          <w:rFonts w:hint="eastAsia" w:ascii="宋体" w:hAnsi="宋体" w:eastAsia="宋体" w:cs="宋体"/>
          <w:b w:val="0"/>
          <w:bCs w:val="0"/>
          <w:color w:val="auto"/>
          <w:kern w:val="2"/>
          <w:sz w:val="28"/>
          <w:szCs w:val="28"/>
          <w:highlight w:val="none"/>
          <w:u w:val="none" w:color="auto"/>
          <w:lang w:eastAsia="zh-CN"/>
        </w:rPr>
        <w:t>（</w:t>
      </w:r>
      <w:r>
        <w:rPr>
          <w:rFonts w:hint="default" w:ascii="宋体" w:hAnsi="宋体" w:eastAsia="宋体" w:cs="宋体"/>
          <w:b w:val="0"/>
          <w:bCs w:val="0"/>
          <w:color w:val="auto"/>
          <w:kern w:val="2"/>
          <w:sz w:val="28"/>
          <w:szCs w:val="28"/>
          <w:highlight w:val="none"/>
          <w:u w:val="none" w:color="auto"/>
          <w:lang w:val="en-US" w:eastAsia="zh-CN"/>
        </w:rPr>
        <w:t>65</w:t>
      </w:r>
      <w:r>
        <w:rPr>
          <w:rFonts w:hint="eastAsia" w:ascii="宋体" w:hAnsi="宋体" w:eastAsia="宋体" w:cs="宋体"/>
          <w:b w:val="0"/>
          <w:bCs w:val="0"/>
          <w:color w:val="auto"/>
          <w:kern w:val="2"/>
          <w:sz w:val="28"/>
          <w:szCs w:val="28"/>
          <w:highlight w:val="none"/>
          <w:u w:val="none" w:color="auto"/>
          <w:lang w:eastAsia="zh-CN"/>
        </w:rPr>
        <w:t>）</w:t>
      </w:r>
    </w:p>
    <w:p w14:paraId="09612005">
      <w:pPr>
        <w:pStyle w:val="2"/>
        <w:keepNext w:val="0"/>
        <w:keepLines w:val="0"/>
        <w:pageBreakBefore w:val="0"/>
        <w:widowControl w:val="0"/>
        <w:tabs>
          <w:tab w:val="left" w:leader="dot" w:pos="7980"/>
        </w:tabs>
        <w:kinsoku/>
        <w:wordWrap/>
        <w:overflowPunct/>
        <w:topLinePunct w:val="0"/>
        <w:autoSpaceDE/>
        <w:autoSpaceDN/>
        <w:bidi w:val="0"/>
        <w:adjustRightInd/>
        <w:snapToGrid/>
        <w:spacing w:after="0" w:line="620" w:lineRule="exact"/>
        <w:ind w:firstLine="640" w:firstLineChars="200"/>
        <w:jc w:val="both"/>
        <w:textAlignment w:val="auto"/>
        <w:rPr>
          <w:rFonts w:hint="eastAsia" w:ascii="方正楷体_GBK" w:hAnsi="方正楷体_GBK" w:eastAsia="方正楷体_GBK" w:cs="方正楷体_GBK"/>
          <w:b w:val="0"/>
          <w:bCs w:val="0"/>
          <w:color w:val="auto"/>
          <w:kern w:val="2"/>
          <w:sz w:val="32"/>
          <w:szCs w:val="32"/>
          <w:highlight w:val="none"/>
          <w:u w:val="none" w:color="auto"/>
        </w:rPr>
      </w:pPr>
      <w:r>
        <w:rPr>
          <w:rFonts w:hint="eastAsia" w:ascii="方正楷体_GBK" w:hAnsi="方正楷体_GBK" w:eastAsia="方正楷体_GBK" w:cs="方正楷体_GBK"/>
          <w:b w:val="0"/>
          <w:bCs w:val="0"/>
          <w:color w:val="auto"/>
          <w:kern w:val="2"/>
          <w:sz w:val="32"/>
          <w:szCs w:val="32"/>
          <w:highlight w:val="none"/>
          <w:u w:val="none" w:color="auto"/>
        </w:rPr>
        <w:t>第五节  大力发展体育事业</w:t>
      </w:r>
      <w:r>
        <w:rPr>
          <w:rFonts w:hint="eastAsia" w:ascii="方正楷体_GBK" w:hAnsi="方正楷体_GBK" w:eastAsia="方正楷体_GBK" w:cs="方正楷体_GBK"/>
          <w:b w:val="0"/>
          <w:bCs w:val="0"/>
          <w:color w:val="auto"/>
          <w:kern w:val="2"/>
          <w:sz w:val="32"/>
          <w:szCs w:val="32"/>
          <w:highlight w:val="none"/>
          <w:u w:val="none" w:color="auto"/>
        </w:rPr>
        <w:tab/>
      </w:r>
      <w:r>
        <w:rPr>
          <w:rFonts w:hint="eastAsia" w:ascii="宋体" w:hAnsi="宋体" w:eastAsia="宋体" w:cs="宋体"/>
          <w:b w:val="0"/>
          <w:bCs w:val="0"/>
          <w:color w:val="auto"/>
          <w:kern w:val="2"/>
          <w:sz w:val="28"/>
          <w:szCs w:val="28"/>
          <w:highlight w:val="none"/>
          <w:u w:val="none" w:color="auto"/>
          <w:lang w:eastAsia="zh-CN"/>
        </w:rPr>
        <w:t>（</w:t>
      </w:r>
      <w:r>
        <w:rPr>
          <w:rFonts w:hint="default" w:ascii="宋体" w:hAnsi="宋体" w:eastAsia="宋体" w:cs="宋体"/>
          <w:b w:val="0"/>
          <w:bCs w:val="0"/>
          <w:color w:val="auto"/>
          <w:kern w:val="2"/>
          <w:sz w:val="28"/>
          <w:szCs w:val="28"/>
          <w:highlight w:val="none"/>
          <w:u w:val="none" w:color="auto"/>
          <w:lang w:val="en-US" w:eastAsia="zh-CN"/>
        </w:rPr>
        <w:t>68</w:t>
      </w:r>
      <w:r>
        <w:rPr>
          <w:rFonts w:hint="eastAsia" w:ascii="宋体" w:hAnsi="宋体" w:eastAsia="宋体" w:cs="宋体"/>
          <w:b w:val="0"/>
          <w:bCs w:val="0"/>
          <w:color w:val="auto"/>
          <w:kern w:val="2"/>
          <w:sz w:val="28"/>
          <w:szCs w:val="28"/>
          <w:highlight w:val="none"/>
          <w:u w:val="none" w:color="auto"/>
          <w:lang w:eastAsia="zh-CN"/>
        </w:rPr>
        <w:t>）</w:t>
      </w:r>
    </w:p>
    <w:p w14:paraId="1765490E">
      <w:pPr>
        <w:pStyle w:val="2"/>
        <w:keepNext w:val="0"/>
        <w:keepLines w:val="0"/>
        <w:pageBreakBefore w:val="0"/>
        <w:widowControl w:val="0"/>
        <w:tabs>
          <w:tab w:val="left" w:leader="dot" w:pos="7980"/>
        </w:tabs>
        <w:kinsoku/>
        <w:wordWrap/>
        <w:overflowPunct/>
        <w:topLinePunct w:val="0"/>
        <w:autoSpaceDE/>
        <w:autoSpaceDN/>
        <w:bidi w:val="0"/>
        <w:adjustRightInd/>
        <w:snapToGrid/>
        <w:spacing w:after="0" w:line="620" w:lineRule="exact"/>
        <w:jc w:val="both"/>
        <w:textAlignment w:val="auto"/>
        <w:rPr>
          <w:rFonts w:hint="eastAsia" w:ascii="方正黑体_GBK" w:hAnsi="方正黑体_GBK" w:eastAsia="方正黑体_GBK" w:cs="方正黑体_GBK"/>
          <w:b w:val="0"/>
          <w:bCs w:val="0"/>
          <w:color w:val="auto"/>
          <w:kern w:val="2"/>
          <w:sz w:val="32"/>
          <w:szCs w:val="32"/>
          <w:highlight w:val="none"/>
          <w:u w:val="none" w:color="auto"/>
          <w:lang w:eastAsia="zh-CN"/>
        </w:rPr>
      </w:pPr>
      <w:r>
        <w:rPr>
          <w:rFonts w:hint="eastAsia" w:ascii="方正黑体_GBK" w:hAnsi="方正黑体_GBK" w:eastAsia="方正黑体_GBK" w:cs="方正黑体_GBK"/>
          <w:b w:val="0"/>
          <w:bCs w:val="0"/>
          <w:color w:val="auto"/>
          <w:kern w:val="2"/>
          <w:sz w:val="32"/>
          <w:szCs w:val="32"/>
          <w:highlight w:val="none"/>
          <w:u w:val="none" w:color="auto"/>
        </w:rPr>
        <w:t>第十章  着力保障和改善民生 提高人民生活品质</w:t>
      </w:r>
      <w:r>
        <w:rPr>
          <w:rFonts w:hint="eastAsia" w:ascii="方正黑体_GBK" w:hAnsi="方正黑体_GBK" w:eastAsia="方正黑体_GBK" w:cs="方正黑体_GBK"/>
          <w:b w:val="0"/>
          <w:bCs w:val="0"/>
          <w:color w:val="auto"/>
          <w:kern w:val="2"/>
          <w:sz w:val="32"/>
          <w:szCs w:val="32"/>
          <w:highlight w:val="none"/>
          <w:u w:val="none" w:color="auto"/>
        </w:rPr>
        <w:tab/>
      </w:r>
      <w:r>
        <w:rPr>
          <w:rFonts w:hint="eastAsia" w:ascii="方正黑体_GBK" w:hAnsi="方正黑体_GBK" w:eastAsia="方正黑体_GBK" w:cs="方正黑体_GBK"/>
          <w:b w:val="0"/>
          <w:bCs w:val="0"/>
          <w:color w:val="auto"/>
          <w:kern w:val="2"/>
          <w:sz w:val="32"/>
          <w:szCs w:val="32"/>
          <w:highlight w:val="none"/>
          <w:u w:val="none" w:color="auto"/>
          <w:lang w:eastAsia="zh-CN"/>
        </w:rPr>
        <w:t>（</w:t>
      </w:r>
      <w:r>
        <w:rPr>
          <w:rFonts w:hint="default" w:ascii="方正黑体_GBK" w:hAnsi="方正黑体_GBK" w:eastAsia="方正黑体_GBK" w:cs="方正黑体_GBK"/>
          <w:b w:val="0"/>
          <w:bCs w:val="0"/>
          <w:color w:val="auto"/>
          <w:kern w:val="2"/>
          <w:sz w:val="32"/>
          <w:szCs w:val="32"/>
          <w:highlight w:val="none"/>
          <w:u w:val="none" w:color="auto"/>
          <w:lang w:val="en-US" w:eastAsia="zh-CN"/>
        </w:rPr>
        <w:t>72</w:t>
      </w:r>
      <w:r>
        <w:rPr>
          <w:rFonts w:hint="eastAsia" w:ascii="方正黑体_GBK" w:hAnsi="方正黑体_GBK" w:eastAsia="方正黑体_GBK" w:cs="方正黑体_GBK"/>
          <w:b w:val="0"/>
          <w:bCs w:val="0"/>
          <w:color w:val="auto"/>
          <w:kern w:val="2"/>
          <w:sz w:val="32"/>
          <w:szCs w:val="32"/>
          <w:highlight w:val="none"/>
          <w:u w:val="none" w:color="auto"/>
          <w:lang w:eastAsia="zh-CN"/>
        </w:rPr>
        <w:t>）</w:t>
      </w:r>
    </w:p>
    <w:p w14:paraId="1D0DE56D">
      <w:pPr>
        <w:pStyle w:val="2"/>
        <w:keepNext w:val="0"/>
        <w:keepLines w:val="0"/>
        <w:pageBreakBefore w:val="0"/>
        <w:widowControl w:val="0"/>
        <w:tabs>
          <w:tab w:val="left" w:leader="dot" w:pos="7980"/>
        </w:tabs>
        <w:kinsoku/>
        <w:wordWrap/>
        <w:overflowPunct/>
        <w:topLinePunct w:val="0"/>
        <w:autoSpaceDE/>
        <w:autoSpaceDN/>
        <w:bidi w:val="0"/>
        <w:adjustRightInd/>
        <w:snapToGrid/>
        <w:spacing w:after="0" w:line="620" w:lineRule="exact"/>
        <w:ind w:firstLine="640" w:firstLineChars="200"/>
        <w:jc w:val="both"/>
        <w:textAlignment w:val="auto"/>
        <w:rPr>
          <w:rFonts w:hint="eastAsia" w:ascii="方正楷体_GBK" w:hAnsi="方正楷体_GBK" w:eastAsia="方正楷体_GBK" w:cs="方正楷体_GBK"/>
          <w:b w:val="0"/>
          <w:bCs w:val="0"/>
          <w:color w:val="auto"/>
          <w:kern w:val="2"/>
          <w:sz w:val="32"/>
          <w:szCs w:val="32"/>
          <w:highlight w:val="none"/>
          <w:u w:val="none" w:color="auto"/>
        </w:rPr>
      </w:pPr>
      <w:r>
        <w:rPr>
          <w:rFonts w:hint="eastAsia" w:ascii="方正楷体_GBK" w:hAnsi="方正楷体_GBK" w:eastAsia="方正楷体_GBK" w:cs="方正楷体_GBK"/>
          <w:b w:val="0"/>
          <w:bCs w:val="0"/>
          <w:color w:val="auto"/>
          <w:kern w:val="2"/>
          <w:sz w:val="32"/>
          <w:szCs w:val="32"/>
          <w:highlight w:val="none"/>
          <w:u w:val="none" w:color="auto"/>
        </w:rPr>
        <w:t>第一节  促进高质量充分就业</w:t>
      </w:r>
      <w:r>
        <w:rPr>
          <w:rFonts w:hint="eastAsia" w:ascii="方正楷体_GBK" w:hAnsi="方正楷体_GBK" w:eastAsia="方正楷体_GBK" w:cs="方正楷体_GBK"/>
          <w:b w:val="0"/>
          <w:bCs w:val="0"/>
          <w:color w:val="auto"/>
          <w:kern w:val="2"/>
          <w:sz w:val="32"/>
          <w:szCs w:val="32"/>
          <w:highlight w:val="none"/>
          <w:u w:val="none" w:color="auto"/>
        </w:rPr>
        <w:tab/>
      </w:r>
      <w:r>
        <w:rPr>
          <w:rFonts w:hint="eastAsia" w:ascii="宋体" w:hAnsi="宋体" w:eastAsia="宋体" w:cs="宋体"/>
          <w:b w:val="0"/>
          <w:bCs w:val="0"/>
          <w:color w:val="auto"/>
          <w:kern w:val="2"/>
          <w:sz w:val="28"/>
          <w:szCs w:val="28"/>
          <w:highlight w:val="none"/>
          <w:u w:val="none" w:color="auto"/>
          <w:lang w:eastAsia="zh-CN"/>
        </w:rPr>
        <w:t>（</w:t>
      </w:r>
      <w:r>
        <w:rPr>
          <w:rFonts w:hint="default" w:ascii="宋体" w:hAnsi="宋体" w:eastAsia="宋体" w:cs="宋体"/>
          <w:b w:val="0"/>
          <w:bCs w:val="0"/>
          <w:color w:val="auto"/>
          <w:kern w:val="2"/>
          <w:sz w:val="28"/>
          <w:szCs w:val="28"/>
          <w:highlight w:val="none"/>
          <w:u w:val="none" w:color="auto"/>
          <w:lang w:val="en-US" w:eastAsia="zh-CN"/>
        </w:rPr>
        <w:t>72</w:t>
      </w:r>
      <w:r>
        <w:rPr>
          <w:rFonts w:hint="eastAsia" w:ascii="宋体" w:hAnsi="宋体" w:eastAsia="宋体" w:cs="宋体"/>
          <w:b w:val="0"/>
          <w:bCs w:val="0"/>
          <w:color w:val="auto"/>
          <w:kern w:val="2"/>
          <w:sz w:val="28"/>
          <w:szCs w:val="28"/>
          <w:highlight w:val="none"/>
          <w:u w:val="none" w:color="auto"/>
          <w:lang w:eastAsia="zh-CN"/>
        </w:rPr>
        <w:t>）</w:t>
      </w:r>
    </w:p>
    <w:p w14:paraId="7BAF1FB0">
      <w:pPr>
        <w:pStyle w:val="2"/>
        <w:keepNext w:val="0"/>
        <w:keepLines w:val="0"/>
        <w:pageBreakBefore w:val="0"/>
        <w:widowControl w:val="0"/>
        <w:tabs>
          <w:tab w:val="left" w:leader="dot" w:pos="7980"/>
        </w:tabs>
        <w:kinsoku/>
        <w:wordWrap/>
        <w:overflowPunct/>
        <w:topLinePunct w:val="0"/>
        <w:autoSpaceDE/>
        <w:autoSpaceDN/>
        <w:bidi w:val="0"/>
        <w:adjustRightInd/>
        <w:snapToGrid/>
        <w:spacing w:after="0" w:line="620" w:lineRule="exact"/>
        <w:ind w:firstLine="640" w:firstLineChars="200"/>
        <w:jc w:val="both"/>
        <w:textAlignment w:val="auto"/>
        <w:rPr>
          <w:rFonts w:hint="eastAsia" w:ascii="方正楷体_GBK" w:hAnsi="方正楷体_GBK" w:eastAsia="方正楷体_GBK" w:cs="方正楷体_GBK"/>
          <w:b w:val="0"/>
          <w:bCs w:val="0"/>
          <w:color w:val="auto"/>
          <w:kern w:val="2"/>
          <w:sz w:val="32"/>
          <w:szCs w:val="32"/>
          <w:highlight w:val="none"/>
          <w:u w:val="none" w:color="auto"/>
        </w:rPr>
      </w:pPr>
      <w:r>
        <w:rPr>
          <w:rFonts w:hint="eastAsia" w:ascii="方正楷体_GBK" w:hAnsi="方正楷体_GBK" w:eastAsia="方正楷体_GBK" w:cs="方正楷体_GBK"/>
          <w:b w:val="0"/>
          <w:bCs w:val="0"/>
          <w:color w:val="auto"/>
          <w:kern w:val="2"/>
          <w:sz w:val="32"/>
          <w:szCs w:val="32"/>
          <w:highlight w:val="none"/>
          <w:u w:val="none" w:color="auto"/>
        </w:rPr>
        <w:t>第二节  建设高质量教育体系</w:t>
      </w:r>
      <w:r>
        <w:rPr>
          <w:rFonts w:hint="eastAsia" w:ascii="方正楷体_GBK" w:hAnsi="方正楷体_GBK" w:eastAsia="方正楷体_GBK" w:cs="方正楷体_GBK"/>
          <w:b w:val="0"/>
          <w:bCs w:val="0"/>
          <w:color w:val="auto"/>
          <w:kern w:val="2"/>
          <w:sz w:val="32"/>
          <w:szCs w:val="32"/>
          <w:highlight w:val="none"/>
          <w:u w:val="none" w:color="auto"/>
        </w:rPr>
        <w:tab/>
      </w:r>
      <w:r>
        <w:rPr>
          <w:rFonts w:hint="eastAsia" w:ascii="宋体" w:hAnsi="宋体" w:eastAsia="宋体" w:cs="宋体"/>
          <w:b w:val="0"/>
          <w:bCs w:val="0"/>
          <w:color w:val="auto"/>
          <w:kern w:val="2"/>
          <w:sz w:val="28"/>
          <w:szCs w:val="28"/>
          <w:highlight w:val="none"/>
          <w:u w:val="none" w:color="auto"/>
          <w:lang w:eastAsia="zh-CN"/>
        </w:rPr>
        <w:t>（</w:t>
      </w:r>
      <w:r>
        <w:rPr>
          <w:rFonts w:hint="default" w:ascii="宋体" w:hAnsi="宋体" w:eastAsia="宋体" w:cs="宋体"/>
          <w:b w:val="0"/>
          <w:bCs w:val="0"/>
          <w:color w:val="auto"/>
          <w:kern w:val="2"/>
          <w:sz w:val="28"/>
          <w:szCs w:val="28"/>
          <w:highlight w:val="none"/>
          <w:u w:val="none" w:color="auto"/>
          <w:lang w:val="en-US" w:eastAsia="zh-CN"/>
        </w:rPr>
        <w:t>74</w:t>
      </w:r>
      <w:r>
        <w:rPr>
          <w:rFonts w:hint="eastAsia" w:ascii="宋体" w:hAnsi="宋体" w:eastAsia="宋体" w:cs="宋体"/>
          <w:b w:val="0"/>
          <w:bCs w:val="0"/>
          <w:color w:val="auto"/>
          <w:kern w:val="2"/>
          <w:sz w:val="28"/>
          <w:szCs w:val="28"/>
          <w:highlight w:val="none"/>
          <w:u w:val="none" w:color="auto"/>
          <w:lang w:eastAsia="zh-CN"/>
        </w:rPr>
        <w:t>）</w:t>
      </w:r>
    </w:p>
    <w:p w14:paraId="44F75034">
      <w:pPr>
        <w:pStyle w:val="2"/>
        <w:keepNext w:val="0"/>
        <w:keepLines w:val="0"/>
        <w:pageBreakBefore w:val="0"/>
        <w:widowControl w:val="0"/>
        <w:tabs>
          <w:tab w:val="left" w:leader="dot" w:pos="7980"/>
        </w:tabs>
        <w:kinsoku/>
        <w:wordWrap/>
        <w:overflowPunct/>
        <w:topLinePunct w:val="0"/>
        <w:autoSpaceDE/>
        <w:autoSpaceDN/>
        <w:bidi w:val="0"/>
        <w:adjustRightInd/>
        <w:snapToGrid/>
        <w:spacing w:after="0" w:line="620" w:lineRule="exact"/>
        <w:ind w:firstLine="640" w:firstLineChars="200"/>
        <w:jc w:val="both"/>
        <w:textAlignment w:val="auto"/>
        <w:rPr>
          <w:rFonts w:hint="eastAsia" w:ascii="方正楷体_GBK" w:hAnsi="方正楷体_GBK" w:eastAsia="方正楷体_GBK" w:cs="方正楷体_GBK"/>
          <w:b w:val="0"/>
          <w:bCs w:val="0"/>
          <w:color w:val="auto"/>
          <w:kern w:val="2"/>
          <w:sz w:val="32"/>
          <w:szCs w:val="32"/>
          <w:highlight w:val="none"/>
          <w:u w:val="none" w:color="auto"/>
        </w:rPr>
      </w:pPr>
      <w:r>
        <w:rPr>
          <w:rFonts w:hint="eastAsia" w:ascii="方正楷体_GBK" w:hAnsi="方正楷体_GBK" w:eastAsia="方正楷体_GBK" w:cs="方正楷体_GBK"/>
          <w:b w:val="0"/>
          <w:bCs w:val="0"/>
          <w:color w:val="auto"/>
          <w:kern w:val="2"/>
          <w:sz w:val="32"/>
          <w:szCs w:val="32"/>
          <w:highlight w:val="none"/>
          <w:u w:val="none" w:color="auto"/>
        </w:rPr>
        <w:t>第三节  健全完善社会保障体系</w:t>
      </w:r>
      <w:r>
        <w:rPr>
          <w:rFonts w:hint="eastAsia" w:ascii="方正楷体_GBK" w:hAnsi="方正楷体_GBK" w:eastAsia="方正楷体_GBK" w:cs="方正楷体_GBK"/>
          <w:b w:val="0"/>
          <w:bCs w:val="0"/>
          <w:color w:val="auto"/>
          <w:kern w:val="2"/>
          <w:sz w:val="32"/>
          <w:szCs w:val="32"/>
          <w:highlight w:val="none"/>
          <w:u w:val="none" w:color="auto"/>
        </w:rPr>
        <w:tab/>
      </w:r>
      <w:r>
        <w:rPr>
          <w:rFonts w:hint="eastAsia" w:ascii="宋体" w:hAnsi="宋体" w:eastAsia="宋体" w:cs="宋体"/>
          <w:b w:val="0"/>
          <w:bCs w:val="0"/>
          <w:color w:val="auto"/>
          <w:kern w:val="2"/>
          <w:sz w:val="28"/>
          <w:szCs w:val="28"/>
          <w:highlight w:val="none"/>
          <w:u w:val="none" w:color="auto"/>
          <w:lang w:eastAsia="zh-CN"/>
        </w:rPr>
        <w:t>（</w:t>
      </w:r>
      <w:r>
        <w:rPr>
          <w:rFonts w:hint="default" w:ascii="宋体" w:hAnsi="宋体" w:eastAsia="宋体" w:cs="宋体"/>
          <w:b w:val="0"/>
          <w:bCs w:val="0"/>
          <w:color w:val="auto"/>
          <w:kern w:val="2"/>
          <w:sz w:val="28"/>
          <w:szCs w:val="28"/>
          <w:highlight w:val="none"/>
          <w:u w:val="none" w:color="auto"/>
          <w:lang w:val="en-US" w:eastAsia="zh-CN"/>
        </w:rPr>
        <w:t>77</w:t>
      </w:r>
      <w:r>
        <w:rPr>
          <w:rFonts w:hint="eastAsia" w:ascii="宋体" w:hAnsi="宋体" w:eastAsia="宋体" w:cs="宋体"/>
          <w:b w:val="0"/>
          <w:bCs w:val="0"/>
          <w:color w:val="auto"/>
          <w:kern w:val="2"/>
          <w:sz w:val="28"/>
          <w:szCs w:val="28"/>
          <w:highlight w:val="none"/>
          <w:u w:val="none" w:color="auto"/>
          <w:lang w:eastAsia="zh-CN"/>
        </w:rPr>
        <w:t>）</w:t>
      </w:r>
    </w:p>
    <w:p w14:paraId="06B22037">
      <w:pPr>
        <w:pStyle w:val="2"/>
        <w:keepNext w:val="0"/>
        <w:keepLines w:val="0"/>
        <w:pageBreakBefore w:val="0"/>
        <w:widowControl w:val="0"/>
        <w:tabs>
          <w:tab w:val="left" w:leader="dot" w:pos="7980"/>
        </w:tabs>
        <w:kinsoku/>
        <w:wordWrap/>
        <w:overflowPunct/>
        <w:topLinePunct w:val="0"/>
        <w:autoSpaceDE/>
        <w:autoSpaceDN/>
        <w:bidi w:val="0"/>
        <w:adjustRightInd/>
        <w:snapToGrid/>
        <w:spacing w:after="0" w:line="620" w:lineRule="exact"/>
        <w:ind w:firstLine="640" w:firstLineChars="200"/>
        <w:jc w:val="both"/>
        <w:textAlignment w:val="auto"/>
        <w:rPr>
          <w:rFonts w:hint="eastAsia" w:ascii="方正楷体_GBK" w:hAnsi="方正楷体_GBK" w:eastAsia="方正楷体_GBK" w:cs="方正楷体_GBK"/>
          <w:b w:val="0"/>
          <w:bCs w:val="0"/>
          <w:color w:val="auto"/>
          <w:kern w:val="2"/>
          <w:sz w:val="32"/>
          <w:szCs w:val="32"/>
          <w:highlight w:val="none"/>
          <w:u w:val="none" w:color="auto"/>
        </w:rPr>
      </w:pPr>
      <w:r>
        <w:rPr>
          <w:rFonts w:hint="eastAsia" w:ascii="方正楷体_GBK" w:hAnsi="方正楷体_GBK" w:eastAsia="方正楷体_GBK" w:cs="方正楷体_GBK"/>
          <w:b w:val="0"/>
          <w:bCs w:val="0"/>
          <w:color w:val="auto"/>
          <w:kern w:val="2"/>
          <w:sz w:val="32"/>
          <w:szCs w:val="32"/>
          <w:highlight w:val="none"/>
          <w:u w:val="none" w:color="auto"/>
        </w:rPr>
        <w:t>第四节  全面推进健康辽源建设</w:t>
      </w:r>
      <w:r>
        <w:rPr>
          <w:rFonts w:hint="eastAsia" w:ascii="方正楷体_GBK" w:hAnsi="方正楷体_GBK" w:eastAsia="方正楷体_GBK" w:cs="方正楷体_GBK"/>
          <w:b w:val="0"/>
          <w:bCs w:val="0"/>
          <w:color w:val="auto"/>
          <w:kern w:val="2"/>
          <w:sz w:val="32"/>
          <w:szCs w:val="32"/>
          <w:highlight w:val="none"/>
          <w:u w:val="none" w:color="auto"/>
        </w:rPr>
        <w:tab/>
      </w:r>
      <w:r>
        <w:rPr>
          <w:rFonts w:hint="eastAsia" w:ascii="宋体" w:hAnsi="宋体" w:eastAsia="宋体" w:cs="宋体"/>
          <w:b w:val="0"/>
          <w:bCs w:val="0"/>
          <w:color w:val="auto"/>
          <w:kern w:val="2"/>
          <w:sz w:val="28"/>
          <w:szCs w:val="28"/>
          <w:highlight w:val="none"/>
          <w:u w:val="none" w:color="auto"/>
          <w:lang w:eastAsia="zh-CN"/>
        </w:rPr>
        <w:t>（</w:t>
      </w:r>
      <w:r>
        <w:rPr>
          <w:rFonts w:hint="default" w:ascii="宋体" w:hAnsi="宋体" w:eastAsia="宋体" w:cs="宋体"/>
          <w:b w:val="0"/>
          <w:bCs w:val="0"/>
          <w:color w:val="auto"/>
          <w:kern w:val="2"/>
          <w:sz w:val="28"/>
          <w:szCs w:val="28"/>
          <w:highlight w:val="none"/>
          <w:u w:val="none" w:color="auto"/>
          <w:lang w:val="en-US" w:eastAsia="zh-CN"/>
        </w:rPr>
        <w:t>78</w:t>
      </w:r>
      <w:r>
        <w:rPr>
          <w:rFonts w:hint="eastAsia" w:ascii="宋体" w:hAnsi="宋体" w:eastAsia="宋体" w:cs="宋体"/>
          <w:b w:val="0"/>
          <w:bCs w:val="0"/>
          <w:color w:val="auto"/>
          <w:kern w:val="2"/>
          <w:sz w:val="28"/>
          <w:szCs w:val="28"/>
          <w:highlight w:val="none"/>
          <w:u w:val="none" w:color="auto"/>
          <w:lang w:eastAsia="zh-CN"/>
        </w:rPr>
        <w:t>）</w:t>
      </w:r>
    </w:p>
    <w:p w14:paraId="34E24454">
      <w:pPr>
        <w:pStyle w:val="2"/>
        <w:keepNext w:val="0"/>
        <w:keepLines w:val="0"/>
        <w:pageBreakBefore w:val="0"/>
        <w:widowControl w:val="0"/>
        <w:tabs>
          <w:tab w:val="left" w:leader="dot" w:pos="7980"/>
        </w:tabs>
        <w:kinsoku/>
        <w:wordWrap/>
        <w:overflowPunct/>
        <w:topLinePunct w:val="0"/>
        <w:autoSpaceDE/>
        <w:autoSpaceDN/>
        <w:bidi w:val="0"/>
        <w:adjustRightInd/>
        <w:snapToGrid/>
        <w:spacing w:after="0" w:line="620" w:lineRule="exact"/>
        <w:ind w:firstLine="640" w:firstLineChars="200"/>
        <w:jc w:val="both"/>
        <w:textAlignment w:val="auto"/>
        <w:rPr>
          <w:rFonts w:hint="eastAsia" w:ascii="方正楷体_GBK" w:hAnsi="方正楷体_GBK" w:eastAsia="方正楷体_GBK" w:cs="方正楷体_GBK"/>
          <w:b w:val="0"/>
          <w:bCs w:val="0"/>
          <w:color w:val="auto"/>
          <w:kern w:val="2"/>
          <w:sz w:val="32"/>
          <w:szCs w:val="32"/>
          <w:highlight w:val="none"/>
          <w:u w:val="none" w:color="auto"/>
        </w:rPr>
      </w:pPr>
      <w:r>
        <w:rPr>
          <w:rFonts w:hint="eastAsia" w:ascii="方正楷体_GBK" w:hAnsi="方正楷体_GBK" w:eastAsia="方正楷体_GBK" w:cs="方正楷体_GBK"/>
          <w:b w:val="0"/>
          <w:bCs w:val="0"/>
          <w:color w:val="auto"/>
          <w:kern w:val="2"/>
          <w:sz w:val="32"/>
          <w:szCs w:val="32"/>
          <w:highlight w:val="none"/>
          <w:u w:val="none" w:color="auto"/>
        </w:rPr>
        <w:t>第五节  促进人口高质量发展</w:t>
      </w:r>
      <w:r>
        <w:rPr>
          <w:rFonts w:hint="default" w:ascii="方正楷体_GBK" w:hAnsi="方正楷体_GBK" w:eastAsia="方正楷体_GBK" w:cs="方正楷体_GBK"/>
          <w:b w:val="0"/>
          <w:bCs w:val="0"/>
          <w:color w:val="auto"/>
          <w:kern w:val="2"/>
          <w:sz w:val="32"/>
          <w:szCs w:val="32"/>
          <w:highlight w:val="none"/>
          <w:u w:val="none" w:color="auto"/>
          <w:lang w:val="en-US"/>
        </w:rPr>
        <w:tab/>
      </w:r>
      <w:r>
        <w:rPr>
          <w:rFonts w:hint="eastAsia" w:ascii="宋体" w:hAnsi="宋体" w:eastAsia="宋体" w:cs="宋体"/>
          <w:b w:val="0"/>
          <w:bCs w:val="0"/>
          <w:color w:val="auto"/>
          <w:kern w:val="2"/>
          <w:sz w:val="28"/>
          <w:szCs w:val="28"/>
          <w:highlight w:val="none"/>
          <w:u w:val="none" w:color="auto"/>
          <w:lang w:eastAsia="zh-CN"/>
        </w:rPr>
        <w:t>（</w:t>
      </w:r>
      <w:r>
        <w:rPr>
          <w:rFonts w:hint="default" w:ascii="宋体" w:hAnsi="宋体" w:eastAsia="宋体" w:cs="宋体"/>
          <w:b w:val="0"/>
          <w:bCs w:val="0"/>
          <w:color w:val="auto"/>
          <w:kern w:val="2"/>
          <w:sz w:val="28"/>
          <w:szCs w:val="28"/>
          <w:highlight w:val="none"/>
          <w:u w:val="none" w:color="auto"/>
          <w:lang w:val="en-US" w:eastAsia="zh-CN"/>
        </w:rPr>
        <w:t>79</w:t>
      </w:r>
      <w:r>
        <w:rPr>
          <w:rFonts w:hint="eastAsia" w:ascii="宋体" w:hAnsi="宋体" w:eastAsia="宋体" w:cs="宋体"/>
          <w:b w:val="0"/>
          <w:bCs w:val="0"/>
          <w:color w:val="auto"/>
          <w:kern w:val="2"/>
          <w:sz w:val="28"/>
          <w:szCs w:val="28"/>
          <w:highlight w:val="none"/>
          <w:u w:val="none" w:color="auto"/>
          <w:lang w:eastAsia="zh-CN"/>
        </w:rPr>
        <w:t>）</w:t>
      </w:r>
    </w:p>
    <w:p w14:paraId="29882466">
      <w:pPr>
        <w:pStyle w:val="2"/>
        <w:keepNext w:val="0"/>
        <w:keepLines w:val="0"/>
        <w:pageBreakBefore w:val="0"/>
        <w:widowControl w:val="0"/>
        <w:tabs>
          <w:tab w:val="left" w:leader="dot" w:pos="7980"/>
        </w:tabs>
        <w:kinsoku/>
        <w:wordWrap/>
        <w:overflowPunct/>
        <w:topLinePunct w:val="0"/>
        <w:autoSpaceDE/>
        <w:autoSpaceDN/>
        <w:bidi w:val="0"/>
        <w:adjustRightInd/>
        <w:snapToGrid/>
        <w:spacing w:after="0" w:line="620" w:lineRule="exact"/>
        <w:jc w:val="both"/>
        <w:textAlignment w:val="auto"/>
        <w:rPr>
          <w:rFonts w:hint="eastAsia" w:ascii="方正黑体_GBK" w:hAnsi="方正黑体_GBK" w:eastAsia="方正黑体_GBK" w:cs="方正黑体_GBK"/>
          <w:b w:val="0"/>
          <w:bCs w:val="0"/>
          <w:color w:val="auto"/>
          <w:spacing w:val="-11"/>
          <w:kern w:val="2"/>
          <w:sz w:val="32"/>
          <w:szCs w:val="32"/>
          <w:highlight w:val="none"/>
          <w:u w:val="none" w:color="auto"/>
          <w:lang w:eastAsia="zh-CN"/>
        </w:rPr>
      </w:pPr>
      <w:r>
        <w:rPr>
          <w:rFonts w:hint="eastAsia" w:ascii="方正黑体_GBK" w:hAnsi="方正黑体_GBK" w:eastAsia="方正黑体_GBK" w:cs="方正黑体_GBK"/>
          <w:b w:val="0"/>
          <w:bCs w:val="0"/>
          <w:color w:val="auto"/>
          <w:spacing w:val="-11"/>
          <w:kern w:val="2"/>
          <w:sz w:val="32"/>
          <w:szCs w:val="32"/>
          <w:highlight w:val="none"/>
          <w:u w:val="none" w:color="auto"/>
        </w:rPr>
        <w:t>第十一章  加快现代化基础设施体系建设</w:t>
      </w:r>
      <w:r>
        <w:rPr>
          <w:rFonts w:hint="default" w:ascii="方正黑体_GBK" w:hAnsi="方正黑体_GBK" w:eastAsia="方正黑体_GBK" w:cs="方正黑体_GBK"/>
          <w:b w:val="0"/>
          <w:bCs w:val="0"/>
          <w:color w:val="auto"/>
          <w:spacing w:val="-11"/>
          <w:kern w:val="2"/>
          <w:sz w:val="32"/>
          <w:szCs w:val="32"/>
          <w:highlight w:val="none"/>
          <w:u w:val="none" w:color="auto"/>
          <w:lang w:val="en-US"/>
        </w:rPr>
        <w:t xml:space="preserve"> </w:t>
      </w:r>
      <w:r>
        <w:rPr>
          <w:rFonts w:hint="eastAsia" w:ascii="方正黑体_GBK" w:hAnsi="方正黑体_GBK" w:eastAsia="方正黑体_GBK" w:cs="方正黑体_GBK"/>
          <w:b w:val="0"/>
          <w:bCs w:val="0"/>
          <w:color w:val="auto"/>
          <w:spacing w:val="-11"/>
          <w:kern w:val="2"/>
          <w:sz w:val="32"/>
          <w:szCs w:val="32"/>
          <w:highlight w:val="none"/>
          <w:u w:val="none" w:color="auto"/>
        </w:rPr>
        <w:t>夯实高质量发展根基</w:t>
      </w:r>
      <w:r>
        <w:rPr>
          <w:rFonts w:hint="eastAsia" w:ascii="方正黑体_GBK" w:hAnsi="方正黑体_GBK" w:eastAsia="方正黑体_GBK" w:cs="方正黑体_GBK"/>
          <w:b w:val="0"/>
          <w:bCs w:val="0"/>
          <w:color w:val="auto"/>
          <w:spacing w:val="-11"/>
          <w:kern w:val="2"/>
          <w:sz w:val="32"/>
          <w:szCs w:val="32"/>
          <w:highlight w:val="none"/>
          <w:u w:val="none" w:color="auto"/>
          <w:lang w:eastAsia="zh-CN"/>
        </w:rPr>
        <w:t>（</w:t>
      </w:r>
      <w:r>
        <w:rPr>
          <w:rFonts w:hint="default" w:ascii="方正黑体_GBK" w:hAnsi="方正黑体_GBK" w:eastAsia="方正黑体_GBK" w:cs="方正黑体_GBK"/>
          <w:b w:val="0"/>
          <w:bCs w:val="0"/>
          <w:color w:val="auto"/>
          <w:spacing w:val="-11"/>
          <w:kern w:val="2"/>
          <w:sz w:val="32"/>
          <w:szCs w:val="32"/>
          <w:highlight w:val="none"/>
          <w:u w:val="none" w:color="auto"/>
          <w:lang w:val="en-US" w:eastAsia="zh-CN"/>
        </w:rPr>
        <w:t>83</w:t>
      </w:r>
      <w:r>
        <w:rPr>
          <w:rFonts w:hint="eastAsia" w:ascii="方正黑体_GBK" w:hAnsi="方正黑体_GBK" w:eastAsia="方正黑体_GBK" w:cs="方正黑体_GBK"/>
          <w:b w:val="0"/>
          <w:bCs w:val="0"/>
          <w:color w:val="auto"/>
          <w:spacing w:val="-11"/>
          <w:kern w:val="2"/>
          <w:sz w:val="32"/>
          <w:szCs w:val="32"/>
          <w:highlight w:val="none"/>
          <w:u w:val="none" w:color="auto"/>
          <w:lang w:eastAsia="zh-CN"/>
        </w:rPr>
        <w:t>）</w:t>
      </w:r>
    </w:p>
    <w:p w14:paraId="39F88C65">
      <w:pPr>
        <w:pStyle w:val="2"/>
        <w:keepNext w:val="0"/>
        <w:keepLines w:val="0"/>
        <w:pageBreakBefore w:val="0"/>
        <w:widowControl w:val="0"/>
        <w:tabs>
          <w:tab w:val="left" w:leader="dot" w:pos="7980"/>
        </w:tabs>
        <w:kinsoku/>
        <w:wordWrap/>
        <w:overflowPunct/>
        <w:topLinePunct w:val="0"/>
        <w:autoSpaceDE/>
        <w:autoSpaceDN/>
        <w:bidi w:val="0"/>
        <w:adjustRightInd/>
        <w:snapToGrid/>
        <w:spacing w:after="0" w:line="620" w:lineRule="exact"/>
        <w:ind w:firstLine="640" w:firstLineChars="200"/>
        <w:jc w:val="both"/>
        <w:textAlignment w:val="auto"/>
        <w:rPr>
          <w:rFonts w:hint="eastAsia" w:ascii="方正楷体_GBK" w:hAnsi="方正楷体_GBK" w:eastAsia="方正楷体_GBK" w:cs="方正楷体_GBK"/>
          <w:b w:val="0"/>
          <w:bCs w:val="0"/>
          <w:color w:val="auto"/>
          <w:kern w:val="2"/>
          <w:sz w:val="32"/>
          <w:szCs w:val="32"/>
          <w:highlight w:val="none"/>
          <w:u w:val="none" w:color="auto"/>
        </w:rPr>
      </w:pPr>
      <w:r>
        <w:rPr>
          <w:rFonts w:hint="eastAsia" w:ascii="方正楷体_GBK" w:hAnsi="方正楷体_GBK" w:eastAsia="方正楷体_GBK" w:cs="方正楷体_GBK"/>
          <w:b w:val="0"/>
          <w:bCs w:val="0"/>
          <w:color w:val="auto"/>
          <w:kern w:val="2"/>
          <w:sz w:val="32"/>
          <w:szCs w:val="32"/>
          <w:highlight w:val="none"/>
          <w:u w:val="none" w:color="auto"/>
        </w:rPr>
        <w:t>第一节  完善现代化综合交通运输体系</w:t>
      </w:r>
      <w:r>
        <w:rPr>
          <w:rFonts w:hint="eastAsia" w:ascii="方正楷体_GBK" w:hAnsi="方正楷体_GBK" w:eastAsia="方正楷体_GBK" w:cs="方正楷体_GBK"/>
          <w:b w:val="0"/>
          <w:bCs w:val="0"/>
          <w:color w:val="auto"/>
          <w:kern w:val="2"/>
          <w:sz w:val="32"/>
          <w:szCs w:val="32"/>
          <w:highlight w:val="none"/>
          <w:u w:val="none" w:color="auto"/>
        </w:rPr>
        <w:tab/>
      </w:r>
      <w:r>
        <w:rPr>
          <w:rFonts w:hint="eastAsia" w:ascii="宋体" w:hAnsi="宋体" w:eastAsia="宋体" w:cs="宋体"/>
          <w:b w:val="0"/>
          <w:bCs w:val="0"/>
          <w:color w:val="auto"/>
          <w:kern w:val="2"/>
          <w:sz w:val="28"/>
          <w:szCs w:val="28"/>
          <w:highlight w:val="none"/>
          <w:u w:val="none" w:color="auto"/>
          <w:lang w:eastAsia="zh-CN"/>
        </w:rPr>
        <w:t>（</w:t>
      </w:r>
      <w:r>
        <w:rPr>
          <w:rFonts w:hint="default" w:ascii="宋体" w:hAnsi="宋体" w:eastAsia="宋体" w:cs="宋体"/>
          <w:b w:val="0"/>
          <w:bCs w:val="0"/>
          <w:color w:val="auto"/>
          <w:kern w:val="2"/>
          <w:sz w:val="28"/>
          <w:szCs w:val="28"/>
          <w:highlight w:val="none"/>
          <w:u w:val="none" w:color="auto"/>
          <w:lang w:val="en-US" w:eastAsia="zh-CN"/>
        </w:rPr>
        <w:t>83</w:t>
      </w:r>
      <w:r>
        <w:rPr>
          <w:rFonts w:hint="eastAsia" w:ascii="宋体" w:hAnsi="宋体" w:eastAsia="宋体" w:cs="宋体"/>
          <w:b w:val="0"/>
          <w:bCs w:val="0"/>
          <w:color w:val="auto"/>
          <w:kern w:val="2"/>
          <w:sz w:val="28"/>
          <w:szCs w:val="28"/>
          <w:highlight w:val="none"/>
          <w:u w:val="none" w:color="auto"/>
          <w:lang w:eastAsia="zh-CN"/>
        </w:rPr>
        <w:t>）</w:t>
      </w:r>
    </w:p>
    <w:p w14:paraId="70740168">
      <w:pPr>
        <w:pStyle w:val="2"/>
        <w:keepNext w:val="0"/>
        <w:keepLines w:val="0"/>
        <w:pageBreakBefore w:val="0"/>
        <w:widowControl w:val="0"/>
        <w:tabs>
          <w:tab w:val="left" w:leader="dot" w:pos="7980"/>
        </w:tabs>
        <w:kinsoku/>
        <w:wordWrap/>
        <w:overflowPunct/>
        <w:topLinePunct w:val="0"/>
        <w:autoSpaceDE/>
        <w:autoSpaceDN/>
        <w:bidi w:val="0"/>
        <w:adjustRightInd/>
        <w:snapToGrid/>
        <w:spacing w:after="0" w:line="620" w:lineRule="exact"/>
        <w:ind w:firstLine="640" w:firstLineChars="200"/>
        <w:jc w:val="both"/>
        <w:textAlignment w:val="auto"/>
        <w:rPr>
          <w:rFonts w:hint="eastAsia" w:ascii="方正楷体_GBK" w:hAnsi="方正楷体_GBK" w:eastAsia="方正楷体_GBK" w:cs="方正楷体_GBK"/>
          <w:b w:val="0"/>
          <w:bCs w:val="0"/>
          <w:color w:val="auto"/>
          <w:kern w:val="2"/>
          <w:sz w:val="32"/>
          <w:szCs w:val="32"/>
          <w:highlight w:val="none"/>
          <w:u w:val="none" w:color="auto"/>
        </w:rPr>
      </w:pPr>
      <w:r>
        <w:rPr>
          <w:rFonts w:hint="eastAsia" w:ascii="方正楷体_GBK" w:hAnsi="方正楷体_GBK" w:eastAsia="方正楷体_GBK" w:cs="方正楷体_GBK"/>
          <w:b w:val="0"/>
          <w:bCs w:val="0"/>
          <w:color w:val="auto"/>
          <w:kern w:val="2"/>
          <w:sz w:val="32"/>
          <w:szCs w:val="32"/>
          <w:highlight w:val="none"/>
          <w:u w:val="none" w:color="auto"/>
        </w:rPr>
        <w:t>第二节  构建水安全保障体系</w:t>
      </w:r>
      <w:r>
        <w:rPr>
          <w:rFonts w:hint="eastAsia" w:ascii="方正楷体_GBK" w:hAnsi="方正楷体_GBK" w:eastAsia="方正楷体_GBK" w:cs="方正楷体_GBK"/>
          <w:b w:val="0"/>
          <w:bCs w:val="0"/>
          <w:color w:val="auto"/>
          <w:kern w:val="2"/>
          <w:sz w:val="32"/>
          <w:szCs w:val="32"/>
          <w:highlight w:val="none"/>
          <w:u w:val="none" w:color="auto"/>
        </w:rPr>
        <w:tab/>
      </w:r>
      <w:r>
        <w:rPr>
          <w:rFonts w:hint="eastAsia" w:ascii="宋体" w:hAnsi="宋体" w:eastAsia="宋体" w:cs="宋体"/>
          <w:b w:val="0"/>
          <w:bCs w:val="0"/>
          <w:color w:val="auto"/>
          <w:kern w:val="2"/>
          <w:sz w:val="28"/>
          <w:szCs w:val="28"/>
          <w:highlight w:val="none"/>
          <w:u w:val="none" w:color="auto"/>
          <w:lang w:eastAsia="zh-CN"/>
        </w:rPr>
        <w:t>（</w:t>
      </w:r>
      <w:r>
        <w:rPr>
          <w:rFonts w:hint="default" w:ascii="宋体" w:hAnsi="宋体" w:eastAsia="宋体" w:cs="宋体"/>
          <w:b w:val="0"/>
          <w:bCs w:val="0"/>
          <w:color w:val="auto"/>
          <w:kern w:val="2"/>
          <w:sz w:val="28"/>
          <w:szCs w:val="28"/>
          <w:highlight w:val="none"/>
          <w:u w:val="none" w:color="auto"/>
          <w:lang w:val="en-US" w:eastAsia="zh-CN"/>
        </w:rPr>
        <w:t>84</w:t>
      </w:r>
      <w:r>
        <w:rPr>
          <w:rFonts w:hint="eastAsia" w:ascii="宋体" w:hAnsi="宋体" w:eastAsia="宋体" w:cs="宋体"/>
          <w:b w:val="0"/>
          <w:bCs w:val="0"/>
          <w:color w:val="auto"/>
          <w:kern w:val="2"/>
          <w:sz w:val="28"/>
          <w:szCs w:val="28"/>
          <w:highlight w:val="none"/>
          <w:u w:val="none" w:color="auto"/>
          <w:lang w:eastAsia="zh-CN"/>
        </w:rPr>
        <w:t>）</w:t>
      </w:r>
    </w:p>
    <w:p w14:paraId="4AA04AEC">
      <w:pPr>
        <w:pStyle w:val="2"/>
        <w:keepNext w:val="0"/>
        <w:keepLines w:val="0"/>
        <w:pageBreakBefore w:val="0"/>
        <w:widowControl w:val="0"/>
        <w:tabs>
          <w:tab w:val="left" w:leader="dot" w:pos="7980"/>
        </w:tabs>
        <w:kinsoku/>
        <w:wordWrap/>
        <w:overflowPunct/>
        <w:topLinePunct w:val="0"/>
        <w:autoSpaceDE/>
        <w:autoSpaceDN/>
        <w:bidi w:val="0"/>
        <w:adjustRightInd/>
        <w:snapToGrid/>
        <w:spacing w:after="0" w:line="620" w:lineRule="exact"/>
        <w:ind w:firstLine="640" w:firstLineChars="200"/>
        <w:jc w:val="both"/>
        <w:textAlignment w:val="auto"/>
        <w:rPr>
          <w:rFonts w:hint="eastAsia" w:ascii="方正楷体_GBK" w:hAnsi="方正楷体_GBK" w:eastAsia="方正楷体_GBK" w:cs="方正楷体_GBK"/>
          <w:b w:val="0"/>
          <w:bCs w:val="0"/>
          <w:color w:val="auto"/>
          <w:kern w:val="2"/>
          <w:sz w:val="32"/>
          <w:szCs w:val="32"/>
          <w:highlight w:val="none"/>
          <w:u w:val="none" w:color="auto"/>
        </w:rPr>
      </w:pPr>
      <w:r>
        <w:rPr>
          <w:rFonts w:hint="eastAsia" w:ascii="方正楷体_GBK" w:hAnsi="方正楷体_GBK" w:eastAsia="方正楷体_GBK" w:cs="方正楷体_GBK"/>
          <w:b w:val="0"/>
          <w:bCs w:val="0"/>
          <w:color w:val="auto"/>
          <w:kern w:val="2"/>
          <w:sz w:val="32"/>
          <w:szCs w:val="32"/>
          <w:highlight w:val="none"/>
          <w:u w:val="none" w:color="auto"/>
        </w:rPr>
        <w:t>第三节  建设新型能源供给保障体系</w:t>
      </w:r>
      <w:r>
        <w:rPr>
          <w:rFonts w:hint="eastAsia" w:ascii="方正楷体_GBK" w:hAnsi="方正楷体_GBK" w:eastAsia="方正楷体_GBK" w:cs="方正楷体_GBK"/>
          <w:b w:val="0"/>
          <w:bCs w:val="0"/>
          <w:color w:val="auto"/>
          <w:kern w:val="2"/>
          <w:sz w:val="32"/>
          <w:szCs w:val="32"/>
          <w:highlight w:val="none"/>
          <w:u w:val="none" w:color="auto"/>
        </w:rPr>
        <w:tab/>
      </w:r>
      <w:r>
        <w:rPr>
          <w:rFonts w:hint="eastAsia" w:ascii="宋体" w:hAnsi="宋体" w:eastAsia="宋体" w:cs="宋体"/>
          <w:b w:val="0"/>
          <w:bCs w:val="0"/>
          <w:color w:val="auto"/>
          <w:kern w:val="2"/>
          <w:sz w:val="28"/>
          <w:szCs w:val="28"/>
          <w:highlight w:val="none"/>
          <w:u w:val="none" w:color="auto"/>
          <w:lang w:eastAsia="zh-CN"/>
        </w:rPr>
        <w:t>（</w:t>
      </w:r>
      <w:r>
        <w:rPr>
          <w:rFonts w:hint="default" w:ascii="宋体" w:hAnsi="宋体" w:eastAsia="宋体" w:cs="宋体"/>
          <w:b w:val="0"/>
          <w:bCs w:val="0"/>
          <w:color w:val="auto"/>
          <w:kern w:val="2"/>
          <w:sz w:val="28"/>
          <w:szCs w:val="28"/>
          <w:highlight w:val="none"/>
          <w:u w:val="none" w:color="auto"/>
          <w:lang w:val="en-US" w:eastAsia="zh-CN"/>
        </w:rPr>
        <w:t>85</w:t>
      </w:r>
      <w:r>
        <w:rPr>
          <w:rFonts w:hint="eastAsia" w:ascii="宋体" w:hAnsi="宋体" w:eastAsia="宋体" w:cs="宋体"/>
          <w:b w:val="0"/>
          <w:bCs w:val="0"/>
          <w:color w:val="auto"/>
          <w:kern w:val="2"/>
          <w:sz w:val="28"/>
          <w:szCs w:val="28"/>
          <w:highlight w:val="none"/>
          <w:u w:val="none" w:color="auto"/>
          <w:lang w:eastAsia="zh-CN"/>
        </w:rPr>
        <w:t>）</w:t>
      </w:r>
    </w:p>
    <w:p w14:paraId="35DE2D43">
      <w:pPr>
        <w:pStyle w:val="2"/>
        <w:keepNext w:val="0"/>
        <w:keepLines w:val="0"/>
        <w:pageBreakBefore w:val="0"/>
        <w:widowControl w:val="0"/>
        <w:tabs>
          <w:tab w:val="left" w:leader="dot" w:pos="7980"/>
        </w:tabs>
        <w:kinsoku/>
        <w:wordWrap/>
        <w:overflowPunct/>
        <w:topLinePunct w:val="0"/>
        <w:autoSpaceDE/>
        <w:autoSpaceDN/>
        <w:bidi w:val="0"/>
        <w:adjustRightInd/>
        <w:snapToGrid/>
        <w:spacing w:after="0" w:line="620" w:lineRule="exact"/>
        <w:ind w:firstLine="640" w:firstLineChars="200"/>
        <w:jc w:val="both"/>
        <w:textAlignment w:val="auto"/>
        <w:rPr>
          <w:rFonts w:hint="eastAsia" w:ascii="方正楷体_GBK" w:hAnsi="方正楷体_GBK" w:eastAsia="方正楷体_GBK" w:cs="方正楷体_GBK"/>
          <w:b w:val="0"/>
          <w:bCs w:val="0"/>
          <w:color w:val="auto"/>
          <w:kern w:val="2"/>
          <w:sz w:val="32"/>
          <w:szCs w:val="32"/>
          <w:highlight w:val="none"/>
          <w:u w:val="none" w:color="auto"/>
        </w:rPr>
      </w:pPr>
      <w:r>
        <w:rPr>
          <w:rFonts w:hint="eastAsia" w:ascii="方正楷体_GBK" w:hAnsi="方正楷体_GBK" w:eastAsia="方正楷体_GBK" w:cs="方正楷体_GBK"/>
          <w:b w:val="0"/>
          <w:bCs w:val="0"/>
          <w:color w:val="auto"/>
          <w:kern w:val="2"/>
          <w:sz w:val="32"/>
          <w:szCs w:val="32"/>
          <w:highlight w:val="none"/>
          <w:u w:val="none" w:color="auto"/>
        </w:rPr>
        <w:t>第四节  布局新型基础设施建设</w:t>
      </w:r>
      <w:r>
        <w:rPr>
          <w:rFonts w:hint="eastAsia" w:ascii="方正楷体_GBK" w:hAnsi="方正楷体_GBK" w:eastAsia="方正楷体_GBK" w:cs="方正楷体_GBK"/>
          <w:b w:val="0"/>
          <w:bCs w:val="0"/>
          <w:color w:val="auto"/>
          <w:kern w:val="2"/>
          <w:sz w:val="32"/>
          <w:szCs w:val="32"/>
          <w:highlight w:val="none"/>
          <w:u w:val="none" w:color="auto"/>
        </w:rPr>
        <w:tab/>
      </w:r>
      <w:r>
        <w:rPr>
          <w:rFonts w:hint="eastAsia" w:ascii="宋体" w:hAnsi="宋体" w:eastAsia="宋体" w:cs="宋体"/>
          <w:b w:val="0"/>
          <w:bCs w:val="0"/>
          <w:color w:val="auto"/>
          <w:kern w:val="2"/>
          <w:sz w:val="28"/>
          <w:szCs w:val="28"/>
          <w:highlight w:val="none"/>
          <w:u w:val="none" w:color="auto"/>
          <w:lang w:eastAsia="zh-CN"/>
        </w:rPr>
        <w:t>（</w:t>
      </w:r>
      <w:r>
        <w:rPr>
          <w:rFonts w:hint="default" w:ascii="宋体" w:hAnsi="宋体" w:eastAsia="宋体" w:cs="宋体"/>
          <w:b w:val="0"/>
          <w:bCs w:val="0"/>
          <w:color w:val="auto"/>
          <w:kern w:val="2"/>
          <w:sz w:val="28"/>
          <w:szCs w:val="28"/>
          <w:highlight w:val="none"/>
          <w:u w:val="none" w:color="auto"/>
          <w:lang w:val="en-US" w:eastAsia="zh-CN"/>
        </w:rPr>
        <w:t>86</w:t>
      </w:r>
      <w:r>
        <w:rPr>
          <w:rFonts w:hint="eastAsia" w:ascii="宋体" w:hAnsi="宋体" w:eastAsia="宋体" w:cs="宋体"/>
          <w:b w:val="0"/>
          <w:bCs w:val="0"/>
          <w:color w:val="auto"/>
          <w:kern w:val="2"/>
          <w:sz w:val="28"/>
          <w:szCs w:val="28"/>
          <w:highlight w:val="none"/>
          <w:u w:val="none" w:color="auto"/>
          <w:lang w:eastAsia="zh-CN"/>
        </w:rPr>
        <w:t>）</w:t>
      </w:r>
    </w:p>
    <w:p w14:paraId="193E3717">
      <w:pPr>
        <w:pStyle w:val="2"/>
        <w:keepNext w:val="0"/>
        <w:keepLines w:val="0"/>
        <w:pageBreakBefore w:val="0"/>
        <w:widowControl w:val="0"/>
        <w:tabs>
          <w:tab w:val="left" w:leader="dot" w:pos="7980"/>
        </w:tabs>
        <w:kinsoku/>
        <w:wordWrap/>
        <w:overflowPunct/>
        <w:topLinePunct w:val="0"/>
        <w:autoSpaceDE/>
        <w:autoSpaceDN/>
        <w:bidi w:val="0"/>
        <w:adjustRightInd/>
        <w:snapToGrid/>
        <w:spacing w:after="0" w:line="620" w:lineRule="exact"/>
        <w:jc w:val="both"/>
        <w:textAlignment w:val="auto"/>
        <w:rPr>
          <w:rFonts w:hint="eastAsia" w:ascii="方正黑体_GBK" w:hAnsi="方正黑体_GBK" w:eastAsia="方正黑体_GBK" w:cs="方正黑体_GBK"/>
          <w:b w:val="0"/>
          <w:bCs w:val="0"/>
          <w:color w:val="auto"/>
          <w:kern w:val="2"/>
          <w:sz w:val="32"/>
          <w:szCs w:val="32"/>
          <w:highlight w:val="none"/>
          <w:u w:val="none" w:color="auto"/>
        </w:rPr>
      </w:pPr>
      <w:r>
        <w:rPr>
          <w:rFonts w:hint="eastAsia" w:ascii="方正黑体_GBK" w:hAnsi="方正黑体_GBK" w:eastAsia="方正黑体_GBK" w:cs="方正黑体_GBK"/>
          <w:b w:val="0"/>
          <w:bCs w:val="0"/>
          <w:color w:val="auto"/>
          <w:kern w:val="2"/>
          <w:sz w:val="32"/>
          <w:szCs w:val="32"/>
          <w:highlight w:val="none"/>
          <w:u w:val="none" w:color="auto"/>
        </w:rPr>
        <w:t>第十二章  推进经济社会绿色转型发展 加快建设美丽辽源</w:t>
      </w:r>
      <w:r>
        <w:rPr>
          <w:rFonts w:hint="eastAsia" w:ascii="方正黑体_GBK" w:hAnsi="方正黑体_GBK" w:eastAsia="方正黑体_GBK" w:cs="方正黑体_GBK"/>
          <w:b w:val="0"/>
          <w:bCs w:val="0"/>
          <w:color w:val="auto"/>
          <w:kern w:val="2"/>
          <w:sz w:val="32"/>
          <w:szCs w:val="32"/>
          <w:highlight w:val="none"/>
          <w:u w:val="none" w:color="auto"/>
          <w:lang w:val="en-US" w:eastAsia="zh-CN"/>
        </w:rPr>
        <w:t>（</w:t>
      </w:r>
      <w:r>
        <w:rPr>
          <w:rFonts w:hint="eastAsia" w:ascii="方正黑体_GBK" w:hAnsi="方正黑体_GBK" w:eastAsia="方正黑体_GBK" w:cs="方正黑体_GBK"/>
          <w:b w:val="0"/>
          <w:bCs w:val="0"/>
          <w:color w:val="auto"/>
          <w:kern w:val="2"/>
          <w:sz w:val="32"/>
          <w:szCs w:val="32"/>
          <w:highlight w:val="none"/>
          <w:u w:val="none" w:color="auto"/>
        </w:rPr>
        <w:t>8</w:t>
      </w:r>
      <w:r>
        <w:rPr>
          <w:rFonts w:hint="eastAsia" w:ascii="方正黑体_GBK" w:hAnsi="方正黑体_GBK" w:eastAsia="方正黑体_GBK" w:cs="方正黑体_GBK"/>
          <w:b w:val="0"/>
          <w:bCs w:val="0"/>
          <w:color w:val="auto"/>
          <w:kern w:val="2"/>
          <w:sz w:val="32"/>
          <w:szCs w:val="32"/>
          <w:highlight w:val="none"/>
          <w:u w:val="none" w:color="auto"/>
          <w:lang w:val="en-US" w:eastAsia="zh-CN"/>
        </w:rPr>
        <w:t>8）</w:t>
      </w:r>
    </w:p>
    <w:p w14:paraId="60F5EC36">
      <w:pPr>
        <w:pStyle w:val="2"/>
        <w:keepNext w:val="0"/>
        <w:keepLines w:val="0"/>
        <w:pageBreakBefore w:val="0"/>
        <w:widowControl w:val="0"/>
        <w:tabs>
          <w:tab w:val="left" w:leader="dot" w:pos="7980"/>
        </w:tabs>
        <w:kinsoku/>
        <w:wordWrap/>
        <w:overflowPunct/>
        <w:topLinePunct w:val="0"/>
        <w:autoSpaceDE/>
        <w:autoSpaceDN/>
        <w:bidi w:val="0"/>
        <w:adjustRightInd/>
        <w:snapToGrid/>
        <w:spacing w:after="0" w:line="620" w:lineRule="exact"/>
        <w:ind w:firstLine="640" w:firstLineChars="200"/>
        <w:jc w:val="both"/>
        <w:textAlignment w:val="auto"/>
        <w:rPr>
          <w:rFonts w:hint="eastAsia" w:ascii="方正楷体_GBK" w:hAnsi="方正楷体_GBK" w:eastAsia="方正楷体_GBK" w:cs="方正楷体_GBK"/>
          <w:b w:val="0"/>
          <w:bCs w:val="0"/>
          <w:color w:val="auto"/>
          <w:kern w:val="2"/>
          <w:sz w:val="32"/>
          <w:szCs w:val="32"/>
          <w:highlight w:val="none"/>
          <w:u w:val="none" w:color="auto"/>
        </w:rPr>
      </w:pPr>
      <w:r>
        <w:rPr>
          <w:rFonts w:hint="eastAsia" w:ascii="方正楷体_GBK" w:hAnsi="方正楷体_GBK" w:eastAsia="方正楷体_GBK" w:cs="方正楷体_GBK"/>
          <w:b w:val="0"/>
          <w:bCs w:val="0"/>
          <w:color w:val="auto"/>
          <w:kern w:val="2"/>
          <w:sz w:val="32"/>
          <w:szCs w:val="32"/>
          <w:highlight w:val="none"/>
          <w:u w:val="none" w:color="auto"/>
        </w:rPr>
        <w:t>第一节  深入推进污染防治攻坚</w:t>
      </w:r>
      <w:r>
        <w:rPr>
          <w:rFonts w:hint="eastAsia" w:ascii="方正楷体_GBK" w:hAnsi="方正楷体_GBK" w:eastAsia="方正楷体_GBK" w:cs="方正楷体_GBK"/>
          <w:b w:val="0"/>
          <w:bCs w:val="0"/>
          <w:color w:val="auto"/>
          <w:kern w:val="2"/>
          <w:sz w:val="32"/>
          <w:szCs w:val="32"/>
          <w:highlight w:val="none"/>
          <w:u w:val="none" w:color="auto"/>
        </w:rPr>
        <w:tab/>
      </w:r>
      <w:r>
        <w:rPr>
          <w:rFonts w:hint="eastAsia" w:ascii="宋体" w:hAnsi="宋体" w:eastAsia="宋体" w:cs="宋体"/>
          <w:b w:val="0"/>
          <w:bCs w:val="0"/>
          <w:color w:val="auto"/>
          <w:kern w:val="2"/>
          <w:sz w:val="28"/>
          <w:szCs w:val="28"/>
          <w:highlight w:val="none"/>
          <w:u w:val="none" w:color="auto"/>
          <w:lang w:eastAsia="zh-CN"/>
        </w:rPr>
        <w:t>（</w:t>
      </w:r>
      <w:r>
        <w:rPr>
          <w:rFonts w:hint="eastAsia" w:ascii="宋体" w:hAnsi="宋体" w:eastAsia="宋体" w:cs="宋体"/>
          <w:b w:val="0"/>
          <w:bCs w:val="0"/>
          <w:color w:val="auto"/>
          <w:kern w:val="2"/>
          <w:sz w:val="28"/>
          <w:szCs w:val="28"/>
          <w:highlight w:val="none"/>
          <w:u w:val="none" w:color="auto"/>
          <w:lang w:val="en-US" w:eastAsia="zh-CN"/>
        </w:rPr>
        <w:t>88</w:t>
      </w:r>
      <w:r>
        <w:rPr>
          <w:rFonts w:hint="eastAsia" w:ascii="宋体" w:hAnsi="宋体" w:eastAsia="宋体" w:cs="宋体"/>
          <w:b w:val="0"/>
          <w:bCs w:val="0"/>
          <w:color w:val="auto"/>
          <w:kern w:val="2"/>
          <w:sz w:val="28"/>
          <w:szCs w:val="28"/>
          <w:highlight w:val="none"/>
          <w:u w:val="none" w:color="auto"/>
          <w:lang w:eastAsia="zh-CN"/>
        </w:rPr>
        <w:t>）</w:t>
      </w:r>
    </w:p>
    <w:p w14:paraId="228D37E5">
      <w:pPr>
        <w:pStyle w:val="2"/>
        <w:keepNext w:val="0"/>
        <w:keepLines w:val="0"/>
        <w:pageBreakBefore w:val="0"/>
        <w:widowControl w:val="0"/>
        <w:tabs>
          <w:tab w:val="left" w:leader="dot" w:pos="7980"/>
        </w:tabs>
        <w:kinsoku/>
        <w:wordWrap/>
        <w:overflowPunct/>
        <w:topLinePunct w:val="0"/>
        <w:autoSpaceDE/>
        <w:autoSpaceDN/>
        <w:bidi w:val="0"/>
        <w:adjustRightInd/>
        <w:snapToGrid/>
        <w:spacing w:after="0" w:line="620" w:lineRule="exact"/>
        <w:ind w:firstLine="640" w:firstLineChars="200"/>
        <w:jc w:val="both"/>
        <w:textAlignment w:val="auto"/>
        <w:rPr>
          <w:rFonts w:hint="eastAsia" w:ascii="方正楷体_GBK" w:hAnsi="方正楷体_GBK" w:eastAsia="方正楷体_GBK" w:cs="方正楷体_GBK"/>
          <w:b w:val="0"/>
          <w:bCs w:val="0"/>
          <w:color w:val="auto"/>
          <w:kern w:val="2"/>
          <w:sz w:val="32"/>
          <w:szCs w:val="32"/>
          <w:highlight w:val="none"/>
          <w:u w:val="none" w:color="auto"/>
        </w:rPr>
      </w:pPr>
      <w:r>
        <w:rPr>
          <w:rFonts w:hint="eastAsia" w:ascii="方正楷体_GBK" w:hAnsi="方正楷体_GBK" w:eastAsia="方正楷体_GBK" w:cs="方正楷体_GBK"/>
          <w:b w:val="0"/>
          <w:bCs w:val="0"/>
          <w:color w:val="auto"/>
          <w:kern w:val="2"/>
          <w:sz w:val="32"/>
          <w:szCs w:val="32"/>
          <w:highlight w:val="none"/>
          <w:u w:val="none" w:color="auto"/>
        </w:rPr>
        <w:t>第二节  持续加强生态系统保护修复</w:t>
      </w:r>
      <w:r>
        <w:rPr>
          <w:rFonts w:hint="eastAsia" w:ascii="方正楷体_GBK" w:hAnsi="方正楷体_GBK" w:eastAsia="方正楷体_GBK" w:cs="方正楷体_GBK"/>
          <w:b w:val="0"/>
          <w:bCs w:val="0"/>
          <w:color w:val="auto"/>
          <w:kern w:val="2"/>
          <w:sz w:val="32"/>
          <w:szCs w:val="32"/>
          <w:highlight w:val="none"/>
          <w:u w:val="none" w:color="auto"/>
        </w:rPr>
        <w:tab/>
      </w:r>
      <w:r>
        <w:rPr>
          <w:rFonts w:hint="eastAsia" w:ascii="宋体" w:hAnsi="宋体" w:eastAsia="宋体" w:cs="宋体"/>
          <w:b w:val="0"/>
          <w:bCs w:val="0"/>
          <w:color w:val="auto"/>
          <w:kern w:val="2"/>
          <w:sz w:val="28"/>
          <w:szCs w:val="28"/>
          <w:highlight w:val="none"/>
          <w:u w:val="none" w:color="auto"/>
          <w:lang w:eastAsia="zh-CN"/>
        </w:rPr>
        <w:t>（</w:t>
      </w:r>
      <w:r>
        <w:rPr>
          <w:rFonts w:hint="eastAsia" w:ascii="宋体" w:hAnsi="宋体" w:eastAsia="宋体" w:cs="宋体"/>
          <w:b w:val="0"/>
          <w:bCs w:val="0"/>
          <w:color w:val="auto"/>
          <w:kern w:val="2"/>
          <w:sz w:val="28"/>
          <w:szCs w:val="28"/>
          <w:highlight w:val="none"/>
          <w:u w:val="none" w:color="auto"/>
          <w:lang w:val="en-US" w:eastAsia="zh-CN"/>
        </w:rPr>
        <w:t>90</w:t>
      </w:r>
      <w:r>
        <w:rPr>
          <w:rFonts w:hint="eastAsia" w:ascii="宋体" w:hAnsi="宋体" w:eastAsia="宋体" w:cs="宋体"/>
          <w:b w:val="0"/>
          <w:bCs w:val="0"/>
          <w:color w:val="auto"/>
          <w:kern w:val="2"/>
          <w:sz w:val="28"/>
          <w:szCs w:val="28"/>
          <w:highlight w:val="none"/>
          <w:u w:val="none" w:color="auto"/>
          <w:lang w:eastAsia="zh-CN"/>
        </w:rPr>
        <w:t>）</w:t>
      </w:r>
    </w:p>
    <w:p w14:paraId="18CC91D1">
      <w:pPr>
        <w:pStyle w:val="2"/>
        <w:keepNext w:val="0"/>
        <w:keepLines w:val="0"/>
        <w:pageBreakBefore w:val="0"/>
        <w:widowControl w:val="0"/>
        <w:tabs>
          <w:tab w:val="left" w:leader="dot" w:pos="7980"/>
        </w:tabs>
        <w:kinsoku/>
        <w:wordWrap/>
        <w:overflowPunct/>
        <w:topLinePunct w:val="0"/>
        <w:autoSpaceDE/>
        <w:autoSpaceDN/>
        <w:bidi w:val="0"/>
        <w:adjustRightInd/>
        <w:snapToGrid/>
        <w:spacing w:after="0" w:line="620" w:lineRule="exact"/>
        <w:ind w:firstLine="640" w:firstLineChars="200"/>
        <w:jc w:val="both"/>
        <w:textAlignment w:val="auto"/>
        <w:rPr>
          <w:rFonts w:hint="eastAsia" w:ascii="方正楷体_GBK" w:hAnsi="方正楷体_GBK" w:eastAsia="方正楷体_GBK" w:cs="方正楷体_GBK"/>
          <w:b w:val="0"/>
          <w:bCs w:val="0"/>
          <w:color w:val="auto"/>
          <w:kern w:val="2"/>
          <w:sz w:val="32"/>
          <w:szCs w:val="32"/>
          <w:highlight w:val="none"/>
          <w:u w:val="none" w:color="auto"/>
        </w:rPr>
      </w:pPr>
      <w:r>
        <w:rPr>
          <w:rFonts w:hint="eastAsia" w:ascii="方正楷体_GBK" w:hAnsi="方正楷体_GBK" w:eastAsia="方正楷体_GBK" w:cs="方正楷体_GBK"/>
          <w:b w:val="0"/>
          <w:bCs w:val="0"/>
          <w:color w:val="auto"/>
          <w:kern w:val="2"/>
          <w:sz w:val="32"/>
          <w:szCs w:val="32"/>
          <w:highlight w:val="none"/>
          <w:u w:val="none" w:color="auto"/>
        </w:rPr>
        <w:t>第三节  积极稳妥推进和实现碳达峰</w:t>
      </w:r>
      <w:r>
        <w:rPr>
          <w:rFonts w:hint="eastAsia" w:ascii="方正楷体_GBK" w:hAnsi="方正楷体_GBK" w:eastAsia="方正楷体_GBK" w:cs="方正楷体_GBK"/>
          <w:b w:val="0"/>
          <w:bCs w:val="0"/>
          <w:color w:val="auto"/>
          <w:kern w:val="2"/>
          <w:sz w:val="32"/>
          <w:szCs w:val="32"/>
          <w:highlight w:val="none"/>
          <w:u w:val="none" w:color="auto"/>
        </w:rPr>
        <w:tab/>
      </w:r>
      <w:r>
        <w:rPr>
          <w:rFonts w:hint="eastAsia" w:ascii="宋体" w:hAnsi="宋体" w:eastAsia="宋体" w:cs="宋体"/>
          <w:b w:val="0"/>
          <w:bCs w:val="0"/>
          <w:color w:val="auto"/>
          <w:kern w:val="2"/>
          <w:sz w:val="28"/>
          <w:szCs w:val="28"/>
          <w:highlight w:val="none"/>
          <w:u w:val="none" w:color="auto"/>
          <w:lang w:eastAsia="zh-CN"/>
        </w:rPr>
        <w:t>（</w:t>
      </w:r>
      <w:r>
        <w:rPr>
          <w:rFonts w:hint="eastAsia" w:ascii="宋体" w:hAnsi="宋体" w:eastAsia="宋体" w:cs="宋体"/>
          <w:b w:val="0"/>
          <w:bCs w:val="0"/>
          <w:color w:val="auto"/>
          <w:kern w:val="2"/>
          <w:sz w:val="28"/>
          <w:szCs w:val="28"/>
          <w:highlight w:val="none"/>
          <w:u w:val="none" w:color="auto"/>
          <w:lang w:val="en-US" w:eastAsia="zh-CN"/>
        </w:rPr>
        <w:t>90</w:t>
      </w:r>
      <w:r>
        <w:rPr>
          <w:rFonts w:hint="eastAsia" w:ascii="宋体" w:hAnsi="宋体" w:eastAsia="宋体" w:cs="宋体"/>
          <w:b w:val="0"/>
          <w:bCs w:val="0"/>
          <w:color w:val="auto"/>
          <w:kern w:val="2"/>
          <w:sz w:val="28"/>
          <w:szCs w:val="28"/>
          <w:highlight w:val="none"/>
          <w:u w:val="none" w:color="auto"/>
          <w:lang w:eastAsia="zh-CN"/>
        </w:rPr>
        <w:t>）</w:t>
      </w:r>
    </w:p>
    <w:p w14:paraId="49726A5A">
      <w:pPr>
        <w:pStyle w:val="2"/>
        <w:keepNext w:val="0"/>
        <w:keepLines w:val="0"/>
        <w:pageBreakBefore w:val="0"/>
        <w:widowControl w:val="0"/>
        <w:tabs>
          <w:tab w:val="left" w:leader="dot" w:pos="7980"/>
        </w:tabs>
        <w:kinsoku/>
        <w:wordWrap/>
        <w:overflowPunct/>
        <w:topLinePunct w:val="0"/>
        <w:autoSpaceDE/>
        <w:autoSpaceDN/>
        <w:bidi w:val="0"/>
        <w:adjustRightInd/>
        <w:snapToGrid/>
        <w:spacing w:after="0" w:line="620" w:lineRule="exact"/>
        <w:ind w:firstLine="640" w:firstLineChars="200"/>
        <w:jc w:val="both"/>
        <w:textAlignment w:val="auto"/>
        <w:rPr>
          <w:rFonts w:hint="eastAsia" w:ascii="方正楷体_GBK" w:hAnsi="方正楷体_GBK" w:eastAsia="方正楷体_GBK" w:cs="方正楷体_GBK"/>
          <w:b w:val="0"/>
          <w:bCs w:val="0"/>
          <w:color w:val="auto"/>
          <w:kern w:val="2"/>
          <w:sz w:val="32"/>
          <w:szCs w:val="32"/>
          <w:highlight w:val="none"/>
          <w:u w:val="none" w:color="auto"/>
        </w:rPr>
      </w:pPr>
      <w:r>
        <w:rPr>
          <w:rFonts w:hint="eastAsia" w:ascii="方正楷体_GBK" w:hAnsi="方正楷体_GBK" w:eastAsia="方正楷体_GBK" w:cs="方正楷体_GBK"/>
          <w:b w:val="0"/>
          <w:bCs w:val="0"/>
          <w:color w:val="auto"/>
          <w:kern w:val="2"/>
          <w:sz w:val="32"/>
          <w:szCs w:val="32"/>
          <w:highlight w:val="none"/>
          <w:u w:val="none" w:color="auto"/>
        </w:rPr>
        <w:t>第四节  促进资源集约节约利用</w:t>
      </w:r>
      <w:r>
        <w:rPr>
          <w:rFonts w:hint="eastAsia" w:ascii="方正楷体_GBK" w:hAnsi="方正楷体_GBK" w:eastAsia="方正楷体_GBK" w:cs="方正楷体_GBK"/>
          <w:b w:val="0"/>
          <w:bCs w:val="0"/>
          <w:color w:val="auto"/>
          <w:kern w:val="2"/>
          <w:sz w:val="32"/>
          <w:szCs w:val="32"/>
          <w:highlight w:val="none"/>
          <w:u w:val="none" w:color="auto"/>
        </w:rPr>
        <w:tab/>
      </w:r>
      <w:r>
        <w:rPr>
          <w:rFonts w:hint="eastAsia" w:ascii="宋体" w:hAnsi="宋体" w:eastAsia="宋体" w:cs="宋体"/>
          <w:b w:val="0"/>
          <w:bCs w:val="0"/>
          <w:color w:val="auto"/>
          <w:kern w:val="2"/>
          <w:sz w:val="28"/>
          <w:szCs w:val="28"/>
          <w:highlight w:val="none"/>
          <w:u w:val="none" w:color="auto"/>
          <w:lang w:eastAsia="zh-CN"/>
        </w:rPr>
        <w:t>（</w:t>
      </w:r>
      <w:r>
        <w:rPr>
          <w:rFonts w:hint="eastAsia" w:ascii="宋体" w:hAnsi="宋体" w:eastAsia="宋体" w:cs="宋体"/>
          <w:b w:val="0"/>
          <w:bCs w:val="0"/>
          <w:color w:val="auto"/>
          <w:kern w:val="2"/>
          <w:sz w:val="28"/>
          <w:szCs w:val="28"/>
          <w:highlight w:val="none"/>
          <w:u w:val="none" w:color="auto"/>
          <w:lang w:val="en-US" w:eastAsia="zh-CN"/>
        </w:rPr>
        <w:t>91</w:t>
      </w:r>
      <w:r>
        <w:rPr>
          <w:rFonts w:hint="eastAsia" w:ascii="宋体" w:hAnsi="宋体" w:eastAsia="宋体" w:cs="宋体"/>
          <w:b w:val="0"/>
          <w:bCs w:val="0"/>
          <w:color w:val="auto"/>
          <w:kern w:val="2"/>
          <w:sz w:val="28"/>
          <w:szCs w:val="28"/>
          <w:highlight w:val="none"/>
          <w:u w:val="none" w:color="auto"/>
          <w:lang w:eastAsia="zh-CN"/>
        </w:rPr>
        <w:t>）</w:t>
      </w:r>
    </w:p>
    <w:p w14:paraId="656439FF">
      <w:pPr>
        <w:pStyle w:val="2"/>
        <w:keepNext w:val="0"/>
        <w:keepLines w:val="0"/>
        <w:pageBreakBefore w:val="0"/>
        <w:widowControl w:val="0"/>
        <w:tabs>
          <w:tab w:val="left" w:leader="dot" w:pos="7980"/>
        </w:tabs>
        <w:kinsoku/>
        <w:wordWrap/>
        <w:overflowPunct/>
        <w:topLinePunct w:val="0"/>
        <w:autoSpaceDE/>
        <w:autoSpaceDN/>
        <w:bidi w:val="0"/>
        <w:adjustRightInd/>
        <w:snapToGrid/>
        <w:spacing w:after="0" w:line="620" w:lineRule="exact"/>
        <w:jc w:val="both"/>
        <w:textAlignment w:val="auto"/>
        <w:rPr>
          <w:rFonts w:hint="eastAsia" w:ascii="方正黑体_GBK" w:hAnsi="方正黑体_GBK" w:eastAsia="方正黑体_GBK" w:cs="方正黑体_GBK"/>
          <w:b w:val="0"/>
          <w:bCs w:val="0"/>
          <w:color w:val="auto"/>
          <w:kern w:val="2"/>
          <w:sz w:val="32"/>
          <w:szCs w:val="32"/>
          <w:highlight w:val="none"/>
          <w:u w:val="none" w:color="auto"/>
        </w:rPr>
      </w:pPr>
      <w:r>
        <w:rPr>
          <w:rFonts w:hint="eastAsia" w:ascii="方正黑体_GBK" w:hAnsi="方正黑体_GBK" w:eastAsia="方正黑体_GBK" w:cs="方正黑体_GBK"/>
          <w:b w:val="0"/>
          <w:bCs w:val="0"/>
          <w:color w:val="auto"/>
          <w:kern w:val="2"/>
          <w:sz w:val="32"/>
          <w:szCs w:val="32"/>
          <w:highlight w:val="none"/>
          <w:u w:val="none" w:color="auto"/>
        </w:rPr>
        <w:t>第十三章  统筹高质量发展和高水平安全 建设更高水平平安辽</w:t>
      </w:r>
    </w:p>
    <w:p w14:paraId="79361CE1">
      <w:pPr>
        <w:pStyle w:val="2"/>
        <w:keepNext w:val="0"/>
        <w:keepLines w:val="0"/>
        <w:pageBreakBefore w:val="0"/>
        <w:widowControl w:val="0"/>
        <w:tabs>
          <w:tab w:val="left" w:leader="dot" w:pos="7980"/>
        </w:tabs>
        <w:kinsoku/>
        <w:wordWrap/>
        <w:overflowPunct/>
        <w:topLinePunct w:val="0"/>
        <w:autoSpaceDE/>
        <w:autoSpaceDN/>
        <w:bidi w:val="0"/>
        <w:adjustRightInd/>
        <w:snapToGrid/>
        <w:spacing w:after="0" w:line="620" w:lineRule="exact"/>
        <w:ind w:firstLine="1600" w:firstLineChars="500"/>
        <w:jc w:val="both"/>
        <w:textAlignment w:val="auto"/>
        <w:rPr>
          <w:rFonts w:hint="eastAsia" w:ascii="方正黑体_GBK" w:hAnsi="方正黑体_GBK" w:eastAsia="方正黑体_GBK" w:cs="方正黑体_GBK"/>
          <w:b w:val="0"/>
          <w:bCs w:val="0"/>
          <w:color w:val="auto"/>
          <w:kern w:val="2"/>
          <w:sz w:val="32"/>
          <w:szCs w:val="32"/>
          <w:highlight w:val="none"/>
          <w:u w:val="none" w:color="auto"/>
          <w:lang w:eastAsia="zh-CN"/>
        </w:rPr>
      </w:pPr>
      <w:r>
        <w:rPr>
          <w:rFonts w:hint="eastAsia" w:ascii="方正黑体_GBK" w:hAnsi="方正黑体_GBK" w:eastAsia="方正黑体_GBK" w:cs="方正黑体_GBK"/>
          <w:b w:val="0"/>
          <w:bCs w:val="0"/>
          <w:color w:val="auto"/>
          <w:kern w:val="2"/>
          <w:sz w:val="32"/>
          <w:szCs w:val="32"/>
          <w:highlight w:val="none"/>
          <w:u w:val="none" w:color="auto"/>
        </w:rPr>
        <w:t>源</w:t>
      </w:r>
      <w:r>
        <w:rPr>
          <w:rFonts w:hint="eastAsia" w:ascii="方正黑体_GBK" w:hAnsi="方正黑体_GBK" w:eastAsia="方正黑体_GBK" w:cs="方正黑体_GBK"/>
          <w:b w:val="0"/>
          <w:bCs w:val="0"/>
          <w:color w:val="auto"/>
          <w:kern w:val="2"/>
          <w:sz w:val="32"/>
          <w:szCs w:val="32"/>
          <w:highlight w:val="none"/>
          <w:u w:val="none" w:color="auto"/>
        </w:rPr>
        <w:tab/>
      </w:r>
      <w:r>
        <w:rPr>
          <w:rFonts w:hint="eastAsia" w:ascii="方正黑体_GBK" w:hAnsi="方正黑体_GBK" w:eastAsia="方正黑体_GBK" w:cs="方正黑体_GBK"/>
          <w:b w:val="0"/>
          <w:bCs w:val="0"/>
          <w:color w:val="auto"/>
          <w:kern w:val="2"/>
          <w:sz w:val="32"/>
          <w:szCs w:val="32"/>
          <w:highlight w:val="none"/>
          <w:u w:val="none" w:color="auto"/>
          <w:lang w:eastAsia="zh-CN"/>
        </w:rPr>
        <w:t>（</w:t>
      </w:r>
      <w:r>
        <w:rPr>
          <w:rFonts w:hint="eastAsia" w:ascii="方正黑体_GBK" w:hAnsi="方正黑体_GBK" w:eastAsia="方正黑体_GBK" w:cs="方正黑体_GBK"/>
          <w:b w:val="0"/>
          <w:bCs w:val="0"/>
          <w:color w:val="auto"/>
          <w:kern w:val="2"/>
          <w:sz w:val="32"/>
          <w:szCs w:val="32"/>
          <w:highlight w:val="none"/>
          <w:u w:val="none" w:color="auto"/>
          <w:lang w:val="en-US" w:eastAsia="zh-CN"/>
        </w:rPr>
        <w:t>93</w:t>
      </w:r>
      <w:r>
        <w:rPr>
          <w:rFonts w:hint="eastAsia" w:ascii="方正黑体_GBK" w:hAnsi="方正黑体_GBK" w:eastAsia="方正黑体_GBK" w:cs="方正黑体_GBK"/>
          <w:b w:val="0"/>
          <w:bCs w:val="0"/>
          <w:color w:val="auto"/>
          <w:kern w:val="2"/>
          <w:sz w:val="32"/>
          <w:szCs w:val="32"/>
          <w:highlight w:val="none"/>
          <w:u w:val="none" w:color="auto"/>
          <w:lang w:eastAsia="zh-CN"/>
        </w:rPr>
        <w:t>）</w:t>
      </w:r>
    </w:p>
    <w:p w14:paraId="2B250A62">
      <w:pPr>
        <w:pStyle w:val="2"/>
        <w:keepNext w:val="0"/>
        <w:keepLines w:val="0"/>
        <w:pageBreakBefore w:val="0"/>
        <w:widowControl w:val="0"/>
        <w:tabs>
          <w:tab w:val="left" w:leader="dot" w:pos="7980"/>
        </w:tabs>
        <w:kinsoku/>
        <w:wordWrap/>
        <w:overflowPunct/>
        <w:topLinePunct w:val="0"/>
        <w:autoSpaceDE/>
        <w:autoSpaceDN/>
        <w:bidi w:val="0"/>
        <w:adjustRightInd/>
        <w:snapToGrid/>
        <w:spacing w:after="0" w:line="620" w:lineRule="exact"/>
        <w:ind w:firstLine="640" w:firstLineChars="200"/>
        <w:jc w:val="both"/>
        <w:textAlignment w:val="auto"/>
        <w:rPr>
          <w:rFonts w:hint="eastAsia" w:ascii="方正楷体_GBK" w:hAnsi="方正楷体_GBK" w:eastAsia="方正楷体_GBK" w:cs="方正楷体_GBK"/>
          <w:b w:val="0"/>
          <w:bCs w:val="0"/>
          <w:color w:val="auto"/>
          <w:kern w:val="2"/>
          <w:sz w:val="32"/>
          <w:szCs w:val="32"/>
          <w:highlight w:val="none"/>
          <w:u w:val="none" w:color="auto"/>
        </w:rPr>
      </w:pPr>
      <w:r>
        <w:rPr>
          <w:rFonts w:hint="eastAsia" w:ascii="方正楷体_GBK" w:hAnsi="方正楷体_GBK" w:eastAsia="方正楷体_GBK" w:cs="方正楷体_GBK"/>
          <w:b w:val="0"/>
          <w:bCs w:val="0"/>
          <w:color w:val="auto"/>
          <w:kern w:val="2"/>
          <w:sz w:val="32"/>
          <w:szCs w:val="32"/>
          <w:highlight w:val="none"/>
          <w:u w:val="none" w:color="auto"/>
        </w:rPr>
        <w:t>第一节  坚决维护国家安全</w:t>
      </w:r>
      <w:r>
        <w:rPr>
          <w:rFonts w:hint="eastAsia" w:ascii="方正楷体_GBK" w:hAnsi="方正楷体_GBK" w:eastAsia="方正楷体_GBK" w:cs="方正楷体_GBK"/>
          <w:b w:val="0"/>
          <w:bCs w:val="0"/>
          <w:color w:val="auto"/>
          <w:kern w:val="2"/>
          <w:sz w:val="32"/>
          <w:szCs w:val="32"/>
          <w:highlight w:val="none"/>
          <w:u w:val="none" w:color="auto"/>
        </w:rPr>
        <w:tab/>
      </w:r>
      <w:r>
        <w:rPr>
          <w:rFonts w:hint="eastAsia" w:ascii="宋体" w:hAnsi="宋体" w:eastAsia="宋体" w:cs="宋体"/>
          <w:b w:val="0"/>
          <w:bCs w:val="0"/>
          <w:color w:val="auto"/>
          <w:kern w:val="2"/>
          <w:sz w:val="28"/>
          <w:szCs w:val="28"/>
          <w:highlight w:val="none"/>
          <w:u w:val="none" w:color="auto"/>
          <w:lang w:eastAsia="zh-CN"/>
        </w:rPr>
        <w:t>（</w:t>
      </w:r>
      <w:r>
        <w:rPr>
          <w:rFonts w:hint="eastAsia" w:ascii="宋体" w:hAnsi="宋体" w:eastAsia="宋体" w:cs="宋体"/>
          <w:b w:val="0"/>
          <w:bCs w:val="0"/>
          <w:color w:val="auto"/>
          <w:kern w:val="2"/>
          <w:sz w:val="28"/>
          <w:szCs w:val="28"/>
          <w:highlight w:val="none"/>
          <w:u w:val="none" w:color="auto"/>
          <w:lang w:val="en-US" w:eastAsia="zh-CN"/>
        </w:rPr>
        <w:t>93</w:t>
      </w:r>
      <w:r>
        <w:rPr>
          <w:rFonts w:hint="eastAsia" w:ascii="宋体" w:hAnsi="宋体" w:eastAsia="宋体" w:cs="宋体"/>
          <w:b w:val="0"/>
          <w:bCs w:val="0"/>
          <w:color w:val="auto"/>
          <w:kern w:val="2"/>
          <w:sz w:val="28"/>
          <w:szCs w:val="28"/>
          <w:highlight w:val="none"/>
          <w:u w:val="none" w:color="auto"/>
          <w:lang w:eastAsia="zh-CN"/>
        </w:rPr>
        <w:t>）</w:t>
      </w:r>
    </w:p>
    <w:p w14:paraId="75DC9F0F">
      <w:pPr>
        <w:pStyle w:val="2"/>
        <w:keepNext w:val="0"/>
        <w:keepLines w:val="0"/>
        <w:pageBreakBefore w:val="0"/>
        <w:widowControl w:val="0"/>
        <w:tabs>
          <w:tab w:val="left" w:leader="dot" w:pos="7980"/>
        </w:tabs>
        <w:kinsoku/>
        <w:wordWrap/>
        <w:overflowPunct/>
        <w:topLinePunct w:val="0"/>
        <w:autoSpaceDE/>
        <w:autoSpaceDN/>
        <w:bidi w:val="0"/>
        <w:adjustRightInd/>
        <w:snapToGrid/>
        <w:spacing w:after="0" w:line="620" w:lineRule="exact"/>
        <w:ind w:firstLine="640" w:firstLineChars="200"/>
        <w:jc w:val="both"/>
        <w:textAlignment w:val="auto"/>
        <w:rPr>
          <w:rFonts w:hint="eastAsia" w:ascii="方正楷体_GBK" w:hAnsi="方正楷体_GBK" w:eastAsia="方正楷体_GBK" w:cs="方正楷体_GBK"/>
          <w:b w:val="0"/>
          <w:bCs w:val="0"/>
          <w:color w:val="auto"/>
          <w:kern w:val="2"/>
          <w:sz w:val="32"/>
          <w:szCs w:val="32"/>
          <w:highlight w:val="none"/>
          <w:u w:val="none" w:color="auto"/>
        </w:rPr>
      </w:pPr>
      <w:r>
        <w:rPr>
          <w:rFonts w:hint="eastAsia" w:ascii="方正楷体_GBK" w:hAnsi="方正楷体_GBK" w:eastAsia="方正楷体_GBK" w:cs="方正楷体_GBK"/>
          <w:b w:val="0"/>
          <w:bCs w:val="0"/>
          <w:color w:val="auto"/>
          <w:kern w:val="2"/>
          <w:sz w:val="32"/>
          <w:szCs w:val="32"/>
          <w:highlight w:val="none"/>
          <w:u w:val="none" w:color="auto"/>
        </w:rPr>
        <w:t>第二节  有效防范化解重点领域风险</w:t>
      </w:r>
      <w:r>
        <w:rPr>
          <w:rFonts w:hint="eastAsia" w:ascii="方正楷体_GBK" w:hAnsi="方正楷体_GBK" w:eastAsia="方正楷体_GBK" w:cs="方正楷体_GBK"/>
          <w:b w:val="0"/>
          <w:bCs w:val="0"/>
          <w:color w:val="auto"/>
          <w:kern w:val="2"/>
          <w:sz w:val="32"/>
          <w:szCs w:val="32"/>
          <w:highlight w:val="none"/>
          <w:u w:val="none" w:color="auto"/>
        </w:rPr>
        <w:tab/>
      </w:r>
      <w:r>
        <w:rPr>
          <w:rFonts w:hint="eastAsia" w:ascii="宋体" w:hAnsi="宋体" w:eastAsia="宋体" w:cs="宋体"/>
          <w:b w:val="0"/>
          <w:bCs w:val="0"/>
          <w:color w:val="auto"/>
          <w:kern w:val="2"/>
          <w:sz w:val="28"/>
          <w:szCs w:val="28"/>
          <w:highlight w:val="none"/>
          <w:u w:val="none" w:color="auto"/>
          <w:lang w:eastAsia="zh-CN"/>
        </w:rPr>
        <w:t>（</w:t>
      </w:r>
      <w:r>
        <w:rPr>
          <w:rFonts w:hint="eastAsia" w:ascii="宋体" w:hAnsi="宋体" w:eastAsia="宋体" w:cs="宋体"/>
          <w:b w:val="0"/>
          <w:bCs w:val="0"/>
          <w:color w:val="auto"/>
          <w:kern w:val="2"/>
          <w:sz w:val="28"/>
          <w:szCs w:val="28"/>
          <w:highlight w:val="none"/>
          <w:u w:val="none" w:color="auto"/>
          <w:lang w:val="en-US" w:eastAsia="zh-CN"/>
        </w:rPr>
        <w:t>94</w:t>
      </w:r>
      <w:r>
        <w:rPr>
          <w:rFonts w:hint="eastAsia" w:ascii="宋体" w:hAnsi="宋体" w:eastAsia="宋体" w:cs="宋体"/>
          <w:b w:val="0"/>
          <w:bCs w:val="0"/>
          <w:color w:val="auto"/>
          <w:kern w:val="2"/>
          <w:sz w:val="28"/>
          <w:szCs w:val="28"/>
          <w:highlight w:val="none"/>
          <w:u w:val="none" w:color="auto"/>
          <w:lang w:eastAsia="zh-CN"/>
        </w:rPr>
        <w:t>）</w:t>
      </w:r>
    </w:p>
    <w:p w14:paraId="282CDC63">
      <w:pPr>
        <w:pStyle w:val="2"/>
        <w:keepNext w:val="0"/>
        <w:keepLines w:val="0"/>
        <w:pageBreakBefore w:val="0"/>
        <w:widowControl w:val="0"/>
        <w:tabs>
          <w:tab w:val="left" w:leader="dot" w:pos="7980"/>
        </w:tabs>
        <w:kinsoku/>
        <w:wordWrap/>
        <w:overflowPunct/>
        <w:topLinePunct w:val="0"/>
        <w:autoSpaceDE/>
        <w:autoSpaceDN/>
        <w:bidi w:val="0"/>
        <w:adjustRightInd/>
        <w:snapToGrid/>
        <w:spacing w:after="0" w:line="620" w:lineRule="exact"/>
        <w:ind w:firstLine="640" w:firstLineChars="200"/>
        <w:jc w:val="both"/>
        <w:textAlignment w:val="auto"/>
        <w:rPr>
          <w:rFonts w:hint="eastAsia" w:ascii="方正楷体_GBK" w:hAnsi="方正楷体_GBK" w:eastAsia="方正楷体_GBK" w:cs="方正楷体_GBK"/>
          <w:b w:val="0"/>
          <w:bCs w:val="0"/>
          <w:color w:val="auto"/>
          <w:kern w:val="2"/>
          <w:sz w:val="32"/>
          <w:szCs w:val="32"/>
          <w:highlight w:val="none"/>
          <w:u w:val="none" w:color="auto"/>
        </w:rPr>
      </w:pPr>
      <w:r>
        <w:rPr>
          <w:rFonts w:hint="eastAsia" w:ascii="方正楷体_GBK" w:hAnsi="方正楷体_GBK" w:eastAsia="方正楷体_GBK" w:cs="方正楷体_GBK"/>
          <w:b w:val="0"/>
          <w:bCs w:val="0"/>
          <w:color w:val="auto"/>
          <w:kern w:val="2"/>
          <w:sz w:val="32"/>
          <w:szCs w:val="32"/>
          <w:highlight w:val="none"/>
          <w:u w:val="none" w:color="auto"/>
        </w:rPr>
        <w:t>第三节  提高公共安全治理水平</w:t>
      </w:r>
      <w:r>
        <w:rPr>
          <w:rFonts w:hint="eastAsia" w:ascii="方正楷体_GBK" w:hAnsi="方正楷体_GBK" w:eastAsia="方正楷体_GBK" w:cs="方正楷体_GBK"/>
          <w:b w:val="0"/>
          <w:bCs w:val="0"/>
          <w:color w:val="auto"/>
          <w:kern w:val="2"/>
          <w:sz w:val="32"/>
          <w:szCs w:val="32"/>
          <w:highlight w:val="none"/>
          <w:u w:val="none" w:color="auto"/>
        </w:rPr>
        <w:tab/>
      </w:r>
      <w:r>
        <w:rPr>
          <w:rFonts w:hint="eastAsia" w:ascii="宋体" w:hAnsi="宋体" w:eastAsia="宋体" w:cs="宋体"/>
          <w:b w:val="0"/>
          <w:bCs w:val="0"/>
          <w:color w:val="auto"/>
          <w:kern w:val="2"/>
          <w:sz w:val="28"/>
          <w:szCs w:val="28"/>
          <w:highlight w:val="none"/>
          <w:u w:val="none" w:color="auto"/>
          <w:lang w:eastAsia="zh-CN"/>
        </w:rPr>
        <w:t>（</w:t>
      </w:r>
      <w:r>
        <w:rPr>
          <w:rFonts w:hint="eastAsia" w:ascii="宋体" w:hAnsi="宋体" w:eastAsia="宋体" w:cs="宋体"/>
          <w:b w:val="0"/>
          <w:bCs w:val="0"/>
          <w:color w:val="auto"/>
          <w:kern w:val="2"/>
          <w:sz w:val="28"/>
          <w:szCs w:val="28"/>
          <w:highlight w:val="none"/>
          <w:u w:val="none" w:color="auto"/>
          <w:lang w:val="en-US" w:eastAsia="zh-CN"/>
        </w:rPr>
        <w:t>94</w:t>
      </w:r>
      <w:r>
        <w:rPr>
          <w:rFonts w:hint="eastAsia" w:ascii="宋体" w:hAnsi="宋体" w:eastAsia="宋体" w:cs="宋体"/>
          <w:b w:val="0"/>
          <w:bCs w:val="0"/>
          <w:color w:val="auto"/>
          <w:kern w:val="2"/>
          <w:sz w:val="28"/>
          <w:szCs w:val="28"/>
          <w:highlight w:val="none"/>
          <w:u w:val="none" w:color="auto"/>
          <w:lang w:eastAsia="zh-CN"/>
        </w:rPr>
        <w:t>）</w:t>
      </w:r>
    </w:p>
    <w:p w14:paraId="2714F239">
      <w:pPr>
        <w:pStyle w:val="2"/>
        <w:keepNext w:val="0"/>
        <w:keepLines w:val="0"/>
        <w:pageBreakBefore w:val="0"/>
        <w:widowControl w:val="0"/>
        <w:tabs>
          <w:tab w:val="left" w:leader="dot" w:pos="7980"/>
        </w:tabs>
        <w:kinsoku/>
        <w:wordWrap/>
        <w:overflowPunct/>
        <w:topLinePunct w:val="0"/>
        <w:autoSpaceDE/>
        <w:autoSpaceDN/>
        <w:bidi w:val="0"/>
        <w:adjustRightInd/>
        <w:snapToGrid/>
        <w:spacing w:after="0" w:line="620" w:lineRule="exact"/>
        <w:ind w:firstLine="640" w:firstLineChars="200"/>
        <w:jc w:val="both"/>
        <w:textAlignment w:val="auto"/>
        <w:rPr>
          <w:rFonts w:hint="eastAsia" w:ascii="方正楷体_GBK" w:hAnsi="方正楷体_GBK" w:eastAsia="方正楷体_GBK" w:cs="方正楷体_GBK"/>
          <w:b w:val="0"/>
          <w:bCs w:val="0"/>
          <w:color w:val="auto"/>
          <w:kern w:val="2"/>
          <w:sz w:val="32"/>
          <w:szCs w:val="32"/>
          <w:highlight w:val="none"/>
          <w:u w:val="none" w:color="auto"/>
        </w:rPr>
      </w:pPr>
      <w:r>
        <w:rPr>
          <w:rFonts w:hint="eastAsia" w:ascii="方正楷体_GBK" w:hAnsi="方正楷体_GBK" w:eastAsia="方正楷体_GBK" w:cs="方正楷体_GBK"/>
          <w:b w:val="0"/>
          <w:bCs w:val="0"/>
          <w:color w:val="auto"/>
          <w:kern w:val="2"/>
          <w:sz w:val="32"/>
          <w:szCs w:val="32"/>
          <w:highlight w:val="none"/>
          <w:u w:val="none" w:color="auto"/>
        </w:rPr>
        <w:t>第四节  增强防灾减灾救灾能力</w:t>
      </w:r>
      <w:r>
        <w:rPr>
          <w:rFonts w:hint="eastAsia" w:ascii="方正楷体_GBK" w:hAnsi="方正楷体_GBK" w:eastAsia="方正楷体_GBK" w:cs="方正楷体_GBK"/>
          <w:b w:val="0"/>
          <w:bCs w:val="0"/>
          <w:color w:val="auto"/>
          <w:kern w:val="2"/>
          <w:sz w:val="32"/>
          <w:szCs w:val="32"/>
          <w:highlight w:val="none"/>
          <w:u w:val="none" w:color="auto"/>
        </w:rPr>
        <w:tab/>
      </w:r>
      <w:r>
        <w:rPr>
          <w:rFonts w:hint="eastAsia" w:ascii="宋体" w:hAnsi="宋体" w:eastAsia="宋体" w:cs="宋体"/>
          <w:b w:val="0"/>
          <w:bCs w:val="0"/>
          <w:color w:val="auto"/>
          <w:kern w:val="2"/>
          <w:sz w:val="28"/>
          <w:szCs w:val="28"/>
          <w:highlight w:val="none"/>
          <w:u w:val="none" w:color="auto"/>
          <w:lang w:eastAsia="zh-CN"/>
        </w:rPr>
        <w:t>（</w:t>
      </w:r>
      <w:r>
        <w:rPr>
          <w:rFonts w:hint="eastAsia" w:ascii="宋体" w:hAnsi="宋体" w:eastAsia="宋体" w:cs="宋体"/>
          <w:b w:val="0"/>
          <w:bCs w:val="0"/>
          <w:color w:val="auto"/>
          <w:kern w:val="2"/>
          <w:sz w:val="28"/>
          <w:szCs w:val="28"/>
          <w:highlight w:val="none"/>
          <w:u w:val="none" w:color="auto"/>
          <w:lang w:val="en-US" w:eastAsia="zh-CN"/>
        </w:rPr>
        <w:t>95</w:t>
      </w:r>
      <w:r>
        <w:rPr>
          <w:rFonts w:hint="eastAsia" w:ascii="宋体" w:hAnsi="宋体" w:eastAsia="宋体" w:cs="宋体"/>
          <w:b w:val="0"/>
          <w:bCs w:val="0"/>
          <w:color w:val="auto"/>
          <w:kern w:val="2"/>
          <w:sz w:val="28"/>
          <w:szCs w:val="28"/>
          <w:highlight w:val="none"/>
          <w:u w:val="none" w:color="auto"/>
          <w:lang w:eastAsia="zh-CN"/>
        </w:rPr>
        <w:t>）</w:t>
      </w:r>
    </w:p>
    <w:p w14:paraId="6FB2ECCC">
      <w:pPr>
        <w:pStyle w:val="2"/>
        <w:keepNext w:val="0"/>
        <w:keepLines w:val="0"/>
        <w:pageBreakBefore w:val="0"/>
        <w:widowControl w:val="0"/>
        <w:tabs>
          <w:tab w:val="left" w:leader="dot" w:pos="7980"/>
        </w:tabs>
        <w:kinsoku/>
        <w:wordWrap/>
        <w:overflowPunct/>
        <w:topLinePunct w:val="0"/>
        <w:autoSpaceDE/>
        <w:autoSpaceDN/>
        <w:bidi w:val="0"/>
        <w:adjustRightInd/>
        <w:snapToGrid/>
        <w:spacing w:after="0" w:line="620" w:lineRule="exact"/>
        <w:ind w:firstLine="640" w:firstLineChars="200"/>
        <w:jc w:val="both"/>
        <w:textAlignment w:val="auto"/>
        <w:rPr>
          <w:rFonts w:hint="eastAsia" w:ascii="方正楷体_GBK" w:hAnsi="方正楷体_GBK" w:eastAsia="方正楷体_GBK" w:cs="方正楷体_GBK"/>
          <w:b w:val="0"/>
          <w:bCs w:val="0"/>
          <w:color w:val="auto"/>
          <w:kern w:val="2"/>
          <w:sz w:val="32"/>
          <w:szCs w:val="32"/>
          <w:highlight w:val="none"/>
          <w:u w:val="none" w:color="auto"/>
        </w:rPr>
      </w:pPr>
      <w:r>
        <w:rPr>
          <w:rFonts w:hint="eastAsia" w:ascii="方正楷体_GBK" w:hAnsi="方正楷体_GBK" w:eastAsia="方正楷体_GBK" w:cs="方正楷体_GBK"/>
          <w:b w:val="0"/>
          <w:bCs w:val="0"/>
          <w:color w:val="auto"/>
          <w:kern w:val="2"/>
          <w:sz w:val="32"/>
          <w:szCs w:val="32"/>
          <w:highlight w:val="none"/>
          <w:u w:val="none" w:color="auto"/>
        </w:rPr>
        <w:t>第五节  完善现代化社会治理体系</w:t>
      </w:r>
      <w:r>
        <w:rPr>
          <w:rFonts w:hint="eastAsia" w:ascii="方正楷体_GBK" w:hAnsi="方正楷体_GBK" w:eastAsia="方正楷体_GBK" w:cs="方正楷体_GBK"/>
          <w:b w:val="0"/>
          <w:bCs w:val="0"/>
          <w:color w:val="auto"/>
          <w:kern w:val="2"/>
          <w:sz w:val="32"/>
          <w:szCs w:val="32"/>
          <w:highlight w:val="none"/>
          <w:u w:val="none" w:color="auto"/>
        </w:rPr>
        <w:tab/>
      </w:r>
      <w:r>
        <w:rPr>
          <w:rFonts w:hint="eastAsia" w:ascii="宋体" w:hAnsi="宋体" w:eastAsia="宋体" w:cs="宋体"/>
          <w:b w:val="0"/>
          <w:bCs w:val="0"/>
          <w:color w:val="auto"/>
          <w:kern w:val="2"/>
          <w:sz w:val="28"/>
          <w:szCs w:val="28"/>
          <w:highlight w:val="none"/>
          <w:u w:val="none" w:color="auto"/>
          <w:lang w:eastAsia="zh-CN"/>
        </w:rPr>
        <w:t>（</w:t>
      </w:r>
      <w:r>
        <w:rPr>
          <w:rFonts w:hint="eastAsia" w:ascii="宋体" w:hAnsi="宋体" w:eastAsia="宋体" w:cs="宋体"/>
          <w:b w:val="0"/>
          <w:bCs w:val="0"/>
          <w:color w:val="auto"/>
          <w:kern w:val="2"/>
          <w:sz w:val="28"/>
          <w:szCs w:val="28"/>
          <w:highlight w:val="none"/>
          <w:u w:val="none" w:color="auto"/>
          <w:lang w:val="en-US" w:eastAsia="zh-CN"/>
        </w:rPr>
        <w:t>96</w:t>
      </w:r>
      <w:r>
        <w:rPr>
          <w:rFonts w:hint="eastAsia" w:ascii="宋体" w:hAnsi="宋体" w:eastAsia="宋体" w:cs="宋体"/>
          <w:b w:val="0"/>
          <w:bCs w:val="0"/>
          <w:color w:val="auto"/>
          <w:kern w:val="2"/>
          <w:sz w:val="28"/>
          <w:szCs w:val="28"/>
          <w:highlight w:val="none"/>
          <w:u w:val="none" w:color="auto"/>
          <w:lang w:eastAsia="zh-CN"/>
        </w:rPr>
        <w:t>）</w:t>
      </w:r>
    </w:p>
    <w:p w14:paraId="3F9C7583">
      <w:pPr>
        <w:pStyle w:val="2"/>
        <w:keepNext w:val="0"/>
        <w:keepLines w:val="0"/>
        <w:pageBreakBefore w:val="0"/>
        <w:widowControl w:val="0"/>
        <w:tabs>
          <w:tab w:val="left" w:leader="dot" w:pos="7980"/>
        </w:tabs>
        <w:kinsoku/>
        <w:wordWrap/>
        <w:overflowPunct/>
        <w:topLinePunct w:val="0"/>
        <w:autoSpaceDE/>
        <w:autoSpaceDN/>
        <w:bidi w:val="0"/>
        <w:adjustRightInd/>
        <w:snapToGrid/>
        <w:spacing w:after="0" w:line="620" w:lineRule="exact"/>
        <w:jc w:val="both"/>
        <w:textAlignment w:val="auto"/>
        <w:rPr>
          <w:rFonts w:hint="eastAsia" w:ascii="方正黑体_GBK" w:hAnsi="方正黑体_GBK" w:eastAsia="方正黑体_GBK" w:cs="方正黑体_GBK"/>
          <w:b w:val="0"/>
          <w:bCs w:val="0"/>
          <w:color w:val="auto"/>
          <w:kern w:val="2"/>
          <w:sz w:val="32"/>
          <w:szCs w:val="32"/>
          <w:highlight w:val="none"/>
          <w:u w:val="none" w:color="auto"/>
        </w:rPr>
      </w:pPr>
      <w:r>
        <w:rPr>
          <w:rFonts w:hint="eastAsia" w:ascii="方正黑体_GBK" w:hAnsi="方正黑体_GBK" w:eastAsia="方正黑体_GBK" w:cs="方正黑体_GBK"/>
          <w:b w:val="0"/>
          <w:bCs w:val="0"/>
          <w:color w:val="auto"/>
          <w:kern w:val="2"/>
          <w:sz w:val="32"/>
          <w:szCs w:val="32"/>
          <w:highlight w:val="none"/>
          <w:u w:val="none" w:color="auto"/>
        </w:rPr>
        <w:t>第十四章  汇聚强大发展合力 奋力实现“十五五”规划目标任</w:t>
      </w:r>
    </w:p>
    <w:p w14:paraId="2293F4FA">
      <w:pPr>
        <w:pStyle w:val="2"/>
        <w:keepNext w:val="0"/>
        <w:keepLines w:val="0"/>
        <w:pageBreakBefore w:val="0"/>
        <w:widowControl w:val="0"/>
        <w:tabs>
          <w:tab w:val="left" w:leader="dot" w:pos="7980"/>
        </w:tabs>
        <w:kinsoku/>
        <w:wordWrap/>
        <w:overflowPunct/>
        <w:topLinePunct w:val="0"/>
        <w:autoSpaceDE/>
        <w:autoSpaceDN/>
        <w:bidi w:val="0"/>
        <w:adjustRightInd/>
        <w:snapToGrid/>
        <w:spacing w:after="0" w:line="620" w:lineRule="exact"/>
        <w:ind w:firstLine="1600" w:firstLineChars="500"/>
        <w:jc w:val="both"/>
        <w:textAlignment w:val="auto"/>
        <w:rPr>
          <w:rFonts w:hint="eastAsia" w:ascii="方正黑体_GBK" w:hAnsi="方正黑体_GBK" w:eastAsia="方正黑体_GBK" w:cs="方正黑体_GBK"/>
          <w:b w:val="0"/>
          <w:bCs w:val="0"/>
          <w:color w:val="auto"/>
          <w:kern w:val="2"/>
          <w:sz w:val="32"/>
          <w:szCs w:val="32"/>
          <w:highlight w:val="none"/>
          <w:u w:val="none" w:color="auto"/>
          <w:lang w:eastAsia="zh-CN"/>
        </w:rPr>
      </w:pPr>
      <w:r>
        <w:rPr>
          <w:rFonts w:hint="eastAsia" w:ascii="方正黑体_GBK" w:hAnsi="方正黑体_GBK" w:eastAsia="方正黑体_GBK" w:cs="方正黑体_GBK"/>
          <w:b w:val="0"/>
          <w:bCs w:val="0"/>
          <w:color w:val="auto"/>
          <w:kern w:val="2"/>
          <w:sz w:val="32"/>
          <w:szCs w:val="32"/>
          <w:highlight w:val="none"/>
          <w:u w:val="none" w:color="auto"/>
        </w:rPr>
        <w:t>务</w:t>
      </w:r>
      <w:r>
        <w:rPr>
          <w:rFonts w:hint="eastAsia" w:ascii="方正黑体_GBK" w:hAnsi="方正黑体_GBK" w:eastAsia="方正黑体_GBK" w:cs="方正黑体_GBK"/>
          <w:b w:val="0"/>
          <w:bCs w:val="0"/>
          <w:color w:val="auto"/>
          <w:kern w:val="2"/>
          <w:sz w:val="32"/>
          <w:szCs w:val="32"/>
          <w:highlight w:val="none"/>
          <w:u w:val="none" w:color="auto"/>
        </w:rPr>
        <w:tab/>
      </w:r>
      <w:r>
        <w:rPr>
          <w:rFonts w:hint="eastAsia" w:ascii="方正黑体_GBK" w:hAnsi="方正黑体_GBK" w:eastAsia="方正黑体_GBK" w:cs="方正黑体_GBK"/>
          <w:b w:val="0"/>
          <w:bCs w:val="0"/>
          <w:color w:val="auto"/>
          <w:kern w:val="2"/>
          <w:sz w:val="32"/>
          <w:szCs w:val="32"/>
          <w:highlight w:val="none"/>
          <w:u w:val="none" w:color="auto"/>
          <w:lang w:eastAsia="zh-CN"/>
        </w:rPr>
        <w:t>（</w:t>
      </w:r>
      <w:r>
        <w:rPr>
          <w:rFonts w:hint="eastAsia" w:ascii="方正黑体_GBK" w:hAnsi="方正黑体_GBK" w:eastAsia="方正黑体_GBK" w:cs="方正黑体_GBK"/>
          <w:b w:val="0"/>
          <w:bCs w:val="0"/>
          <w:color w:val="auto"/>
          <w:kern w:val="2"/>
          <w:sz w:val="32"/>
          <w:szCs w:val="32"/>
          <w:highlight w:val="none"/>
          <w:u w:val="none" w:color="auto"/>
          <w:lang w:val="en-US" w:eastAsia="zh-CN"/>
        </w:rPr>
        <w:t>98</w:t>
      </w:r>
      <w:r>
        <w:rPr>
          <w:rFonts w:hint="eastAsia" w:ascii="方正黑体_GBK" w:hAnsi="方正黑体_GBK" w:eastAsia="方正黑体_GBK" w:cs="方正黑体_GBK"/>
          <w:b w:val="0"/>
          <w:bCs w:val="0"/>
          <w:color w:val="auto"/>
          <w:kern w:val="2"/>
          <w:sz w:val="32"/>
          <w:szCs w:val="32"/>
          <w:highlight w:val="none"/>
          <w:u w:val="none" w:color="auto"/>
          <w:lang w:eastAsia="zh-CN"/>
        </w:rPr>
        <w:t>）</w:t>
      </w:r>
    </w:p>
    <w:p w14:paraId="264F8245">
      <w:pPr>
        <w:pStyle w:val="2"/>
        <w:keepNext w:val="0"/>
        <w:keepLines w:val="0"/>
        <w:pageBreakBefore w:val="0"/>
        <w:widowControl w:val="0"/>
        <w:tabs>
          <w:tab w:val="left" w:leader="dot" w:pos="7980"/>
        </w:tabs>
        <w:kinsoku/>
        <w:wordWrap/>
        <w:overflowPunct/>
        <w:topLinePunct w:val="0"/>
        <w:autoSpaceDE/>
        <w:autoSpaceDN/>
        <w:bidi w:val="0"/>
        <w:adjustRightInd/>
        <w:snapToGrid/>
        <w:spacing w:after="0" w:line="620" w:lineRule="exact"/>
        <w:ind w:firstLine="640" w:firstLineChars="200"/>
        <w:jc w:val="both"/>
        <w:textAlignment w:val="auto"/>
        <w:rPr>
          <w:rFonts w:hint="eastAsia" w:ascii="方正楷体_GBK" w:hAnsi="方正楷体_GBK" w:eastAsia="方正楷体_GBK" w:cs="方正楷体_GBK"/>
          <w:b w:val="0"/>
          <w:bCs w:val="0"/>
          <w:color w:val="auto"/>
          <w:kern w:val="2"/>
          <w:sz w:val="32"/>
          <w:szCs w:val="32"/>
          <w:highlight w:val="none"/>
          <w:u w:val="none" w:color="auto"/>
        </w:rPr>
      </w:pPr>
      <w:r>
        <w:rPr>
          <w:rFonts w:hint="eastAsia" w:ascii="方正楷体_GBK" w:hAnsi="方正楷体_GBK" w:eastAsia="方正楷体_GBK" w:cs="方正楷体_GBK"/>
          <w:b w:val="0"/>
          <w:bCs w:val="0"/>
          <w:color w:val="auto"/>
          <w:kern w:val="2"/>
          <w:sz w:val="32"/>
          <w:szCs w:val="32"/>
          <w:highlight w:val="none"/>
          <w:u w:val="none" w:color="auto"/>
        </w:rPr>
        <w:t>第一节  坚决维护党中央权威和集中统一领导</w:t>
      </w:r>
      <w:r>
        <w:rPr>
          <w:rFonts w:hint="eastAsia" w:ascii="方正楷体_GBK" w:hAnsi="方正楷体_GBK" w:eastAsia="方正楷体_GBK" w:cs="方正楷体_GBK"/>
          <w:b w:val="0"/>
          <w:bCs w:val="0"/>
          <w:color w:val="auto"/>
          <w:kern w:val="2"/>
          <w:sz w:val="32"/>
          <w:szCs w:val="32"/>
          <w:highlight w:val="none"/>
          <w:u w:val="none" w:color="auto"/>
        </w:rPr>
        <w:tab/>
      </w:r>
      <w:r>
        <w:rPr>
          <w:rFonts w:hint="eastAsia" w:ascii="宋体" w:hAnsi="宋体" w:eastAsia="宋体" w:cs="宋体"/>
          <w:b w:val="0"/>
          <w:bCs w:val="0"/>
          <w:color w:val="auto"/>
          <w:kern w:val="2"/>
          <w:sz w:val="28"/>
          <w:szCs w:val="28"/>
          <w:highlight w:val="none"/>
          <w:u w:val="none" w:color="auto"/>
          <w:lang w:eastAsia="zh-CN"/>
        </w:rPr>
        <w:t>（</w:t>
      </w:r>
      <w:r>
        <w:rPr>
          <w:rFonts w:hint="eastAsia" w:ascii="宋体" w:hAnsi="宋体" w:eastAsia="宋体" w:cs="宋体"/>
          <w:b w:val="0"/>
          <w:bCs w:val="0"/>
          <w:color w:val="auto"/>
          <w:kern w:val="2"/>
          <w:sz w:val="28"/>
          <w:szCs w:val="28"/>
          <w:highlight w:val="none"/>
          <w:u w:val="none" w:color="auto"/>
          <w:lang w:val="en-US" w:eastAsia="zh-CN"/>
        </w:rPr>
        <w:t>98</w:t>
      </w:r>
      <w:r>
        <w:rPr>
          <w:rFonts w:hint="eastAsia" w:ascii="宋体" w:hAnsi="宋体" w:eastAsia="宋体" w:cs="宋体"/>
          <w:b w:val="0"/>
          <w:bCs w:val="0"/>
          <w:color w:val="auto"/>
          <w:kern w:val="2"/>
          <w:sz w:val="28"/>
          <w:szCs w:val="28"/>
          <w:highlight w:val="none"/>
          <w:u w:val="none" w:color="auto"/>
          <w:lang w:eastAsia="zh-CN"/>
        </w:rPr>
        <w:t>）</w:t>
      </w:r>
    </w:p>
    <w:p w14:paraId="47F97283">
      <w:pPr>
        <w:pStyle w:val="2"/>
        <w:keepNext w:val="0"/>
        <w:keepLines w:val="0"/>
        <w:pageBreakBefore w:val="0"/>
        <w:widowControl w:val="0"/>
        <w:tabs>
          <w:tab w:val="left" w:leader="dot" w:pos="7980"/>
        </w:tabs>
        <w:kinsoku/>
        <w:wordWrap/>
        <w:overflowPunct/>
        <w:topLinePunct w:val="0"/>
        <w:autoSpaceDE/>
        <w:autoSpaceDN/>
        <w:bidi w:val="0"/>
        <w:adjustRightInd/>
        <w:snapToGrid/>
        <w:spacing w:after="0" w:line="620" w:lineRule="exact"/>
        <w:ind w:firstLine="640" w:firstLineChars="200"/>
        <w:jc w:val="both"/>
        <w:textAlignment w:val="auto"/>
        <w:rPr>
          <w:rFonts w:hint="eastAsia" w:ascii="方正楷体_GBK" w:hAnsi="方正楷体_GBK" w:eastAsia="方正楷体_GBK" w:cs="方正楷体_GBK"/>
          <w:b w:val="0"/>
          <w:bCs w:val="0"/>
          <w:color w:val="auto"/>
          <w:kern w:val="2"/>
          <w:sz w:val="32"/>
          <w:szCs w:val="32"/>
          <w:highlight w:val="none"/>
          <w:u w:val="none" w:color="auto"/>
        </w:rPr>
      </w:pPr>
      <w:r>
        <w:rPr>
          <w:rFonts w:hint="eastAsia" w:ascii="方正楷体_GBK" w:hAnsi="方正楷体_GBK" w:eastAsia="方正楷体_GBK" w:cs="方正楷体_GBK"/>
          <w:b w:val="0"/>
          <w:bCs w:val="0"/>
          <w:color w:val="auto"/>
          <w:kern w:val="2"/>
          <w:sz w:val="32"/>
          <w:szCs w:val="32"/>
          <w:highlight w:val="none"/>
          <w:u w:val="none" w:color="auto"/>
        </w:rPr>
        <w:t>第二节  加强社会主义民主法治建设</w:t>
      </w:r>
      <w:r>
        <w:rPr>
          <w:rFonts w:hint="eastAsia" w:ascii="方正楷体_GBK" w:hAnsi="方正楷体_GBK" w:eastAsia="方正楷体_GBK" w:cs="方正楷体_GBK"/>
          <w:b w:val="0"/>
          <w:bCs w:val="0"/>
          <w:color w:val="auto"/>
          <w:kern w:val="2"/>
          <w:sz w:val="32"/>
          <w:szCs w:val="32"/>
          <w:highlight w:val="none"/>
          <w:u w:val="none" w:color="auto"/>
        </w:rPr>
        <w:tab/>
      </w:r>
      <w:r>
        <w:rPr>
          <w:rFonts w:hint="eastAsia" w:ascii="宋体" w:hAnsi="宋体" w:eastAsia="宋体" w:cs="宋体"/>
          <w:b w:val="0"/>
          <w:bCs w:val="0"/>
          <w:color w:val="auto"/>
          <w:kern w:val="2"/>
          <w:sz w:val="28"/>
          <w:szCs w:val="28"/>
          <w:highlight w:val="none"/>
          <w:u w:val="none" w:color="auto"/>
          <w:lang w:eastAsia="zh-CN"/>
        </w:rPr>
        <w:t>（</w:t>
      </w:r>
      <w:r>
        <w:rPr>
          <w:rFonts w:hint="eastAsia" w:ascii="宋体" w:hAnsi="宋体" w:eastAsia="宋体" w:cs="宋体"/>
          <w:b w:val="0"/>
          <w:bCs w:val="0"/>
          <w:color w:val="auto"/>
          <w:kern w:val="2"/>
          <w:sz w:val="28"/>
          <w:szCs w:val="28"/>
          <w:highlight w:val="none"/>
          <w:u w:val="none" w:color="auto"/>
          <w:lang w:val="en-US" w:eastAsia="zh-CN"/>
        </w:rPr>
        <w:t>99</w:t>
      </w:r>
      <w:r>
        <w:rPr>
          <w:rFonts w:hint="eastAsia" w:ascii="宋体" w:hAnsi="宋体" w:eastAsia="宋体" w:cs="宋体"/>
          <w:b w:val="0"/>
          <w:bCs w:val="0"/>
          <w:color w:val="auto"/>
          <w:kern w:val="2"/>
          <w:sz w:val="28"/>
          <w:szCs w:val="28"/>
          <w:highlight w:val="none"/>
          <w:u w:val="none" w:color="auto"/>
          <w:lang w:eastAsia="zh-CN"/>
        </w:rPr>
        <w:t>）</w:t>
      </w:r>
    </w:p>
    <w:p w14:paraId="10AABD27">
      <w:pPr>
        <w:pStyle w:val="2"/>
        <w:keepNext w:val="0"/>
        <w:keepLines w:val="0"/>
        <w:pageBreakBefore w:val="0"/>
        <w:widowControl w:val="0"/>
        <w:tabs>
          <w:tab w:val="left" w:leader="dot" w:pos="7980"/>
        </w:tabs>
        <w:kinsoku/>
        <w:wordWrap/>
        <w:overflowPunct/>
        <w:topLinePunct w:val="0"/>
        <w:autoSpaceDE/>
        <w:autoSpaceDN/>
        <w:bidi w:val="0"/>
        <w:adjustRightInd/>
        <w:snapToGrid/>
        <w:spacing w:after="0" w:line="620" w:lineRule="exact"/>
        <w:ind w:firstLine="640" w:firstLineChars="200"/>
        <w:jc w:val="both"/>
        <w:textAlignment w:val="auto"/>
        <w:rPr>
          <w:rFonts w:hint="eastAsia" w:ascii="方正楷体_GBK" w:hAnsi="方正楷体_GBK" w:eastAsia="方正楷体_GBK" w:cs="方正楷体_GBK"/>
          <w:b w:val="0"/>
          <w:bCs w:val="0"/>
          <w:color w:val="auto"/>
          <w:kern w:val="2"/>
          <w:sz w:val="32"/>
          <w:szCs w:val="32"/>
          <w:highlight w:val="none"/>
          <w:u w:val="none" w:color="auto"/>
        </w:rPr>
      </w:pPr>
      <w:r>
        <w:rPr>
          <w:rFonts w:hint="eastAsia" w:ascii="方正楷体_GBK" w:hAnsi="方正楷体_GBK" w:eastAsia="方正楷体_GBK" w:cs="方正楷体_GBK"/>
          <w:b w:val="0"/>
          <w:bCs w:val="0"/>
          <w:color w:val="auto"/>
          <w:kern w:val="2"/>
          <w:sz w:val="32"/>
          <w:szCs w:val="32"/>
          <w:highlight w:val="none"/>
          <w:u w:val="none" w:color="auto"/>
        </w:rPr>
        <w:t>第三节  加强组织纪律保障支撑</w:t>
      </w:r>
      <w:r>
        <w:rPr>
          <w:rFonts w:hint="eastAsia" w:ascii="方正楷体_GBK" w:hAnsi="方正楷体_GBK" w:eastAsia="方正楷体_GBK" w:cs="方正楷体_GBK"/>
          <w:b w:val="0"/>
          <w:bCs w:val="0"/>
          <w:color w:val="auto"/>
          <w:kern w:val="2"/>
          <w:sz w:val="32"/>
          <w:szCs w:val="32"/>
          <w:highlight w:val="none"/>
          <w:u w:val="none" w:color="auto"/>
        </w:rPr>
        <w:tab/>
      </w:r>
      <w:r>
        <w:rPr>
          <w:rFonts w:hint="eastAsia" w:ascii="宋体" w:hAnsi="宋体" w:eastAsia="宋体" w:cs="宋体"/>
          <w:b w:val="0"/>
          <w:bCs w:val="0"/>
          <w:color w:val="auto"/>
          <w:kern w:val="2"/>
          <w:sz w:val="28"/>
          <w:szCs w:val="28"/>
          <w:highlight w:val="none"/>
          <w:u w:val="none" w:color="auto"/>
          <w:lang w:eastAsia="zh-CN"/>
        </w:rPr>
        <w:t>（</w:t>
      </w:r>
      <w:r>
        <w:rPr>
          <w:rFonts w:hint="eastAsia" w:ascii="宋体" w:hAnsi="宋体" w:eastAsia="宋体" w:cs="宋体"/>
          <w:b w:val="0"/>
          <w:bCs w:val="0"/>
          <w:color w:val="auto"/>
          <w:kern w:val="2"/>
          <w:sz w:val="28"/>
          <w:szCs w:val="28"/>
          <w:highlight w:val="none"/>
          <w:u w:val="none" w:color="auto"/>
          <w:lang w:val="en-US" w:eastAsia="zh-CN"/>
        </w:rPr>
        <w:t>101</w:t>
      </w:r>
      <w:r>
        <w:rPr>
          <w:rFonts w:hint="eastAsia" w:ascii="宋体" w:hAnsi="宋体" w:eastAsia="宋体" w:cs="宋体"/>
          <w:b w:val="0"/>
          <w:bCs w:val="0"/>
          <w:color w:val="auto"/>
          <w:kern w:val="2"/>
          <w:sz w:val="28"/>
          <w:szCs w:val="28"/>
          <w:highlight w:val="none"/>
          <w:u w:val="none" w:color="auto"/>
          <w:lang w:eastAsia="zh-CN"/>
        </w:rPr>
        <w:t>）</w:t>
      </w:r>
    </w:p>
    <w:p w14:paraId="1D18E469">
      <w:pPr>
        <w:pStyle w:val="2"/>
        <w:keepNext w:val="0"/>
        <w:keepLines w:val="0"/>
        <w:pageBreakBefore w:val="0"/>
        <w:widowControl w:val="0"/>
        <w:tabs>
          <w:tab w:val="left" w:leader="dot" w:pos="7980"/>
        </w:tabs>
        <w:kinsoku/>
        <w:wordWrap/>
        <w:overflowPunct/>
        <w:topLinePunct w:val="0"/>
        <w:autoSpaceDE/>
        <w:autoSpaceDN/>
        <w:bidi w:val="0"/>
        <w:adjustRightInd/>
        <w:snapToGrid/>
        <w:spacing w:after="0" w:line="620" w:lineRule="exact"/>
        <w:ind w:firstLine="616" w:firstLineChars="200"/>
        <w:jc w:val="both"/>
        <w:textAlignment w:val="auto"/>
        <w:rPr>
          <w:rFonts w:hint="eastAsia" w:ascii="CESI仿宋-GB13000" w:hAnsi="CESI仿宋-GB13000" w:eastAsia="CESI仿宋-GB13000" w:cs="CESI仿宋-GB13000"/>
          <w:b w:val="0"/>
          <w:bCs w:val="0"/>
          <w:color w:val="auto"/>
          <w:kern w:val="2"/>
          <w:sz w:val="32"/>
          <w:szCs w:val="32"/>
          <w:highlight w:val="none"/>
          <w:u w:val="none" w:color="auto"/>
          <w:lang w:eastAsia="zh-CN"/>
        </w:rPr>
      </w:pPr>
      <w:r>
        <w:rPr>
          <w:rFonts w:hint="eastAsia" w:ascii="方正楷体_GBK" w:hAnsi="方正楷体_GBK" w:eastAsia="方正楷体_GBK" w:cs="方正楷体_GBK"/>
          <w:b w:val="0"/>
          <w:bCs w:val="0"/>
          <w:color w:val="auto"/>
          <w:spacing w:val="-6"/>
          <w:kern w:val="2"/>
          <w:sz w:val="32"/>
          <w:szCs w:val="32"/>
          <w:highlight w:val="none"/>
          <w:u w:val="none" w:color="auto"/>
        </w:rPr>
        <w:t>第四节  健全完善规划实施体系</w:t>
      </w:r>
      <w:r>
        <w:rPr>
          <w:rFonts w:hint="eastAsia" w:ascii="方正楷体_GBK" w:hAnsi="方正楷体_GBK" w:eastAsia="方正楷体_GBK" w:cs="方正楷体_GBK"/>
          <w:b w:val="0"/>
          <w:bCs w:val="0"/>
          <w:color w:val="auto"/>
          <w:spacing w:val="-6"/>
          <w:kern w:val="2"/>
          <w:sz w:val="32"/>
          <w:szCs w:val="32"/>
          <w:highlight w:val="none"/>
          <w:u w:val="none" w:color="auto"/>
        </w:rPr>
        <w:tab/>
      </w:r>
      <w:r>
        <w:rPr>
          <w:rFonts w:hint="eastAsia" w:ascii="宋体" w:hAnsi="宋体" w:eastAsia="宋体" w:cs="宋体"/>
          <w:b w:val="0"/>
          <w:bCs w:val="0"/>
          <w:color w:val="auto"/>
          <w:kern w:val="2"/>
          <w:sz w:val="28"/>
          <w:szCs w:val="28"/>
          <w:highlight w:val="none"/>
          <w:u w:val="none" w:color="auto"/>
          <w:lang w:eastAsia="zh-CN"/>
        </w:rPr>
        <w:t>（</w:t>
      </w:r>
      <w:r>
        <w:rPr>
          <w:rFonts w:hint="eastAsia" w:ascii="宋体" w:hAnsi="宋体" w:eastAsia="宋体" w:cs="宋体"/>
          <w:b w:val="0"/>
          <w:bCs w:val="0"/>
          <w:color w:val="auto"/>
          <w:kern w:val="2"/>
          <w:sz w:val="28"/>
          <w:szCs w:val="28"/>
          <w:highlight w:val="none"/>
          <w:u w:val="none" w:color="auto"/>
          <w:lang w:val="en-US" w:eastAsia="zh-CN"/>
        </w:rPr>
        <w:t>102</w:t>
      </w:r>
      <w:r>
        <w:rPr>
          <w:rFonts w:hint="eastAsia" w:ascii="宋体" w:hAnsi="宋体" w:eastAsia="宋体" w:cs="宋体"/>
          <w:b w:val="0"/>
          <w:bCs w:val="0"/>
          <w:color w:val="auto"/>
          <w:kern w:val="2"/>
          <w:sz w:val="28"/>
          <w:szCs w:val="28"/>
          <w:highlight w:val="none"/>
          <w:u w:val="none" w:color="auto"/>
          <w:lang w:eastAsia="zh-CN"/>
        </w:rPr>
        <w:t>）</w:t>
      </w:r>
    </w:p>
    <w:p w14:paraId="0CC92548">
      <w:pPr>
        <w:pStyle w:val="2"/>
        <w:keepNext w:val="0"/>
        <w:keepLines w:val="0"/>
        <w:pageBreakBefore w:val="0"/>
        <w:widowControl w:val="0"/>
        <w:kinsoku/>
        <w:wordWrap/>
        <w:overflowPunct/>
        <w:topLinePunct w:val="0"/>
        <w:autoSpaceDE/>
        <w:autoSpaceDN/>
        <w:bidi w:val="0"/>
        <w:adjustRightInd/>
        <w:snapToGrid/>
        <w:spacing w:after="0" w:line="620" w:lineRule="exact"/>
        <w:ind w:firstLine="640" w:firstLineChars="200"/>
        <w:jc w:val="both"/>
        <w:textAlignment w:val="auto"/>
        <w:rPr>
          <w:rFonts w:hint="eastAsia" w:ascii="CESI仿宋-GB13000" w:hAnsi="CESI仿宋-GB13000" w:eastAsia="CESI仿宋-GB13000" w:cs="CESI仿宋-GB13000"/>
          <w:b w:val="0"/>
          <w:bCs w:val="0"/>
          <w:color w:val="auto"/>
          <w:kern w:val="2"/>
          <w:sz w:val="32"/>
          <w:szCs w:val="32"/>
          <w:highlight w:val="none"/>
          <w:u w:val="none" w:color="auto"/>
          <w:lang w:eastAsia="zh-CN"/>
        </w:rPr>
      </w:pPr>
    </w:p>
    <w:p w14:paraId="3D6C7D96">
      <w:pPr>
        <w:pStyle w:val="2"/>
        <w:keepNext w:val="0"/>
        <w:keepLines w:val="0"/>
        <w:pageBreakBefore w:val="0"/>
        <w:widowControl w:val="0"/>
        <w:kinsoku/>
        <w:wordWrap/>
        <w:overflowPunct/>
        <w:topLinePunct w:val="0"/>
        <w:autoSpaceDE/>
        <w:autoSpaceDN/>
        <w:bidi w:val="0"/>
        <w:adjustRightInd/>
        <w:snapToGrid/>
        <w:spacing w:after="0" w:line="620" w:lineRule="exact"/>
        <w:ind w:firstLine="640" w:firstLineChars="200"/>
        <w:jc w:val="both"/>
        <w:textAlignment w:val="auto"/>
        <w:rPr>
          <w:rFonts w:hint="eastAsia" w:ascii="CESI仿宋-GB13000" w:hAnsi="CESI仿宋-GB13000" w:eastAsia="CESI仿宋-GB13000" w:cs="CESI仿宋-GB13000"/>
          <w:b w:val="0"/>
          <w:bCs w:val="0"/>
          <w:color w:val="auto"/>
          <w:kern w:val="2"/>
          <w:sz w:val="32"/>
          <w:szCs w:val="32"/>
          <w:highlight w:val="none"/>
          <w:u w:val="none" w:color="auto"/>
          <w:lang w:eastAsia="zh-CN"/>
        </w:rPr>
      </w:pPr>
    </w:p>
    <w:p w14:paraId="0165B9AA">
      <w:pPr>
        <w:pStyle w:val="2"/>
        <w:keepNext w:val="0"/>
        <w:keepLines w:val="0"/>
        <w:pageBreakBefore w:val="0"/>
        <w:widowControl w:val="0"/>
        <w:kinsoku/>
        <w:wordWrap/>
        <w:overflowPunct/>
        <w:topLinePunct w:val="0"/>
        <w:autoSpaceDE/>
        <w:autoSpaceDN/>
        <w:bidi w:val="0"/>
        <w:adjustRightInd/>
        <w:snapToGrid/>
        <w:spacing w:after="0" w:line="620" w:lineRule="exact"/>
        <w:ind w:firstLine="640" w:firstLineChars="200"/>
        <w:jc w:val="both"/>
        <w:textAlignment w:val="auto"/>
        <w:rPr>
          <w:rFonts w:hint="eastAsia" w:ascii="方正仿宋_GBK" w:hAnsi="方正仿宋_GBK" w:eastAsia="方正仿宋_GBK" w:cs="方正仿宋_GBK"/>
          <w:b w:val="0"/>
          <w:bCs w:val="0"/>
          <w:color w:val="auto"/>
          <w:kern w:val="2"/>
          <w:sz w:val="32"/>
          <w:szCs w:val="32"/>
          <w:highlight w:val="none"/>
          <w:u w:val="none" w:color="auto"/>
          <w:lang w:eastAsia="zh-CN"/>
        </w:rPr>
        <w:sectPr>
          <w:footerReference r:id="rId4" w:type="default"/>
          <w:pgSz w:w="11906" w:h="16838"/>
          <w:pgMar w:top="2098" w:right="1474" w:bottom="1984" w:left="1587" w:header="851" w:footer="1474" w:gutter="0"/>
          <w:pgBorders>
            <w:top w:val="none" w:sz="0" w:space="0"/>
            <w:left w:val="none" w:sz="0" w:space="0"/>
            <w:bottom w:val="none" w:sz="0" w:space="0"/>
            <w:right w:val="none" w:sz="0" w:space="0"/>
          </w:pgBorders>
          <w:pgNumType w:fmt="decimalFullWidth"/>
          <w:cols w:space="720" w:num="1"/>
          <w:rtlGutter w:val="0"/>
          <w:docGrid w:type="lines" w:linePitch="312" w:charSpace="0"/>
        </w:sectPr>
      </w:pPr>
    </w:p>
    <w:p w14:paraId="49D52C0E">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方正仿宋_GBK" w:hAnsi="方正仿宋_GBK" w:eastAsia="方正仿宋_GBK" w:cs="方正仿宋_GBK"/>
          <w:b w:val="0"/>
          <w:bCs w:val="0"/>
          <w:color w:val="auto"/>
          <w:kern w:val="2"/>
          <w:sz w:val="32"/>
          <w:szCs w:val="32"/>
          <w:highlight w:val="none"/>
          <w:u w:val="none" w:color="auto"/>
          <w:lang w:eastAsia="zh-CN"/>
        </w:rPr>
      </w:pPr>
      <w:r>
        <w:rPr>
          <w:rFonts w:hint="eastAsia" w:ascii="方正仿宋_GBK" w:hAnsi="方正仿宋_GBK" w:eastAsia="方正仿宋_GBK" w:cs="方正仿宋_GBK"/>
          <w:b w:val="0"/>
          <w:bCs w:val="0"/>
          <w:color w:val="auto"/>
          <w:kern w:val="2"/>
          <w:sz w:val="32"/>
          <w:szCs w:val="32"/>
          <w:highlight w:val="none"/>
          <w:u w:val="none" w:color="auto"/>
          <w:lang w:eastAsia="zh-CN"/>
        </w:rPr>
        <w:t>本规划根据《中共辽源市委关于制定辽源市国民经济和社会发展第十五个五年规划的建议》（辽发</w:t>
      </w:r>
      <w:r>
        <w:rPr>
          <w:rFonts w:hint="default" w:ascii="Times New Roman" w:hAnsi="Times New Roman" w:eastAsia="方正仿宋_GBK" w:cs="Times New Roman"/>
          <w:color w:val="auto"/>
          <w:sz w:val="32"/>
          <w:szCs w:val="32"/>
        </w:rPr>
        <w:t>〔</w:t>
      </w:r>
      <w:r>
        <w:rPr>
          <w:rFonts w:hint="eastAsia" w:ascii="方正仿宋_GBK" w:hAnsi="方正仿宋_GBK" w:eastAsia="方正仿宋_GBK" w:cs="方正仿宋_GBK"/>
          <w:color w:val="auto"/>
          <w:sz w:val="32"/>
          <w:szCs w:val="32"/>
        </w:rPr>
        <w:t>20</w:t>
      </w:r>
      <w:r>
        <w:rPr>
          <w:rFonts w:hint="eastAsia" w:ascii="方正仿宋_GBK" w:hAnsi="方正仿宋_GBK" w:eastAsia="方正仿宋_GBK" w:cs="方正仿宋_GBK"/>
          <w:color w:val="auto"/>
          <w:sz w:val="32"/>
          <w:szCs w:val="32"/>
          <w:lang w:val="en-US" w:eastAsia="zh-CN"/>
        </w:rPr>
        <w:t>26</w:t>
      </w:r>
      <w:r>
        <w:rPr>
          <w:rFonts w:hint="default" w:ascii="Times New Roman" w:hAnsi="Times New Roman" w:eastAsia="方正仿宋_GBK" w:cs="Times New Roman"/>
          <w:color w:val="auto"/>
          <w:sz w:val="32"/>
          <w:szCs w:val="32"/>
        </w:rPr>
        <w:t>〕</w:t>
      </w:r>
      <w:r>
        <w:rPr>
          <w:rFonts w:hint="eastAsia" w:ascii="方正仿宋_GBK" w:hAnsi="方正仿宋_GBK" w:eastAsia="方正仿宋_GBK" w:cs="方正仿宋_GBK"/>
          <w:color w:val="auto"/>
          <w:sz w:val="32"/>
          <w:szCs w:val="32"/>
          <w:lang w:val="en-US" w:eastAsia="zh-CN"/>
        </w:rPr>
        <w:t>6</w:t>
      </w:r>
      <w:r>
        <w:rPr>
          <w:rFonts w:hint="eastAsia" w:eastAsia="方正仿宋_GBK" w:cs="Times New Roman"/>
          <w:color w:val="auto"/>
          <w:sz w:val="32"/>
          <w:szCs w:val="32"/>
          <w:lang w:val="en-US" w:eastAsia="zh-CN"/>
        </w:rPr>
        <w:t>号</w:t>
      </w:r>
      <w:r>
        <w:rPr>
          <w:rFonts w:hint="eastAsia" w:ascii="方正仿宋_GBK" w:hAnsi="方正仿宋_GBK" w:eastAsia="方正仿宋_GBK" w:cs="方正仿宋_GBK"/>
          <w:b w:val="0"/>
          <w:bCs w:val="0"/>
          <w:color w:val="auto"/>
          <w:kern w:val="2"/>
          <w:sz w:val="32"/>
          <w:szCs w:val="32"/>
          <w:highlight w:val="none"/>
          <w:u w:val="none" w:color="auto"/>
          <w:lang w:eastAsia="zh-CN"/>
        </w:rPr>
        <w:t>）编制，主要阐明“十五五”期间的经济社会发展战略意图，明确发展方向和工作重点，是各县区政府和部门、单位依法履行工作职责、编制和实施各类专项规划以及制定相关政策的重要依据，是全市人民共同奋斗的行动纲领。</w:t>
      </w:r>
    </w:p>
    <w:p w14:paraId="546AF623">
      <w:pPr>
        <w:pStyle w:val="2"/>
        <w:keepNext w:val="0"/>
        <w:keepLines w:val="0"/>
        <w:pageBreakBefore w:val="0"/>
        <w:widowControl w:val="0"/>
        <w:kinsoku/>
        <w:wordWrap/>
        <w:overflowPunct/>
        <w:topLinePunct w:val="0"/>
        <w:autoSpaceDE/>
        <w:autoSpaceDN/>
        <w:bidi w:val="0"/>
        <w:adjustRightInd/>
        <w:snapToGrid/>
        <w:spacing w:before="157" w:beforeLines="50" w:after="157" w:afterLines="50" w:line="574" w:lineRule="exact"/>
        <w:ind w:left="0" w:leftChars="0" w:firstLine="0" w:firstLineChars="0"/>
        <w:jc w:val="center"/>
        <w:textAlignment w:val="auto"/>
        <w:rPr>
          <w:rFonts w:hint="eastAsia" w:ascii="方正小标宋_GBK" w:hAnsi="方正小标宋_GBK" w:eastAsia="方正小标宋_GBK" w:cs="方正小标宋_GBK"/>
          <w:b w:val="0"/>
          <w:bCs w:val="0"/>
          <w:color w:val="auto"/>
          <w:kern w:val="2"/>
          <w:sz w:val="36"/>
          <w:szCs w:val="36"/>
          <w:highlight w:val="none"/>
          <w:u w:val="none" w:color="auto"/>
          <w:lang w:eastAsia="zh-CN"/>
        </w:rPr>
      </w:pPr>
      <w:r>
        <w:rPr>
          <w:rFonts w:hint="eastAsia" w:ascii="方正小标宋_GBK" w:hAnsi="方正小标宋_GBK" w:eastAsia="方正小标宋_GBK" w:cs="方正小标宋_GBK"/>
          <w:b w:val="0"/>
          <w:bCs w:val="0"/>
          <w:color w:val="auto"/>
          <w:kern w:val="2"/>
          <w:sz w:val="36"/>
          <w:szCs w:val="36"/>
          <w:highlight w:val="none"/>
          <w:u w:val="none" w:color="auto"/>
          <w:lang w:eastAsia="zh-CN"/>
        </w:rPr>
        <w:t>第一章  夯实高质量发展基础</w:t>
      </w:r>
    </w:p>
    <w:p w14:paraId="6D028077">
      <w:pPr>
        <w:pStyle w:val="2"/>
        <w:keepNext w:val="0"/>
        <w:keepLines w:val="0"/>
        <w:pageBreakBefore w:val="0"/>
        <w:widowControl w:val="0"/>
        <w:kinsoku/>
        <w:wordWrap/>
        <w:overflowPunct/>
        <w:topLinePunct w:val="0"/>
        <w:autoSpaceDE/>
        <w:autoSpaceDN/>
        <w:bidi w:val="0"/>
        <w:adjustRightInd/>
        <w:snapToGrid/>
        <w:spacing w:before="157" w:beforeLines="50" w:after="157" w:afterLines="50" w:line="574" w:lineRule="exact"/>
        <w:ind w:left="0" w:leftChars="0" w:firstLine="0" w:firstLineChars="0"/>
        <w:jc w:val="center"/>
        <w:textAlignment w:val="auto"/>
        <w:rPr>
          <w:rFonts w:hint="eastAsia" w:ascii="方正小标宋_GBK" w:hAnsi="方正小标宋_GBK" w:eastAsia="方正小标宋_GBK" w:cs="方正小标宋_GBK"/>
          <w:b w:val="0"/>
          <w:bCs w:val="0"/>
          <w:color w:val="auto"/>
          <w:kern w:val="2"/>
          <w:sz w:val="36"/>
          <w:szCs w:val="36"/>
          <w:highlight w:val="none"/>
          <w:u w:val="none" w:color="auto"/>
          <w:lang w:eastAsia="zh-CN"/>
        </w:rPr>
      </w:pPr>
      <w:r>
        <w:rPr>
          <w:rFonts w:hint="eastAsia" w:ascii="方正小标宋_GBK" w:hAnsi="方正小标宋_GBK" w:eastAsia="方正小标宋_GBK" w:cs="方正小标宋_GBK"/>
          <w:b w:val="0"/>
          <w:bCs w:val="0"/>
          <w:color w:val="auto"/>
          <w:kern w:val="2"/>
          <w:sz w:val="36"/>
          <w:szCs w:val="36"/>
          <w:highlight w:val="none"/>
          <w:u w:val="none" w:color="auto"/>
          <w:lang w:eastAsia="zh-CN"/>
        </w:rPr>
        <w:t>开启全面建设社会主义现代化辽源新篇章</w:t>
      </w:r>
    </w:p>
    <w:p w14:paraId="12EC848C">
      <w:pPr>
        <w:pStyle w:val="2"/>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left="0" w:leftChars="0" w:firstLine="0" w:firstLineChars="0"/>
        <w:jc w:val="center"/>
        <w:textAlignment w:val="auto"/>
        <w:rPr>
          <w:rFonts w:hint="eastAsia" w:ascii="方正黑体_GBK" w:hAnsi="方正黑体_GBK" w:eastAsia="方正黑体_GBK" w:cs="方正黑体_GBK"/>
          <w:b w:val="0"/>
          <w:bCs w:val="0"/>
          <w:color w:val="auto"/>
          <w:kern w:val="2"/>
          <w:sz w:val="32"/>
          <w:szCs w:val="32"/>
          <w:highlight w:val="none"/>
          <w:u w:val="none" w:color="auto"/>
          <w:lang w:eastAsia="zh-CN"/>
        </w:rPr>
      </w:pPr>
      <w:r>
        <w:rPr>
          <w:rFonts w:hint="eastAsia" w:ascii="方正黑体_GBK" w:hAnsi="方正黑体_GBK" w:eastAsia="方正黑体_GBK" w:cs="方正黑体_GBK"/>
          <w:b w:val="0"/>
          <w:bCs w:val="0"/>
          <w:color w:val="auto"/>
          <w:kern w:val="2"/>
          <w:sz w:val="32"/>
          <w:szCs w:val="32"/>
          <w:highlight w:val="none"/>
          <w:u w:val="none" w:color="auto"/>
          <w:lang w:eastAsia="zh-CN"/>
        </w:rPr>
        <w:t>第一节　发展基础</w:t>
      </w:r>
    </w:p>
    <w:p w14:paraId="7466DE9B">
      <w:pPr>
        <w:pStyle w:val="2"/>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640" w:firstLineChars="200"/>
        <w:jc w:val="both"/>
        <w:textAlignment w:val="auto"/>
        <w:rPr>
          <w:rFonts w:hint="eastAsia" w:ascii="方正仿宋_GBK" w:hAnsi="方正仿宋_GBK" w:eastAsia="方正仿宋_GBK" w:cs="方正仿宋_GBK"/>
          <w:b w:val="0"/>
          <w:bCs w:val="0"/>
          <w:color w:val="auto"/>
          <w:kern w:val="2"/>
          <w:sz w:val="32"/>
          <w:szCs w:val="32"/>
          <w:highlight w:val="none"/>
          <w:u w:val="none" w:color="auto"/>
          <w:lang w:eastAsia="zh-CN"/>
        </w:rPr>
      </w:pPr>
      <w:r>
        <w:rPr>
          <w:rFonts w:hint="eastAsia" w:ascii="方正仿宋_GBK" w:hAnsi="方正仿宋_GBK" w:eastAsia="方正仿宋_GBK" w:cs="方正仿宋_GBK"/>
          <w:b w:val="0"/>
          <w:bCs w:val="0"/>
          <w:color w:val="auto"/>
          <w:kern w:val="2"/>
          <w:sz w:val="32"/>
          <w:szCs w:val="32"/>
          <w:highlight w:val="none"/>
          <w:u w:val="none" w:color="auto"/>
          <w:lang w:eastAsia="zh-CN"/>
        </w:rPr>
        <w:t>“十四五”时期，面对错综复杂的国际形势、艰巨繁重的改革发展稳定任务和世纪疫情严重冲击，我市坚持以习近平新时代中国特色社会主义思想为指导，深入贯彻习近平总书记关于新时代推动东北全面振兴和吉林工作的重要讲话重要指示批示精神，坚决落实党中央、国务院决策部署及省委、省政府工作安排，牢牢把握高质量发展首要任务，因地制宜发展新质生产力，坚定不移抓产业、抓项目、抓环境，服务民营企业，推动经济社会发展取得新进展、新成效，辽源全面振兴的基础进一步夯实。</w:t>
      </w:r>
    </w:p>
    <w:p w14:paraId="572239ED">
      <w:pPr>
        <w:pStyle w:val="2"/>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640" w:firstLineChars="200"/>
        <w:jc w:val="both"/>
        <w:textAlignment w:val="auto"/>
        <w:rPr>
          <w:rFonts w:hint="eastAsia" w:ascii="方正仿宋_GBK" w:hAnsi="方正仿宋_GBK" w:eastAsia="方正仿宋_GBK" w:cs="方正仿宋_GBK"/>
          <w:b w:val="0"/>
          <w:bCs w:val="0"/>
          <w:color w:val="auto"/>
          <w:kern w:val="2"/>
          <w:sz w:val="32"/>
          <w:szCs w:val="32"/>
          <w:highlight w:val="none"/>
          <w:u w:val="none" w:color="auto"/>
          <w:lang w:eastAsia="zh-CN"/>
        </w:rPr>
      </w:pPr>
      <w:r>
        <w:rPr>
          <w:rFonts w:hint="eastAsia" w:ascii="方正楷体_GBK" w:hAnsi="方正楷体_GBK" w:eastAsia="方正楷体_GBK" w:cs="方正楷体_GBK"/>
          <w:b w:val="0"/>
          <w:bCs w:val="0"/>
          <w:color w:val="auto"/>
          <w:kern w:val="2"/>
          <w:sz w:val="32"/>
          <w:szCs w:val="32"/>
          <w:highlight w:val="none"/>
          <w:u w:val="none" w:color="auto"/>
          <w:lang w:eastAsia="zh-CN"/>
        </w:rPr>
        <w:t>高质量发展纵深突破。</w:t>
      </w:r>
      <w:r>
        <w:rPr>
          <w:rFonts w:hint="eastAsia" w:ascii="方正仿宋_GBK" w:hAnsi="方正仿宋_GBK" w:eastAsia="方正仿宋_GBK" w:cs="方正仿宋_GBK"/>
          <w:b w:val="0"/>
          <w:bCs w:val="0"/>
          <w:color w:val="auto"/>
          <w:kern w:val="2"/>
          <w:sz w:val="32"/>
          <w:szCs w:val="32"/>
          <w:highlight w:val="none"/>
          <w:u w:val="none" w:color="auto"/>
          <w:lang w:eastAsia="zh-CN"/>
        </w:rPr>
        <w:t>锚定实施“一区、四转型”高质量发展战略，经济综合实力稳步提高，发展韧性和活力显著增强。“十四五”时期，全市地区生产总值年均增长5%，总量达到547亿元，人均GDP突破6万元。</w:t>
      </w:r>
      <w:r>
        <w:rPr>
          <w:rFonts w:hint="eastAsia" w:ascii="方正楷体_GBK" w:hAnsi="方正楷体_GBK" w:eastAsia="方正楷体_GBK" w:cs="方正楷体_GBK"/>
          <w:b w:val="0"/>
          <w:bCs w:val="0"/>
          <w:color w:val="auto"/>
          <w:kern w:val="2"/>
          <w:sz w:val="32"/>
          <w:szCs w:val="32"/>
          <w:highlight w:val="none"/>
          <w:u w:val="none" w:color="auto"/>
          <w:lang w:eastAsia="zh-CN"/>
        </w:rPr>
        <w:t>现代化产业体系加速构建</w:t>
      </w:r>
      <w:r>
        <w:rPr>
          <w:rFonts w:hint="eastAsia" w:ascii="方正仿宋_GBK" w:hAnsi="方正仿宋_GBK" w:eastAsia="方正仿宋_GBK" w:cs="方正仿宋_GBK"/>
          <w:b w:val="0"/>
          <w:bCs w:val="0"/>
          <w:color w:val="auto"/>
          <w:kern w:val="2"/>
          <w:sz w:val="32"/>
          <w:szCs w:val="32"/>
          <w:highlight w:val="none"/>
          <w:u w:val="none" w:color="auto"/>
          <w:lang w:eastAsia="zh-CN"/>
        </w:rPr>
        <w:t>。袜业纺织、冶金建材、装备制造、农产品加工等传统产业加速转型升级，成功引进华润东阿阿胶、中车博戈、中船风帆、一汽富奥等一批央企国企合作项目落地辽源，我市获评全国消费品工业“三品”战略示范城市、国家级电子商务示范基地。新能源、新材料等新兴产业培育壮大，新能源装机规模突破300万千瓦。突破性引进落位天楹风光储氢氨醇一体化首个超百亿级项目。增量配电园区实现稳定供电。我市获批首批国家级零碳园区试点。与一汽共建绿色零碳汽车零部件产业园区供应链试点。低空经济发展迅速，辽源职业技术学院成为吉林省唯一无人驾驶航空器操控员执照公办独立考试点。新文旅产业势头强劲，重点打造东辽河源头、采煤沉陷区、环东山、龙首山等文旅片区。辽河源度假区获评省级文化旅游度假区。</w:t>
      </w:r>
      <w:r>
        <w:rPr>
          <w:rFonts w:hint="eastAsia" w:ascii="方正楷体_GBK" w:hAnsi="方正楷体_GBK" w:eastAsia="方正楷体_GBK" w:cs="方正楷体_GBK"/>
          <w:b w:val="0"/>
          <w:bCs w:val="0"/>
          <w:color w:val="auto"/>
          <w:kern w:val="2"/>
          <w:sz w:val="32"/>
          <w:szCs w:val="32"/>
          <w:highlight w:val="none"/>
          <w:u w:val="none" w:color="auto"/>
          <w:lang w:eastAsia="zh-CN"/>
        </w:rPr>
        <w:t>创新动能显著增强。</w:t>
      </w:r>
      <w:r>
        <w:rPr>
          <w:rFonts w:hint="eastAsia" w:ascii="方正仿宋_GBK" w:hAnsi="方正仿宋_GBK" w:eastAsia="方正仿宋_GBK" w:cs="方正仿宋_GBK"/>
          <w:b w:val="0"/>
          <w:bCs w:val="0"/>
          <w:color w:val="auto"/>
          <w:kern w:val="2"/>
          <w:sz w:val="32"/>
          <w:szCs w:val="32"/>
          <w:highlight w:val="none"/>
          <w:u w:val="none" w:color="auto"/>
          <w:lang w:eastAsia="zh-CN"/>
        </w:rPr>
        <w:t>科技创新对产业的支撑作用持续增强，华纺科技、金翼食品等92家企事业单位与吉林大学、省农科院等高校院所建立合作关系，省级以上科创平台数量达到26个，高新技术企业58户，科技成果转化数量大幅提升。</w:t>
      </w:r>
      <w:r>
        <w:rPr>
          <w:rFonts w:hint="eastAsia" w:ascii="方正楷体_GBK" w:hAnsi="方正楷体_GBK" w:eastAsia="方正楷体_GBK" w:cs="方正楷体_GBK"/>
          <w:b w:val="0"/>
          <w:bCs w:val="0"/>
          <w:color w:val="auto"/>
          <w:kern w:val="2"/>
          <w:sz w:val="32"/>
          <w:szCs w:val="32"/>
          <w:highlight w:val="none"/>
          <w:u w:val="none" w:color="auto"/>
          <w:lang w:eastAsia="zh-CN"/>
        </w:rPr>
        <w:t>乡村振兴扎实推进。</w:t>
      </w:r>
      <w:r>
        <w:rPr>
          <w:rFonts w:hint="eastAsia" w:ascii="方正仿宋_GBK" w:hAnsi="方正仿宋_GBK" w:eastAsia="方正仿宋_GBK" w:cs="方正仿宋_GBK"/>
          <w:b w:val="0"/>
          <w:bCs w:val="0"/>
          <w:color w:val="auto"/>
          <w:kern w:val="2"/>
          <w:sz w:val="32"/>
          <w:szCs w:val="32"/>
          <w:highlight w:val="none"/>
          <w:u w:val="none" w:color="auto"/>
          <w:lang w:eastAsia="zh-CN"/>
        </w:rPr>
        <w:t>农业现代化步伐加快，现代农业产业体系、生产体系、经营体系日趋完善，建设高标准农田211万亩，粮食年产量实现六连增，稳定在33亿斤阶段性水平。梅花鹿、蛋鸡、毛驴、松籽、食用菌等特色农产品产业蓬勃发展，成功申创国家级梅花鹿产业集群。持续巩固拓展脱贫攻坚成果同乡村振兴有效衔接，城乡居民收入差距进一步缩小。我市被确定为国家级消费帮扶重点产区。</w:t>
      </w:r>
      <w:r>
        <w:rPr>
          <w:rFonts w:hint="eastAsia" w:ascii="方正楷体_GBK" w:hAnsi="方正楷体_GBK" w:eastAsia="方正楷体_GBK" w:cs="方正楷体_GBK"/>
          <w:b w:val="0"/>
          <w:bCs w:val="0"/>
          <w:color w:val="auto"/>
          <w:kern w:val="2"/>
          <w:sz w:val="32"/>
          <w:szCs w:val="32"/>
          <w:highlight w:val="none"/>
          <w:u w:val="none" w:color="auto"/>
          <w:lang w:eastAsia="zh-CN"/>
        </w:rPr>
        <w:t>改革开放深入推进。</w:t>
      </w:r>
      <w:r>
        <w:rPr>
          <w:rFonts w:hint="eastAsia" w:ascii="方正仿宋_GBK" w:hAnsi="方正仿宋_GBK" w:eastAsia="方正仿宋_GBK" w:cs="方正仿宋_GBK"/>
          <w:b w:val="0"/>
          <w:bCs w:val="0"/>
          <w:color w:val="auto"/>
          <w:kern w:val="2"/>
          <w:sz w:val="32"/>
          <w:szCs w:val="32"/>
          <w:highlight w:val="none"/>
          <w:u w:val="none" w:color="auto"/>
          <w:lang w:eastAsia="zh-CN"/>
        </w:rPr>
        <w:t>经济体制、农业农村、生态文明等重点领域改革纵深推进，连续五年获评全省全面深化改革工作先进市。优化营商环境“四项工程”取得显著成效，连续五年获评全省民营企业评议政府服务“最好地区之一”。开放平台能级不断提升，获批国家吉西南承接产业转移示范区。</w:t>
      </w:r>
      <w:r>
        <w:rPr>
          <w:rFonts w:hint="eastAsia" w:ascii="方正楷体_GBK" w:hAnsi="方正楷体_GBK" w:eastAsia="方正楷体_GBK" w:cs="方正楷体_GBK"/>
          <w:b w:val="0"/>
          <w:bCs w:val="0"/>
          <w:color w:val="auto"/>
          <w:kern w:val="2"/>
          <w:sz w:val="32"/>
          <w:szCs w:val="32"/>
          <w:highlight w:val="none"/>
          <w:u w:val="none" w:color="auto"/>
          <w:lang w:eastAsia="zh-CN"/>
        </w:rPr>
        <w:t>生态环境持续改善。</w:t>
      </w:r>
      <w:r>
        <w:rPr>
          <w:rFonts w:hint="eastAsia" w:ascii="方正仿宋_GBK" w:hAnsi="方正仿宋_GBK" w:eastAsia="方正仿宋_GBK" w:cs="方正仿宋_GBK"/>
          <w:b w:val="0"/>
          <w:bCs w:val="0"/>
          <w:color w:val="auto"/>
          <w:kern w:val="2"/>
          <w:sz w:val="32"/>
          <w:szCs w:val="32"/>
          <w:highlight w:val="none"/>
          <w:u w:val="none" w:color="auto"/>
          <w:lang w:eastAsia="zh-CN"/>
        </w:rPr>
        <w:t>坚决落实习近平总书记关于辽河流域治理重要批示精神，蓝天碧水净土保卫战和农业面源污染治理、污水口直排整治等标志性战役取得重大进展，国考断面水质稳定达标。推进绿水长廊建设，实施东辽河上游历史遗留废弃矿山生态修复和北部沉陷区河湖连通工程。我市因环境质量改善明显被国务院通报表扬。</w:t>
      </w:r>
      <w:r>
        <w:rPr>
          <w:rFonts w:hint="eastAsia" w:ascii="方正楷体_GBK" w:hAnsi="方正楷体_GBK" w:eastAsia="方正楷体_GBK" w:cs="方正楷体_GBK"/>
          <w:b w:val="0"/>
          <w:bCs w:val="0"/>
          <w:color w:val="auto"/>
          <w:kern w:val="2"/>
          <w:sz w:val="32"/>
          <w:szCs w:val="32"/>
          <w:highlight w:val="none"/>
          <w:u w:val="none" w:color="auto"/>
          <w:lang w:eastAsia="zh-CN"/>
        </w:rPr>
        <w:t>民生福祉更加殷实。</w:t>
      </w:r>
      <w:r>
        <w:rPr>
          <w:rFonts w:hint="eastAsia" w:ascii="方正仿宋_GBK" w:hAnsi="方正仿宋_GBK" w:eastAsia="方正仿宋_GBK" w:cs="方正仿宋_GBK"/>
          <w:b w:val="0"/>
          <w:bCs w:val="0"/>
          <w:color w:val="auto"/>
          <w:kern w:val="2"/>
          <w:sz w:val="32"/>
          <w:szCs w:val="32"/>
          <w:highlight w:val="none"/>
          <w:u w:val="none" w:color="auto"/>
          <w:lang w:eastAsia="zh-CN"/>
        </w:rPr>
        <w:t>构建“12345+网络舆情+信访”民生问题发现和解决闭环机制，民生小事得到暖心回应。“小切口”推进现代化人民城市建设，实施“城管进小区”等机制，新建一批口袋公园、停车场及早市夜市，高层住宅消防改造、小区道路平整、环境卫生改善和楼道卫生清理取得明显成效。就业社保、养老托育、教育医疗、文化体育等社会事业全面进步。我市入选第三批建设国家儿童友好城市试点。</w:t>
      </w:r>
      <w:r>
        <w:rPr>
          <w:rFonts w:hint="eastAsia" w:ascii="方正楷体_GBK" w:hAnsi="方正楷体_GBK" w:eastAsia="方正楷体_GBK" w:cs="方正楷体_GBK"/>
          <w:b w:val="0"/>
          <w:bCs w:val="0"/>
          <w:color w:val="auto"/>
          <w:kern w:val="2"/>
          <w:sz w:val="32"/>
          <w:szCs w:val="32"/>
          <w:highlight w:val="none"/>
          <w:u w:val="none" w:color="auto"/>
          <w:lang w:eastAsia="zh-CN"/>
        </w:rPr>
        <w:t>安全治理效能不断提升。</w:t>
      </w:r>
      <w:r>
        <w:rPr>
          <w:rFonts w:hint="eastAsia" w:ascii="方正仿宋_GBK" w:hAnsi="方正仿宋_GBK" w:eastAsia="方正仿宋_GBK" w:cs="方正仿宋_GBK"/>
          <w:b w:val="0"/>
          <w:bCs w:val="0"/>
          <w:color w:val="auto"/>
          <w:kern w:val="2"/>
          <w:sz w:val="32"/>
          <w:szCs w:val="32"/>
          <w:highlight w:val="none"/>
          <w:u w:val="none" w:color="auto"/>
          <w:lang w:eastAsia="zh-CN"/>
        </w:rPr>
        <w:t>房地产、中小金融机构等重点领域风险全面压降。全域存量隐性债务化解任务如期完成。扫黑除恶深入推进。我市获评全国法治政府建设示范市。连续12年未发生较大以上规模工矿商贸生产安全事故、41年未发生重大森林火灾。统筹推进各领域常态化排查整治，平安辽源、法治辽源建设扎实推进，社会大局保持和谐稳定。</w:t>
      </w:r>
    </w:p>
    <w:p w14:paraId="6D8D9E4A">
      <w:pPr>
        <w:pStyle w:val="2"/>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640" w:firstLineChars="200"/>
        <w:jc w:val="both"/>
        <w:textAlignment w:val="auto"/>
        <w:rPr>
          <w:rFonts w:hint="eastAsia" w:ascii="方正仿宋_GBK" w:hAnsi="方正仿宋_GBK" w:eastAsia="方正仿宋_GBK" w:cs="方正仿宋_GBK"/>
          <w:b w:val="0"/>
          <w:bCs w:val="0"/>
          <w:color w:val="auto"/>
          <w:kern w:val="2"/>
          <w:sz w:val="32"/>
          <w:szCs w:val="32"/>
          <w:highlight w:val="none"/>
          <w:u w:val="none" w:color="auto"/>
          <w:lang w:eastAsia="zh-CN"/>
        </w:rPr>
      </w:pPr>
      <w:r>
        <w:rPr>
          <w:rFonts w:hint="eastAsia" w:ascii="方正仿宋_GBK" w:hAnsi="方正仿宋_GBK" w:eastAsia="方正仿宋_GBK" w:cs="方正仿宋_GBK"/>
          <w:b w:val="0"/>
          <w:bCs w:val="0"/>
          <w:color w:val="auto"/>
          <w:kern w:val="2"/>
          <w:sz w:val="32"/>
          <w:szCs w:val="32"/>
          <w:highlight w:val="none"/>
          <w:u w:val="none" w:color="auto"/>
          <w:lang w:eastAsia="zh-CN"/>
        </w:rPr>
        <w:t>五年来，我市始终坚持以习近平新时代中国特色社会主义思想为指引，团结带领全市广大党员干部群众，坚定信心、攻坚克难、真抓实干，完成“十四五”规划确定的主要目标任务，经济社会发展跃上新台阶，为“十五五”时期高质量发展晋位升级积蓄了强劲动能、奠定了更为坚实基础。</w:t>
      </w:r>
    </w:p>
    <w:p w14:paraId="0BED4F2B">
      <w:pPr>
        <w:pStyle w:val="2"/>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left="0" w:leftChars="0" w:firstLine="0" w:firstLineChars="0"/>
        <w:jc w:val="center"/>
        <w:textAlignment w:val="auto"/>
        <w:rPr>
          <w:rFonts w:hint="eastAsia" w:ascii="方正黑体_GBK" w:hAnsi="方正黑体_GBK" w:eastAsia="方正黑体_GBK" w:cs="方正黑体_GBK"/>
          <w:b w:val="0"/>
          <w:bCs w:val="0"/>
          <w:color w:val="auto"/>
          <w:kern w:val="2"/>
          <w:sz w:val="32"/>
          <w:szCs w:val="32"/>
          <w:highlight w:val="none"/>
          <w:u w:val="none" w:color="auto"/>
          <w:lang w:eastAsia="zh-CN"/>
        </w:rPr>
      </w:pPr>
      <w:r>
        <w:rPr>
          <w:rFonts w:hint="eastAsia" w:ascii="方正黑体_GBK" w:hAnsi="方正黑体_GBK" w:eastAsia="方正黑体_GBK" w:cs="方正黑体_GBK"/>
          <w:b w:val="0"/>
          <w:bCs w:val="0"/>
          <w:color w:val="auto"/>
          <w:kern w:val="2"/>
          <w:sz w:val="32"/>
          <w:szCs w:val="32"/>
          <w:highlight w:val="none"/>
          <w:u w:val="none" w:color="auto"/>
          <w:lang w:eastAsia="zh-CN"/>
        </w:rPr>
        <w:t>第二节  发展环境</w:t>
      </w:r>
    </w:p>
    <w:p w14:paraId="51F31415">
      <w:pPr>
        <w:pStyle w:val="2"/>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640" w:firstLineChars="200"/>
        <w:jc w:val="both"/>
        <w:textAlignment w:val="auto"/>
        <w:rPr>
          <w:rFonts w:hint="eastAsia" w:ascii="方正仿宋_GBK" w:hAnsi="方正仿宋_GBK" w:eastAsia="方正仿宋_GBK" w:cs="方正仿宋_GBK"/>
          <w:b w:val="0"/>
          <w:bCs w:val="0"/>
          <w:color w:val="auto"/>
          <w:kern w:val="2"/>
          <w:sz w:val="32"/>
          <w:szCs w:val="32"/>
          <w:highlight w:val="none"/>
          <w:u w:val="none" w:color="auto"/>
          <w:lang w:eastAsia="zh-CN"/>
        </w:rPr>
      </w:pPr>
      <w:r>
        <w:rPr>
          <w:rFonts w:hint="eastAsia" w:ascii="方正仿宋_GBK" w:hAnsi="方正仿宋_GBK" w:eastAsia="方正仿宋_GBK" w:cs="方正仿宋_GBK"/>
          <w:b w:val="0"/>
          <w:bCs w:val="0"/>
          <w:color w:val="auto"/>
          <w:kern w:val="2"/>
          <w:sz w:val="32"/>
          <w:szCs w:val="32"/>
          <w:highlight w:val="none"/>
          <w:u w:val="none" w:color="auto"/>
          <w:lang w:eastAsia="zh-CN"/>
        </w:rPr>
        <w:t>“十五五”时期，推动辽源高质量转型发展、全面振兴取得新突破，机遇和挑战并存，困难与优势同在，必须准确识变、科学应变、主动求变，牢牢把握发展主动权。</w:t>
      </w:r>
    </w:p>
    <w:p w14:paraId="6B52766A">
      <w:pPr>
        <w:pStyle w:val="2"/>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640" w:firstLineChars="200"/>
        <w:jc w:val="both"/>
        <w:textAlignment w:val="auto"/>
        <w:rPr>
          <w:rFonts w:hint="eastAsia" w:ascii="方正仿宋_GBK" w:hAnsi="方正仿宋_GBK" w:eastAsia="方正仿宋_GBK" w:cs="方正仿宋_GBK"/>
          <w:b w:val="0"/>
          <w:bCs w:val="0"/>
          <w:color w:val="auto"/>
          <w:kern w:val="2"/>
          <w:sz w:val="32"/>
          <w:szCs w:val="32"/>
          <w:highlight w:val="none"/>
          <w:u w:val="none" w:color="auto"/>
          <w:lang w:eastAsia="zh-CN"/>
        </w:rPr>
      </w:pPr>
      <w:r>
        <w:rPr>
          <w:rFonts w:hint="eastAsia" w:ascii="方正楷体_GBK" w:hAnsi="方正楷体_GBK" w:eastAsia="方正楷体_GBK" w:cs="方正楷体_GBK"/>
          <w:b w:val="0"/>
          <w:bCs w:val="0"/>
          <w:color w:val="auto"/>
          <w:kern w:val="2"/>
          <w:sz w:val="32"/>
          <w:szCs w:val="32"/>
          <w:highlight w:val="none"/>
          <w:u w:val="none" w:color="auto"/>
          <w:lang w:eastAsia="zh-CN"/>
        </w:rPr>
        <w:t>从挑战看，</w:t>
      </w:r>
      <w:r>
        <w:rPr>
          <w:rFonts w:hint="eastAsia" w:ascii="方正仿宋_GBK" w:hAnsi="方正仿宋_GBK" w:eastAsia="方正仿宋_GBK" w:cs="方正仿宋_GBK"/>
          <w:b w:val="0"/>
          <w:bCs w:val="0"/>
          <w:color w:val="auto"/>
          <w:kern w:val="2"/>
          <w:sz w:val="32"/>
          <w:szCs w:val="32"/>
          <w:highlight w:val="none"/>
          <w:u w:val="none" w:color="auto"/>
          <w:lang w:eastAsia="zh-CN"/>
        </w:rPr>
        <w:t>世界百年变局加速演进，大国竞争与博弈加剧，全球化进程深刻调整，单边主义、保护主义抬头，国际经济贸易秩序遇到严峻挑战，全球产业链供应链面临重构压力，不稳定难预料因素增多，将对经济发展带来深刻影响。我市正处在高质量转型发展的攻坚阶段，人口结构性变化为经济发展、社会治理等提出新课题，传统产业智能化、绿色化、融合化转型任务紧迫，新兴产业亟待提升，城乡基础设施和公共服务等领域仍有短板，城乡区域协调发展和收入分配仍有差距。这些深层次矛盾和问题必须综合施策、系统解决。</w:t>
      </w:r>
    </w:p>
    <w:p w14:paraId="394002FF">
      <w:pPr>
        <w:pStyle w:val="2"/>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640" w:firstLineChars="200"/>
        <w:jc w:val="both"/>
        <w:textAlignment w:val="auto"/>
        <w:rPr>
          <w:rFonts w:hint="eastAsia" w:ascii="方正仿宋_GBK" w:hAnsi="方正仿宋_GBK" w:eastAsia="方正仿宋_GBK" w:cs="方正仿宋_GBK"/>
          <w:b w:val="0"/>
          <w:bCs w:val="0"/>
          <w:color w:val="auto"/>
          <w:kern w:val="2"/>
          <w:sz w:val="32"/>
          <w:szCs w:val="32"/>
          <w:highlight w:val="none"/>
          <w:u w:val="none" w:color="auto"/>
          <w:lang w:eastAsia="zh-CN"/>
        </w:rPr>
      </w:pPr>
      <w:r>
        <w:rPr>
          <w:rFonts w:hint="eastAsia" w:ascii="方正楷体_GBK" w:hAnsi="方正楷体_GBK" w:eastAsia="方正楷体_GBK" w:cs="方正楷体_GBK"/>
          <w:b w:val="0"/>
          <w:bCs w:val="0"/>
          <w:color w:val="auto"/>
          <w:kern w:val="2"/>
          <w:sz w:val="32"/>
          <w:szCs w:val="32"/>
          <w:highlight w:val="none"/>
          <w:u w:val="none" w:color="auto"/>
          <w:lang w:eastAsia="zh-CN"/>
        </w:rPr>
        <w:t>从机遇看，</w:t>
      </w:r>
      <w:r>
        <w:rPr>
          <w:rFonts w:hint="eastAsia" w:ascii="方正仿宋_GBK" w:hAnsi="方正仿宋_GBK" w:eastAsia="方正仿宋_GBK" w:cs="方正仿宋_GBK"/>
          <w:b w:val="0"/>
          <w:bCs w:val="0"/>
          <w:color w:val="auto"/>
          <w:kern w:val="2"/>
          <w:sz w:val="32"/>
          <w:szCs w:val="32"/>
          <w:highlight w:val="none"/>
          <w:u w:val="none" w:color="auto"/>
          <w:lang w:eastAsia="zh-CN"/>
        </w:rPr>
        <w:t>人工智能、量子科技、生物技术对经济社会发展影响更加深入，新一轮科技革命和产业变革为我市加快培育发展新质生产力，构建具有辽源特色的现代化产业体系提供了重大契机；国家在应对全球气候变化、实现碳达峰碳中和目标的坚定决心和一系列支持政策，为我市加快创建国家级零碳园区，加速推进新能源、新材料产业发展，推动绿色低碳转型提供了发展空间；国家将实施更加积极的财政政策和适度宽松的货币政策，消费潜力将充分释放，为我市扩内需促消费，大力发展新文旅和银发经济、首发经济等新兴经济业态提供政策支撑；聚力打造长春现代化都市圈，将有力促进交通互联、产业协同、生态共建、服务共享，为建设区域新增长极提供强劲动能。</w:t>
      </w:r>
    </w:p>
    <w:p w14:paraId="0584B220">
      <w:pPr>
        <w:pStyle w:val="2"/>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640" w:firstLineChars="200"/>
        <w:jc w:val="both"/>
        <w:textAlignment w:val="auto"/>
        <w:rPr>
          <w:rFonts w:hint="eastAsia" w:ascii="方正仿宋_GBK" w:hAnsi="方正仿宋_GBK" w:eastAsia="方正仿宋_GBK" w:cs="方正仿宋_GBK"/>
          <w:b w:val="0"/>
          <w:bCs w:val="0"/>
          <w:color w:val="auto"/>
          <w:kern w:val="2"/>
          <w:sz w:val="32"/>
          <w:szCs w:val="32"/>
          <w:highlight w:val="none"/>
          <w:u w:val="none" w:color="auto"/>
          <w:lang w:eastAsia="zh-CN"/>
        </w:rPr>
      </w:pPr>
      <w:r>
        <w:rPr>
          <w:rFonts w:hint="eastAsia" w:ascii="方正楷体_GBK" w:hAnsi="方正楷体_GBK" w:eastAsia="方正楷体_GBK" w:cs="方正楷体_GBK"/>
          <w:b w:val="0"/>
          <w:bCs w:val="0"/>
          <w:color w:val="auto"/>
          <w:kern w:val="2"/>
          <w:sz w:val="32"/>
          <w:szCs w:val="32"/>
          <w:highlight w:val="none"/>
          <w:u w:val="none" w:color="auto"/>
          <w:lang w:eastAsia="zh-CN"/>
        </w:rPr>
        <w:t>从优势看</w:t>
      </w:r>
      <w:r>
        <w:rPr>
          <w:rFonts w:hint="eastAsia" w:ascii="方正仿宋_GBK" w:hAnsi="方正仿宋_GBK" w:eastAsia="方正仿宋_GBK" w:cs="方正仿宋_GBK"/>
          <w:b w:val="0"/>
          <w:bCs w:val="0"/>
          <w:color w:val="auto"/>
          <w:kern w:val="2"/>
          <w:sz w:val="32"/>
          <w:szCs w:val="32"/>
          <w:highlight w:val="none"/>
          <w:u w:val="none" w:color="auto"/>
          <w:lang w:eastAsia="zh-CN"/>
        </w:rPr>
        <w:t>，我国进入高质量发展新阶段，经济发展韧性强劲，改革红利持续释放，社会大局和谐稳定，中国特色社会主义制度、超大规模市场、完整产业体系、丰富人才资源为我市攻坚克难、加快转型发展提供了广阔的发展空间增添了信心底气。辽源市地处吉林中南部创新转型核心区，受长春、沈阳都市圈共同辐射，具备承东启西、连南接北的区位优势；“一区、四转型”的战略定位、东辽河流域绿色低碳发展的经济体系、独具特色的现代产业体系，为我市高质量发展奠定了坚实基础。特别是习近平总书记关于新时代推动东北全面振兴和吉林工作的重要讲话重要指示批示精神，为我市指明了前进方向，注入了强大动力。</w:t>
      </w:r>
    </w:p>
    <w:p w14:paraId="5C7F1D33">
      <w:pPr>
        <w:pStyle w:val="2"/>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640" w:firstLineChars="200"/>
        <w:jc w:val="both"/>
        <w:textAlignment w:val="auto"/>
        <w:rPr>
          <w:rFonts w:hint="eastAsia" w:ascii="方正仿宋_GBK" w:hAnsi="方正仿宋_GBK" w:eastAsia="方正仿宋_GBK" w:cs="方正仿宋_GBK"/>
          <w:b w:val="0"/>
          <w:bCs w:val="0"/>
          <w:color w:val="auto"/>
          <w:kern w:val="2"/>
          <w:sz w:val="32"/>
          <w:szCs w:val="32"/>
          <w:highlight w:val="none"/>
          <w:u w:val="none" w:color="auto"/>
          <w:lang w:eastAsia="zh-CN"/>
        </w:rPr>
      </w:pPr>
      <w:r>
        <w:rPr>
          <w:rFonts w:hint="eastAsia" w:ascii="方正仿宋_GBK" w:hAnsi="方正仿宋_GBK" w:eastAsia="方正仿宋_GBK" w:cs="方正仿宋_GBK"/>
          <w:b w:val="0"/>
          <w:bCs w:val="0"/>
          <w:color w:val="auto"/>
          <w:kern w:val="2"/>
          <w:sz w:val="32"/>
          <w:szCs w:val="32"/>
          <w:highlight w:val="none"/>
          <w:u w:val="none" w:color="auto"/>
          <w:lang w:eastAsia="zh-CN"/>
        </w:rPr>
        <w:t>综合研判，推动“十五五”时期经济社会发展，要准确把握所处的历史方位和发展定位，保持战略定力，增强必胜信心，辩证看待新征程上的危与机，以历史主动精神克难关、战风险、迎挑战，通过发展方式系统性变革、发展动能持续性跃升、发展成果普惠性共享，奋力开创中国式现代化辽源建设新局面。</w:t>
      </w:r>
    </w:p>
    <w:p w14:paraId="48A97ED1">
      <w:pPr>
        <w:pStyle w:val="2"/>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left="0" w:leftChars="0" w:firstLine="0" w:firstLineChars="0"/>
        <w:jc w:val="center"/>
        <w:textAlignment w:val="auto"/>
        <w:rPr>
          <w:rFonts w:hint="eastAsia" w:ascii="方正黑体_GBK" w:hAnsi="方正黑体_GBK" w:eastAsia="方正黑体_GBK" w:cs="方正黑体_GBK"/>
          <w:b w:val="0"/>
          <w:bCs w:val="0"/>
          <w:color w:val="auto"/>
          <w:kern w:val="2"/>
          <w:sz w:val="32"/>
          <w:szCs w:val="32"/>
          <w:highlight w:val="none"/>
          <w:u w:val="none" w:color="auto"/>
          <w:lang w:eastAsia="zh-CN"/>
        </w:rPr>
      </w:pPr>
      <w:r>
        <w:rPr>
          <w:rFonts w:hint="eastAsia" w:ascii="方正黑体_GBK" w:hAnsi="方正黑体_GBK" w:eastAsia="方正黑体_GBK" w:cs="方正黑体_GBK"/>
          <w:b w:val="0"/>
          <w:bCs w:val="0"/>
          <w:color w:val="auto"/>
          <w:kern w:val="2"/>
          <w:sz w:val="32"/>
          <w:szCs w:val="32"/>
          <w:highlight w:val="none"/>
          <w:u w:val="none" w:color="auto"/>
          <w:lang w:eastAsia="zh-CN"/>
        </w:rPr>
        <w:t>第三节  总体要求</w:t>
      </w:r>
    </w:p>
    <w:p w14:paraId="1A6DC5F3">
      <w:pPr>
        <w:pStyle w:val="2"/>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640" w:firstLineChars="200"/>
        <w:jc w:val="both"/>
        <w:textAlignment w:val="auto"/>
        <w:rPr>
          <w:rFonts w:hint="eastAsia" w:ascii="方正仿宋_GBK" w:hAnsi="方正仿宋_GBK" w:eastAsia="方正仿宋_GBK" w:cs="方正仿宋_GBK"/>
          <w:b w:val="0"/>
          <w:bCs w:val="0"/>
          <w:color w:val="auto"/>
          <w:kern w:val="2"/>
          <w:sz w:val="32"/>
          <w:szCs w:val="32"/>
          <w:highlight w:val="none"/>
          <w:u w:val="none" w:color="auto"/>
          <w:lang w:eastAsia="zh-CN"/>
        </w:rPr>
      </w:pPr>
      <w:r>
        <w:rPr>
          <w:rFonts w:hint="eastAsia" w:ascii="方正仿宋_GBK" w:hAnsi="方正仿宋_GBK" w:eastAsia="方正仿宋_GBK" w:cs="方正仿宋_GBK"/>
          <w:b w:val="0"/>
          <w:bCs w:val="0"/>
          <w:color w:val="auto"/>
          <w:kern w:val="2"/>
          <w:sz w:val="32"/>
          <w:szCs w:val="32"/>
          <w:highlight w:val="none"/>
          <w:u w:val="none" w:color="auto"/>
          <w:lang w:eastAsia="zh-CN"/>
        </w:rPr>
        <w:t>“十五五”时期，辽源市经济社会发展指导思想：</w:t>
      </w:r>
    </w:p>
    <w:p w14:paraId="30DFDACA">
      <w:pPr>
        <w:pStyle w:val="2"/>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640" w:firstLineChars="200"/>
        <w:jc w:val="both"/>
        <w:textAlignment w:val="auto"/>
        <w:rPr>
          <w:rFonts w:hint="eastAsia" w:ascii="方正仿宋_GBK" w:hAnsi="方正仿宋_GBK" w:eastAsia="方正仿宋_GBK" w:cs="方正仿宋_GBK"/>
          <w:b w:val="0"/>
          <w:bCs w:val="0"/>
          <w:color w:val="auto"/>
          <w:kern w:val="2"/>
          <w:sz w:val="32"/>
          <w:szCs w:val="32"/>
          <w:highlight w:val="none"/>
          <w:u w:val="none" w:color="auto"/>
          <w:lang w:eastAsia="zh-CN"/>
        </w:rPr>
      </w:pPr>
      <w:r>
        <w:rPr>
          <w:rFonts w:hint="eastAsia" w:ascii="方正仿宋_GBK" w:hAnsi="方正仿宋_GBK" w:eastAsia="方正仿宋_GBK" w:cs="方正仿宋_GBK"/>
          <w:b w:val="0"/>
          <w:bCs w:val="0"/>
          <w:color w:val="auto"/>
          <w:kern w:val="2"/>
          <w:sz w:val="32"/>
          <w:szCs w:val="32"/>
          <w:highlight w:val="none"/>
          <w:u w:val="none" w:color="auto"/>
          <w:lang w:eastAsia="zh-CN"/>
        </w:rPr>
        <w:t>坚持以习近平新时代中国特色社会主义思想为指导，深入贯彻党的二十大和二十届历次全会精神，不折不扣落实习近平总书记关于新时代推动东北全面振兴和吉林工作的重要讲话重要指示批示精神，统筹推进“五位一体”总体布局，协调推进“四个全面”战略布局，完整准确全面贯彻新发展理念，积极服务和融入新发展格局，坚持稳中求进工作总基调，坚持以经济建设为中心，以推动高质量发展为主题，以改革创新为根本动力，以满足人民日益增长的美好生活需要为根本目的，以全面从严治党为根本保障，坚决扛稳维护国家“五大安全”重要使命，锚定“一区、四转型”战略目标，持续深化“三抓一服务”，强力推进长春现代化都市圈建设，着力构建“5+2+N”现代化产业体系，推动传统煤炭基地向现代新能源基地转变，聚力建设都市圈特色产业集群高地、东辽河流域绿色低碳转型高地、区域文体旅融合发展高地，全力打造吉林省向南开放发展区域中心城市，以“小地区要有大贡献”的主动，努力在服务全省发展大局中体现新担当、贡献新力量，在全面建设社会主义现代化新征程上展现新作为、实现新突破。</w:t>
      </w:r>
    </w:p>
    <w:p w14:paraId="4EA02976">
      <w:pPr>
        <w:pStyle w:val="2"/>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640" w:firstLineChars="200"/>
        <w:jc w:val="both"/>
        <w:textAlignment w:val="auto"/>
        <w:rPr>
          <w:rFonts w:hint="eastAsia" w:ascii="方正仿宋_GBK" w:hAnsi="方正仿宋_GBK" w:eastAsia="方正仿宋_GBK" w:cs="方正仿宋_GBK"/>
          <w:b w:val="0"/>
          <w:bCs w:val="0"/>
          <w:color w:val="auto"/>
          <w:kern w:val="2"/>
          <w:sz w:val="32"/>
          <w:szCs w:val="32"/>
          <w:highlight w:val="none"/>
          <w:u w:val="none" w:color="auto"/>
          <w:lang w:eastAsia="zh-CN"/>
        </w:rPr>
      </w:pPr>
      <w:r>
        <w:rPr>
          <w:rFonts w:hint="eastAsia" w:ascii="方正仿宋_GBK" w:hAnsi="方正仿宋_GBK" w:eastAsia="方正仿宋_GBK" w:cs="方正仿宋_GBK"/>
          <w:b w:val="0"/>
          <w:bCs w:val="0"/>
          <w:color w:val="auto"/>
          <w:kern w:val="2"/>
          <w:sz w:val="32"/>
          <w:szCs w:val="32"/>
          <w:highlight w:val="none"/>
          <w:u w:val="none" w:color="auto"/>
          <w:lang w:eastAsia="zh-CN"/>
        </w:rPr>
        <w:t>“十五五”时期，辽源市经济社会发展基本原则：</w:t>
      </w:r>
    </w:p>
    <w:p w14:paraId="71FEA82A">
      <w:pPr>
        <w:pStyle w:val="2"/>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640" w:firstLineChars="200"/>
        <w:jc w:val="both"/>
        <w:textAlignment w:val="auto"/>
        <w:rPr>
          <w:rFonts w:hint="eastAsia" w:ascii="方正仿宋_GBK" w:hAnsi="方正仿宋_GBK" w:eastAsia="方正仿宋_GBK" w:cs="方正仿宋_GBK"/>
          <w:b w:val="0"/>
          <w:bCs w:val="0"/>
          <w:color w:val="auto"/>
          <w:kern w:val="2"/>
          <w:sz w:val="32"/>
          <w:szCs w:val="32"/>
          <w:highlight w:val="none"/>
          <w:u w:val="none" w:color="auto"/>
          <w:lang w:eastAsia="zh-CN"/>
        </w:rPr>
      </w:pPr>
      <w:r>
        <w:rPr>
          <w:rFonts w:hint="eastAsia" w:ascii="方正楷体_GBK" w:hAnsi="方正楷体_GBK" w:eastAsia="方正楷体_GBK" w:cs="方正楷体_GBK"/>
          <w:b w:val="0"/>
          <w:bCs w:val="0"/>
          <w:color w:val="auto"/>
          <w:kern w:val="2"/>
          <w:sz w:val="32"/>
          <w:szCs w:val="32"/>
          <w:highlight w:val="none"/>
          <w:u w:val="none" w:color="auto"/>
          <w:lang w:eastAsia="zh-CN"/>
        </w:rPr>
        <w:t>——坚持党的全面领导</w:t>
      </w:r>
      <w:r>
        <w:rPr>
          <w:rFonts w:hint="eastAsia" w:ascii="方正仿宋_GBK" w:hAnsi="方正仿宋_GBK" w:eastAsia="方正仿宋_GBK" w:cs="方正仿宋_GBK"/>
          <w:b w:val="0"/>
          <w:bCs w:val="0"/>
          <w:color w:val="auto"/>
          <w:kern w:val="2"/>
          <w:sz w:val="32"/>
          <w:szCs w:val="32"/>
          <w:highlight w:val="none"/>
          <w:u w:val="none" w:color="auto"/>
          <w:lang w:eastAsia="zh-CN"/>
        </w:rPr>
        <w:t>。坚决维护党中央权威和集中统一领导，充分发挥党的领导核心作用，提高党把方向、谋大局、定政策、促改革的能力，为全面建设社会主义现代化新辽源提供根本保证。</w:t>
      </w:r>
    </w:p>
    <w:p w14:paraId="7E1A17C1">
      <w:pPr>
        <w:pStyle w:val="2"/>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640" w:firstLineChars="200"/>
        <w:jc w:val="both"/>
        <w:textAlignment w:val="auto"/>
        <w:rPr>
          <w:rFonts w:hint="eastAsia" w:ascii="方正仿宋_GBK" w:hAnsi="方正仿宋_GBK" w:eastAsia="方正仿宋_GBK" w:cs="方正仿宋_GBK"/>
          <w:b w:val="0"/>
          <w:bCs w:val="0"/>
          <w:color w:val="auto"/>
          <w:kern w:val="2"/>
          <w:sz w:val="32"/>
          <w:szCs w:val="32"/>
          <w:highlight w:val="none"/>
          <w:u w:val="none" w:color="auto"/>
          <w:lang w:eastAsia="zh-CN"/>
        </w:rPr>
      </w:pPr>
      <w:r>
        <w:rPr>
          <w:rFonts w:hint="eastAsia" w:ascii="方正仿宋_GBK" w:hAnsi="方正仿宋_GBK" w:eastAsia="方正仿宋_GBK" w:cs="方正仿宋_GBK"/>
          <w:b w:val="0"/>
          <w:bCs w:val="0"/>
          <w:color w:val="auto"/>
          <w:kern w:val="2"/>
          <w:sz w:val="32"/>
          <w:szCs w:val="32"/>
          <w:highlight w:val="none"/>
          <w:u w:val="none" w:color="auto"/>
          <w:lang w:eastAsia="zh-CN"/>
        </w:rPr>
        <w:t>——</w:t>
      </w:r>
      <w:r>
        <w:rPr>
          <w:rFonts w:hint="eastAsia" w:ascii="方正楷体_GBK" w:hAnsi="方正楷体_GBK" w:eastAsia="方正楷体_GBK" w:cs="方正楷体_GBK"/>
          <w:b w:val="0"/>
          <w:bCs w:val="0"/>
          <w:color w:val="auto"/>
          <w:kern w:val="2"/>
          <w:sz w:val="32"/>
          <w:szCs w:val="32"/>
          <w:highlight w:val="none"/>
          <w:u w:val="none" w:color="auto"/>
          <w:lang w:eastAsia="zh-CN"/>
        </w:rPr>
        <w:t>坚持人民至上</w:t>
      </w:r>
      <w:r>
        <w:rPr>
          <w:rFonts w:hint="eastAsia" w:ascii="方正仿宋_GBK" w:hAnsi="方正仿宋_GBK" w:eastAsia="方正仿宋_GBK" w:cs="方正仿宋_GBK"/>
          <w:b w:val="0"/>
          <w:bCs w:val="0"/>
          <w:color w:val="auto"/>
          <w:kern w:val="2"/>
          <w:sz w:val="32"/>
          <w:szCs w:val="32"/>
          <w:highlight w:val="none"/>
          <w:u w:val="none" w:color="auto"/>
          <w:lang w:eastAsia="zh-CN"/>
        </w:rPr>
        <w:t>。尊重人民主体地位，紧紧依靠人民，维护人民根本利益，促进社会公平正义，注重在发展中保障和改善民生，在满足民生需求中拓展发展空间，让现代化建设成果更多、更公平惠及全市人民。</w:t>
      </w:r>
    </w:p>
    <w:p w14:paraId="74BFC51E">
      <w:pPr>
        <w:pStyle w:val="2"/>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640" w:firstLineChars="200"/>
        <w:jc w:val="both"/>
        <w:textAlignment w:val="auto"/>
        <w:rPr>
          <w:rFonts w:hint="eastAsia" w:ascii="方正仿宋_GBK" w:hAnsi="方正仿宋_GBK" w:eastAsia="方正仿宋_GBK" w:cs="方正仿宋_GBK"/>
          <w:b w:val="0"/>
          <w:bCs w:val="0"/>
          <w:color w:val="auto"/>
          <w:kern w:val="2"/>
          <w:sz w:val="32"/>
          <w:szCs w:val="32"/>
          <w:highlight w:val="none"/>
          <w:u w:val="none" w:color="auto"/>
          <w:lang w:eastAsia="zh-CN"/>
        </w:rPr>
      </w:pPr>
      <w:r>
        <w:rPr>
          <w:rFonts w:hint="eastAsia" w:ascii="方正楷体_GBK" w:hAnsi="方正楷体_GBK" w:eastAsia="方正楷体_GBK" w:cs="方正楷体_GBK"/>
          <w:b w:val="0"/>
          <w:bCs w:val="0"/>
          <w:color w:val="auto"/>
          <w:kern w:val="2"/>
          <w:sz w:val="32"/>
          <w:szCs w:val="32"/>
          <w:highlight w:val="none"/>
          <w:u w:val="none" w:color="auto"/>
          <w:lang w:eastAsia="zh-CN"/>
        </w:rPr>
        <w:t>——坚持高质量发展</w:t>
      </w:r>
      <w:r>
        <w:rPr>
          <w:rFonts w:hint="eastAsia" w:ascii="方正仿宋_GBK" w:hAnsi="方正仿宋_GBK" w:eastAsia="方正仿宋_GBK" w:cs="方正仿宋_GBK"/>
          <w:b w:val="0"/>
          <w:bCs w:val="0"/>
          <w:color w:val="auto"/>
          <w:kern w:val="2"/>
          <w:sz w:val="32"/>
          <w:szCs w:val="32"/>
          <w:highlight w:val="none"/>
          <w:u w:val="none" w:color="auto"/>
          <w:lang w:eastAsia="zh-CN"/>
        </w:rPr>
        <w:t>。以新发展理念为引领，因地制宜发展新质生产力，深度融入国内国际双循环，优化升级经济结构，做优增量、盘活存量，加快培育新动能，推动经济健康发展和社会全面进步。</w:t>
      </w:r>
    </w:p>
    <w:p w14:paraId="2A908DA3">
      <w:pPr>
        <w:pStyle w:val="2"/>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640" w:firstLineChars="200"/>
        <w:jc w:val="both"/>
        <w:textAlignment w:val="auto"/>
        <w:rPr>
          <w:rFonts w:hint="eastAsia" w:ascii="方正仿宋_GBK" w:hAnsi="方正仿宋_GBK" w:eastAsia="方正仿宋_GBK" w:cs="方正仿宋_GBK"/>
          <w:b w:val="0"/>
          <w:bCs w:val="0"/>
          <w:color w:val="auto"/>
          <w:kern w:val="2"/>
          <w:sz w:val="32"/>
          <w:szCs w:val="32"/>
          <w:highlight w:val="none"/>
          <w:u w:val="none" w:color="auto"/>
          <w:lang w:eastAsia="zh-CN"/>
        </w:rPr>
      </w:pPr>
      <w:r>
        <w:rPr>
          <w:rFonts w:hint="eastAsia" w:ascii="方正楷体_GBK" w:hAnsi="方正楷体_GBK" w:eastAsia="方正楷体_GBK" w:cs="方正楷体_GBK"/>
          <w:b w:val="0"/>
          <w:bCs w:val="0"/>
          <w:color w:val="auto"/>
          <w:kern w:val="2"/>
          <w:sz w:val="32"/>
          <w:szCs w:val="32"/>
          <w:highlight w:val="none"/>
          <w:u w:val="none" w:color="auto"/>
          <w:lang w:eastAsia="zh-CN"/>
        </w:rPr>
        <w:t>——坚持全面深化改革。</w:t>
      </w:r>
      <w:r>
        <w:rPr>
          <w:rFonts w:hint="eastAsia" w:ascii="方正仿宋_GBK" w:hAnsi="方正仿宋_GBK" w:eastAsia="方正仿宋_GBK" w:cs="方正仿宋_GBK"/>
          <w:b w:val="0"/>
          <w:bCs w:val="0"/>
          <w:color w:val="auto"/>
          <w:kern w:val="2"/>
          <w:sz w:val="32"/>
          <w:szCs w:val="32"/>
          <w:highlight w:val="none"/>
          <w:u w:val="none" w:color="auto"/>
          <w:lang w:eastAsia="zh-CN"/>
        </w:rPr>
        <w:t>激活深层次制度创新红利，破除制约高质量发展、高品质生活、高效能治理的体制机制障碍，扩大高水平开放，持续增强发展动力和社会活力。</w:t>
      </w:r>
    </w:p>
    <w:p w14:paraId="2CA3FA67">
      <w:pPr>
        <w:pStyle w:val="2"/>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640" w:firstLineChars="200"/>
        <w:jc w:val="both"/>
        <w:textAlignment w:val="auto"/>
        <w:rPr>
          <w:rFonts w:hint="eastAsia" w:ascii="方正仿宋_GBK" w:hAnsi="方正仿宋_GBK" w:eastAsia="方正仿宋_GBK" w:cs="方正仿宋_GBK"/>
          <w:b w:val="0"/>
          <w:bCs w:val="0"/>
          <w:color w:val="auto"/>
          <w:kern w:val="2"/>
          <w:sz w:val="32"/>
          <w:szCs w:val="32"/>
          <w:highlight w:val="none"/>
          <w:u w:val="none" w:color="auto"/>
          <w:lang w:eastAsia="zh-CN"/>
        </w:rPr>
      </w:pPr>
      <w:r>
        <w:rPr>
          <w:rFonts w:hint="eastAsia" w:ascii="方正楷体_GBK" w:hAnsi="方正楷体_GBK" w:eastAsia="方正楷体_GBK" w:cs="方正楷体_GBK"/>
          <w:b w:val="0"/>
          <w:bCs w:val="0"/>
          <w:color w:val="auto"/>
          <w:kern w:val="2"/>
          <w:sz w:val="32"/>
          <w:szCs w:val="32"/>
          <w:highlight w:val="none"/>
          <w:u w:val="none" w:color="auto"/>
          <w:lang w:eastAsia="zh-CN"/>
        </w:rPr>
        <w:t>——坚持有效市场和有为政府相结合</w:t>
      </w:r>
      <w:r>
        <w:rPr>
          <w:rFonts w:hint="eastAsia" w:ascii="方正仿宋_GBK" w:hAnsi="方正仿宋_GBK" w:eastAsia="方正仿宋_GBK" w:cs="方正仿宋_GBK"/>
          <w:b w:val="0"/>
          <w:bCs w:val="0"/>
          <w:color w:val="auto"/>
          <w:kern w:val="2"/>
          <w:sz w:val="32"/>
          <w:szCs w:val="32"/>
          <w:highlight w:val="none"/>
          <w:u w:val="none" w:color="auto"/>
          <w:lang w:eastAsia="zh-CN"/>
        </w:rPr>
        <w:t>。充分发挥市场在资源配置中的决定性作用，更好发挥政府作用，积极融入服务全国统一大市场，建设法治经济、信用经济，打造市场化、法治化、国际化一流营商环境。</w:t>
      </w:r>
    </w:p>
    <w:p w14:paraId="0B6550D5">
      <w:pPr>
        <w:pStyle w:val="2"/>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640" w:firstLineChars="200"/>
        <w:jc w:val="both"/>
        <w:textAlignment w:val="auto"/>
        <w:rPr>
          <w:rFonts w:hint="eastAsia" w:ascii="方正仿宋_GBK" w:hAnsi="方正仿宋_GBK" w:eastAsia="方正仿宋_GBK" w:cs="方正仿宋_GBK"/>
          <w:b w:val="0"/>
          <w:bCs w:val="0"/>
          <w:color w:val="auto"/>
          <w:kern w:val="2"/>
          <w:sz w:val="32"/>
          <w:szCs w:val="32"/>
          <w:highlight w:val="none"/>
          <w:u w:val="none" w:color="auto"/>
          <w:lang w:eastAsia="zh-CN"/>
        </w:rPr>
      </w:pPr>
      <w:r>
        <w:rPr>
          <w:rFonts w:hint="eastAsia" w:ascii="方正楷体_GBK" w:hAnsi="方正楷体_GBK" w:eastAsia="方正楷体_GBK" w:cs="方正楷体_GBK"/>
          <w:b w:val="0"/>
          <w:bCs w:val="0"/>
          <w:color w:val="auto"/>
          <w:kern w:val="2"/>
          <w:sz w:val="32"/>
          <w:szCs w:val="32"/>
          <w:highlight w:val="none"/>
          <w:u w:val="none" w:color="auto"/>
          <w:lang w:eastAsia="zh-CN"/>
        </w:rPr>
        <w:t>——坚持统筹发展和安全。</w:t>
      </w:r>
      <w:r>
        <w:rPr>
          <w:rFonts w:hint="eastAsia" w:ascii="方正仿宋_GBK" w:hAnsi="方正仿宋_GBK" w:eastAsia="方正仿宋_GBK" w:cs="方正仿宋_GBK"/>
          <w:b w:val="0"/>
          <w:bCs w:val="0"/>
          <w:color w:val="auto"/>
          <w:kern w:val="2"/>
          <w:sz w:val="32"/>
          <w:szCs w:val="32"/>
          <w:highlight w:val="none"/>
          <w:u w:val="none" w:color="auto"/>
          <w:lang w:eastAsia="zh-CN"/>
        </w:rPr>
        <w:t>坚持系统观念、底线思维、极限思维，有效防范化解各类风险，增强经济和社会韧性，促进高质量发展、高水平安全、高效能治理良性互动。</w:t>
      </w:r>
    </w:p>
    <w:p w14:paraId="7DBF4389">
      <w:pPr>
        <w:pStyle w:val="2"/>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640" w:firstLineChars="200"/>
        <w:jc w:val="both"/>
        <w:textAlignment w:val="auto"/>
        <w:rPr>
          <w:rFonts w:hint="eastAsia" w:ascii="方正仿宋_GBK" w:hAnsi="方正仿宋_GBK" w:eastAsia="方正仿宋_GBK" w:cs="方正仿宋_GBK"/>
          <w:b w:val="0"/>
          <w:bCs w:val="0"/>
          <w:color w:val="auto"/>
          <w:kern w:val="2"/>
          <w:sz w:val="32"/>
          <w:szCs w:val="32"/>
          <w:highlight w:val="none"/>
          <w:u w:val="none" w:color="auto"/>
          <w:lang w:eastAsia="zh-CN"/>
        </w:rPr>
      </w:pPr>
      <w:r>
        <w:rPr>
          <w:rFonts w:hint="eastAsia" w:ascii="方正仿宋_GBK" w:hAnsi="方正仿宋_GBK" w:eastAsia="方正仿宋_GBK" w:cs="方正仿宋_GBK"/>
          <w:b w:val="0"/>
          <w:bCs w:val="0"/>
          <w:color w:val="auto"/>
          <w:kern w:val="2"/>
          <w:sz w:val="32"/>
          <w:szCs w:val="32"/>
          <w:highlight w:val="none"/>
          <w:u w:val="none" w:color="auto"/>
          <w:lang w:eastAsia="zh-CN"/>
        </w:rPr>
        <w:t>着眼于我市在国家和省发展战略布局中的具体方位，立足实际，在具体工作实践中，重点还需把握以下方面：</w:t>
      </w:r>
    </w:p>
    <w:p w14:paraId="6DA99130">
      <w:pPr>
        <w:pStyle w:val="2"/>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640" w:firstLineChars="200"/>
        <w:jc w:val="both"/>
        <w:textAlignment w:val="auto"/>
        <w:rPr>
          <w:rFonts w:hint="eastAsia" w:ascii="方正仿宋_GBK" w:hAnsi="方正仿宋_GBK" w:eastAsia="方正仿宋_GBK" w:cs="方正仿宋_GBK"/>
          <w:b w:val="0"/>
          <w:bCs w:val="0"/>
          <w:color w:val="auto"/>
          <w:kern w:val="2"/>
          <w:sz w:val="32"/>
          <w:szCs w:val="32"/>
          <w:highlight w:val="none"/>
          <w:u w:val="none" w:color="auto"/>
          <w:lang w:eastAsia="zh-CN"/>
        </w:rPr>
      </w:pPr>
      <w:r>
        <w:rPr>
          <w:rFonts w:hint="eastAsia" w:ascii="方正楷体_GBK" w:hAnsi="方正楷体_GBK" w:eastAsia="方正楷体_GBK" w:cs="方正楷体_GBK"/>
          <w:b w:val="0"/>
          <w:bCs w:val="0"/>
          <w:color w:val="auto"/>
          <w:kern w:val="2"/>
          <w:sz w:val="32"/>
          <w:szCs w:val="32"/>
          <w:highlight w:val="none"/>
          <w:u w:val="none" w:color="auto"/>
          <w:lang w:eastAsia="zh-CN"/>
        </w:rPr>
        <w:t>要以高质量发展作为首要任务。</w:t>
      </w:r>
      <w:r>
        <w:rPr>
          <w:rFonts w:hint="eastAsia" w:ascii="方正仿宋_GBK" w:hAnsi="方正仿宋_GBK" w:eastAsia="方正仿宋_GBK" w:cs="方正仿宋_GBK"/>
          <w:b w:val="0"/>
          <w:bCs w:val="0"/>
          <w:color w:val="auto"/>
          <w:kern w:val="2"/>
          <w:sz w:val="32"/>
          <w:szCs w:val="32"/>
          <w:highlight w:val="none"/>
          <w:u w:val="none" w:color="auto"/>
          <w:lang w:eastAsia="zh-CN"/>
        </w:rPr>
        <w:t>以新发展理念引领转型发展，推动落实“一区、四转型”战略，统筹好扩大内需和深化供给侧结构性改革，加快培育新动能，着力构建具有辽源特色的现代化产业体系，推动经济社会发展全面绿色转型。</w:t>
      </w:r>
    </w:p>
    <w:p w14:paraId="739AC2BE">
      <w:pPr>
        <w:pStyle w:val="2"/>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640" w:firstLineChars="200"/>
        <w:jc w:val="both"/>
        <w:textAlignment w:val="auto"/>
        <w:rPr>
          <w:rFonts w:hint="eastAsia" w:ascii="方正仿宋_GBK" w:hAnsi="方正仿宋_GBK" w:eastAsia="方正仿宋_GBK" w:cs="方正仿宋_GBK"/>
          <w:b w:val="0"/>
          <w:bCs w:val="0"/>
          <w:color w:val="auto"/>
          <w:kern w:val="2"/>
          <w:sz w:val="32"/>
          <w:szCs w:val="32"/>
          <w:highlight w:val="none"/>
          <w:u w:val="none" w:color="auto"/>
          <w:lang w:eastAsia="zh-CN"/>
        </w:rPr>
      </w:pPr>
      <w:r>
        <w:rPr>
          <w:rFonts w:hint="eastAsia" w:ascii="方正楷体_GBK" w:hAnsi="方正楷体_GBK" w:eastAsia="方正楷体_GBK" w:cs="方正楷体_GBK"/>
          <w:b w:val="0"/>
          <w:bCs w:val="0"/>
          <w:color w:val="auto"/>
          <w:kern w:val="2"/>
          <w:sz w:val="32"/>
          <w:szCs w:val="32"/>
          <w:highlight w:val="none"/>
          <w:u w:val="none" w:color="auto"/>
          <w:lang w:eastAsia="zh-CN"/>
        </w:rPr>
        <w:t>要以推进都市圈建设作为主攻方向</w:t>
      </w:r>
      <w:r>
        <w:rPr>
          <w:rFonts w:hint="eastAsia" w:ascii="方正仿宋_GBK" w:hAnsi="方正仿宋_GBK" w:eastAsia="方正仿宋_GBK" w:cs="方正仿宋_GBK"/>
          <w:b w:val="0"/>
          <w:bCs w:val="0"/>
          <w:color w:val="auto"/>
          <w:kern w:val="2"/>
          <w:sz w:val="32"/>
          <w:szCs w:val="32"/>
          <w:highlight w:val="none"/>
          <w:u w:val="none" w:color="auto"/>
          <w:lang w:eastAsia="zh-CN"/>
        </w:rPr>
        <w:t>。把融入长春现代化都市圈建设作为全局性、牵引性的总抓手，强化都市圈城市群辐射带动和产业协同互促作用，积极推进以县城和重点乡镇为载体的新型城镇化建设，建设吉林省向南开放新通道。</w:t>
      </w:r>
    </w:p>
    <w:p w14:paraId="48B846B9">
      <w:pPr>
        <w:pStyle w:val="2"/>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640" w:firstLineChars="200"/>
        <w:jc w:val="both"/>
        <w:textAlignment w:val="auto"/>
        <w:rPr>
          <w:rFonts w:hint="eastAsia" w:ascii="方正仿宋_GBK" w:hAnsi="方正仿宋_GBK" w:eastAsia="方正仿宋_GBK" w:cs="方正仿宋_GBK"/>
          <w:b w:val="0"/>
          <w:bCs w:val="0"/>
          <w:color w:val="auto"/>
          <w:kern w:val="2"/>
          <w:sz w:val="32"/>
          <w:szCs w:val="32"/>
          <w:highlight w:val="none"/>
          <w:u w:val="none" w:color="auto"/>
          <w:lang w:eastAsia="zh-CN"/>
        </w:rPr>
      </w:pPr>
      <w:r>
        <w:rPr>
          <w:rFonts w:hint="eastAsia" w:ascii="方正楷体_GBK" w:hAnsi="方正楷体_GBK" w:eastAsia="方正楷体_GBK" w:cs="方正楷体_GBK"/>
          <w:b w:val="0"/>
          <w:bCs w:val="0"/>
          <w:color w:val="auto"/>
          <w:kern w:val="2"/>
          <w:sz w:val="32"/>
          <w:szCs w:val="32"/>
          <w:highlight w:val="none"/>
          <w:u w:val="none" w:color="auto"/>
          <w:lang w:eastAsia="zh-CN"/>
        </w:rPr>
        <w:t>要以改革创新作为根本动力</w:t>
      </w:r>
      <w:r>
        <w:rPr>
          <w:rFonts w:hint="eastAsia" w:ascii="方正仿宋_GBK" w:hAnsi="方正仿宋_GBK" w:eastAsia="方正仿宋_GBK" w:cs="方正仿宋_GBK"/>
          <w:b w:val="0"/>
          <w:bCs w:val="0"/>
          <w:color w:val="auto"/>
          <w:kern w:val="2"/>
          <w:sz w:val="32"/>
          <w:szCs w:val="32"/>
          <w:highlight w:val="none"/>
          <w:u w:val="none" w:color="auto"/>
          <w:lang w:eastAsia="zh-CN"/>
        </w:rPr>
        <w:t>。持续激发各类市场主体内生动力与发展活力，以体制机制创新和科技创新双轮驱动，推动重点领域和关键环节改革，为高质量发展提供制度保障，积极塑造发展新动能、新优势。</w:t>
      </w:r>
    </w:p>
    <w:p w14:paraId="7A0F7F3B">
      <w:pPr>
        <w:pStyle w:val="2"/>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640" w:firstLineChars="200"/>
        <w:jc w:val="both"/>
        <w:textAlignment w:val="auto"/>
        <w:rPr>
          <w:rFonts w:hint="eastAsia" w:ascii="方正仿宋_GBK" w:hAnsi="方正仿宋_GBK" w:eastAsia="方正仿宋_GBK" w:cs="方正仿宋_GBK"/>
          <w:b w:val="0"/>
          <w:bCs w:val="0"/>
          <w:color w:val="auto"/>
          <w:kern w:val="2"/>
          <w:sz w:val="32"/>
          <w:szCs w:val="32"/>
          <w:highlight w:val="none"/>
          <w:u w:val="none" w:color="auto"/>
          <w:lang w:eastAsia="zh-CN"/>
        </w:rPr>
      </w:pPr>
      <w:r>
        <w:rPr>
          <w:rFonts w:hint="eastAsia" w:ascii="方正楷体_GBK" w:hAnsi="方正楷体_GBK" w:eastAsia="方正楷体_GBK" w:cs="方正楷体_GBK"/>
          <w:b w:val="0"/>
          <w:bCs w:val="0"/>
          <w:color w:val="auto"/>
          <w:kern w:val="2"/>
          <w:sz w:val="32"/>
          <w:szCs w:val="32"/>
          <w:highlight w:val="none"/>
          <w:u w:val="none" w:color="auto"/>
          <w:lang w:eastAsia="zh-CN"/>
        </w:rPr>
        <w:t>要以满足人民美好生活需要作为最终目的</w:t>
      </w:r>
      <w:r>
        <w:rPr>
          <w:rFonts w:hint="eastAsia" w:ascii="方正仿宋_GBK" w:hAnsi="方正仿宋_GBK" w:eastAsia="方正仿宋_GBK" w:cs="方正仿宋_GBK"/>
          <w:b w:val="0"/>
          <w:bCs w:val="0"/>
          <w:color w:val="auto"/>
          <w:kern w:val="2"/>
          <w:sz w:val="32"/>
          <w:szCs w:val="32"/>
          <w:highlight w:val="none"/>
          <w:u w:val="none" w:color="auto"/>
          <w:lang w:eastAsia="zh-CN"/>
        </w:rPr>
        <w:t>。始终把人民放在最高位置，把增进民生福祉作为发展的着力点，持续优化公共服务供给，健全社会保障体系，提升社会治理效能。发挥好“12345+网络舆情+信访”民生问题发现和解决闭环机制，解决好群众急难愁盼，让发展成果更多、更公平惠及全市人民。</w:t>
      </w:r>
    </w:p>
    <w:p w14:paraId="153C22C6">
      <w:pPr>
        <w:pStyle w:val="2"/>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640" w:firstLineChars="200"/>
        <w:jc w:val="both"/>
        <w:textAlignment w:val="auto"/>
        <w:rPr>
          <w:rFonts w:hint="eastAsia" w:ascii="方正仿宋_GBK" w:hAnsi="方正仿宋_GBK" w:eastAsia="方正仿宋_GBK" w:cs="方正仿宋_GBK"/>
          <w:b w:val="0"/>
          <w:bCs w:val="0"/>
          <w:color w:val="auto"/>
          <w:kern w:val="2"/>
          <w:sz w:val="32"/>
          <w:szCs w:val="32"/>
          <w:highlight w:val="none"/>
          <w:u w:val="none" w:color="auto"/>
          <w:lang w:eastAsia="zh-CN"/>
        </w:rPr>
      </w:pPr>
      <w:r>
        <w:rPr>
          <w:rFonts w:hint="eastAsia" w:ascii="方正楷体_GBK" w:hAnsi="方正楷体_GBK" w:eastAsia="方正楷体_GBK" w:cs="方正楷体_GBK"/>
          <w:b w:val="0"/>
          <w:bCs w:val="0"/>
          <w:color w:val="auto"/>
          <w:kern w:val="2"/>
          <w:sz w:val="32"/>
          <w:szCs w:val="32"/>
          <w:highlight w:val="none"/>
          <w:u w:val="none" w:color="auto"/>
          <w:lang w:eastAsia="zh-CN"/>
        </w:rPr>
        <w:t>要以实干担当争先创优作为鲜明导向。</w:t>
      </w:r>
      <w:r>
        <w:rPr>
          <w:rFonts w:hint="eastAsia" w:ascii="方正仿宋_GBK" w:hAnsi="方正仿宋_GBK" w:eastAsia="方正仿宋_GBK" w:cs="方正仿宋_GBK"/>
          <w:b w:val="0"/>
          <w:bCs w:val="0"/>
          <w:color w:val="auto"/>
          <w:kern w:val="2"/>
          <w:sz w:val="32"/>
          <w:szCs w:val="32"/>
          <w:highlight w:val="none"/>
          <w:u w:val="none" w:color="auto"/>
          <w:lang w:eastAsia="zh-CN"/>
        </w:rPr>
        <w:t>大力弘扬“苦干实干、争优争先”的奋斗精神，锤炼“盯住事、懂业务、善作为”的过硬本领，以永不懈怠的昂扬斗志和一往无前的进取姿态，奋力开创辽源全面振兴和高质量发展新局面。</w:t>
      </w:r>
    </w:p>
    <w:p w14:paraId="10F87CB3">
      <w:pPr>
        <w:pStyle w:val="2"/>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left="0" w:leftChars="0" w:firstLine="0" w:firstLineChars="0"/>
        <w:jc w:val="center"/>
        <w:textAlignment w:val="auto"/>
        <w:rPr>
          <w:rFonts w:hint="eastAsia" w:ascii="方正黑体_GBK" w:hAnsi="方正黑体_GBK" w:eastAsia="方正黑体_GBK" w:cs="方正黑体_GBK"/>
          <w:b w:val="0"/>
          <w:bCs w:val="0"/>
          <w:color w:val="auto"/>
          <w:kern w:val="2"/>
          <w:sz w:val="32"/>
          <w:szCs w:val="32"/>
          <w:highlight w:val="none"/>
          <w:u w:val="none" w:color="auto"/>
          <w:lang w:eastAsia="zh-CN"/>
        </w:rPr>
      </w:pPr>
    </w:p>
    <w:p w14:paraId="3C8F4EAA">
      <w:pPr>
        <w:pStyle w:val="2"/>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left="0" w:leftChars="0" w:firstLine="0" w:firstLineChars="0"/>
        <w:jc w:val="center"/>
        <w:textAlignment w:val="auto"/>
        <w:rPr>
          <w:rFonts w:hint="eastAsia" w:ascii="方正黑体_GBK" w:hAnsi="方正黑体_GBK" w:eastAsia="方正黑体_GBK" w:cs="方正黑体_GBK"/>
          <w:b w:val="0"/>
          <w:bCs w:val="0"/>
          <w:color w:val="auto"/>
          <w:kern w:val="2"/>
          <w:sz w:val="32"/>
          <w:szCs w:val="32"/>
          <w:highlight w:val="none"/>
          <w:u w:val="none" w:color="auto"/>
          <w:lang w:eastAsia="zh-CN"/>
        </w:rPr>
      </w:pPr>
      <w:r>
        <w:rPr>
          <w:rFonts w:hint="eastAsia" w:ascii="方正黑体_GBK" w:hAnsi="方正黑体_GBK" w:eastAsia="方正黑体_GBK" w:cs="方正黑体_GBK"/>
          <w:b w:val="0"/>
          <w:bCs w:val="0"/>
          <w:color w:val="auto"/>
          <w:kern w:val="2"/>
          <w:sz w:val="32"/>
          <w:szCs w:val="32"/>
          <w:highlight w:val="none"/>
          <w:u w:val="none" w:color="auto"/>
          <w:lang w:eastAsia="zh-CN"/>
        </w:rPr>
        <w:t>第四节  发展定位</w:t>
      </w:r>
    </w:p>
    <w:p w14:paraId="36FBCDF5">
      <w:pPr>
        <w:pStyle w:val="2"/>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640" w:firstLineChars="200"/>
        <w:jc w:val="both"/>
        <w:textAlignment w:val="auto"/>
        <w:rPr>
          <w:rFonts w:hint="eastAsia" w:ascii="方正仿宋_GBK" w:hAnsi="方正仿宋_GBK" w:eastAsia="方正仿宋_GBK" w:cs="方正仿宋_GBK"/>
          <w:b w:val="0"/>
          <w:bCs w:val="0"/>
          <w:color w:val="auto"/>
          <w:kern w:val="2"/>
          <w:sz w:val="32"/>
          <w:szCs w:val="32"/>
          <w:highlight w:val="none"/>
          <w:u w:val="none" w:color="auto"/>
          <w:lang w:eastAsia="zh-CN"/>
        </w:rPr>
      </w:pPr>
      <w:r>
        <w:rPr>
          <w:rFonts w:hint="eastAsia" w:ascii="方正仿宋_GBK" w:hAnsi="方正仿宋_GBK" w:eastAsia="方正仿宋_GBK" w:cs="方正仿宋_GBK"/>
          <w:b w:val="0"/>
          <w:bCs w:val="0"/>
          <w:color w:val="auto"/>
          <w:kern w:val="2"/>
          <w:sz w:val="32"/>
          <w:szCs w:val="32"/>
          <w:highlight w:val="none"/>
          <w:u w:val="none" w:color="auto"/>
          <w:lang w:eastAsia="zh-CN"/>
        </w:rPr>
        <w:t>“十五五”时期，我市将以服务和融入国家、省发展大局为根本遵循，坚持从战略和全局高度统筹谋划发展，找准自身定位，放大优势，固本兴新，聚力创建“三个高地”，全力打造吉林省向南开放发展区域中心城市，在高质量转型发展过程中谋新篇、创新路、开新局。</w:t>
      </w:r>
    </w:p>
    <w:p w14:paraId="0EC43B04">
      <w:pPr>
        <w:pStyle w:val="2"/>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640" w:firstLineChars="200"/>
        <w:jc w:val="both"/>
        <w:textAlignment w:val="auto"/>
        <w:rPr>
          <w:rFonts w:hint="eastAsia" w:ascii="方正仿宋_GBK" w:hAnsi="方正仿宋_GBK" w:eastAsia="方正仿宋_GBK" w:cs="方正仿宋_GBK"/>
          <w:b w:val="0"/>
          <w:bCs w:val="0"/>
          <w:color w:val="auto"/>
          <w:kern w:val="2"/>
          <w:sz w:val="32"/>
          <w:szCs w:val="32"/>
          <w:highlight w:val="none"/>
          <w:u w:val="none" w:color="auto"/>
          <w:lang w:eastAsia="zh-CN"/>
        </w:rPr>
      </w:pPr>
      <w:r>
        <w:rPr>
          <w:rFonts w:hint="eastAsia" w:ascii="方正仿宋_GBK" w:hAnsi="方正仿宋_GBK" w:eastAsia="方正仿宋_GBK" w:cs="方正仿宋_GBK"/>
          <w:b w:val="0"/>
          <w:bCs w:val="0"/>
          <w:color w:val="auto"/>
          <w:kern w:val="2"/>
          <w:sz w:val="32"/>
          <w:szCs w:val="32"/>
          <w:highlight w:val="none"/>
          <w:u w:val="none" w:color="auto"/>
          <w:lang w:eastAsia="zh-CN"/>
        </w:rPr>
        <w:t>“三个高地”：</w:t>
      </w:r>
    </w:p>
    <w:p w14:paraId="446F94FE">
      <w:pPr>
        <w:pStyle w:val="2"/>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640" w:firstLineChars="200"/>
        <w:jc w:val="both"/>
        <w:textAlignment w:val="auto"/>
        <w:rPr>
          <w:rFonts w:hint="eastAsia" w:ascii="方正仿宋_GBK" w:hAnsi="方正仿宋_GBK" w:eastAsia="方正仿宋_GBK" w:cs="方正仿宋_GBK"/>
          <w:b w:val="0"/>
          <w:bCs w:val="0"/>
          <w:color w:val="auto"/>
          <w:kern w:val="2"/>
          <w:sz w:val="32"/>
          <w:szCs w:val="32"/>
          <w:highlight w:val="none"/>
          <w:u w:val="none" w:color="auto"/>
          <w:lang w:eastAsia="zh-CN"/>
        </w:rPr>
      </w:pPr>
      <w:r>
        <w:rPr>
          <w:rFonts w:hint="eastAsia" w:ascii="方正楷体_GBK" w:hAnsi="方正楷体_GBK" w:eastAsia="方正楷体_GBK" w:cs="方正楷体_GBK"/>
          <w:b w:val="0"/>
          <w:bCs w:val="0"/>
          <w:color w:val="auto"/>
          <w:kern w:val="2"/>
          <w:sz w:val="32"/>
          <w:szCs w:val="32"/>
          <w:highlight w:val="none"/>
          <w:u w:val="none" w:color="auto"/>
          <w:lang w:eastAsia="zh-CN"/>
        </w:rPr>
        <w:t>都市圈特色产业集群高地</w:t>
      </w:r>
      <w:r>
        <w:rPr>
          <w:rFonts w:hint="eastAsia" w:ascii="方正仿宋_GBK" w:hAnsi="方正仿宋_GBK" w:eastAsia="方正仿宋_GBK" w:cs="方正仿宋_GBK"/>
          <w:b w:val="0"/>
          <w:bCs w:val="0"/>
          <w:color w:val="auto"/>
          <w:kern w:val="2"/>
          <w:sz w:val="32"/>
          <w:szCs w:val="32"/>
          <w:highlight w:val="none"/>
          <w:u w:val="none" w:color="auto"/>
          <w:lang w:eastAsia="zh-CN"/>
        </w:rPr>
        <w:t>。放大长辽组团发展优势，突出融合、智能、绿色产业发展方向，构建以梅花鹿、禽蛋、肉牛、松籽、毛驴、食用菌为特色的三产融合食品加工产业集群；以袜业、服装服饰、冰雪装备为优势的现代纺织产业集群；以汽车配套、轨道客车为支柱的先进装备制造产业集群；以生产绿氢、绿醇、绿甲烷为主导的风光电氢储全链条新能源产业集群。</w:t>
      </w:r>
    </w:p>
    <w:p w14:paraId="2A037C79">
      <w:pPr>
        <w:pStyle w:val="2"/>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640" w:firstLineChars="200"/>
        <w:jc w:val="both"/>
        <w:textAlignment w:val="auto"/>
        <w:rPr>
          <w:rFonts w:hint="eastAsia" w:ascii="方正仿宋_GBK" w:hAnsi="方正仿宋_GBK" w:eastAsia="方正仿宋_GBK" w:cs="方正仿宋_GBK"/>
          <w:b w:val="0"/>
          <w:bCs w:val="0"/>
          <w:color w:val="auto"/>
          <w:kern w:val="2"/>
          <w:sz w:val="32"/>
          <w:szCs w:val="32"/>
          <w:highlight w:val="none"/>
          <w:u w:val="none" w:color="auto"/>
          <w:lang w:eastAsia="zh-CN"/>
        </w:rPr>
      </w:pPr>
      <w:r>
        <w:rPr>
          <w:rFonts w:hint="eastAsia" w:ascii="方正楷体_GBK" w:hAnsi="方正楷体_GBK" w:eastAsia="方正楷体_GBK" w:cs="方正楷体_GBK"/>
          <w:b w:val="0"/>
          <w:bCs w:val="0"/>
          <w:color w:val="auto"/>
          <w:kern w:val="2"/>
          <w:sz w:val="32"/>
          <w:szCs w:val="32"/>
          <w:highlight w:val="none"/>
          <w:u w:val="none" w:color="auto"/>
          <w:lang w:eastAsia="zh-CN"/>
        </w:rPr>
        <w:t>东辽河流域绿色低碳转型高地。</w:t>
      </w:r>
      <w:r>
        <w:rPr>
          <w:rFonts w:hint="eastAsia" w:ascii="方正仿宋_GBK" w:hAnsi="方正仿宋_GBK" w:eastAsia="方正仿宋_GBK" w:cs="方正仿宋_GBK"/>
          <w:b w:val="0"/>
          <w:bCs w:val="0"/>
          <w:color w:val="auto"/>
          <w:kern w:val="2"/>
          <w:sz w:val="32"/>
          <w:szCs w:val="32"/>
          <w:highlight w:val="none"/>
          <w:u w:val="none" w:color="auto"/>
          <w:lang w:eastAsia="zh-CN"/>
        </w:rPr>
        <w:t>统筹推进东辽河上游绿色生态屏障建设、山水林田湖草沙一体化修复治理和现代生态农业示范区建设三大任务，完善上下游联防联治、左右岸协同管护、跨区域生态补偿机制，探索水库、钱库、粮库、碳库“森林四库”建设机制，贯通东辽河流域生态经济廊道，打造辽河流域“两山”理论绿色低碳发展实践新范式。</w:t>
      </w:r>
    </w:p>
    <w:p w14:paraId="6C90B112">
      <w:pPr>
        <w:pStyle w:val="2"/>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640" w:firstLineChars="200"/>
        <w:jc w:val="both"/>
        <w:textAlignment w:val="auto"/>
        <w:rPr>
          <w:rFonts w:hint="eastAsia" w:ascii="方正仿宋_GBK" w:hAnsi="方正仿宋_GBK" w:eastAsia="方正仿宋_GBK" w:cs="方正仿宋_GBK"/>
          <w:b w:val="0"/>
          <w:bCs w:val="0"/>
          <w:color w:val="auto"/>
          <w:kern w:val="2"/>
          <w:sz w:val="32"/>
          <w:szCs w:val="32"/>
          <w:highlight w:val="none"/>
          <w:u w:val="none" w:color="auto"/>
          <w:lang w:eastAsia="zh-CN"/>
        </w:rPr>
      </w:pPr>
      <w:r>
        <w:rPr>
          <w:rFonts w:hint="eastAsia" w:ascii="方正楷体_GBK" w:hAnsi="方正楷体_GBK" w:eastAsia="方正楷体_GBK" w:cs="方正楷体_GBK"/>
          <w:b w:val="0"/>
          <w:bCs w:val="0"/>
          <w:color w:val="auto"/>
          <w:kern w:val="2"/>
          <w:sz w:val="32"/>
          <w:szCs w:val="32"/>
          <w:highlight w:val="none"/>
          <w:u w:val="none" w:color="auto"/>
          <w:lang w:eastAsia="zh-CN"/>
        </w:rPr>
        <w:t>区域文体旅融合发展高地</w:t>
      </w:r>
      <w:r>
        <w:rPr>
          <w:rFonts w:hint="eastAsia" w:ascii="方正仿宋_GBK" w:hAnsi="方正仿宋_GBK" w:eastAsia="方正仿宋_GBK" w:cs="方正仿宋_GBK"/>
          <w:b w:val="0"/>
          <w:bCs w:val="0"/>
          <w:color w:val="auto"/>
          <w:kern w:val="2"/>
          <w:sz w:val="32"/>
          <w:szCs w:val="32"/>
          <w:highlight w:val="none"/>
          <w:u w:val="none" w:color="auto"/>
          <w:lang w:eastAsia="zh-CN"/>
        </w:rPr>
        <w:t>。发挥山水林城生态资源优势，挖掘历史文脉资源，发展体育赛事经济，优化提升东辽河源头、采煤沉陷区、环东山、龙首山、东丰南山五个文体旅片区功能品质，整合辽河源、那丹伯、金州、沙河、安石五乡镇农商文旅体资源，拓展生态溯源游、关东文化游、乡村休闲游、工业遗产游、赛事活动游，打造都市圈短期休闲游目的地。</w:t>
      </w:r>
    </w:p>
    <w:p w14:paraId="7DD64DFF">
      <w:pPr>
        <w:pStyle w:val="2"/>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640" w:firstLineChars="200"/>
        <w:jc w:val="both"/>
        <w:textAlignment w:val="auto"/>
        <w:rPr>
          <w:rFonts w:hint="eastAsia" w:ascii="方正仿宋_GBK" w:hAnsi="方正仿宋_GBK" w:eastAsia="方正仿宋_GBK" w:cs="方正仿宋_GBK"/>
          <w:b w:val="0"/>
          <w:bCs w:val="0"/>
          <w:color w:val="auto"/>
          <w:kern w:val="2"/>
          <w:sz w:val="32"/>
          <w:szCs w:val="32"/>
          <w:highlight w:val="none"/>
          <w:u w:val="none" w:color="auto"/>
          <w:lang w:eastAsia="zh-CN"/>
        </w:rPr>
      </w:pPr>
      <w:r>
        <w:rPr>
          <w:rFonts w:hint="eastAsia" w:ascii="方正仿宋_GBK" w:hAnsi="方正仿宋_GBK" w:eastAsia="方正仿宋_GBK" w:cs="方正仿宋_GBK"/>
          <w:b w:val="0"/>
          <w:bCs w:val="0"/>
          <w:color w:val="auto"/>
          <w:kern w:val="2"/>
          <w:sz w:val="32"/>
          <w:szCs w:val="32"/>
          <w:highlight w:val="none"/>
          <w:u w:val="none" w:color="auto"/>
          <w:lang w:eastAsia="zh-CN"/>
        </w:rPr>
        <w:t>“一个中心”：</w:t>
      </w:r>
    </w:p>
    <w:p w14:paraId="7C4BC5BA">
      <w:pPr>
        <w:pStyle w:val="2"/>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640" w:firstLineChars="200"/>
        <w:jc w:val="both"/>
        <w:textAlignment w:val="auto"/>
        <w:rPr>
          <w:rFonts w:hint="eastAsia" w:ascii="方正仿宋_GBK" w:hAnsi="方正仿宋_GBK" w:eastAsia="方正仿宋_GBK" w:cs="方正仿宋_GBK"/>
          <w:b w:val="0"/>
          <w:bCs w:val="0"/>
          <w:color w:val="auto"/>
          <w:kern w:val="2"/>
          <w:sz w:val="32"/>
          <w:szCs w:val="32"/>
          <w:highlight w:val="none"/>
          <w:u w:val="none" w:color="auto"/>
          <w:lang w:eastAsia="zh-CN"/>
        </w:rPr>
      </w:pPr>
      <w:r>
        <w:rPr>
          <w:rFonts w:hint="eastAsia" w:ascii="方正楷体_GBK" w:hAnsi="方正楷体_GBK" w:eastAsia="方正楷体_GBK" w:cs="方正楷体_GBK"/>
          <w:b w:val="0"/>
          <w:bCs w:val="0"/>
          <w:color w:val="auto"/>
          <w:kern w:val="2"/>
          <w:sz w:val="32"/>
          <w:szCs w:val="32"/>
          <w:highlight w:val="none"/>
          <w:u w:val="none" w:color="auto"/>
          <w:lang w:eastAsia="zh-CN"/>
        </w:rPr>
        <w:t>吉林省向南开放发展区域中心城市。</w:t>
      </w:r>
      <w:r>
        <w:rPr>
          <w:rFonts w:hint="eastAsia" w:ascii="方正仿宋_GBK" w:hAnsi="方正仿宋_GBK" w:eastAsia="方正仿宋_GBK" w:cs="方正仿宋_GBK"/>
          <w:b w:val="0"/>
          <w:bCs w:val="0"/>
          <w:color w:val="auto"/>
          <w:kern w:val="2"/>
          <w:sz w:val="32"/>
          <w:szCs w:val="32"/>
          <w:highlight w:val="none"/>
          <w:u w:val="none" w:color="auto"/>
          <w:lang w:eastAsia="zh-CN"/>
        </w:rPr>
        <w:t>放大辽源地处长春、沈阳两大经济中心轴线的区位优势，坚持人口、产业、交通、生态、服务一体规划，借助吉南辽北蒙东六市一体化联席会议机制、吉西南国家级承接产业转移示范区、辽源—绍兴对口合作以及吉浙“1+N”合作等平台，推动形成快速通达交通网、优势互补产业带、生态共治示范区、服务共享生活圈，建设都市圈乡村振兴先行区，构建一条承东启西、连南接北的区域经济开放发展新通道。</w:t>
      </w:r>
    </w:p>
    <w:p w14:paraId="36B3C08D">
      <w:pPr>
        <w:pStyle w:val="2"/>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left="0" w:leftChars="0" w:firstLine="0" w:firstLineChars="0"/>
        <w:jc w:val="center"/>
        <w:textAlignment w:val="auto"/>
        <w:rPr>
          <w:rFonts w:hint="eastAsia" w:ascii="方正黑体_GBK" w:hAnsi="方正黑体_GBK" w:eastAsia="方正黑体_GBK" w:cs="方正黑体_GBK"/>
          <w:b w:val="0"/>
          <w:bCs w:val="0"/>
          <w:color w:val="auto"/>
          <w:kern w:val="2"/>
          <w:sz w:val="32"/>
          <w:szCs w:val="32"/>
          <w:highlight w:val="none"/>
          <w:u w:val="none" w:color="auto"/>
          <w:lang w:eastAsia="zh-CN"/>
        </w:rPr>
      </w:pPr>
      <w:r>
        <w:rPr>
          <w:rFonts w:hint="eastAsia" w:ascii="方正黑体_GBK" w:hAnsi="方正黑体_GBK" w:eastAsia="方正黑体_GBK" w:cs="方正黑体_GBK"/>
          <w:b w:val="0"/>
          <w:bCs w:val="0"/>
          <w:color w:val="auto"/>
          <w:kern w:val="2"/>
          <w:sz w:val="32"/>
          <w:szCs w:val="32"/>
          <w:highlight w:val="none"/>
          <w:u w:val="none" w:color="auto"/>
          <w:lang w:eastAsia="zh-CN"/>
        </w:rPr>
        <w:t>第五节  发展目标</w:t>
      </w:r>
    </w:p>
    <w:p w14:paraId="4FF13D7E">
      <w:pPr>
        <w:pStyle w:val="2"/>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640" w:firstLineChars="200"/>
        <w:jc w:val="both"/>
        <w:textAlignment w:val="auto"/>
        <w:rPr>
          <w:rFonts w:hint="eastAsia" w:ascii="方正仿宋_GBK" w:hAnsi="方正仿宋_GBK" w:eastAsia="方正仿宋_GBK" w:cs="方正仿宋_GBK"/>
          <w:b w:val="0"/>
          <w:bCs w:val="0"/>
          <w:color w:val="auto"/>
          <w:kern w:val="2"/>
          <w:sz w:val="32"/>
          <w:szCs w:val="32"/>
          <w:highlight w:val="none"/>
          <w:u w:val="none" w:color="auto"/>
          <w:lang w:eastAsia="zh-CN"/>
        </w:rPr>
      </w:pPr>
      <w:r>
        <w:rPr>
          <w:rFonts w:hint="eastAsia" w:ascii="方正仿宋_GBK" w:hAnsi="方正仿宋_GBK" w:eastAsia="方正仿宋_GBK" w:cs="方正仿宋_GBK"/>
          <w:b w:val="0"/>
          <w:bCs w:val="0"/>
          <w:color w:val="auto"/>
          <w:kern w:val="2"/>
          <w:sz w:val="32"/>
          <w:szCs w:val="32"/>
          <w:highlight w:val="none"/>
          <w:u w:val="none" w:color="auto"/>
          <w:lang w:eastAsia="zh-CN"/>
        </w:rPr>
        <w:t>结合“十四五”发展基础，我市“十五五”时期经济社会发展主要目标是：</w:t>
      </w:r>
    </w:p>
    <w:p w14:paraId="05167443">
      <w:pPr>
        <w:pStyle w:val="2"/>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640" w:firstLineChars="200"/>
        <w:jc w:val="both"/>
        <w:textAlignment w:val="auto"/>
        <w:rPr>
          <w:rFonts w:hint="eastAsia" w:ascii="方正仿宋_GBK" w:hAnsi="方正仿宋_GBK" w:eastAsia="方正仿宋_GBK" w:cs="方正仿宋_GBK"/>
          <w:b w:val="0"/>
          <w:bCs w:val="0"/>
          <w:color w:val="auto"/>
          <w:kern w:val="2"/>
          <w:sz w:val="32"/>
          <w:szCs w:val="32"/>
          <w:highlight w:val="none"/>
          <w:u w:val="none" w:color="auto"/>
          <w:lang w:eastAsia="zh-CN"/>
        </w:rPr>
      </w:pPr>
      <w:r>
        <w:rPr>
          <w:rFonts w:hint="eastAsia" w:ascii="方正楷体_GBK" w:hAnsi="方正楷体_GBK" w:eastAsia="方正楷体_GBK" w:cs="方正楷体_GBK"/>
          <w:b w:val="0"/>
          <w:bCs w:val="0"/>
          <w:color w:val="auto"/>
          <w:kern w:val="2"/>
          <w:sz w:val="32"/>
          <w:szCs w:val="32"/>
          <w:highlight w:val="none"/>
          <w:u w:val="none" w:color="auto"/>
          <w:lang w:eastAsia="zh-CN"/>
        </w:rPr>
        <w:t>高质量发展迈上新台阶。</w:t>
      </w:r>
      <w:r>
        <w:rPr>
          <w:rFonts w:hint="eastAsia" w:ascii="方正仿宋_GBK" w:hAnsi="方正仿宋_GBK" w:eastAsia="方正仿宋_GBK" w:cs="方正仿宋_GBK"/>
          <w:b w:val="0"/>
          <w:bCs w:val="0"/>
          <w:color w:val="auto"/>
          <w:kern w:val="2"/>
          <w:sz w:val="32"/>
          <w:szCs w:val="32"/>
          <w:highlight w:val="none"/>
          <w:u w:val="none" w:color="auto"/>
          <w:lang w:eastAsia="zh-CN"/>
        </w:rPr>
        <w:t>经济结构更加优化，科技创新能力显著提升，传统产业转型加速推进，新兴产业和未来产业加快培育，“5+2+N”现代化产业体系基本建立，推进长春现代化都市圈建设取得重大突破。经济增速“跑赢”全省平均水平，到2030年，地区生产总值力争突破700亿元，年均增速保持在5.5%左右。</w:t>
      </w:r>
    </w:p>
    <w:p w14:paraId="5F98CA9F">
      <w:pPr>
        <w:pStyle w:val="2"/>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640" w:firstLineChars="200"/>
        <w:jc w:val="both"/>
        <w:textAlignment w:val="auto"/>
        <w:rPr>
          <w:rFonts w:hint="eastAsia" w:ascii="方正仿宋_GBK" w:hAnsi="方正仿宋_GBK" w:eastAsia="方正仿宋_GBK" w:cs="方正仿宋_GBK"/>
          <w:b w:val="0"/>
          <w:bCs w:val="0"/>
          <w:color w:val="auto"/>
          <w:kern w:val="2"/>
          <w:sz w:val="32"/>
          <w:szCs w:val="32"/>
          <w:highlight w:val="none"/>
          <w:u w:val="none" w:color="auto"/>
          <w:lang w:eastAsia="zh-CN"/>
        </w:rPr>
      </w:pPr>
      <w:r>
        <w:rPr>
          <w:rFonts w:hint="eastAsia" w:ascii="方正楷体_GBK" w:hAnsi="方正楷体_GBK" w:eastAsia="方正楷体_GBK" w:cs="方正楷体_GBK"/>
          <w:b w:val="0"/>
          <w:bCs w:val="0"/>
          <w:color w:val="auto"/>
          <w:kern w:val="2"/>
          <w:sz w:val="32"/>
          <w:szCs w:val="32"/>
          <w:highlight w:val="none"/>
          <w:u w:val="none" w:color="auto"/>
          <w:lang w:eastAsia="zh-CN"/>
        </w:rPr>
        <w:t>改革开放形成新优势。</w:t>
      </w:r>
      <w:r>
        <w:rPr>
          <w:rFonts w:hint="eastAsia" w:ascii="方正仿宋_GBK" w:hAnsi="方正仿宋_GBK" w:eastAsia="方正仿宋_GBK" w:cs="方正仿宋_GBK"/>
          <w:b w:val="0"/>
          <w:bCs w:val="0"/>
          <w:color w:val="auto"/>
          <w:kern w:val="2"/>
          <w:sz w:val="32"/>
          <w:szCs w:val="32"/>
          <w:highlight w:val="none"/>
          <w:u w:val="none" w:color="auto"/>
          <w:lang w:eastAsia="zh-CN"/>
        </w:rPr>
        <w:t>市场经济体制更加完善，高水平开放型经济新体制加快建设，营商环境水平更加优化，全社会投资创业活力充分激发，民间投资占比力争保持在50%以上，民营经济增加值占GDP比重逐年提高。主动融入服务全国统一大市场建设，有力消除市场准入壁垒。招商引资交流合作成果不断扩大，外贸进出口总额力争年均增长5%以上。</w:t>
      </w:r>
    </w:p>
    <w:p w14:paraId="4A752E06">
      <w:pPr>
        <w:pStyle w:val="2"/>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640" w:firstLineChars="200"/>
        <w:jc w:val="both"/>
        <w:textAlignment w:val="auto"/>
        <w:rPr>
          <w:rFonts w:hint="eastAsia" w:ascii="方正仿宋_GBK" w:hAnsi="方正仿宋_GBK" w:eastAsia="方正仿宋_GBK" w:cs="方正仿宋_GBK"/>
          <w:b w:val="0"/>
          <w:bCs w:val="0"/>
          <w:color w:val="auto"/>
          <w:kern w:val="2"/>
          <w:sz w:val="32"/>
          <w:szCs w:val="32"/>
          <w:highlight w:val="none"/>
          <w:u w:val="none" w:color="auto"/>
          <w:lang w:eastAsia="zh-CN"/>
        </w:rPr>
      </w:pPr>
      <w:r>
        <w:rPr>
          <w:rFonts w:hint="eastAsia" w:ascii="方正楷体_GBK" w:hAnsi="方正楷体_GBK" w:eastAsia="方正楷体_GBK" w:cs="方正楷体_GBK"/>
          <w:b w:val="0"/>
          <w:bCs w:val="0"/>
          <w:color w:val="auto"/>
          <w:kern w:val="2"/>
          <w:sz w:val="32"/>
          <w:szCs w:val="32"/>
          <w:highlight w:val="none"/>
          <w:u w:val="none" w:color="auto"/>
          <w:lang w:eastAsia="zh-CN"/>
        </w:rPr>
        <w:t>社会文明程度达到新水平。</w:t>
      </w:r>
      <w:r>
        <w:rPr>
          <w:rFonts w:hint="eastAsia" w:ascii="方正仿宋_GBK" w:hAnsi="方正仿宋_GBK" w:eastAsia="方正仿宋_GBK" w:cs="方正仿宋_GBK"/>
          <w:b w:val="0"/>
          <w:bCs w:val="0"/>
          <w:color w:val="auto"/>
          <w:kern w:val="2"/>
          <w:sz w:val="32"/>
          <w:szCs w:val="32"/>
          <w:highlight w:val="none"/>
          <w:u w:val="none" w:color="auto"/>
          <w:lang w:eastAsia="zh-CN"/>
        </w:rPr>
        <w:t>文化自信更加坚定，主流思想舆论不断巩固壮大，社会主义核心价值观广泛践行，文化创新创造活力不断激发，历史文化遗产保护传承利用持续强化，矿山历史文化、东辽河文化、梅花鹿文化、琵琶文化等文化品牌持续擦亮，人民精神文化生活更加丰富，文化强市建设迈出坚实步伐。</w:t>
      </w:r>
    </w:p>
    <w:p w14:paraId="5B1A87F8">
      <w:pPr>
        <w:pStyle w:val="2"/>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640" w:firstLineChars="200"/>
        <w:jc w:val="both"/>
        <w:textAlignment w:val="auto"/>
        <w:rPr>
          <w:rFonts w:hint="eastAsia" w:ascii="方正仿宋_GBK" w:hAnsi="方正仿宋_GBK" w:eastAsia="方正仿宋_GBK" w:cs="方正仿宋_GBK"/>
          <w:b w:val="0"/>
          <w:bCs w:val="0"/>
          <w:color w:val="auto"/>
          <w:kern w:val="2"/>
          <w:sz w:val="32"/>
          <w:szCs w:val="32"/>
          <w:highlight w:val="none"/>
          <w:u w:val="none" w:color="auto"/>
          <w:lang w:eastAsia="zh-CN"/>
        </w:rPr>
      </w:pPr>
      <w:r>
        <w:rPr>
          <w:rFonts w:hint="eastAsia" w:ascii="方正楷体_GBK" w:hAnsi="方正楷体_GBK" w:eastAsia="方正楷体_GBK" w:cs="方正楷体_GBK"/>
          <w:b w:val="0"/>
          <w:bCs w:val="0"/>
          <w:color w:val="auto"/>
          <w:kern w:val="2"/>
          <w:sz w:val="32"/>
          <w:szCs w:val="32"/>
          <w:highlight w:val="none"/>
          <w:u w:val="none" w:color="auto"/>
          <w:lang w:eastAsia="zh-CN"/>
        </w:rPr>
        <w:t>高品质生活取得新成果。</w:t>
      </w:r>
      <w:r>
        <w:rPr>
          <w:rFonts w:hint="eastAsia" w:ascii="方正仿宋_GBK" w:hAnsi="方正仿宋_GBK" w:eastAsia="方正仿宋_GBK" w:cs="方正仿宋_GBK"/>
          <w:b w:val="0"/>
          <w:bCs w:val="0"/>
          <w:color w:val="auto"/>
          <w:kern w:val="2"/>
          <w:sz w:val="32"/>
          <w:szCs w:val="32"/>
          <w:highlight w:val="none"/>
          <w:u w:val="none" w:color="auto"/>
          <w:lang w:eastAsia="zh-CN"/>
        </w:rPr>
        <w:t>居民收入增速与经济增长基本同步，高质量充分就业提质扩容。社会保障制度更加健全，劳动年龄人口平均受教育年限达到11.8年，社区养老服务设施覆盖率达到100%，医疗卫生服务资源布局更趋合理，基本公共服务均等化水平明显提升，民生福祉不断增强。</w:t>
      </w:r>
    </w:p>
    <w:p w14:paraId="5EE0785C">
      <w:pPr>
        <w:pStyle w:val="2"/>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640" w:firstLineChars="200"/>
        <w:jc w:val="both"/>
        <w:textAlignment w:val="auto"/>
        <w:rPr>
          <w:rFonts w:hint="eastAsia" w:ascii="方正仿宋_GBK" w:hAnsi="方正仿宋_GBK" w:eastAsia="方正仿宋_GBK" w:cs="方正仿宋_GBK"/>
          <w:b w:val="0"/>
          <w:bCs w:val="0"/>
          <w:color w:val="auto"/>
          <w:kern w:val="2"/>
          <w:sz w:val="32"/>
          <w:szCs w:val="32"/>
          <w:highlight w:val="none"/>
          <w:u w:val="none" w:color="auto"/>
          <w:lang w:eastAsia="zh-CN"/>
        </w:rPr>
      </w:pPr>
      <w:r>
        <w:rPr>
          <w:rFonts w:hint="eastAsia" w:ascii="方正楷体_GBK" w:hAnsi="方正楷体_GBK" w:eastAsia="方正楷体_GBK" w:cs="方正楷体_GBK"/>
          <w:b w:val="0"/>
          <w:bCs w:val="0"/>
          <w:color w:val="auto"/>
          <w:kern w:val="2"/>
          <w:sz w:val="32"/>
          <w:szCs w:val="32"/>
          <w:highlight w:val="none"/>
          <w:u w:val="none" w:color="auto"/>
          <w:lang w:eastAsia="zh-CN"/>
        </w:rPr>
        <w:t>城乡环境展现新面貌。</w:t>
      </w:r>
      <w:r>
        <w:rPr>
          <w:rFonts w:hint="eastAsia" w:ascii="方正仿宋_GBK" w:hAnsi="方正仿宋_GBK" w:eastAsia="方正仿宋_GBK" w:cs="方正仿宋_GBK"/>
          <w:b w:val="0"/>
          <w:bCs w:val="0"/>
          <w:color w:val="auto"/>
          <w:kern w:val="2"/>
          <w:sz w:val="32"/>
          <w:szCs w:val="32"/>
          <w:highlight w:val="none"/>
          <w:u w:val="none" w:color="auto"/>
          <w:lang w:eastAsia="zh-CN"/>
        </w:rPr>
        <w:t>城市更新步伐加快，现代化基础设施支撑力明显增强，新型城镇化建设加速推进。东辽河生态安全屏障建设取得重要进展，山水林田湖草沙一体治理取得明显成效。新型能源体系建设加快，东北资源型城市中小型园区绿色低碳发展模式成功建立，主要污染物排放总量持续降低，绿色生产生活方式基本形成，碳达峰目标如期实现。生态系统多样性稳定性持续性不断增强，美丽辽源建设成效进一步彰显。</w:t>
      </w:r>
    </w:p>
    <w:p w14:paraId="42199BEA">
      <w:pPr>
        <w:pStyle w:val="2"/>
        <w:keepNext w:val="0"/>
        <w:keepLines w:val="0"/>
        <w:pageBreakBefore w:val="0"/>
        <w:widowControl w:val="0"/>
        <w:kinsoku/>
        <w:wordWrap/>
        <w:overflowPunct/>
        <w:topLinePunct w:val="0"/>
        <w:autoSpaceDE/>
        <w:autoSpaceDN/>
        <w:bidi w:val="0"/>
        <w:adjustRightInd/>
        <w:snapToGrid/>
        <w:spacing w:after="0" w:afterLines="0" w:line="540" w:lineRule="exact"/>
        <w:ind w:left="0" w:leftChars="0" w:firstLine="640" w:firstLineChars="200"/>
        <w:jc w:val="both"/>
        <w:textAlignment w:val="auto"/>
        <w:rPr>
          <w:rFonts w:hint="eastAsia" w:ascii="方正仿宋_GBK" w:hAnsi="方正仿宋_GBK" w:eastAsia="方正仿宋_GBK" w:cs="方正仿宋_GBK"/>
          <w:b w:val="0"/>
          <w:bCs w:val="0"/>
          <w:color w:val="auto"/>
          <w:kern w:val="2"/>
          <w:sz w:val="32"/>
          <w:szCs w:val="32"/>
          <w:highlight w:val="none"/>
          <w:u w:val="none" w:color="auto"/>
          <w:lang w:eastAsia="zh-CN"/>
        </w:rPr>
      </w:pPr>
      <w:r>
        <w:rPr>
          <w:rFonts w:hint="eastAsia" w:ascii="方正楷体_GBK" w:hAnsi="方正楷体_GBK" w:eastAsia="方正楷体_GBK" w:cs="方正楷体_GBK"/>
          <w:b w:val="0"/>
          <w:bCs w:val="0"/>
          <w:color w:val="auto"/>
          <w:kern w:val="2"/>
          <w:sz w:val="32"/>
          <w:szCs w:val="32"/>
          <w:highlight w:val="none"/>
          <w:u w:val="none" w:color="auto"/>
          <w:lang w:eastAsia="zh-CN"/>
        </w:rPr>
        <w:t>高效能治理实现新提升。</w:t>
      </w:r>
      <w:r>
        <w:rPr>
          <w:rFonts w:hint="eastAsia" w:ascii="方正仿宋_GBK" w:hAnsi="方正仿宋_GBK" w:eastAsia="方正仿宋_GBK" w:cs="方正仿宋_GBK"/>
          <w:b w:val="0"/>
          <w:bCs w:val="0"/>
          <w:color w:val="auto"/>
          <w:kern w:val="2"/>
          <w:sz w:val="32"/>
          <w:szCs w:val="32"/>
          <w:highlight w:val="none"/>
          <w:u w:val="none" w:color="auto"/>
          <w:lang w:eastAsia="zh-CN"/>
        </w:rPr>
        <w:t>全过程人民民主制度化、规范化、程序化水平进一步提高，社会公平正义进一步彰显，政府行政效率和公信力显著提升，社会治理特别是基层治理和公共安全治理水平明显提高，重点领域风险有效防范化解，法治辽源、平安辽源建设深入推进，全面振兴发展安全保障更加坚实有力。</w:t>
      </w:r>
    </w:p>
    <w:p w14:paraId="38F23252">
      <w:pPr>
        <w:pStyle w:val="2"/>
        <w:keepNext w:val="0"/>
        <w:keepLines w:val="0"/>
        <w:pageBreakBefore w:val="0"/>
        <w:widowControl w:val="0"/>
        <w:kinsoku/>
        <w:wordWrap/>
        <w:overflowPunct/>
        <w:topLinePunct w:val="0"/>
        <w:autoSpaceDE/>
        <w:autoSpaceDN/>
        <w:bidi w:val="0"/>
        <w:adjustRightInd/>
        <w:snapToGrid/>
        <w:spacing w:after="0" w:afterLines="0" w:line="540" w:lineRule="exact"/>
        <w:ind w:left="0" w:leftChars="0" w:firstLine="640" w:firstLineChars="200"/>
        <w:jc w:val="both"/>
        <w:textAlignment w:val="auto"/>
        <w:rPr>
          <w:rFonts w:hint="eastAsia" w:ascii="方正仿宋_GBK" w:hAnsi="方正仿宋_GBK" w:eastAsia="方正仿宋_GBK" w:cs="方正仿宋_GBK"/>
          <w:b w:val="0"/>
          <w:bCs w:val="0"/>
          <w:color w:val="auto"/>
          <w:kern w:val="2"/>
          <w:sz w:val="32"/>
          <w:szCs w:val="32"/>
          <w:highlight w:val="none"/>
          <w:u w:val="none" w:color="auto"/>
          <w:lang w:eastAsia="zh-CN"/>
        </w:rPr>
      </w:pPr>
      <w:r>
        <w:rPr>
          <w:rFonts w:hint="eastAsia" w:ascii="方正仿宋_GBK" w:hAnsi="方正仿宋_GBK" w:eastAsia="方正仿宋_GBK" w:cs="方正仿宋_GBK"/>
          <w:b w:val="0"/>
          <w:bCs w:val="0"/>
          <w:color w:val="auto"/>
          <w:kern w:val="2"/>
          <w:sz w:val="32"/>
          <w:szCs w:val="32"/>
          <w:highlight w:val="none"/>
          <w:u w:val="none" w:color="auto"/>
          <w:lang w:eastAsia="zh-CN"/>
        </w:rPr>
        <w:t>在此基础上再奋斗五年，到2035年，支撑现代化发展的产业体系、市场体系、城乡区域发展体系、绿色发展体系、民生保障体系等更加健全，经济实力、科技实力和城市综合竞争力大幅提升，全面形成创新能力强、营商环境好、生态环境优、发展活力足的现代化新局面，人民生活更加幸福美好，与全国同步基本实现社会主义现代化。</w:t>
      </w:r>
    </w:p>
    <w:p w14:paraId="603B5716">
      <w:pPr>
        <w:pStyle w:val="2"/>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0" w:firstLineChars="0"/>
        <w:jc w:val="center"/>
        <w:textAlignment w:val="auto"/>
        <w:rPr>
          <w:rFonts w:hint="eastAsia" w:ascii="方正黑体_GBK" w:hAnsi="方正黑体_GBK" w:eastAsia="方正黑体_GBK" w:cs="方正黑体_GBK"/>
          <w:b w:val="0"/>
          <w:bCs w:val="0"/>
          <w:color w:val="auto"/>
          <w:kern w:val="2"/>
          <w:sz w:val="28"/>
          <w:szCs w:val="28"/>
          <w:highlight w:val="none"/>
          <w:u w:val="none" w:color="auto"/>
          <w:lang w:eastAsia="zh-CN"/>
        </w:rPr>
      </w:pPr>
      <w:r>
        <w:rPr>
          <w:rFonts w:hint="eastAsia" w:ascii="方正黑体_GBK" w:hAnsi="方正黑体_GBK" w:eastAsia="方正黑体_GBK" w:cs="方正黑体_GBK"/>
          <w:b w:val="0"/>
          <w:bCs w:val="0"/>
          <w:color w:val="auto"/>
          <w:kern w:val="2"/>
          <w:sz w:val="28"/>
          <w:szCs w:val="28"/>
          <w:highlight w:val="none"/>
          <w:u w:val="none" w:color="auto"/>
          <w:lang w:eastAsia="zh-CN"/>
        </w:rPr>
        <w:t>专栏1“十五五”时期经济社会发展主要指标</w:t>
      </w:r>
    </w:p>
    <w:p w14:paraId="6ADC99C7">
      <w:pPr>
        <w:pStyle w:val="2"/>
        <w:keepNext w:val="0"/>
        <w:keepLines w:val="0"/>
        <w:pageBreakBefore w:val="0"/>
        <w:widowControl w:val="0"/>
        <w:kinsoku/>
        <w:wordWrap/>
        <w:overflowPunct/>
        <w:topLinePunct w:val="0"/>
        <w:autoSpaceDE/>
        <w:autoSpaceDN/>
        <w:bidi w:val="0"/>
        <w:adjustRightInd/>
        <w:snapToGrid/>
        <w:spacing w:after="0" w:afterLines="0" w:line="240" w:lineRule="exact"/>
        <w:ind w:left="0" w:leftChars="0" w:firstLine="0" w:firstLineChars="0"/>
        <w:jc w:val="center"/>
        <w:textAlignment w:val="auto"/>
        <w:rPr>
          <w:rFonts w:hint="eastAsia" w:ascii="方正黑体_GBK" w:hAnsi="方正黑体_GBK" w:eastAsia="方正黑体_GBK" w:cs="方正黑体_GBK"/>
          <w:b w:val="0"/>
          <w:bCs w:val="0"/>
          <w:color w:val="auto"/>
          <w:kern w:val="2"/>
          <w:sz w:val="32"/>
          <w:szCs w:val="32"/>
          <w:highlight w:val="none"/>
          <w:u w:val="none" w:color="auto"/>
          <w:lang w:eastAsia="zh-CN"/>
        </w:rPr>
      </w:pPr>
    </w:p>
    <w:tbl>
      <w:tblPr>
        <w:tblStyle w:val="7"/>
        <w:tblW w:w="531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1"/>
        <w:gridCol w:w="552"/>
        <w:gridCol w:w="1604"/>
        <w:gridCol w:w="1605"/>
        <w:gridCol w:w="1115"/>
        <w:gridCol w:w="1233"/>
        <w:gridCol w:w="1526"/>
        <w:gridCol w:w="804"/>
      </w:tblGrid>
      <w:tr w14:paraId="25D7D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blHeader/>
          <w:jc w:val="center"/>
        </w:trPr>
        <w:tc>
          <w:tcPr>
            <w:tcW w:w="342" w:type="pct"/>
            <w:tcBorders>
              <w:tl2br w:val="nil"/>
              <w:tr2bl w:val="nil"/>
            </w:tcBorders>
            <w:noWrap w:val="0"/>
            <w:vAlign w:val="center"/>
          </w:tcPr>
          <w:p w14:paraId="447FDDBC">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方正黑体_GBK" w:hAnsi="方正黑体_GBK" w:eastAsia="方正黑体_GBK" w:cs="方正黑体_GBK"/>
                <w:color w:val="auto"/>
                <w:sz w:val="21"/>
                <w:szCs w:val="21"/>
                <w:highlight w:val="none"/>
              </w:rPr>
            </w:pPr>
            <w:r>
              <w:rPr>
                <w:rFonts w:hint="eastAsia" w:ascii="方正黑体_GBK" w:hAnsi="方正黑体_GBK" w:eastAsia="方正黑体_GBK" w:cs="方正黑体_GBK"/>
                <w:color w:val="auto"/>
                <w:sz w:val="21"/>
                <w:szCs w:val="21"/>
                <w:highlight w:val="none"/>
              </w:rPr>
              <w:t>类别</w:t>
            </w:r>
          </w:p>
        </w:tc>
        <w:tc>
          <w:tcPr>
            <w:tcW w:w="304" w:type="pct"/>
            <w:tcBorders>
              <w:tl2br w:val="nil"/>
              <w:tr2bl w:val="nil"/>
            </w:tcBorders>
            <w:noWrap w:val="0"/>
            <w:tcMar>
              <w:top w:w="0" w:type="dxa"/>
              <w:left w:w="57" w:type="dxa"/>
              <w:bottom w:w="0" w:type="dxa"/>
              <w:right w:w="57" w:type="dxa"/>
            </w:tcMar>
            <w:vAlign w:val="center"/>
          </w:tcPr>
          <w:p w14:paraId="71C8329D">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方正黑体_GBK" w:hAnsi="方正黑体_GBK" w:eastAsia="方正黑体_GBK" w:cs="方正黑体_GBK"/>
                <w:color w:val="auto"/>
                <w:sz w:val="21"/>
                <w:szCs w:val="21"/>
                <w:highlight w:val="none"/>
              </w:rPr>
            </w:pPr>
            <w:r>
              <w:rPr>
                <w:rFonts w:hint="eastAsia" w:ascii="方正黑体_GBK" w:hAnsi="方正黑体_GBK" w:eastAsia="方正黑体_GBK" w:cs="方正黑体_GBK"/>
                <w:color w:val="auto"/>
                <w:sz w:val="21"/>
                <w:szCs w:val="21"/>
                <w:highlight w:val="none"/>
              </w:rPr>
              <w:t>序号</w:t>
            </w:r>
          </w:p>
        </w:tc>
        <w:tc>
          <w:tcPr>
            <w:tcW w:w="1770" w:type="pct"/>
            <w:gridSpan w:val="2"/>
            <w:tcBorders>
              <w:tl2br w:val="nil"/>
              <w:tr2bl w:val="nil"/>
            </w:tcBorders>
            <w:noWrap w:val="0"/>
            <w:vAlign w:val="center"/>
          </w:tcPr>
          <w:p w14:paraId="5D6B5B5F">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方正黑体_GBK" w:hAnsi="方正黑体_GBK" w:eastAsia="方正黑体_GBK" w:cs="方正黑体_GBK"/>
                <w:color w:val="auto"/>
                <w:sz w:val="21"/>
                <w:szCs w:val="21"/>
                <w:highlight w:val="none"/>
              </w:rPr>
            </w:pPr>
            <w:r>
              <w:rPr>
                <w:rFonts w:hint="eastAsia" w:ascii="方正黑体_GBK" w:hAnsi="方正黑体_GBK" w:eastAsia="方正黑体_GBK" w:cs="方正黑体_GBK"/>
                <w:color w:val="auto"/>
                <w:sz w:val="21"/>
                <w:szCs w:val="21"/>
                <w:highlight w:val="none"/>
              </w:rPr>
              <w:t>指标</w:t>
            </w:r>
          </w:p>
        </w:tc>
        <w:tc>
          <w:tcPr>
            <w:tcW w:w="615" w:type="pct"/>
            <w:tcBorders>
              <w:tl2br w:val="nil"/>
              <w:tr2bl w:val="nil"/>
            </w:tcBorders>
            <w:noWrap w:val="0"/>
            <w:vAlign w:val="center"/>
          </w:tcPr>
          <w:p w14:paraId="3A7DBC0F">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方正黑体_GBK" w:hAnsi="方正黑体_GBK" w:eastAsia="方正黑体_GBK" w:cs="方正黑体_GBK"/>
                <w:color w:val="auto"/>
                <w:sz w:val="21"/>
                <w:szCs w:val="21"/>
                <w:highlight w:val="none"/>
              </w:rPr>
            </w:pPr>
            <w:r>
              <w:rPr>
                <w:rFonts w:hint="eastAsia" w:ascii="方正黑体_GBK" w:hAnsi="方正黑体_GBK" w:eastAsia="方正黑体_GBK" w:cs="方正黑体_GBK"/>
                <w:color w:val="auto"/>
                <w:spacing w:val="-6"/>
                <w:sz w:val="21"/>
                <w:szCs w:val="21"/>
                <w:highlight w:val="none"/>
              </w:rPr>
              <w:t>2025年</w:t>
            </w:r>
          </w:p>
        </w:tc>
        <w:tc>
          <w:tcPr>
            <w:tcW w:w="680" w:type="pct"/>
            <w:tcBorders>
              <w:tl2br w:val="nil"/>
              <w:tr2bl w:val="nil"/>
            </w:tcBorders>
            <w:noWrap w:val="0"/>
            <w:vAlign w:val="center"/>
          </w:tcPr>
          <w:p w14:paraId="45957B8B">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方正黑体_GBK" w:hAnsi="方正黑体_GBK" w:eastAsia="方正黑体_GBK" w:cs="方正黑体_GBK"/>
                <w:color w:val="auto"/>
                <w:sz w:val="21"/>
                <w:szCs w:val="21"/>
                <w:highlight w:val="none"/>
              </w:rPr>
            </w:pPr>
            <w:r>
              <w:rPr>
                <w:rFonts w:hint="eastAsia" w:ascii="方正黑体_GBK" w:hAnsi="方正黑体_GBK" w:eastAsia="方正黑体_GBK" w:cs="方正黑体_GBK"/>
                <w:color w:val="auto"/>
                <w:sz w:val="21"/>
                <w:szCs w:val="21"/>
                <w:highlight w:val="none"/>
              </w:rPr>
              <w:t>2030年</w:t>
            </w:r>
          </w:p>
        </w:tc>
        <w:tc>
          <w:tcPr>
            <w:tcW w:w="842" w:type="pct"/>
            <w:tcBorders>
              <w:tl2br w:val="nil"/>
              <w:tr2bl w:val="nil"/>
            </w:tcBorders>
            <w:noWrap w:val="0"/>
            <w:vAlign w:val="center"/>
          </w:tcPr>
          <w:p w14:paraId="24A44404">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方正黑体_GBK" w:hAnsi="方正黑体_GBK" w:eastAsia="方正黑体_GBK" w:cs="方正黑体_GBK"/>
                <w:color w:val="auto"/>
                <w:sz w:val="21"/>
                <w:szCs w:val="21"/>
                <w:highlight w:val="none"/>
                <w:lang w:val="en-US" w:eastAsia="zh-CN"/>
              </w:rPr>
            </w:pPr>
            <w:r>
              <w:rPr>
                <w:rFonts w:hint="eastAsia" w:ascii="方正黑体_GBK" w:hAnsi="方正黑体_GBK" w:eastAsia="方正黑体_GBK" w:cs="方正黑体_GBK"/>
                <w:color w:val="auto"/>
                <w:sz w:val="21"/>
                <w:szCs w:val="21"/>
                <w:highlight w:val="none"/>
              </w:rPr>
              <w:t>年均</w:t>
            </w:r>
            <w:r>
              <w:rPr>
                <w:rFonts w:hint="eastAsia" w:ascii="方正黑体_GBK" w:hAnsi="方正黑体_GBK" w:eastAsia="方正黑体_GBK" w:cs="方正黑体_GBK"/>
                <w:color w:val="auto"/>
                <w:sz w:val="21"/>
                <w:szCs w:val="21"/>
                <w:highlight w:val="none"/>
                <w:lang w:val="en-US" w:eastAsia="zh-CN"/>
              </w:rPr>
              <w:t>/累计</w:t>
            </w:r>
          </w:p>
        </w:tc>
        <w:tc>
          <w:tcPr>
            <w:tcW w:w="443" w:type="pct"/>
            <w:tcBorders>
              <w:tl2br w:val="nil"/>
              <w:tr2bl w:val="nil"/>
            </w:tcBorders>
            <w:noWrap w:val="0"/>
            <w:vAlign w:val="center"/>
          </w:tcPr>
          <w:p w14:paraId="0583E692">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方正黑体_GBK" w:hAnsi="方正黑体_GBK" w:eastAsia="方正黑体_GBK" w:cs="方正黑体_GBK"/>
                <w:color w:val="auto"/>
                <w:sz w:val="21"/>
                <w:szCs w:val="21"/>
                <w:highlight w:val="none"/>
              </w:rPr>
            </w:pPr>
            <w:r>
              <w:rPr>
                <w:rFonts w:hint="eastAsia" w:ascii="方正黑体_GBK" w:hAnsi="方正黑体_GBK" w:eastAsia="方正黑体_GBK" w:cs="方正黑体_GBK"/>
                <w:color w:val="auto"/>
                <w:sz w:val="21"/>
                <w:szCs w:val="21"/>
                <w:highlight w:val="none"/>
              </w:rPr>
              <w:t>属性</w:t>
            </w:r>
          </w:p>
        </w:tc>
      </w:tr>
      <w:tr w14:paraId="57C4C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exact"/>
          <w:jc w:val="center"/>
        </w:trPr>
        <w:tc>
          <w:tcPr>
            <w:tcW w:w="342" w:type="pct"/>
            <w:vMerge w:val="restart"/>
            <w:tcBorders>
              <w:tl2br w:val="nil"/>
              <w:tr2bl w:val="nil"/>
            </w:tcBorders>
            <w:noWrap w:val="0"/>
            <w:vAlign w:val="center"/>
          </w:tcPr>
          <w:p w14:paraId="5F3B026B">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经</w:t>
            </w:r>
          </w:p>
          <w:p w14:paraId="3DE9730F">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济</w:t>
            </w:r>
          </w:p>
          <w:p w14:paraId="0D23A8C0">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w:t>
            </w:r>
          </w:p>
          <w:p w14:paraId="6A83BC42">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展</w:t>
            </w:r>
          </w:p>
          <w:p w14:paraId="16AF6133">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类</w:t>
            </w:r>
          </w:p>
        </w:tc>
        <w:tc>
          <w:tcPr>
            <w:tcW w:w="304" w:type="pct"/>
            <w:tcBorders>
              <w:tl2br w:val="nil"/>
              <w:tr2bl w:val="nil"/>
            </w:tcBorders>
            <w:noWrap w:val="0"/>
            <w:vAlign w:val="center"/>
          </w:tcPr>
          <w:p w14:paraId="360F24D8">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770" w:type="pct"/>
            <w:gridSpan w:val="2"/>
            <w:tcBorders>
              <w:tl2br w:val="nil"/>
              <w:tr2bl w:val="nil"/>
            </w:tcBorders>
            <w:noWrap w:val="0"/>
            <w:vAlign w:val="center"/>
          </w:tcPr>
          <w:p w14:paraId="3FB87728">
            <w:pPr>
              <w:keepNext w:val="0"/>
              <w:keepLines w:val="0"/>
              <w:pageBreakBefore w:val="0"/>
              <w:widowControl w:val="0"/>
              <w:kinsoku/>
              <w:wordWrap/>
              <w:overflowPunct w:val="0"/>
              <w:topLinePunct/>
              <w:autoSpaceDE/>
              <w:autoSpaceDN/>
              <w:bidi w:val="0"/>
              <w:adjustRightInd/>
              <w:snapToGrid/>
              <w:spacing w:line="320" w:lineRule="exact"/>
              <w:ind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地区生产总值增长（%）</w:t>
            </w:r>
          </w:p>
        </w:tc>
        <w:tc>
          <w:tcPr>
            <w:tcW w:w="615" w:type="pct"/>
            <w:tcBorders>
              <w:tl2br w:val="nil"/>
              <w:tr2bl w:val="nil"/>
            </w:tcBorders>
            <w:noWrap w:val="0"/>
            <w:vAlign w:val="center"/>
          </w:tcPr>
          <w:p w14:paraId="3C8CAB1B">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5.7</w:t>
            </w:r>
          </w:p>
        </w:tc>
        <w:tc>
          <w:tcPr>
            <w:tcW w:w="680" w:type="pct"/>
            <w:tcBorders>
              <w:tl2br w:val="nil"/>
              <w:tr2bl w:val="nil"/>
            </w:tcBorders>
            <w:noWrap w:val="0"/>
            <w:vAlign w:val="center"/>
          </w:tcPr>
          <w:p w14:paraId="48F23244">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w:t>
            </w:r>
          </w:p>
        </w:tc>
        <w:tc>
          <w:tcPr>
            <w:tcW w:w="842" w:type="pct"/>
            <w:tcBorders>
              <w:tl2br w:val="nil"/>
              <w:tr2bl w:val="nil"/>
            </w:tcBorders>
            <w:noWrap w:val="0"/>
            <w:vAlign w:val="center"/>
          </w:tcPr>
          <w:p w14:paraId="23909090">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5.5左右</w:t>
            </w:r>
          </w:p>
        </w:tc>
        <w:tc>
          <w:tcPr>
            <w:tcW w:w="443" w:type="pct"/>
            <w:tcBorders>
              <w:tl2br w:val="nil"/>
              <w:tr2bl w:val="nil"/>
            </w:tcBorders>
            <w:noWrap w:val="0"/>
            <w:vAlign w:val="center"/>
          </w:tcPr>
          <w:p w14:paraId="4FB6FF07">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预期性</w:t>
            </w:r>
          </w:p>
        </w:tc>
      </w:tr>
      <w:tr w14:paraId="5C9ED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exact"/>
          <w:jc w:val="center"/>
        </w:trPr>
        <w:tc>
          <w:tcPr>
            <w:tcW w:w="342" w:type="pct"/>
            <w:vMerge w:val="continue"/>
            <w:tcBorders>
              <w:tl2br w:val="nil"/>
              <w:tr2bl w:val="nil"/>
            </w:tcBorders>
            <w:noWrap w:val="0"/>
            <w:vAlign w:val="center"/>
          </w:tcPr>
          <w:p w14:paraId="63CCC5D8">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sz w:val="21"/>
                <w:szCs w:val="21"/>
                <w:highlight w:val="none"/>
              </w:rPr>
            </w:pPr>
          </w:p>
        </w:tc>
        <w:tc>
          <w:tcPr>
            <w:tcW w:w="304" w:type="pct"/>
            <w:tcBorders>
              <w:tl2br w:val="nil"/>
              <w:tr2bl w:val="nil"/>
            </w:tcBorders>
            <w:noWrap w:val="0"/>
            <w:vAlign w:val="center"/>
          </w:tcPr>
          <w:p w14:paraId="664E8DE5">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2</w:t>
            </w:r>
          </w:p>
        </w:tc>
        <w:tc>
          <w:tcPr>
            <w:tcW w:w="1770" w:type="pct"/>
            <w:gridSpan w:val="2"/>
            <w:tcBorders>
              <w:tl2br w:val="nil"/>
              <w:tr2bl w:val="nil"/>
            </w:tcBorders>
            <w:noWrap w:val="0"/>
            <w:vAlign w:val="center"/>
          </w:tcPr>
          <w:p w14:paraId="5DFF6AE1">
            <w:pPr>
              <w:keepNext w:val="0"/>
              <w:keepLines w:val="0"/>
              <w:pageBreakBefore w:val="0"/>
              <w:widowControl w:val="0"/>
              <w:kinsoku/>
              <w:wordWrap/>
              <w:overflowPunct w:val="0"/>
              <w:topLinePunct/>
              <w:autoSpaceDE/>
              <w:autoSpaceDN/>
              <w:bidi w:val="0"/>
              <w:adjustRightInd/>
              <w:snapToGrid/>
              <w:spacing w:line="320" w:lineRule="exact"/>
              <w:ind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全员劳动生产率</w:t>
            </w:r>
            <w:r>
              <w:rPr>
                <w:rFonts w:hint="eastAsia" w:ascii="宋体" w:hAnsi="宋体" w:eastAsia="宋体" w:cs="宋体"/>
                <w:color w:val="auto"/>
                <w:sz w:val="21"/>
                <w:szCs w:val="21"/>
                <w:highlight w:val="none"/>
                <w:lang w:val="en-US" w:eastAsia="zh-CN"/>
              </w:rPr>
              <w:t>增长</w:t>
            </w:r>
            <w:r>
              <w:rPr>
                <w:rFonts w:hint="eastAsia" w:ascii="宋体" w:hAnsi="宋体" w:eastAsia="宋体" w:cs="宋体"/>
                <w:color w:val="auto"/>
                <w:sz w:val="21"/>
                <w:szCs w:val="21"/>
                <w:highlight w:val="none"/>
              </w:rPr>
              <w:t>（%）</w:t>
            </w:r>
          </w:p>
        </w:tc>
        <w:tc>
          <w:tcPr>
            <w:tcW w:w="615" w:type="pct"/>
            <w:tcBorders>
              <w:tl2br w:val="nil"/>
              <w:tr2bl w:val="nil"/>
            </w:tcBorders>
            <w:noWrap w:val="0"/>
            <w:vAlign w:val="center"/>
          </w:tcPr>
          <w:p w14:paraId="6D0FEDB6">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w:t>
            </w:r>
          </w:p>
        </w:tc>
        <w:tc>
          <w:tcPr>
            <w:tcW w:w="680" w:type="pct"/>
            <w:tcBorders>
              <w:tl2br w:val="nil"/>
              <w:tr2bl w:val="nil"/>
            </w:tcBorders>
            <w:noWrap w:val="0"/>
            <w:vAlign w:val="center"/>
          </w:tcPr>
          <w:p w14:paraId="59223426">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p>
        </w:tc>
        <w:tc>
          <w:tcPr>
            <w:tcW w:w="842" w:type="pct"/>
            <w:tcBorders>
              <w:tl2br w:val="nil"/>
              <w:tr2bl w:val="nil"/>
            </w:tcBorders>
            <w:noWrap w:val="0"/>
            <w:vAlign w:val="center"/>
          </w:tcPr>
          <w:p w14:paraId="289CAED4">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高于GDP增长</w:t>
            </w:r>
          </w:p>
        </w:tc>
        <w:tc>
          <w:tcPr>
            <w:tcW w:w="443" w:type="pct"/>
            <w:tcBorders>
              <w:tl2br w:val="nil"/>
              <w:tr2bl w:val="nil"/>
            </w:tcBorders>
            <w:noWrap w:val="0"/>
            <w:vAlign w:val="center"/>
          </w:tcPr>
          <w:p w14:paraId="0847BCD9">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预期性</w:t>
            </w:r>
          </w:p>
        </w:tc>
      </w:tr>
      <w:tr w14:paraId="08D7C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exact"/>
          <w:jc w:val="center"/>
        </w:trPr>
        <w:tc>
          <w:tcPr>
            <w:tcW w:w="342" w:type="pct"/>
            <w:vMerge w:val="continue"/>
            <w:tcBorders>
              <w:tl2br w:val="nil"/>
              <w:tr2bl w:val="nil"/>
            </w:tcBorders>
            <w:noWrap w:val="0"/>
            <w:vAlign w:val="center"/>
          </w:tcPr>
          <w:p w14:paraId="573B8AD8">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sz w:val="21"/>
                <w:szCs w:val="21"/>
                <w:highlight w:val="none"/>
              </w:rPr>
            </w:pPr>
          </w:p>
        </w:tc>
        <w:tc>
          <w:tcPr>
            <w:tcW w:w="304" w:type="pct"/>
            <w:tcBorders>
              <w:tl2br w:val="nil"/>
              <w:tr2bl w:val="nil"/>
            </w:tcBorders>
            <w:noWrap w:val="0"/>
            <w:vAlign w:val="center"/>
          </w:tcPr>
          <w:p w14:paraId="3995638A">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p>
        </w:tc>
        <w:tc>
          <w:tcPr>
            <w:tcW w:w="1770" w:type="pct"/>
            <w:gridSpan w:val="2"/>
            <w:tcBorders>
              <w:tl2br w:val="nil"/>
              <w:tr2bl w:val="nil"/>
            </w:tcBorders>
            <w:noWrap w:val="0"/>
            <w:vAlign w:val="center"/>
          </w:tcPr>
          <w:p w14:paraId="5F243CE9">
            <w:pPr>
              <w:keepNext w:val="0"/>
              <w:keepLines w:val="0"/>
              <w:pageBreakBefore w:val="0"/>
              <w:widowControl w:val="0"/>
              <w:kinsoku/>
              <w:wordWrap/>
              <w:overflowPunct w:val="0"/>
              <w:topLinePunct/>
              <w:autoSpaceDE/>
              <w:autoSpaceDN/>
              <w:bidi w:val="0"/>
              <w:adjustRightInd/>
              <w:snapToGrid/>
              <w:spacing w:line="320" w:lineRule="exact"/>
              <w:ind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常住人口城镇化率（%）</w:t>
            </w:r>
          </w:p>
        </w:tc>
        <w:tc>
          <w:tcPr>
            <w:tcW w:w="615" w:type="pct"/>
            <w:tcBorders>
              <w:tl2br w:val="nil"/>
              <w:tr2bl w:val="nil"/>
            </w:tcBorders>
            <w:noWrap w:val="0"/>
            <w:vAlign w:val="center"/>
          </w:tcPr>
          <w:p w14:paraId="74BB486A">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61.71*</w:t>
            </w:r>
          </w:p>
        </w:tc>
        <w:tc>
          <w:tcPr>
            <w:tcW w:w="680" w:type="pct"/>
            <w:tcBorders>
              <w:tl2br w:val="nil"/>
              <w:tr2bl w:val="nil"/>
            </w:tcBorders>
            <w:noWrap w:val="0"/>
            <w:vAlign w:val="center"/>
          </w:tcPr>
          <w:p w14:paraId="7CF78D12">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6</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.5</w:t>
            </w:r>
          </w:p>
        </w:tc>
        <w:tc>
          <w:tcPr>
            <w:tcW w:w="842" w:type="pct"/>
            <w:tcBorders>
              <w:tl2br w:val="nil"/>
              <w:tr2bl w:val="nil"/>
            </w:tcBorders>
            <w:noWrap w:val="0"/>
            <w:vAlign w:val="center"/>
          </w:tcPr>
          <w:p w14:paraId="7A79B215">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p>
        </w:tc>
        <w:tc>
          <w:tcPr>
            <w:tcW w:w="443" w:type="pct"/>
            <w:tcBorders>
              <w:tl2br w:val="nil"/>
              <w:tr2bl w:val="nil"/>
            </w:tcBorders>
            <w:noWrap w:val="0"/>
            <w:vAlign w:val="center"/>
          </w:tcPr>
          <w:p w14:paraId="4C8805DC">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预期性</w:t>
            </w:r>
          </w:p>
        </w:tc>
      </w:tr>
      <w:tr w14:paraId="479FA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exact"/>
          <w:jc w:val="center"/>
        </w:trPr>
        <w:tc>
          <w:tcPr>
            <w:tcW w:w="342" w:type="pct"/>
            <w:vMerge w:val="continue"/>
            <w:tcBorders>
              <w:tl2br w:val="nil"/>
              <w:tr2bl w:val="nil"/>
            </w:tcBorders>
            <w:noWrap w:val="0"/>
            <w:vAlign w:val="center"/>
          </w:tcPr>
          <w:p w14:paraId="43D93AE9">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sz w:val="21"/>
                <w:szCs w:val="21"/>
                <w:highlight w:val="none"/>
              </w:rPr>
            </w:pPr>
          </w:p>
        </w:tc>
        <w:tc>
          <w:tcPr>
            <w:tcW w:w="304" w:type="pct"/>
            <w:tcBorders>
              <w:tl2br w:val="nil"/>
              <w:tr2bl w:val="nil"/>
            </w:tcBorders>
            <w:noWrap w:val="0"/>
            <w:vAlign w:val="center"/>
          </w:tcPr>
          <w:p w14:paraId="507E4C5E">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w:t>
            </w:r>
          </w:p>
        </w:tc>
        <w:tc>
          <w:tcPr>
            <w:tcW w:w="1770" w:type="pct"/>
            <w:gridSpan w:val="2"/>
            <w:tcBorders>
              <w:tl2br w:val="nil"/>
              <w:tr2bl w:val="nil"/>
            </w:tcBorders>
            <w:noWrap w:val="0"/>
            <w:vAlign w:val="center"/>
          </w:tcPr>
          <w:p w14:paraId="379D3EEE">
            <w:pPr>
              <w:keepNext w:val="0"/>
              <w:keepLines w:val="0"/>
              <w:pageBreakBefore w:val="0"/>
              <w:widowControl w:val="0"/>
              <w:kinsoku/>
              <w:wordWrap/>
              <w:overflowPunct w:val="0"/>
              <w:topLinePunct/>
              <w:autoSpaceDE/>
              <w:autoSpaceDN/>
              <w:bidi w:val="0"/>
              <w:adjustRightInd/>
              <w:snapToGrid/>
              <w:spacing w:line="320" w:lineRule="exact"/>
              <w:ind w:firstLine="0" w:firstLineChars="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▲袜业纺织产值增速（%）</w:t>
            </w:r>
          </w:p>
        </w:tc>
        <w:tc>
          <w:tcPr>
            <w:tcW w:w="615" w:type="pct"/>
            <w:tcBorders>
              <w:tl2br w:val="nil"/>
              <w:tr2bl w:val="nil"/>
            </w:tcBorders>
            <w:noWrap w:val="0"/>
            <w:vAlign w:val="center"/>
          </w:tcPr>
          <w:p w14:paraId="26BEF15C">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12</w:t>
            </w:r>
          </w:p>
        </w:tc>
        <w:tc>
          <w:tcPr>
            <w:tcW w:w="680" w:type="pct"/>
            <w:tcBorders>
              <w:tl2br w:val="nil"/>
              <w:tr2bl w:val="nil"/>
            </w:tcBorders>
            <w:noWrap w:val="0"/>
            <w:vAlign w:val="center"/>
          </w:tcPr>
          <w:p w14:paraId="79AFFB88">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w:t>
            </w:r>
          </w:p>
        </w:tc>
        <w:tc>
          <w:tcPr>
            <w:tcW w:w="842" w:type="pct"/>
            <w:tcBorders>
              <w:tl2br w:val="nil"/>
              <w:tr2bl w:val="nil"/>
            </w:tcBorders>
            <w:noWrap w:val="0"/>
            <w:vAlign w:val="center"/>
          </w:tcPr>
          <w:p w14:paraId="0004DBC6">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10</w:t>
            </w:r>
          </w:p>
        </w:tc>
        <w:tc>
          <w:tcPr>
            <w:tcW w:w="443" w:type="pct"/>
            <w:tcBorders>
              <w:tl2br w:val="nil"/>
              <w:tr2bl w:val="nil"/>
            </w:tcBorders>
            <w:noWrap w:val="0"/>
            <w:vAlign w:val="center"/>
          </w:tcPr>
          <w:p w14:paraId="0A83357D">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预期性</w:t>
            </w:r>
          </w:p>
        </w:tc>
      </w:tr>
      <w:tr w14:paraId="5D4B8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exact"/>
          <w:jc w:val="center"/>
        </w:trPr>
        <w:tc>
          <w:tcPr>
            <w:tcW w:w="342" w:type="pct"/>
            <w:vMerge w:val="continue"/>
            <w:tcBorders>
              <w:tl2br w:val="nil"/>
              <w:tr2bl w:val="nil"/>
            </w:tcBorders>
            <w:noWrap w:val="0"/>
            <w:vAlign w:val="center"/>
          </w:tcPr>
          <w:p w14:paraId="32B0597B">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sz w:val="21"/>
                <w:szCs w:val="21"/>
                <w:highlight w:val="none"/>
              </w:rPr>
            </w:pPr>
          </w:p>
        </w:tc>
        <w:tc>
          <w:tcPr>
            <w:tcW w:w="304" w:type="pct"/>
            <w:tcBorders>
              <w:tl2br w:val="nil"/>
              <w:tr2bl w:val="nil"/>
            </w:tcBorders>
            <w:noWrap w:val="0"/>
            <w:vAlign w:val="center"/>
          </w:tcPr>
          <w:p w14:paraId="486D7536">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5</w:t>
            </w:r>
          </w:p>
        </w:tc>
        <w:tc>
          <w:tcPr>
            <w:tcW w:w="1770" w:type="pct"/>
            <w:gridSpan w:val="2"/>
            <w:tcBorders>
              <w:tl2br w:val="nil"/>
              <w:tr2bl w:val="nil"/>
            </w:tcBorders>
            <w:noWrap w:val="0"/>
            <w:vAlign w:val="center"/>
          </w:tcPr>
          <w:p w14:paraId="3FE7FBCA">
            <w:pPr>
              <w:keepNext w:val="0"/>
              <w:keepLines w:val="0"/>
              <w:pageBreakBefore w:val="0"/>
              <w:widowControl w:val="0"/>
              <w:kinsoku/>
              <w:wordWrap/>
              <w:overflowPunct w:val="0"/>
              <w:topLinePunct/>
              <w:autoSpaceDE/>
              <w:autoSpaceDN/>
              <w:bidi w:val="0"/>
              <w:adjustRightInd/>
              <w:snapToGrid/>
              <w:spacing w:line="320" w:lineRule="exact"/>
              <w:ind w:firstLine="0" w:firstLineChars="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▲汽车配套产业产值增速（%）</w:t>
            </w:r>
          </w:p>
        </w:tc>
        <w:tc>
          <w:tcPr>
            <w:tcW w:w="615" w:type="pct"/>
            <w:tcBorders>
              <w:tl2br w:val="nil"/>
              <w:tr2bl w:val="nil"/>
            </w:tcBorders>
            <w:noWrap w:val="0"/>
            <w:vAlign w:val="center"/>
          </w:tcPr>
          <w:p w14:paraId="42CB7499">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15</w:t>
            </w:r>
          </w:p>
        </w:tc>
        <w:tc>
          <w:tcPr>
            <w:tcW w:w="680" w:type="pct"/>
            <w:tcBorders>
              <w:tl2br w:val="nil"/>
              <w:tr2bl w:val="nil"/>
            </w:tcBorders>
            <w:noWrap w:val="0"/>
            <w:vAlign w:val="center"/>
          </w:tcPr>
          <w:p w14:paraId="75EFA8C8">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w:t>
            </w:r>
          </w:p>
        </w:tc>
        <w:tc>
          <w:tcPr>
            <w:tcW w:w="842" w:type="pct"/>
            <w:tcBorders>
              <w:tl2br w:val="nil"/>
              <w:tr2bl w:val="nil"/>
            </w:tcBorders>
            <w:noWrap w:val="0"/>
            <w:vAlign w:val="center"/>
          </w:tcPr>
          <w:p w14:paraId="3D56DF30">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10</w:t>
            </w:r>
          </w:p>
        </w:tc>
        <w:tc>
          <w:tcPr>
            <w:tcW w:w="443" w:type="pct"/>
            <w:tcBorders>
              <w:tl2br w:val="nil"/>
              <w:tr2bl w:val="nil"/>
            </w:tcBorders>
            <w:noWrap w:val="0"/>
            <w:vAlign w:val="center"/>
          </w:tcPr>
          <w:p w14:paraId="3F75C2B2">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预期性</w:t>
            </w:r>
          </w:p>
        </w:tc>
      </w:tr>
      <w:tr w14:paraId="23FB5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exact"/>
          <w:jc w:val="center"/>
        </w:trPr>
        <w:tc>
          <w:tcPr>
            <w:tcW w:w="342" w:type="pct"/>
            <w:vMerge w:val="continue"/>
            <w:tcBorders>
              <w:tl2br w:val="nil"/>
              <w:tr2bl w:val="nil"/>
            </w:tcBorders>
            <w:noWrap w:val="0"/>
            <w:vAlign w:val="center"/>
          </w:tcPr>
          <w:p w14:paraId="4B4BB820">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sz w:val="21"/>
                <w:szCs w:val="21"/>
                <w:highlight w:val="none"/>
              </w:rPr>
            </w:pPr>
          </w:p>
        </w:tc>
        <w:tc>
          <w:tcPr>
            <w:tcW w:w="304" w:type="pct"/>
            <w:tcBorders>
              <w:tl2br w:val="nil"/>
              <w:tr2bl w:val="nil"/>
            </w:tcBorders>
            <w:noWrap w:val="0"/>
            <w:vAlign w:val="center"/>
          </w:tcPr>
          <w:p w14:paraId="09CDAC7E">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w:t>
            </w:r>
          </w:p>
        </w:tc>
        <w:tc>
          <w:tcPr>
            <w:tcW w:w="1770" w:type="pct"/>
            <w:gridSpan w:val="2"/>
            <w:tcBorders>
              <w:tl2br w:val="nil"/>
              <w:tr2bl w:val="nil"/>
            </w:tcBorders>
            <w:noWrap w:val="0"/>
            <w:vAlign w:val="center"/>
          </w:tcPr>
          <w:p w14:paraId="779F8BBA">
            <w:pPr>
              <w:keepNext w:val="0"/>
              <w:keepLines w:val="0"/>
              <w:pageBreakBefore w:val="0"/>
              <w:widowControl w:val="0"/>
              <w:kinsoku/>
              <w:wordWrap/>
              <w:overflowPunct w:val="0"/>
              <w:topLinePunct/>
              <w:autoSpaceDE/>
              <w:autoSpaceDN/>
              <w:bidi w:val="0"/>
              <w:adjustRightInd/>
              <w:snapToGrid/>
              <w:spacing w:line="320" w:lineRule="exact"/>
              <w:ind w:firstLine="0" w:firstLine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▲梅花鹿产业产值（亿元）</w:t>
            </w:r>
          </w:p>
        </w:tc>
        <w:tc>
          <w:tcPr>
            <w:tcW w:w="615" w:type="pct"/>
            <w:tcBorders>
              <w:tl2br w:val="nil"/>
              <w:tr2bl w:val="nil"/>
            </w:tcBorders>
            <w:noWrap w:val="0"/>
            <w:vAlign w:val="center"/>
          </w:tcPr>
          <w:p w14:paraId="53A95F71">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80</w:t>
            </w:r>
          </w:p>
        </w:tc>
        <w:tc>
          <w:tcPr>
            <w:tcW w:w="680" w:type="pct"/>
            <w:tcBorders>
              <w:tl2br w:val="nil"/>
              <w:tr2bl w:val="nil"/>
            </w:tcBorders>
            <w:noWrap w:val="0"/>
            <w:vAlign w:val="center"/>
          </w:tcPr>
          <w:p w14:paraId="6534B3C3">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100以上</w:t>
            </w:r>
          </w:p>
        </w:tc>
        <w:tc>
          <w:tcPr>
            <w:tcW w:w="842" w:type="pct"/>
            <w:tcBorders>
              <w:tl2br w:val="nil"/>
              <w:tr2bl w:val="nil"/>
            </w:tcBorders>
            <w:noWrap w:val="0"/>
            <w:vAlign w:val="center"/>
          </w:tcPr>
          <w:p w14:paraId="707D251D">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w:t>
            </w:r>
          </w:p>
        </w:tc>
        <w:tc>
          <w:tcPr>
            <w:tcW w:w="443" w:type="pct"/>
            <w:tcBorders>
              <w:tl2br w:val="nil"/>
              <w:tr2bl w:val="nil"/>
            </w:tcBorders>
            <w:noWrap w:val="0"/>
            <w:vAlign w:val="center"/>
          </w:tcPr>
          <w:p w14:paraId="06549581">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预期性</w:t>
            </w:r>
          </w:p>
        </w:tc>
      </w:tr>
      <w:tr w14:paraId="2BD22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exact"/>
          <w:jc w:val="center"/>
        </w:trPr>
        <w:tc>
          <w:tcPr>
            <w:tcW w:w="342" w:type="pct"/>
            <w:vMerge w:val="restart"/>
            <w:tcBorders>
              <w:tl2br w:val="nil"/>
              <w:tr2bl w:val="nil"/>
            </w:tcBorders>
            <w:noWrap w:val="0"/>
            <w:vAlign w:val="center"/>
          </w:tcPr>
          <w:p w14:paraId="04D856A1">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创</w:t>
            </w:r>
          </w:p>
          <w:p w14:paraId="08226729">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新</w:t>
            </w:r>
          </w:p>
          <w:p w14:paraId="77821D99">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驱</w:t>
            </w:r>
          </w:p>
          <w:p w14:paraId="1D1C78F8">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动</w:t>
            </w:r>
          </w:p>
          <w:p w14:paraId="0A312F3B">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类</w:t>
            </w:r>
          </w:p>
        </w:tc>
        <w:tc>
          <w:tcPr>
            <w:tcW w:w="304" w:type="pct"/>
            <w:tcBorders>
              <w:tl2br w:val="nil"/>
              <w:tr2bl w:val="nil"/>
            </w:tcBorders>
            <w:noWrap w:val="0"/>
            <w:vAlign w:val="center"/>
          </w:tcPr>
          <w:p w14:paraId="220E7A67">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7</w:t>
            </w:r>
          </w:p>
        </w:tc>
        <w:tc>
          <w:tcPr>
            <w:tcW w:w="1770" w:type="pct"/>
            <w:gridSpan w:val="2"/>
            <w:tcBorders>
              <w:tl2br w:val="nil"/>
              <w:tr2bl w:val="nil"/>
            </w:tcBorders>
            <w:noWrap w:val="0"/>
            <w:vAlign w:val="center"/>
          </w:tcPr>
          <w:p w14:paraId="33493173">
            <w:pPr>
              <w:keepNext w:val="0"/>
              <w:keepLines w:val="0"/>
              <w:pageBreakBefore w:val="0"/>
              <w:widowControl w:val="0"/>
              <w:kinsoku/>
              <w:wordWrap/>
              <w:overflowPunct w:val="0"/>
              <w:topLinePunct/>
              <w:autoSpaceDE/>
              <w:autoSpaceDN/>
              <w:bidi w:val="0"/>
              <w:adjustRightInd/>
              <w:snapToGrid/>
              <w:spacing w:line="320" w:lineRule="exact"/>
              <w:ind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全社会研发经费投入增长（%）</w:t>
            </w:r>
          </w:p>
        </w:tc>
        <w:tc>
          <w:tcPr>
            <w:tcW w:w="615" w:type="pct"/>
            <w:tcBorders>
              <w:tl2br w:val="nil"/>
              <w:tr2bl w:val="nil"/>
            </w:tcBorders>
            <w:noWrap w:val="0"/>
            <w:vAlign w:val="center"/>
          </w:tcPr>
          <w:p w14:paraId="58ABBC96">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w:t>
            </w:r>
          </w:p>
        </w:tc>
        <w:tc>
          <w:tcPr>
            <w:tcW w:w="680" w:type="pct"/>
            <w:tcBorders>
              <w:tl2br w:val="nil"/>
              <w:tr2bl w:val="nil"/>
            </w:tcBorders>
            <w:noWrap w:val="0"/>
            <w:vAlign w:val="center"/>
          </w:tcPr>
          <w:p w14:paraId="03EAB053">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w:t>
            </w:r>
          </w:p>
        </w:tc>
        <w:tc>
          <w:tcPr>
            <w:tcW w:w="842" w:type="pct"/>
            <w:tcBorders>
              <w:tl2br w:val="nil"/>
              <w:tr2bl w:val="nil"/>
            </w:tcBorders>
            <w:noWrap w:val="0"/>
            <w:vAlign w:val="center"/>
          </w:tcPr>
          <w:p w14:paraId="2DE3FC1E">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eastAsia="zh-CN"/>
              </w:rPr>
              <w:t>9以上</w:t>
            </w:r>
          </w:p>
        </w:tc>
        <w:tc>
          <w:tcPr>
            <w:tcW w:w="443" w:type="pct"/>
            <w:tcBorders>
              <w:tl2br w:val="nil"/>
              <w:tr2bl w:val="nil"/>
            </w:tcBorders>
            <w:noWrap w:val="0"/>
            <w:vAlign w:val="center"/>
          </w:tcPr>
          <w:p w14:paraId="480B6ED2">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预期性</w:t>
            </w:r>
          </w:p>
        </w:tc>
      </w:tr>
      <w:tr w14:paraId="1FAEB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exact"/>
          <w:jc w:val="center"/>
        </w:trPr>
        <w:tc>
          <w:tcPr>
            <w:tcW w:w="342" w:type="pct"/>
            <w:vMerge w:val="continue"/>
            <w:tcBorders>
              <w:tl2br w:val="nil"/>
              <w:tr2bl w:val="nil"/>
            </w:tcBorders>
            <w:noWrap w:val="0"/>
            <w:vAlign w:val="center"/>
          </w:tcPr>
          <w:p w14:paraId="0245CD56">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sz w:val="21"/>
                <w:szCs w:val="21"/>
                <w:highlight w:val="none"/>
              </w:rPr>
            </w:pPr>
          </w:p>
        </w:tc>
        <w:tc>
          <w:tcPr>
            <w:tcW w:w="304" w:type="pct"/>
            <w:tcBorders>
              <w:tl2br w:val="nil"/>
              <w:tr2bl w:val="nil"/>
            </w:tcBorders>
            <w:noWrap w:val="0"/>
            <w:vAlign w:val="center"/>
          </w:tcPr>
          <w:p w14:paraId="75235714">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8</w:t>
            </w:r>
          </w:p>
        </w:tc>
        <w:tc>
          <w:tcPr>
            <w:tcW w:w="1770" w:type="pct"/>
            <w:gridSpan w:val="2"/>
            <w:tcBorders>
              <w:tl2br w:val="nil"/>
              <w:tr2bl w:val="nil"/>
            </w:tcBorders>
            <w:noWrap w:val="0"/>
            <w:vAlign w:val="center"/>
          </w:tcPr>
          <w:p w14:paraId="1AAFBCFD">
            <w:pPr>
              <w:keepNext w:val="0"/>
              <w:keepLines w:val="0"/>
              <w:pageBreakBefore w:val="0"/>
              <w:widowControl w:val="0"/>
              <w:kinsoku/>
              <w:wordWrap/>
              <w:overflowPunct w:val="0"/>
              <w:topLinePunct/>
              <w:autoSpaceDE/>
              <w:autoSpaceDN/>
              <w:bidi w:val="0"/>
              <w:adjustRightInd/>
              <w:snapToGrid/>
              <w:spacing w:line="320" w:lineRule="exact"/>
              <w:ind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6"/>
                <w:sz w:val="21"/>
                <w:szCs w:val="21"/>
                <w:highlight w:val="none"/>
              </w:rPr>
              <w:t>每万人高价值发明专利拥有量（件）</w:t>
            </w:r>
          </w:p>
        </w:tc>
        <w:tc>
          <w:tcPr>
            <w:tcW w:w="615" w:type="pct"/>
            <w:tcBorders>
              <w:tl2br w:val="nil"/>
              <w:tr2bl w:val="nil"/>
            </w:tcBorders>
            <w:noWrap w:val="0"/>
            <w:vAlign w:val="center"/>
          </w:tcPr>
          <w:p w14:paraId="74200A6C">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1.37</w:t>
            </w:r>
          </w:p>
        </w:tc>
        <w:tc>
          <w:tcPr>
            <w:tcW w:w="680" w:type="pct"/>
            <w:tcBorders>
              <w:tl2br w:val="nil"/>
              <w:tr2bl w:val="nil"/>
            </w:tcBorders>
            <w:noWrap w:val="0"/>
            <w:vAlign w:val="center"/>
          </w:tcPr>
          <w:p w14:paraId="2553E9D3">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1.79</w:t>
            </w:r>
          </w:p>
        </w:tc>
        <w:tc>
          <w:tcPr>
            <w:tcW w:w="842" w:type="pct"/>
            <w:tcBorders>
              <w:tl2br w:val="nil"/>
              <w:tr2bl w:val="nil"/>
            </w:tcBorders>
            <w:noWrap w:val="0"/>
            <w:vAlign w:val="center"/>
          </w:tcPr>
          <w:p w14:paraId="217E421C">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p>
        </w:tc>
        <w:tc>
          <w:tcPr>
            <w:tcW w:w="443" w:type="pct"/>
            <w:tcBorders>
              <w:tl2br w:val="nil"/>
              <w:tr2bl w:val="nil"/>
            </w:tcBorders>
            <w:noWrap w:val="0"/>
            <w:vAlign w:val="center"/>
          </w:tcPr>
          <w:p w14:paraId="6DE811AF">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预期性</w:t>
            </w:r>
          </w:p>
        </w:tc>
      </w:tr>
      <w:tr w14:paraId="54E57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42" w:type="pct"/>
            <w:vMerge w:val="continue"/>
            <w:tcBorders>
              <w:tl2br w:val="nil"/>
              <w:tr2bl w:val="nil"/>
            </w:tcBorders>
            <w:noWrap w:val="0"/>
            <w:vAlign w:val="center"/>
          </w:tcPr>
          <w:p w14:paraId="49CEA099">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sz w:val="21"/>
                <w:szCs w:val="21"/>
                <w:highlight w:val="none"/>
              </w:rPr>
            </w:pPr>
          </w:p>
        </w:tc>
        <w:tc>
          <w:tcPr>
            <w:tcW w:w="304" w:type="pct"/>
            <w:tcBorders>
              <w:tl2br w:val="nil"/>
              <w:tr2bl w:val="nil"/>
            </w:tcBorders>
            <w:noWrap w:val="0"/>
            <w:vAlign w:val="center"/>
          </w:tcPr>
          <w:p w14:paraId="429E8B71">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9</w:t>
            </w:r>
          </w:p>
        </w:tc>
        <w:tc>
          <w:tcPr>
            <w:tcW w:w="1770" w:type="pct"/>
            <w:gridSpan w:val="2"/>
            <w:tcBorders>
              <w:tl2br w:val="nil"/>
              <w:tr2bl w:val="nil"/>
            </w:tcBorders>
            <w:noWrap w:val="0"/>
            <w:vAlign w:val="center"/>
          </w:tcPr>
          <w:p w14:paraId="17F4CC1E">
            <w:pPr>
              <w:keepNext w:val="0"/>
              <w:keepLines w:val="0"/>
              <w:pageBreakBefore w:val="0"/>
              <w:widowControl w:val="0"/>
              <w:kinsoku/>
              <w:wordWrap/>
              <w:overflowPunct w:val="0"/>
              <w:topLinePunct/>
              <w:autoSpaceDE/>
              <w:autoSpaceDN/>
              <w:bidi w:val="0"/>
              <w:adjustRightInd/>
              <w:snapToGrid/>
              <w:spacing w:line="320" w:lineRule="exact"/>
              <w:ind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数字经济核心产业增加值占</w:t>
            </w:r>
            <w:r>
              <w:rPr>
                <w:rFonts w:hint="eastAsia" w:ascii="宋体" w:hAnsi="宋体" w:eastAsia="宋体" w:cs="宋体"/>
                <w:color w:val="auto"/>
                <w:sz w:val="21"/>
                <w:szCs w:val="21"/>
                <w:highlight w:val="none"/>
                <w:lang w:val="en-US" w:eastAsia="zh-CN"/>
              </w:rPr>
              <w:t>GDP</w:t>
            </w:r>
            <w:r>
              <w:rPr>
                <w:rFonts w:hint="eastAsia" w:ascii="宋体" w:hAnsi="宋体" w:eastAsia="宋体" w:cs="宋体"/>
                <w:color w:val="auto"/>
                <w:sz w:val="21"/>
                <w:szCs w:val="21"/>
                <w:highlight w:val="none"/>
              </w:rPr>
              <w:t>比重（%）</w:t>
            </w:r>
          </w:p>
        </w:tc>
        <w:tc>
          <w:tcPr>
            <w:tcW w:w="615" w:type="pct"/>
            <w:tcBorders>
              <w:tl2br w:val="nil"/>
              <w:tr2bl w:val="nil"/>
            </w:tcBorders>
            <w:noWrap w:val="0"/>
            <w:vAlign w:val="center"/>
          </w:tcPr>
          <w:p w14:paraId="6CF0192B">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w:t>
            </w:r>
          </w:p>
        </w:tc>
        <w:tc>
          <w:tcPr>
            <w:tcW w:w="680" w:type="pct"/>
            <w:tcBorders>
              <w:tl2br w:val="nil"/>
              <w:tr2bl w:val="nil"/>
            </w:tcBorders>
            <w:noWrap w:val="0"/>
            <w:vAlign w:val="center"/>
          </w:tcPr>
          <w:p w14:paraId="33401195">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2.5左右</w:t>
            </w:r>
          </w:p>
        </w:tc>
        <w:tc>
          <w:tcPr>
            <w:tcW w:w="842" w:type="pct"/>
            <w:tcBorders>
              <w:tl2br w:val="nil"/>
              <w:tr2bl w:val="nil"/>
            </w:tcBorders>
            <w:noWrap w:val="0"/>
            <w:vAlign w:val="center"/>
          </w:tcPr>
          <w:p w14:paraId="310F7A8A">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eastAsia="zh-CN"/>
              </w:rPr>
              <w:t>——</w:t>
            </w:r>
          </w:p>
        </w:tc>
        <w:tc>
          <w:tcPr>
            <w:tcW w:w="443" w:type="pct"/>
            <w:tcBorders>
              <w:tl2br w:val="nil"/>
              <w:tr2bl w:val="nil"/>
            </w:tcBorders>
            <w:noWrap w:val="0"/>
            <w:vAlign w:val="center"/>
          </w:tcPr>
          <w:p w14:paraId="5092753D">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预期性</w:t>
            </w:r>
          </w:p>
        </w:tc>
      </w:tr>
      <w:tr w14:paraId="737E4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342" w:type="pct"/>
            <w:vMerge w:val="continue"/>
            <w:tcBorders>
              <w:tl2br w:val="nil"/>
              <w:tr2bl w:val="nil"/>
            </w:tcBorders>
            <w:noWrap w:val="0"/>
            <w:vAlign w:val="center"/>
          </w:tcPr>
          <w:p w14:paraId="76C58C7B">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sz w:val="21"/>
                <w:szCs w:val="21"/>
                <w:highlight w:val="none"/>
              </w:rPr>
            </w:pPr>
          </w:p>
        </w:tc>
        <w:tc>
          <w:tcPr>
            <w:tcW w:w="304" w:type="pct"/>
            <w:tcBorders>
              <w:tl2br w:val="nil"/>
              <w:tr2bl w:val="nil"/>
            </w:tcBorders>
            <w:noWrap w:val="0"/>
            <w:vAlign w:val="center"/>
          </w:tcPr>
          <w:p w14:paraId="59F8D86F">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w:t>
            </w:r>
          </w:p>
        </w:tc>
        <w:tc>
          <w:tcPr>
            <w:tcW w:w="1770" w:type="pct"/>
            <w:gridSpan w:val="2"/>
            <w:tcBorders>
              <w:tl2br w:val="nil"/>
              <w:tr2bl w:val="nil"/>
            </w:tcBorders>
            <w:noWrap w:val="0"/>
            <w:vAlign w:val="center"/>
          </w:tcPr>
          <w:p w14:paraId="184EAA16">
            <w:pPr>
              <w:keepNext w:val="0"/>
              <w:keepLines w:val="0"/>
              <w:pageBreakBefore w:val="0"/>
              <w:widowControl w:val="0"/>
              <w:kinsoku/>
              <w:wordWrap/>
              <w:overflowPunct w:val="0"/>
              <w:topLinePunct/>
              <w:autoSpaceDE/>
              <w:autoSpaceDN/>
              <w:bidi w:val="0"/>
              <w:adjustRightInd/>
              <w:snapToGrid/>
              <w:spacing w:line="320" w:lineRule="exact"/>
              <w:ind w:firstLine="0" w:firstLine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▲高新技术企业数量（个）</w:t>
            </w:r>
          </w:p>
        </w:tc>
        <w:tc>
          <w:tcPr>
            <w:tcW w:w="615" w:type="pct"/>
            <w:tcBorders>
              <w:tl2br w:val="nil"/>
              <w:tr2bl w:val="nil"/>
            </w:tcBorders>
            <w:noWrap w:val="0"/>
            <w:vAlign w:val="center"/>
          </w:tcPr>
          <w:p w14:paraId="38BB2124">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58</w:t>
            </w:r>
          </w:p>
        </w:tc>
        <w:tc>
          <w:tcPr>
            <w:tcW w:w="680" w:type="pct"/>
            <w:tcBorders>
              <w:tl2br w:val="nil"/>
              <w:tr2bl w:val="nil"/>
            </w:tcBorders>
            <w:noWrap w:val="0"/>
            <w:vAlign w:val="center"/>
          </w:tcPr>
          <w:p w14:paraId="0A6B1C22">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80</w:t>
            </w:r>
          </w:p>
        </w:tc>
        <w:tc>
          <w:tcPr>
            <w:tcW w:w="842" w:type="pct"/>
            <w:tcBorders>
              <w:tl2br w:val="nil"/>
              <w:tr2bl w:val="nil"/>
            </w:tcBorders>
            <w:noWrap w:val="0"/>
            <w:vAlign w:val="center"/>
          </w:tcPr>
          <w:p w14:paraId="6DC4300A">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w:t>
            </w:r>
          </w:p>
        </w:tc>
        <w:tc>
          <w:tcPr>
            <w:tcW w:w="443" w:type="pct"/>
            <w:tcBorders>
              <w:tl2br w:val="nil"/>
              <w:tr2bl w:val="nil"/>
            </w:tcBorders>
            <w:noWrap w:val="0"/>
            <w:vAlign w:val="center"/>
          </w:tcPr>
          <w:p w14:paraId="5779A994">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预期性</w:t>
            </w:r>
          </w:p>
        </w:tc>
      </w:tr>
      <w:tr w14:paraId="263B8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342" w:type="pct"/>
            <w:vMerge w:val="restart"/>
            <w:tcBorders>
              <w:tl2br w:val="nil"/>
              <w:tr2bl w:val="nil"/>
            </w:tcBorders>
            <w:noWrap w:val="0"/>
            <w:vAlign w:val="center"/>
          </w:tcPr>
          <w:p w14:paraId="03B361BE">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民</w:t>
            </w:r>
          </w:p>
          <w:p w14:paraId="56562BED">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生</w:t>
            </w:r>
          </w:p>
          <w:p w14:paraId="3A2456BE">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福</w:t>
            </w:r>
          </w:p>
          <w:p w14:paraId="0E95215F">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祉</w:t>
            </w:r>
          </w:p>
          <w:p w14:paraId="2C6C8AE1">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类</w:t>
            </w:r>
          </w:p>
        </w:tc>
        <w:tc>
          <w:tcPr>
            <w:tcW w:w="304" w:type="pct"/>
            <w:tcBorders>
              <w:tl2br w:val="nil"/>
              <w:tr2bl w:val="nil"/>
            </w:tcBorders>
            <w:noWrap w:val="0"/>
            <w:vAlign w:val="center"/>
          </w:tcPr>
          <w:p w14:paraId="4C5EDF0B">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11</w:t>
            </w:r>
          </w:p>
        </w:tc>
        <w:tc>
          <w:tcPr>
            <w:tcW w:w="1770" w:type="pct"/>
            <w:gridSpan w:val="2"/>
            <w:tcBorders>
              <w:tl2br w:val="nil"/>
              <w:tr2bl w:val="nil"/>
            </w:tcBorders>
            <w:noWrap w:val="0"/>
            <w:vAlign w:val="center"/>
          </w:tcPr>
          <w:p w14:paraId="614B65AA">
            <w:pPr>
              <w:keepNext w:val="0"/>
              <w:keepLines w:val="0"/>
              <w:pageBreakBefore w:val="0"/>
              <w:widowControl w:val="0"/>
              <w:kinsoku/>
              <w:wordWrap/>
              <w:overflowPunct w:val="0"/>
              <w:topLinePunct/>
              <w:autoSpaceDE/>
              <w:autoSpaceDN/>
              <w:bidi w:val="0"/>
              <w:adjustRightInd/>
              <w:snapToGrid/>
              <w:spacing w:line="320" w:lineRule="exact"/>
              <w:ind w:firstLine="0" w:firstLineChars="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城镇调查失业率（%）</w:t>
            </w:r>
          </w:p>
        </w:tc>
        <w:tc>
          <w:tcPr>
            <w:tcW w:w="615" w:type="pct"/>
            <w:tcBorders>
              <w:tl2br w:val="nil"/>
              <w:tr2bl w:val="nil"/>
            </w:tcBorders>
            <w:noWrap w:val="0"/>
            <w:vAlign w:val="center"/>
          </w:tcPr>
          <w:p w14:paraId="05DE29F1">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w:t>
            </w:r>
          </w:p>
        </w:tc>
        <w:tc>
          <w:tcPr>
            <w:tcW w:w="680" w:type="pct"/>
            <w:tcBorders>
              <w:tl2br w:val="nil"/>
              <w:tr2bl w:val="nil"/>
            </w:tcBorders>
            <w:noWrap w:val="0"/>
            <w:vAlign w:val="center"/>
          </w:tcPr>
          <w:p w14:paraId="05F25EE7">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w:t>
            </w:r>
          </w:p>
        </w:tc>
        <w:tc>
          <w:tcPr>
            <w:tcW w:w="842" w:type="pct"/>
            <w:tcBorders>
              <w:tl2br w:val="nil"/>
              <w:tr2bl w:val="nil"/>
            </w:tcBorders>
            <w:noWrap w:val="0"/>
            <w:vAlign w:val="center"/>
          </w:tcPr>
          <w:p w14:paraId="1D9636E7">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5.5左右</w:t>
            </w:r>
          </w:p>
        </w:tc>
        <w:tc>
          <w:tcPr>
            <w:tcW w:w="443" w:type="pct"/>
            <w:tcBorders>
              <w:tl2br w:val="nil"/>
              <w:tr2bl w:val="nil"/>
            </w:tcBorders>
            <w:noWrap w:val="0"/>
            <w:vAlign w:val="center"/>
          </w:tcPr>
          <w:p w14:paraId="13BE78BA">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预期性</w:t>
            </w:r>
          </w:p>
        </w:tc>
      </w:tr>
      <w:tr w14:paraId="59E16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342" w:type="pct"/>
            <w:vMerge w:val="continue"/>
            <w:tcBorders>
              <w:tl2br w:val="nil"/>
              <w:tr2bl w:val="nil"/>
            </w:tcBorders>
            <w:noWrap w:val="0"/>
            <w:vAlign w:val="center"/>
          </w:tcPr>
          <w:p w14:paraId="38201651">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sz w:val="21"/>
                <w:szCs w:val="21"/>
                <w:highlight w:val="none"/>
              </w:rPr>
            </w:pPr>
          </w:p>
        </w:tc>
        <w:tc>
          <w:tcPr>
            <w:tcW w:w="304" w:type="pct"/>
            <w:vMerge w:val="restart"/>
            <w:tcBorders>
              <w:tl2br w:val="nil"/>
              <w:tr2bl w:val="nil"/>
            </w:tcBorders>
            <w:noWrap w:val="0"/>
            <w:vAlign w:val="center"/>
          </w:tcPr>
          <w:p w14:paraId="305298BF">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12</w:t>
            </w:r>
          </w:p>
        </w:tc>
        <w:tc>
          <w:tcPr>
            <w:tcW w:w="885" w:type="pct"/>
            <w:vMerge w:val="restart"/>
            <w:tcBorders>
              <w:tl2br w:val="nil"/>
              <w:tr2bl w:val="nil"/>
            </w:tcBorders>
            <w:noWrap w:val="0"/>
            <w:vAlign w:val="center"/>
          </w:tcPr>
          <w:p w14:paraId="1C760B65">
            <w:pPr>
              <w:keepNext w:val="0"/>
              <w:keepLines w:val="0"/>
              <w:pageBreakBefore w:val="0"/>
              <w:widowControl w:val="0"/>
              <w:kinsoku/>
              <w:wordWrap/>
              <w:overflowPunct w:val="0"/>
              <w:topLinePunct/>
              <w:autoSpaceDE/>
              <w:autoSpaceDN/>
              <w:bidi w:val="0"/>
              <w:adjustRightInd/>
              <w:snapToGrid/>
              <w:spacing w:line="320" w:lineRule="exact"/>
              <w:ind w:firstLine="0" w:firstLine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居民人均可支配收入增长（%）</w:t>
            </w:r>
          </w:p>
        </w:tc>
        <w:tc>
          <w:tcPr>
            <w:tcW w:w="885" w:type="pct"/>
            <w:tcBorders>
              <w:tl2br w:val="nil"/>
              <w:tr2bl w:val="nil"/>
            </w:tcBorders>
            <w:noWrap w:val="0"/>
            <w:vAlign w:val="center"/>
          </w:tcPr>
          <w:p w14:paraId="4923CA5F">
            <w:pPr>
              <w:keepNext w:val="0"/>
              <w:keepLines w:val="0"/>
              <w:pageBreakBefore w:val="0"/>
              <w:widowControl w:val="0"/>
              <w:kinsoku/>
              <w:wordWrap/>
              <w:overflowPunct w:val="0"/>
              <w:topLinePunct/>
              <w:autoSpaceDE/>
              <w:autoSpaceDN/>
              <w:bidi w:val="0"/>
              <w:adjustRightInd/>
              <w:snapToGrid/>
              <w:spacing w:line="280" w:lineRule="exact"/>
              <w:ind w:firstLine="0" w:firstLineChars="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城镇常住居民</w:t>
            </w:r>
          </w:p>
        </w:tc>
        <w:tc>
          <w:tcPr>
            <w:tcW w:w="615" w:type="pct"/>
            <w:tcBorders>
              <w:tl2br w:val="nil"/>
              <w:tr2bl w:val="nil"/>
            </w:tcBorders>
            <w:noWrap w:val="0"/>
            <w:vAlign w:val="center"/>
          </w:tcPr>
          <w:p w14:paraId="5D4ABC48">
            <w:pPr>
              <w:keepNext w:val="0"/>
              <w:keepLines w:val="0"/>
              <w:pageBreakBefore w:val="0"/>
              <w:widowControl w:val="0"/>
              <w:kinsoku/>
              <w:wordWrap/>
              <w:overflowPunct w:val="0"/>
              <w:topLinePunct/>
              <w:autoSpaceDE/>
              <w:autoSpaceDN/>
              <w:bidi w:val="0"/>
              <w:adjustRightInd/>
              <w:snapToGrid/>
              <w:spacing w:line="280" w:lineRule="exact"/>
              <w:ind w:firstLine="0" w:firstLine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4.2</w:t>
            </w:r>
          </w:p>
        </w:tc>
        <w:tc>
          <w:tcPr>
            <w:tcW w:w="680" w:type="pct"/>
            <w:tcBorders>
              <w:tl2br w:val="nil"/>
              <w:tr2bl w:val="nil"/>
            </w:tcBorders>
            <w:noWrap w:val="0"/>
            <w:vAlign w:val="center"/>
          </w:tcPr>
          <w:p w14:paraId="7E68B3AA">
            <w:pPr>
              <w:keepNext w:val="0"/>
              <w:keepLines w:val="0"/>
              <w:pageBreakBefore w:val="0"/>
              <w:widowControl w:val="0"/>
              <w:kinsoku/>
              <w:wordWrap/>
              <w:overflowPunct w:val="0"/>
              <w:topLinePunct/>
              <w:autoSpaceDE/>
              <w:autoSpaceDN/>
              <w:bidi w:val="0"/>
              <w:adjustRightInd/>
              <w:snapToGrid/>
              <w:spacing w:line="280" w:lineRule="exact"/>
              <w:ind w:firstLine="0" w:firstLine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w:t>
            </w:r>
          </w:p>
        </w:tc>
        <w:tc>
          <w:tcPr>
            <w:tcW w:w="842" w:type="pct"/>
            <w:tcBorders>
              <w:tl2br w:val="nil"/>
              <w:tr2bl w:val="nil"/>
            </w:tcBorders>
            <w:noWrap w:val="0"/>
            <w:vAlign w:val="center"/>
          </w:tcPr>
          <w:p w14:paraId="17C4C241">
            <w:pPr>
              <w:keepNext w:val="0"/>
              <w:keepLines w:val="0"/>
              <w:pageBreakBefore w:val="0"/>
              <w:widowControl w:val="0"/>
              <w:kinsoku/>
              <w:wordWrap/>
              <w:overflowPunct w:val="0"/>
              <w:topLinePunct/>
              <w:autoSpaceDE/>
              <w:autoSpaceDN/>
              <w:bidi w:val="0"/>
              <w:adjustRightInd/>
              <w:snapToGrid/>
              <w:spacing w:line="280" w:lineRule="exact"/>
              <w:ind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与GDP增长</w:t>
            </w:r>
          </w:p>
          <w:p w14:paraId="12E2C750">
            <w:pPr>
              <w:keepNext w:val="0"/>
              <w:keepLines w:val="0"/>
              <w:pageBreakBefore w:val="0"/>
              <w:widowControl w:val="0"/>
              <w:kinsoku/>
              <w:wordWrap/>
              <w:overflowPunct w:val="0"/>
              <w:topLinePunct/>
              <w:autoSpaceDE/>
              <w:autoSpaceDN/>
              <w:bidi w:val="0"/>
              <w:adjustRightInd/>
              <w:snapToGrid/>
              <w:spacing w:line="280" w:lineRule="exact"/>
              <w:ind w:firstLine="0" w:firstLine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基本同步</w:t>
            </w:r>
          </w:p>
        </w:tc>
        <w:tc>
          <w:tcPr>
            <w:tcW w:w="443" w:type="pct"/>
            <w:vMerge w:val="restart"/>
            <w:tcBorders>
              <w:tl2br w:val="nil"/>
              <w:tr2bl w:val="nil"/>
            </w:tcBorders>
            <w:noWrap w:val="0"/>
            <w:vAlign w:val="center"/>
          </w:tcPr>
          <w:p w14:paraId="7B8B3828">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预期性</w:t>
            </w:r>
          </w:p>
        </w:tc>
      </w:tr>
      <w:tr w14:paraId="11C7E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jc w:val="center"/>
        </w:trPr>
        <w:tc>
          <w:tcPr>
            <w:tcW w:w="342" w:type="pct"/>
            <w:vMerge w:val="continue"/>
            <w:tcBorders>
              <w:tl2br w:val="nil"/>
              <w:tr2bl w:val="nil"/>
            </w:tcBorders>
            <w:noWrap w:val="0"/>
            <w:vAlign w:val="center"/>
          </w:tcPr>
          <w:p w14:paraId="23B1B485">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sz w:val="21"/>
                <w:szCs w:val="21"/>
                <w:highlight w:val="none"/>
              </w:rPr>
            </w:pPr>
          </w:p>
        </w:tc>
        <w:tc>
          <w:tcPr>
            <w:tcW w:w="304" w:type="pct"/>
            <w:vMerge w:val="continue"/>
            <w:tcBorders>
              <w:tl2br w:val="nil"/>
              <w:tr2bl w:val="nil"/>
            </w:tcBorders>
            <w:noWrap w:val="0"/>
            <w:vAlign w:val="center"/>
          </w:tcPr>
          <w:p w14:paraId="765C531F">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sz w:val="21"/>
                <w:szCs w:val="21"/>
                <w:highlight w:val="none"/>
                <w:lang w:val="en-US" w:eastAsia="zh-CN"/>
              </w:rPr>
            </w:pPr>
          </w:p>
        </w:tc>
        <w:tc>
          <w:tcPr>
            <w:tcW w:w="885" w:type="pct"/>
            <w:vMerge w:val="continue"/>
            <w:tcBorders>
              <w:tl2br w:val="nil"/>
              <w:tr2bl w:val="nil"/>
            </w:tcBorders>
            <w:noWrap w:val="0"/>
            <w:vAlign w:val="center"/>
          </w:tcPr>
          <w:p w14:paraId="24E5D5CE">
            <w:pPr>
              <w:keepNext w:val="0"/>
              <w:keepLines w:val="0"/>
              <w:pageBreakBefore w:val="0"/>
              <w:widowControl w:val="0"/>
              <w:kinsoku/>
              <w:wordWrap/>
              <w:overflowPunct w:val="0"/>
              <w:topLinePunct/>
              <w:autoSpaceDE/>
              <w:autoSpaceDN/>
              <w:bidi w:val="0"/>
              <w:adjustRightInd/>
              <w:snapToGrid/>
              <w:spacing w:line="320" w:lineRule="exact"/>
              <w:ind w:firstLine="0" w:firstLineChars="0"/>
              <w:jc w:val="left"/>
              <w:textAlignment w:val="auto"/>
              <w:rPr>
                <w:rFonts w:hint="eastAsia" w:ascii="宋体" w:hAnsi="宋体" w:eastAsia="宋体" w:cs="宋体"/>
                <w:color w:val="auto"/>
                <w:sz w:val="21"/>
                <w:szCs w:val="21"/>
                <w:highlight w:val="none"/>
                <w:lang w:val="en-US" w:eastAsia="zh-CN"/>
              </w:rPr>
            </w:pPr>
          </w:p>
        </w:tc>
        <w:tc>
          <w:tcPr>
            <w:tcW w:w="885" w:type="pct"/>
            <w:tcBorders>
              <w:tl2br w:val="nil"/>
              <w:tr2bl w:val="nil"/>
            </w:tcBorders>
            <w:noWrap w:val="0"/>
            <w:vAlign w:val="center"/>
          </w:tcPr>
          <w:p w14:paraId="4B86BE84">
            <w:pPr>
              <w:keepNext w:val="0"/>
              <w:keepLines w:val="0"/>
              <w:pageBreakBefore w:val="0"/>
              <w:widowControl w:val="0"/>
              <w:kinsoku/>
              <w:wordWrap/>
              <w:overflowPunct w:val="0"/>
              <w:topLinePunct/>
              <w:autoSpaceDE/>
              <w:autoSpaceDN/>
              <w:bidi w:val="0"/>
              <w:adjustRightInd/>
              <w:snapToGrid/>
              <w:spacing w:line="280" w:lineRule="exact"/>
              <w:ind w:firstLine="0" w:firstLineChars="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农村常住居民</w:t>
            </w:r>
          </w:p>
        </w:tc>
        <w:tc>
          <w:tcPr>
            <w:tcW w:w="615" w:type="pct"/>
            <w:tcBorders>
              <w:tl2br w:val="nil"/>
              <w:tr2bl w:val="nil"/>
            </w:tcBorders>
            <w:noWrap w:val="0"/>
            <w:vAlign w:val="center"/>
          </w:tcPr>
          <w:p w14:paraId="1E5956FA">
            <w:pPr>
              <w:keepNext w:val="0"/>
              <w:keepLines w:val="0"/>
              <w:pageBreakBefore w:val="0"/>
              <w:widowControl w:val="0"/>
              <w:kinsoku/>
              <w:wordWrap/>
              <w:overflowPunct w:val="0"/>
              <w:topLinePunct/>
              <w:autoSpaceDE/>
              <w:autoSpaceDN/>
              <w:bidi w:val="0"/>
              <w:adjustRightInd/>
              <w:snapToGrid/>
              <w:spacing w:line="280" w:lineRule="exact"/>
              <w:ind w:firstLine="0" w:firstLine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5.7</w:t>
            </w:r>
          </w:p>
        </w:tc>
        <w:tc>
          <w:tcPr>
            <w:tcW w:w="680" w:type="pct"/>
            <w:tcBorders>
              <w:tl2br w:val="nil"/>
              <w:tr2bl w:val="nil"/>
            </w:tcBorders>
            <w:noWrap w:val="0"/>
            <w:vAlign w:val="center"/>
          </w:tcPr>
          <w:p w14:paraId="675F71CA">
            <w:pPr>
              <w:keepNext w:val="0"/>
              <w:keepLines w:val="0"/>
              <w:pageBreakBefore w:val="0"/>
              <w:widowControl w:val="0"/>
              <w:kinsoku/>
              <w:wordWrap/>
              <w:overflowPunct w:val="0"/>
              <w:topLinePunct/>
              <w:autoSpaceDE/>
              <w:autoSpaceDN/>
              <w:bidi w:val="0"/>
              <w:adjustRightInd/>
              <w:snapToGrid/>
              <w:spacing w:line="280" w:lineRule="exact"/>
              <w:ind w:firstLine="0" w:firstLine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w:t>
            </w:r>
          </w:p>
        </w:tc>
        <w:tc>
          <w:tcPr>
            <w:tcW w:w="842" w:type="pct"/>
            <w:tcBorders>
              <w:tl2br w:val="nil"/>
              <w:tr2bl w:val="nil"/>
            </w:tcBorders>
            <w:noWrap w:val="0"/>
            <w:vAlign w:val="center"/>
          </w:tcPr>
          <w:p w14:paraId="7CF66BE7">
            <w:pPr>
              <w:keepNext w:val="0"/>
              <w:keepLines w:val="0"/>
              <w:pageBreakBefore w:val="0"/>
              <w:widowControl w:val="0"/>
              <w:kinsoku/>
              <w:wordWrap/>
              <w:overflowPunct w:val="0"/>
              <w:topLinePunct/>
              <w:autoSpaceDE/>
              <w:autoSpaceDN/>
              <w:bidi w:val="0"/>
              <w:adjustRightInd/>
              <w:snapToGrid/>
              <w:spacing w:line="280" w:lineRule="exact"/>
              <w:ind w:firstLine="0" w:firstLine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高于GDP增长</w:t>
            </w:r>
          </w:p>
        </w:tc>
        <w:tc>
          <w:tcPr>
            <w:tcW w:w="443" w:type="pct"/>
            <w:vMerge w:val="continue"/>
            <w:tcBorders>
              <w:tl2br w:val="nil"/>
              <w:tr2bl w:val="nil"/>
            </w:tcBorders>
            <w:noWrap w:val="0"/>
            <w:vAlign w:val="center"/>
          </w:tcPr>
          <w:p w14:paraId="7BE8E81D">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sz w:val="21"/>
                <w:szCs w:val="21"/>
                <w:highlight w:val="none"/>
                <w:lang w:val="en-US" w:eastAsia="zh-CN"/>
              </w:rPr>
            </w:pPr>
          </w:p>
        </w:tc>
      </w:tr>
      <w:tr w14:paraId="25D81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exact"/>
          <w:jc w:val="center"/>
        </w:trPr>
        <w:tc>
          <w:tcPr>
            <w:tcW w:w="342" w:type="pct"/>
            <w:vMerge w:val="restart"/>
            <w:tcBorders>
              <w:tl2br w:val="nil"/>
              <w:tr2bl w:val="nil"/>
            </w:tcBorders>
            <w:noWrap w:val="0"/>
            <w:vAlign w:val="center"/>
          </w:tcPr>
          <w:p w14:paraId="6D3D1EC6">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民</w:t>
            </w:r>
          </w:p>
          <w:p w14:paraId="255BD25B">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生</w:t>
            </w:r>
          </w:p>
          <w:p w14:paraId="3B77862F">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福</w:t>
            </w:r>
          </w:p>
          <w:p w14:paraId="31167F70">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祉</w:t>
            </w:r>
          </w:p>
          <w:p w14:paraId="1444E040">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类</w:t>
            </w:r>
          </w:p>
        </w:tc>
        <w:tc>
          <w:tcPr>
            <w:tcW w:w="304" w:type="pct"/>
            <w:tcBorders>
              <w:tl2br w:val="nil"/>
              <w:tr2bl w:val="nil"/>
            </w:tcBorders>
            <w:noWrap w:val="0"/>
            <w:vAlign w:val="center"/>
          </w:tcPr>
          <w:p w14:paraId="0A8500C0">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13</w:t>
            </w:r>
          </w:p>
        </w:tc>
        <w:tc>
          <w:tcPr>
            <w:tcW w:w="1770" w:type="pct"/>
            <w:gridSpan w:val="2"/>
            <w:tcBorders>
              <w:tl2br w:val="nil"/>
              <w:tr2bl w:val="nil"/>
            </w:tcBorders>
            <w:noWrap w:val="0"/>
            <w:vAlign w:val="center"/>
          </w:tcPr>
          <w:p w14:paraId="29A0D746">
            <w:pPr>
              <w:keepNext w:val="0"/>
              <w:keepLines w:val="0"/>
              <w:pageBreakBefore w:val="0"/>
              <w:widowControl w:val="0"/>
              <w:kinsoku/>
              <w:wordWrap/>
              <w:overflowPunct w:val="0"/>
              <w:topLinePunct/>
              <w:autoSpaceDE/>
              <w:autoSpaceDN/>
              <w:bidi w:val="0"/>
              <w:adjustRightInd/>
              <w:snapToGrid/>
              <w:spacing w:line="280" w:lineRule="exact"/>
              <w:ind w:firstLine="0" w:firstLineChars="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pacing w:val="-6"/>
                <w:sz w:val="21"/>
                <w:szCs w:val="21"/>
                <w:highlight w:val="none"/>
                <w:lang w:val="en-US" w:eastAsia="zh-CN"/>
              </w:rPr>
              <w:t>劳动年龄人口平均受教育年限（年）</w:t>
            </w:r>
          </w:p>
        </w:tc>
        <w:tc>
          <w:tcPr>
            <w:tcW w:w="615" w:type="pct"/>
            <w:tcBorders>
              <w:tl2br w:val="nil"/>
              <w:tr2bl w:val="nil"/>
            </w:tcBorders>
            <w:noWrap w:val="0"/>
            <w:vAlign w:val="center"/>
          </w:tcPr>
          <w:p w14:paraId="0DF5BF10">
            <w:pPr>
              <w:keepNext w:val="0"/>
              <w:keepLines w:val="0"/>
              <w:pageBreakBefore w:val="0"/>
              <w:widowControl w:val="0"/>
              <w:kinsoku/>
              <w:wordWrap/>
              <w:overflowPunct w:val="0"/>
              <w:topLinePunct/>
              <w:autoSpaceDE/>
              <w:autoSpaceDN/>
              <w:bidi w:val="0"/>
              <w:adjustRightInd/>
              <w:snapToGrid/>
              <w:spacing w:line="280" w:lineRule="exact"/>
              <w:ind w:firstLine="0" w:firstLine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11.</w:t>
            </w:r>
            <w:r>
              <w:rPr>
                <w:rFonts w:hint="eastAsia" w:ascii="宋体" w:hAnsi="宋体" w:eastAsia="宋体" w:cs="宋体"/>
                <w:color w:val="auto"/>
                <w:sz w:val="21"/>
                <w:szCs w:val="21"/>
                <w:highlight w:val="none"/>
                <w:lang w:val="en-US" w:eastAsia="zh-CN"/>
              </w:rPr>
              <w:t>5</w:t>
            </w:r>
          </w:p>
        </w:tc>
        <w:tc>
          <w:tcPr>
            <w:tcW w:w="680" w:type="pct"/>
            <w:tcBorders>
              <w:tl2br w:val="nil"/>
              <w:tr2bl w:val="nil"/>
            </w:tcBorders>
            <w:noWrap w:val="0"/>
            <w:vAlign w:val="center"/>
          </w:tcPr>
          <w:p w14:paraId="4E3ADDC2">
            <w:pPr>
              <w:keepNext w:val="0"/>
              <w:keepLines w:val="0"/>
              <w:pageBreakBefore w:val="0"/>
              <w:widowControl w:val="0"/>
              <w:kinsoku/>
              <w:wordWrap/>
              <w:overflowPunct w:val="0"/>
              <w:topLinePunct/>
              <w:autoSpaceDE/>
              <w:autoSpaceDN/>
              <w:bidi w:val="0"/>
              <w:adjustRightInd/>
              <w:snapToGrid/>
              <w:spacing w:line="280" w:lineRule="exact"/>
              <w:ind w:firstLine="0" w:firstLine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11.8</w:t>
            </w:r>
          </w:p>
        </w:tc>
        <w:tc>
          <w:tcPr>
            <w:tcW w:w="842" w:type="pct"/>
            <w:tcBorders>
              <w:tl2br w:val="nil"/>
              <w:tr2bl w:val="nil"/>
            </w:tcBorders>
            <w:noWrap w:val="0"/>
            <w:vAlign w:val="center"/>
          </w:tcPr>
          <w:p w14:paraId="407C6101">
            <w:pPr>
              <w:keepNext w:val="0"/>
              <w:keepLines w:val="0"/>
              <w:pageBreakBefore w:val="0"/>
              <w:widowControl w:val="0"/>
              <w:kinsoku/>
              <w:wordWrap/>
              <w:overflowPunct w:val="0"/>
              <w:topLinePunct/>
              <w:autoSpaceDE/>
              <w:autoSpaceDN/>
              <w:bidi w:val="0"/>
              <w:adjustRightInd/>
              <w:snapToGrid/>
              <w:spacing w:line="280" w:lineRule="exact"/>
              <w:ind w:firstLine="0" w:firstLine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w:t>
            </w:r>
          </w:p>
        </w:tc>
        <w:tc>
          <w:tcPr>
            <w:tcW w:w="443" w:type="pct"/>
            <w:tcBorders>
              <w:tl2br w:val="nil"/>
              <w:tr2bl w:val="nil"/>
            </w:tcBorders>
            <w:noWrap w:val="0"/>
            <w:vAlign w:val="center"/>
          </w:tcPr>
          <w:p w14:paraId="1E6D7EF6">
            <w:pPr>
              <w:keepNext w:val="0"/>
              <w:keepLines w:val="0"/>
              <w:pageBreakBefore w:val="0"/>
              <w:widowControl w:val="0"/>
              <w:kinsoku/>
              <w:wordWrap/>
              <w:overflowPunct w:val="0"/>
              <w:topLinePunct/>
              <w:autoSpaceDE/>
              <w:autoSpaceDN/>
              <w:bidi w:val="0"/>
              <w:adjustRightInd/>
              <w:snapToGrid/>
              <w:spacing w:line="280" w:lineRule="exact"/>
              <w:ind w:firstLine="0" w:firstLine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约束性</w:t>
            </w:r>
          </w:p>
        </w:tc>
      </w:tr>
      <w:tr w14:paraId="033CB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exact"/>
          <w:jc w:val="center"/>
        </w:trPr>
        <w:tc>
          <w:tcPr>
            <w:tcW w:w="342" w:type="pct"/>
            <w:vMerge w:val="continue"/>
            <w:tcBorders>
              <w:tl2br w:val="nil"/>
              <w:tr2bl w:val="nil"/>
            </w:tcBorders>
            <w:noWrap w:val="0"/>
            <w:vAlign w:val="center"/>
          </w:tcPr>
          <w:p w14:paraId="718AF96A">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sz w:val="21"/>
                <w:szCs w:val="21"/>
                <w:highlight w:val="none"/>
                <w:lang w:eastAsia="zh-CN"/>
              </w:rPr>
            </w:pPr>
          </w:p>
        </w:tc>
        <w:tc>
          <w:tcPr>
            <w:tcW w:w="304" w:type="pct"/>
            <w:vMerge w:val="restart"/>
            <w:tcBorders>
              <w:tl2br w:val="nil"/>
              <w:tr2bl w:val="nil"/>
            </w:tcBorders>
            <w:noWrap w:val="0"/>
            <w:vAlign w:val="center"/>
          </w:tcPr>
          <w:p w14:paraId="31D4D819">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14</w:t>
            </w:r>
          </w:p>
        </w:tc>
        <w:tc>
          <w:tcPr>
            <w:tcW w:w="885" w:type="pct"/>
            <w:vMerge w:val="restart"/>
            <w:tcBorders>
              <w:tl2br w:val="nil"/>
              <w:tr2bl w:val="nil"/>
            </w:tcBorders>
            <w:noWrap w:val="0"/>
            <w:vAlign w:val="center"/>
          </w:tcPr>
          <w:p w14:paraId="5C50B6E6">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pacing w:val="-6"/>
                <w:sz w:val="21"/>
                <w:szCs w:val="21"/>
                <w:highlight w:val="none"/>
                <w:lang w:val="en-US" w:eastAsia="zh-CN"/>
              </w:rPr>
              <w:t>每千人口拥有医护人员数（人）</w:t>
            </w:r>
          </w:p>
        </w:tc>
        <w:tc>
          <w:tcPr>
            <w:tcW w:w="885" w:type="pct"/>
            <w:tcBorders>
              <w:tl2br w:val="nil"/>
              <w:tr2bl w:val="nil"/>
            </w:tcBorders>
            <w:noWrap w:val="0"/>
            <w:vAlign w:val="center"/>
          </w:tcPr>
          <w:p w14:paraId="4815693D">
            <w:pPr>
              <w:keepNext w:val="0"/>
              <w:keepLines w:val="0"/>
              <w:pageBreakBefore w:val="0"/>
              <w:widowControl w:val="0"/>
              <w:kinsoku/>
              <w:wordWrap/>
              <w:overflowPunct w:val="0"/>
              <w:topLinePunct/>
              <w:autoSpaceDE/>
              <w:autoSpaceDN/>
              <w:bidi w:val="0"/>
              <w:adjustRightInd/>
              <w:snapToGrid/>
              <w:spacing w:line="320" w:lineRule="exact"/>
              <w:ind w:firstLine="0" w:firstLineChars="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执业医师数</w:t>
            </w:r>
          </w:p>
        </w:tc>
        <w:tc>
          <w:tcPr>
            <w:tcW w:w="615" w:type="pct"/>
            <w:tcBorders>
              <w:tl2br w:val="nil"/>
              <w:tr2bl w:val="nil"/>
            </w:tcBorders>
            <w:noWrap w:val="0"/>
            <w:vAlign w:val="center"/>
          </w:tcPr>
          <w:p w14:paraId="10702B02">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3.3</w:t>
            </w:r>
          </w:p>
        </w:tc>
        <w:tc>
          <w:tcPr>
            <w:tcW w:w="680" w:type="pct"/>
            <w:tcBorders>
              <w:tl2br w:val="nil"/>
              <w:tr2bl w:val="nil"/>
            </w:tcBorders>
            <w:noWrap w:val="0"/>
            <w:vAlign w:val="center"/>
          </w:tcPr>
          <w:p w14:paraId="21F5BEDB">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3.75</w:t>
            </w:r>
          </w:p>
        </w:tc>
        <w:tc>
          <w:tcPr>
            <w:tcW w:w="842" w:type="pct"/>
            <w:tcBorders>
              <w:tl2br w:val="nil"/>
              <w:tr2bl w:val="nil"/>
            </w:tcBorders>
            <w:noWrap w:val="0"/>
            <w:vAlign w:val="center"/>
          </w:tcPr>
          <w:p w14:paraId="59167C7A">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w:t>
            </w:r>
          </w:p>
        </w:tc>
        <w:tc>
          <w:tcPr>
            <w:tcW w:w="443" w:type="pct"/>
            <w:vMerge w:val="restart"/>
            <w:tcBorders>
              <w:tl2br w:val="nil"/>
              <w:tr2bl w:val="nil"/>
            </w:tcBorders>
            <w:noWrap w:val="0"/>
            <w:vAlign w:val="center"/>
          </w:tcPr>
          <w:p w14:paraId="61E0A688">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预期性</w:t>
            </w:r>
          </w:p>
        </w:tc>
      </w:tr>
      <w:tr w14:paraId="5C852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exact"/>
          <w:jc w:val="center"/>
        </w:trPr>
        <w:tc>
          <w:tcPr>
            <w:tcW w:w="342" w:type="pct"/>
            <w:vMerge w:val="continue"/>
            <w:tcBorders>
              <w:tl2br w:val="nil"/>
              <w:tr2bl w:val="nil"/>
            </w:tcBorders>
            <w:noWrap w:val="0"/>
            <w:vAlign w:val="center"/>
          </w:tcPr>
          <w:p w14:paraId="3858FBD0">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sz w:val="21"/>
                <w:szCs w:val="21"/>
                <w:highlight w:val="none"/>
                <w:lang w:eastAsia="zh-CN"/>
              </w:rPr>
            </w:pPr>
          </w:p>
        </w:tc>
        <w:tc>
          <w:tcPr>
            <w:tcW w:w="304" w:type="pct"/>
            <w:vMerge w:val="continue"/>
            <w:tcBorders>
              <w:tl2br w:val="nil"/>
              <w:tr2bl w:val="nil"/>
            </w:tcBorders>
            <w:noWrap w:val="0"/>
            <w:vAlign w:val="center"/>
          </w:tcPr>
          <w:p w14:paraId="37ACBA39">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sz w:val="21"/>
                <w:szCs w:val="21"/>
                <w:highlight w:val="none"/>
                <w:lang w:val="en-US" w:eastAsia="zh-CN"/>
              </w:rPr>
            </w:pPr>
          </w:p>
        </w:tc>
        <w:tc>
          <w:tcPr>
            <w:tcW w:w="885" w:type="pct"/>
            <w:vMerge w:val="continue"/>
            <w:tcBorders>
              <w:tl2br w:val="nil"/>
              <w:tr2bl w:val="nil"/>
            </w:tcBorders>
            <w:noWrap w:val="0"/>
            <w:vAlign w:val="center"/>
          </w:tcPr>
          <w:p w14:paraId="62D09773">
            <w:pPr>
              <w:keepNext w:val="0"/>
              <w:keepLines w:val="0"/>
              <w:pageBreakBefore w:val="0"/>
              <w:widowControl w:val="0"/>
              <w:kinsoku/>
              <w:wordWrap/>
              <w:overflowPunct w:val="0"/>
              <w:topLinePunct/>
              <w:autoSpaceDE/>
              <w:autoSpaceDN/>
              <w:bidi w:val="0"/>
              <w:adjustRightInd/>
              <w:snapToGrid/>
              <w:spacing w:line="320" w:lineRule="exact"/>
              <w:ind w:firstLine="0" w:firstLineChars="0"/>
              <w:jc w:val="left"/>
              <w:textAlignment w:val="auto"/>
              <w:rPr>
                <w:rFonts w:hint="eastAsia" w:ascii="宋体" w:hAnsi="宋体" w:eastAsia="宋体" w:cs="宋体"/>
                <w:color w:val="auto"/>
                <w:sz w:val="21"/>
                <w:szCs w:val="21"/>
                <w:highlight w:val="none"/>
                <w:lang w:val="en-US" w:eastAsia="zh-CN"/>
              </w:rPr>
            </w:pPr>
          </w:p>
        </w:tc>
        <w:tc>
          <w:tcPr>
            <w:tcW w:w="885" w:type="pct"/>
            <w:tcBorders>
              <w:tl2br w:val="nil"/>
              <w:tr2bl w:val="nil"/>
            </w:tcBorders>
            <w:noWrap w:val="0"/>
            <w:vAlign w:val="center"/>
          </w:tcPr>
          <w:p w14:paraId="5EDCC179">
            <w:pPr>
              <w:keepNext w:val="0"/>
              <w:keepLines w:val="0"/>
              <w:pageBreakBefore w:val="0"/>
              <w:widowControl w:val="0"/>
              <w:kinsoku/>
              <w:wordWrap/>
              <w:overflowPunct w:val="0"/>
              <w:topLinePunct/>
              <w:autoSpaceDE/>
              <w:autoSpaceDN/>
              <w:bidi w:val="0"/>
              <w:adjustRightInd/>
              <w:snapToGrid/>
              <w:spacing w:line="320" w:lineRule="exact"/>
              <w:ind w:firstLine="0" w:firstLineChars="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注册护士数</w:t>
            </w:r>
          </w:p>
        </w:tc>
        <w:tc>
          <w:tcPr>
            <w:tcW w:w="615" w:type="pct"/>
            <w:tcBorders>
              <w:tl2br w:val="nil"/>
              <w:tr2bl w:val="nil"/>
            </w:tcBorders>
            <w:noWrap w:val="0"/>
            <w:vAlign w:val="center"/>
          </w:tcPr>
          <w:p w14:paraId="142C9CB3">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5.02</w:t>
            </w:r>
          </w:p>
        </w:tc>
        <w:tc>
          <w:tcPr>
            <w:tcW w:w="680" w:type="pct"/>
            <w:tcBorders>
              <w:tl2br w:val="nil"/>
              <w:tr2bl w:val="nil"/>
            </w:tcBorders>
            <w:noWrap w:val="0"/>
            <w:vAlign w:val="center"/>
          </w:tcPr>
          <w:p w14:paraId="44F94922">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5.1</w:t>
            </w:r>
          </w:p>
        </w:tc>
        <w:tc>
          <w:tcPr>
            <w:tcW w:w="842" w:type="pct"/>
            <w:tcBorders>
              <w:tl2br w:val="nil"/>
              <w:tr2bl w:val="nil"/>
            </w:tcBorders>
            <w:noWrap w:val="0"/>
            <w:vAlign w:val="center"/>
          </w:tcPr>
          <w:p w14:paraId="6FA68DDD">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w:t>
            </w:r>
          </w:p>
        </w:tc>
        <w:tc>
          <w:tcPr>
            <w:tcW w:w="443" w:type="pct"/>
            <w:vMerge w:val="continue"/>
            <w:tcBorders>
              <w:tl2br w:val="nil"/>
              <w:tr2bl w:val="nil"/>
            </w:tcBorders>
            <w:noWrap w:val="0"/>
            <w:vAlign w:val="center"/>
          </w:tcPr>
          <w:p w14:paraId="7666B07D">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sz w:val="21"/>
                <w:szCs w:val="21"/>
                <w:highlight w:val="none"/>
              </w:rPr>
            </w:pPr>
          </w:p>
        </w:tc>
      </w:tr>
      <w:tr w14:paraId="35058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exact"/>
          <w:jc w:val="center"/>
        </w:trPr>
        <w:tc>
          <w:tcPr>
            <w:tcW w:w="342" w:type="pct"/>
            <w:vMerge w:val="continue"/>
            <w:tcBorders>
              <w:tl2br w:val="nil"/>
              <w:tr2bl w:val="nil"/>
            </w:tcBorders>
            <w:noWrap w:val="0"/>
            <w:vAlign w:val="center"/>
          </w:tcPr>
          <w:p w14:paraId="5F2AEA2C">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sz w:val="21"/>
                <w:szCs w:val="21"/>
                <w:highlight w:val="none"/>
                <w:lang w:eastAsia="zh-CN"/>
              </w:rPr>
            </w:pPr>
          </w:p>
        </w:tc>
        <w:tc>
          <w:tcPr>
            <w:tcW w:w="304" w:type="pct"/>
            <w:tcBorders>
              <w:tl2br w:val="nil"/>
              <w:tr2bl w:val="nil"/>
            </w:tcBorders>
            <w:noWrap w:val="0"/>
            <w:vAlign w:val="center"/>
          </w:tcPr>
          <w:p w14:paraId="3586B4C2">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15</w:t>
            </w:r>
          </w:p>
        </w:tc>
        <w:tc>
          <w:tcPr>
            <w:tcW w:w="1770" w:type="pct"/>
            <w:gridSpan w:val="2"/>
            <w:tcBorders>
              <w:tl2br w:val="nil"/>
              <w:tr2bl w:val="nil"/>
            </w:tcBorders>
            <w:noWrap w:val="0"/>
            <w:vAlign w:val="center"/>
          </w:tcPr>
          <w:p w14:paraId="635E7AC4">
            <w:pPr>
              <w:keepNext w:val="0"/>
              <w:keepLines w:val="0"/>
              <w:pageBreakBefore w:val="0"/>
              <w:widowControl w:val="0"/>
              <w:kinsoku/>
              <w:wordWrap/>
              <w:overflowPunct w:val="0"/>
              <w:topLinePunct/>
              <w:autoSpaceDE/>
              <w:autoSpaceDN/>
              <w:bidi w:val="0"/>
              <w:adjustRightInd/>
              <w:snapToGrid/>
              <w:spacing w:line="320" w:lineRule="exact"/>
              <w:ind w:firstLine="0" w:firstLineChars="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养老机构护理型床位占比（%）</w:t>
            </w:r>
          </w:p>
        </w:tc>
        <w:tc>
          <w:tcPr>
            <w:tcW w:w="615" w:type="pct"/>
            <w:tcBorders>
              <w:tl2br w:val="nil"/>
              <w:tr2bl w:val="nil"/>
            </w:tcBorders>
            <w:noWrap w:val="0"/>
            <w:vAlign w:val="center"/>
          </w:tcPr>
          <w:p w14:paraId="7AE43EA0">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57</w:t>
            </w:r>
          </w:p>
        </w:tc>
        <w:tc>
          <w:tcPr>
            <w:tcW w:w="680" w:type="pct"/>
            <w:tcBorders>
              <w:tl2br w:val="nil"/>
              <w:tr2bl w:val="nil"/>
            </w:tcBorders>
            <w:noWrap w:val="0"/>
            <w:vAlign w:val="center"/>
          </w:tcPr>
          <w:p w14:paraId="32613D17">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60</w:t>
            </w:r>
          </w:p>
        </w:tc>
        <w:tc>
          <w:tcPr>
            <w:tcW w:w="842" w:type="pct"/>
            <w:tcBorders>
              <w:tl2br w:val="nil"/>
              <w:tr2bl w:val="nil"/>
            </w:tcBorders>
            <w:noWrap w:val="0"/>
            <w:vAlign w:val="center"/>
          </w:tcPr>
          <w:p w14:paraId="32DB1655">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w:t>
            </w:r>
          </w:p>
        </w:tc>
        <w:tc>
          <w:tcPr>
            <w:tcW w:w="443" w:type="pct"/>
            <w:tcBorders>
              <w:tl2br w:val="nil"/>
              <w:tr2bl w:val="nil"/>
            </w:tcBorders>
            <w:noWrap w:val="0"/>
            <w:vAlign w:val="center"/>
          </w:tcPr>
          <w:p w14:paraId="3B4E5EC4">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预期性</w:t>
            </w:r>
          </w:p>
        </w:tc>
      </w:tr>
      <w:tr w14:paraId="2255A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exact"/>
          <w:jc w:val="center"/>
        </w:trPr>
        <w:tc>
          <w:tcPr>
            <w:tcW w:w="342" w:type="pct"/>
            <w:vMerge w:val="continue"/>
            <w:tcBorders>
              <w:tl2br w:val="nil"/>
              <w:tr2bl w:val="nil"/>
            </w:tcBorders>
            <w:noWrap w:val="0"/>
            <w:vAlign w:val="center"/>
          </w:tcPr>
          <w:p w14:paraId="29540D64">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sz w:val="21"/>
                <w:szCs w:val="21"/>
                <w:highlight w:val="none"/>
              </w:rPr>
            </w:pPr>
          </w:p>
        </w:tc>
        <w:tc>
          <w:tcPr>
            <w:tcW w:w="304" w:type="pct"/>
            <w:tcBorders>
              <w:tl2br w:val="nil"/>
              <w:tr2bl w:val="nil"/>
            </w:tcBorders>
            <w:noWrap w:val="0"/>
            <w:vAlign w:val="center"/>
          </w:tcPr>
          <w:p w14:paraId="643EF713">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16</w:t>
            </w:r>
          </w:p>
        </w:tc>
        <w:tc>
          <w:tcPr>
            <w:tcW w:w="1770" w:type="pct"/>
            <w:gridSpan w:val="2"/>
            <w:tcBorders>
              <w:tl2br w:val="nil"/>
              <w:tr2bl w:val="nil"/>
            </w:tcBorders>
            <w:noWrap w:val="0"/>
            <w:vAlign w:val="center"/>
          </w:tcPr>
          <w:p w14:paraId="5BED67B9">
            <w:pPr>
              <w:keepNext w:val="0"/>
              <w:keepLines w:val="0"/>
              <w:pageBreakBefore w:val="0"/>
              <w:widowControl w:val="0"/>
              <w:kinsoku/>
              <w:wordWrap/>
              <w:overflowPunct w:val="0"/>
              <w:topLinePunct/>
              <w:autoSpaceDE/>
              <w:autoSpaceDN/>
              <w:bidi w:val="0"/>
              <w:adjustRightInd/>
              <w:snapToGrid/>
              <w:spacing w:line="320" w:lineRule="exact"/>
              <w:ind w:firstLine="0" w:firstLine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pacing w:val="-6"/>
                <w:sz w:val="21"/>
                <w:szCs w:val="21"/>
                <w:highlight w:val="none"/>
                <w:lang w:val="en-US" w:eastAsia="zh-CN"/>
              </w:rPr>
              <w:t>3岁以下婴幼儿入托率提高（百分点）</w:t>
            </w:r>
          </w:p>
        </w:tc>
        <w:tc>
          <w:tcPr>
            <w:tcW w:w="615" w:type="pct"/>
            <w:tcBorders>
              <w:tl2br w:val="nil"/>
              <w:tr2bl w:val="nil"/>
            </w:tcBorders>
            <w:noWrap w:val="0"/>
            <w:vAlign w:val="center"/>
          </w:tcPr>
          <w:p w14:paraId="1874D5DE">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w:t>
            </w:r>
          </w:p>
        </w:tc>
        <w:tc>
          <w:tcPr>
            <w:tcW w:w="680" w:type="pct"/>
            <w:tcBorders>
              <w:tl2br w:val="nil"/>
              <w:tr2bl w:val="nil"/>
            </w:tcBorders>
            <w:noWrap w:val="0"/>
            <w:vAlign w:val="center"/>
          </w:tcPr>
          <w:p w14:paraId="11E66746">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w:t>
            </w:r>
          </w:p>
        </w:tc>
        <w:tc>
          <w:tcPr>
            <w:tcW w:w="842" w:type="pct"/>
            <w:tcBorders>
              <w:tl2br w:val="nil"/>
              <w:tr2bl w:val="nil"/>
            </w:tcBorders>
            <w:noWrap w:val="0"/>
            <w:vAlign w:val="center"/>
          </w:tcPr>
          <w:p w14:paraId="62E49928">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〔5.5〕</w:t>
            </w:r>
          </w:p>
        </w:tc>
        <w:tc>
          <w:tcPr>
            <w:tcW w:w="443" w:type="pct"/>
            <w:tcBorders>
              <w:tl2br w:val="nil"/>
              <w:tr2bl w:val="nil"/>
            </w:tcBorders>
            <w:noWrap w:val="0"/>
            <w:vAlign w:val="center"/>
          </w:tcPr>
          <w:p w14:paraId="22C15D4D">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预期性</w:t>
            </w:r>
          </w:p>
        </w:tc>
      </w:tr>
      <w:tr w14:paraId="6FBF2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342" w:type="pct"/>
            <w:vMerge w:val="continue"/>
            <w:tcBorders>
              <w:tl2br w:val="nil"/>
              <w:tr2bl w:val="nil"/>
            </w:tcBorders>
            <w:noWrap w:val="0"/>
            <w:vAlign w:val="center"/>
          </w:tcPr>
          <w:p w14:paraId="497FDE4F">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sz w:val="21"/>
                <w:szCs w:val="21"/>
                <w:highlight w:val="none"/>
              </w:rPr>
            </w:pPr>
          </w:p>
        </w:tc>
        <w:tc>
          <w:tcPr>
            <w:tcW w:w="304" w:type="pct"/>
            <w:tcBorders>
              <w:tl2br w:val="nil"/>
              <w:tr2bl w:val="nil"/>
            </w:tcBorders>
            <w:noWrap w:val="0"/>
            <w:vAlign w:val="center"/>
          </w:tcPr>
          <w:p w14:paraId="2FB3C84B">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17</w:t>
            </w:r>
          </w:p>
        </w:tc>
        <w:tc>
          <w:tcPr>
            <w:tcW w:w="1770" w:type="pct"/>
            <w:gridSpan w:val="2"/>
            <w:tcBorders>
              <w:tl2br w:val="nil"/>
              <w:tr2bl w:val="nil"/>
            </w:tcBorders>
            <w:noWrap w:val="0"/>
            <w:vAlign w:val="center"/>
          </w:tcPr>
          <w:p w14:paraId="2D9CE93A">
            <w:pPr>
              <w:keepNext w:val="0"/>
              <w:keepLines w:val="0"/>
              <w:pageBreakBefore w:val="0"/>
              <w:widowControl w:val="0"/>
              <w:kinsoku/>
              <w:wordWrap/>
              <w:overflowPunct w:val="0"/>
              <w:topLinePunct/>
              <w:autoSpaceDE/>
              <w:autoSpaceDN/>
              <w:bidi w:val="0"/>
              <w:adjustRightInd/>
              <w:snapToGrid/>
              <w:spacing w:line="320" w:lineRule="exact"/>
              <w:ind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人均预期寿命（岁）</w:t>
            </w:r>
          </w:p>
        </w:tc>
        <w:tc>
          <w:tcPr>
            <w:tcW w:w="615" w:type="pct"/>
            <w:tcBorders>
              <w:tl2br w:val="nil"/>
              <w:tr2bl w:val="nil"/>
            </w:tcBorders>
            <w:noWrap w:val="0"/>
            <w:vAlign w:val="center"/>
          </w:tcPr>
          <w:p w14:paraId="61CA8236">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79.4</w:t>
            </w:r>
          </w:p>
        </w:tc>
        <w:tc>
          <w:tcPr>
            <w:tcW w:w="680" w:type="pct"/>
            <w:tcBorders>
              <w:tl2br w:val="nil"/>
              <w:tr2bl w:val="nil"/>
            </w:tcBorders>
            <w:noWrap w:val="0"/>
            <w:vAlign w:val="center"/>
          </w:tcPr>
          <w:p w14:paraId="51D53CFD">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80</w:t>
            </w:r>
          </w:p>
        </w:tc>
        <w:tc>
          <w:tcPr>
            <w:tcW w:w="842" w:type="pct"/>
            <w:tcBorders>
              <w:tl2br w:val="nil"/>
              <w:tr2bl w:val="nil"/>
            </w:tcBorders>
            <w:noWrap w:val="0"/>
            <w:vAlign w:val="center"/>
          </w:tcPr>
          <w:p w14:paraId="453FF106">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p>
        </w:tc>
        <w:tc>
          <w:tcPr>
            <w:tcW w:w="443" w:type="pct"/>
            <w:tcBorders>
              <w:tl2br w:val="nil"/>
              <w:tr2bl w:val="nil"/>
            </w:tcBorders>
            <w:noWrap w:val="0"/>
            <w:vAlign w:val="center"/>
          </w:tcPr>
          <w:p w14:paraId="349EFD83">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预期性</w:t>
            </w:r>
          </w:p>
        </w:tc>
      </w:tr>
      <w:tr w14:paraId="3B9E6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342" w:type="pct"/>
            <w:vMerge w:val="restart"/>
            <w:tcBorders>
              <w:tl2br w:val="nil"/>
              <w:tr2bl w:val="nil"/>
            </w:tcBorders>
            <w:noWrap w:val="0"/>
            <w:vAlign w:val="center"/>
          </w:tcPr>
          <w:p w14:paraId="00ACE82A">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绿</w:t>
            </w:r>
          </w:p>
          <w:p w14:paraId="43771FCC">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色</w:t>
            </w:r>
          </w:p>
          <w:p w14:paraId="6236AB06">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低</w:t>
            </w:r>
          </w:p>
          <w:p w14:paraId="2CA92AB8">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碳</w:t>
            </w:r>
          </w:p>
          <w:p w14:paraId="2D8E8F40">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类</w:t>
            </w:r>
          </w:p>
        </w:tc>
        <w:tc>
          <w:tcPr>
            <w:tcW w:w="304" w:type="pct"/>
            <w:tcBorders>
              <w:tl2br w:val="nil"/>
              <w:tr2bl w:val="nil"/>
            </w:tcBorders>
            <w:noWrap w:val="0"/>
            <w:vAlign w:val="center"/>
          </w:tcPr>
          <w:p w14:paraId="4E53B28E">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18</w:t>
            </w:r>
          </w:p>
        </w:tc>
        <w:tc>
          <w:tcPr>
            <w:tcW w:w="1770" w:type="pct"/>
            <w:gridSpan w:val="2"/>
            <w:tcBorders>
              <w:tl2br w:val="nil"/>
              <w:tr2bl w:val="nil"/>
            </w:tcBorders>
            <w:noWrap w:val="0"/>
            <w:vAlign w:val="center"/>
          </w:tcPr>
          <w:p w14:paraId="0AE28E8E">
            <w:pPr>
              <w:keepNext w:val="0"/>
              <w:keepLines w:val="0"/>
              <w:pageBreakBefore w:val="0"/>
              <w:widowControl w:val="0"/>
              <w:kinsoku/>
              <w:wordWrap/>
              <w:overflowPunct w:val="0"/>
              <w:topLinePunct/>
              <w:autoSpaceDE/>
              <w:autoSpaceDN/>
              <w:bidi w:val="0"/>
              <w:adjustRightInd/>
              <w:snapToGrid/>
              <w:spacing w:line="320" w:lineRule="exact"/>
              <w:ind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单位</w:t>
            </w:r>
            <w:r>
              <w:rPr>
                <w:rFonts w:hint="eastAsia" w:ascii="宋体" w:hAnsi="宋体" w:eastAsia="宋体" w:cs="宋体"/>
                <w:color w:val="auto"/>
                <w:sz w:val="21"/>
                <w:szCs w:val="21"/>
                <w:highlight w:val="none"/>
                <w:lang w:val="en-US" w:eastAsia="zh-CN"/>
              </w:rPr>
              <w:t>GDP二氧化碳排放降低</w:t>
            </w:r>
            <w:r>
              <w:rPr>
                <w:rFonts w:hint="eastAsia" w:ascii="宋体" w:hAnsi="宋体" w:eastAsia="宋体" w:cs="宋体"/>
                <w:color w:val="auto"/>
                <w:sz w:val="21"/>
                <w:szCs w:val="21"/>
                <w:highlight w:val="none"/>
              </w:rPr>
              <w:t>（%）</w:t>
            </w:r>
          </w:p>
        </w:tc>
        <w:tc>
          <w:tcPr>
            <w:tcW w:w="615" w:type="pct"/>
            <w:tcBorders>
              <w:tl2br w:val="nil"/>
              <w:tr2bl w:val="nil"/>
            </w:tcBorders>
            <w:noWrap w:val="0"/>
            <w:vAlign w:val="center"/>
          </w:tcPr>
          <w:p w14:paraId="2CBE8F05">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w:t>
            </w:r>
          </w:p>
        </w:tc>
        <w:tc>
          <w:tcPr>
            <w:tcW w:w="680" w:type="pct"/>
            <w:tcBorders>
              <w:tl2br w:val="nil"/>
              <w:tr2bl w:val="nil"/>
            </w:tcBorders>
            <w:noWrap w:val="0"/>
            <w:vAlign w:val="center"/>
          </w:tcPr>
          <w:p w14:paraId="32D1B4B4">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p>
        </w:tc>
        <w:tc>
          <w:tcPr>
            <w:tcW w:w="842" w:type="pct"/>
            <w:tcBorders>
              <w:tl2br w:val="nil"/>
              <w:tr2bl w:val="nil"/>
            </w:tcBorders>
            <w:noWrap w:val="0"/>
            <w:vAlign w:val="center"/>
          </w:tcPr>
          <w:p w14:paraId="5377377F">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eastAsia="zh-CN"/>
              </w:rPr>
              <w:t>〔完成经省审核衔接后确定的目标〕</w:t>
            </w:r>
          </w:p>
        </w:tc>
        <w:tc>
          <w:tcPr>
            <w:tcW w:w="443" w:type="pct"/>
            <w:tcBorders>
              <w:tl2br w:val="nil"/>
              <w:tr2bl w:val="nil"/>
            </w:tcBorders>
            <w:noWrap w:val="0"/>
            <w:vAlign w:val="center"/>
          </w:tcPr>
          <w:p w14:paraId="483C5753">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约束性</w:t>
            </w:r>
          </w:p>
        </w:tc>
      </w:tr>
      <w:tr w14:paraId="223DC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0" w:hRule="atLeast"/>
          <w:jc w:val="center"/>
        </w:trPr>
        <w:tc>
          <w:tcPr>
            <w:tcW w:w="342" w:type="pct"/>
            <w:vMerge w:val="continue"/>
            <w:tcBorders>
              <w:tl2br w:val="nil"/>
              <w:tr2bl w:val="nil"/>
            </w:tcBorders>
            <w:noWrap w:val="0"/>
            <w:vAlign w:val="center"/>
          </w:tcPr>
          <w:p w14:paraId="2CC95C3A">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sz w:val="21"/>
                <w:szCs w:val="21"/>
                <w:highlight w:val="none"/>
              </w:rPr>
            </w:pPr>
          </w:p>
        </w:tc>
        <w:tc>
          <w:tcPr>
            <w:tcW w:w="304" w:type="pct"/>
            <w:tcBorders>
              <w:tl2br w:val="nil"/>
              <w:tr2bl w:val="nil"/>
            </w:tcBorders>
            <w:noWrap w:val="0"/>
            <w:vAlign w:val="center"/>
          </w:tcPr>
          <w:p w14:paraId="56CCB47E">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9</w:t>
            </w:r>
          </w:p>
        </w:tc>
        <w:tc>
          <w:tcPr>
            <w:tcW w:w="1770" w:type="pct"/>
            <w:gridSpan w:val="2"/>
            <w:tcBorders>
              <w:tl2br w:val="nil"/>
              <w:tr2bl w:val="nil"/>
            </w:tcBorders>
            <w:noWrap w:val="0"/>
            <w:vAlign w:val="center"/>
          </w:tcPr>
          <w:p w14:paraId="3D0D13E1">
            <w:pPr>
              <w:keepNext w:val="0"/>
              <w:keepLines w:val="0"/>
              <w:pageBreakBefore w:val="0"/>
              <w:widowControl w:val="0"/>
              <w:kinsoku/>
              <w:wordWrap/>
              <w:overflowPunct w:val="0"/>
              <w:topLinePunct/>
              <w:autoSpaceDE/>
              <w:autoSpaceDN/>
              <w:bidi w:val="0"/>
              <w:adjustRightInd/>
              <w:snapToGrid/>
              <w:spacing w:line="320" w:lineRule="exact"/>
              <w:ind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6"/>
                <w:sz w:val="21"/>
                <w:szCs w:val="21"/>
                <w:highlight w:val="none"/>
                <w:lang w:val="en-US" w:eastAsia="zh-CN"/>
              </w:rPr>
              <w:t>非化石能源占能源消费总量比重</w:t>
            </w:r>
            <w:r>
              <w:rPr>
                <w:rFonts w:hint="eastAsia" w:ascii="宋体" w:hAnsi="宋体" w:eastAsia="宋体" w:cs="宋体"/>
                <w:color w:val="auto"/>
                <w:spacing w:val="-6"/>
                <w:sz w:val="21"/>
                <w:szCs w:val="21"/>
                <w:highlight w:val="none"/>
              </w:rPr>
              <w:t>（%）</w:t>
            </w:r>
          </w:p>
        </w:tc>
        <w:tc>
          <w:tcPr>
            <w:tcW w:w="615" w:type="pct"/>
            <w:tcBorders>
              <w:tl2br w:val="nil"/>
              <w:tr2bl w:val="nil"/>
            </w:tcBorders>
            <w:noWrap w:val="0"/>
            <w:vAlign w:val="center"/>
          </w:tcPr>
          <w:p w14:paraId="3DAF5D10">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p>
        </w:tc>
        <w:tc>
          <w:tcPr>
            <w:tcW w:w="680" w:type="pct"/>
            <w:tcBorders>
              <w:tl2br w:val="nil"/>
              <w:tr2bl w:val="nil"/>
            </w:tcBorders>
            <w:noWrap w:val="0"/>
            <w:vAlign w:val="center"/>
          </w:tcPr>
          <w:p w14:paraId="235D7A40">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完成经省审核衔接后确定的目标</w:t>
            </w:r>
          </w:p>
        </w:tc>
        <w:tc>
          <w:tcPr>
            <w:tcW w:w="842" w:type="pct"/>
            <w:tcBorders>
              <w:tl2br w:val="nil"/>
              <w:tr2bl w:val="nil"/>
            </w:tcBorders>
            <w:noWrap w:val="0"/>
            <w:vAlign w:val="center"/>
          </w:tcPr>
          <w:p w14:paraId="6C1C80B2">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p>
        </w:tc>
        <w:tc>
          <w:tcPr>
            <w:tcW w:w="443" w:type="pct"/>
            <w:tcBorders>
              <w:tl2br w:val="nil"/>
              <w:tr2bl w:val="nil"/>
            </w:tcBorders>
            <w:noWrap w:val="0"/>
            <w:vAlign w:val="center"/>
          </w:tcPr>
          <w:p w14:paraId="1037AEBF">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约束性</w:t>
            </w:r>
          </w:p>
        </w:tc>
      </w:tr>
      <w:tr w14:paraId="00140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5" w:hRule="atLeast"/>
          <w:jc w:val="center"/>
        </w:trPr>
        <w:tc>
          <w:tcPr>
            <w:tcW w:w="342" w:type="pct"/>
            <w:vMerge w:val="continue"/>
            <w:tcBorders>
              <w:tl2br w:val="nil"/>
              <w:tr2bl w:val="nil"/>
            </w:tcBorders>
            <w:noWrap w:val="0"/>
            <w:vAlign w:val="center"/>
          </w:tcPr>
          <w:p w14:paraId="4674EC10">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sz w:val="21"/>
                <w:szCs w:val="21"/>
                <w:highlight w:val="none"/>
              </w:rPr>
            </w:pPr>
          </w:p>
        </w:tc>
        <w:tc>
          <w:tcPr>
            <w:tcW w:w="304" w:type="pct"/>
            <w:tcBorders>
              <w:tl2br w:val="nil"/>
              <w:tr2bl w:val="nil"/>
            </w:tcBorders>
            <w:noWrap w:val="0"/>
            <w:vAlign w:val="center"/>
          </w:tcPr>
          <w:p w14:paraId="017ACD04">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20</w:t>
            </w:r>
          </w:p>
        </w:tc>
        <w:tc>
          <w:tcPr>
            <w:tcW w:w="1770" w:type="pct"/>
            <w:gridSpan w:val="2"/>
            <w:tcBorders>
              <w:tl2br w:val="nil"/>
              <w:tr2bl w:val="nil"/>
            </w:tcBorders>
            <w:noWrap w:val="0"/>
            <w:vAlign w:val="center"/>
          </w:tcPr>
          <w:p w14:paraId="04BDE656">
            <w:pPr>
              <w:keepNext w:val="0"/>
              <w:keepLines w:val="0"/>
              <w:pageBreakBefore w:val="0"/>
              <w:widowControl w:val="0"/>
              <w:kinsoku/>
              <w:wordWrap/>
              <w:overflowPunct w:val="0"/>
              <w:topLinePunct/>
              <w:autoSpaceDE/>
              <w:autoSpaceDN/>
              <w:bidi w:val="0"/>
              <w:adjustRightInd/>
              <w:snapToGrid/>
              <w:spacing w:line="320" w:lineRule="exact"/>
              <w:ind w:firstLine="0" w:firstLine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地级及以上城市细颗粒物（PM</w:t>
            </w:r>
            <w:r>
              <w:rPr>
                <w:rFonts w:hint="eastAsia" w:ascii="宋体" w:hAnsi="宋体" w:eastAsia="宋体" w:cs="宋体"/>
                <w:color w:val="auto"/>
                <w:sz w:val="21"/>
                <w:szCs w:val="21"/>
                <w:highlight w:val="none"/>
                <w:vertAlign w:val="subscript"/>
                <w:lang w:val="en-US" w:eastAsia="zh-CN"/>
              </w:rPr>
              <w:t>2.5</w:t>
            </w:r>
            <w:r>
              <w:rPr>
                <w:rFonts w:hint="eastAsia" w:ascii="宋体" w:hAnsi="宋体" w:eastAsia="宋体" w:cs="宋体"/>
                <w:color w:val="auto"/>
                <w:sz w:val="21"/>
                <w:szCs w:val="21"/>
                <w:highlight w:val="none"/>
                <w:lang w:val="en-US" w:eastAsia="zh-CN"/>
              </w:rPr>
              <w:t>）平均浓度（微克/立方米）</w:t>
            </w:r>
          </w:p>
        </w:tc>
        <w:tc>
          <w:tcPr>
            <w:tcW w:w="615" w:type="pct"/>
            <w:tcBorders>
              <w:tl2br w:val="nil"/>
              <w:tr2bl w:val="nil"/>
            </w:tcBorders>
            <w:noWrap w:val="0"/>
            <w:vAlign w:val="center"/>
          </w:tcPr>
          <w:p w14:paraId="598D6D5B">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eastAsia="zh-CN"/>
              </w:rPr>
              <w:t>30</w:t>
            </w:r>
          </w:p>
        </w:tc>
        <w:tc>
          <w:tcPr>
            <w:tcW w:w="680" w:type="pct"/>
            <w:tcBorders>
              <w:tl2br w:val="nil"/>
              <w:tr2bl w:val="nil"/>
            </w:tcBorders>
            <w:noWrap w:val="0"/>
            <w:vAlign w:val="center"/>
          </w:tcPr>
          <w:p w14:paraId="01D09974">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达到省</w:t>
            </w:r>
          </w:p>
          <w:p w14:paraId="754E7971">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考核要求</w:t>
            </w:r>
          </w:p>
        </w:tc>
        <w:tc>
          <w:tcPr>
            <w:tcW w:w="842" w:type="pct"/>
            <w:tcBorders>
              <w:tl2br w:val="nil"/>
              <w:tr2bl w:val="nil"/>
            </w:tcBorders>
            <w:noWrap w:val="0"/>
            <w:vAlign w:val="center"/>
          </w:tcPr>
          <w:p w14:paraId="571EA717">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p>
        </w:tc>
        <w:tc>
          <w:tcPr>
            <w:tcW w:w="443" w:type="pct"/>
            <w:tcBorders>
              <w:tl2br w:val="nil"/>
              <w:tr2bl w:val="nil"/>
            </w:tcBorders>
            <w:noWrap w:val="0"/>
            <w:vAlign w:val="center"/>
          </w:tcPr>
          <w:p w14:paraId="34078AD1">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约束性</w:t>
            </w:r>
          </w:p>
        </w:tc>
      </w:tr>
      <w:tr w14:paraId="5308F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jc w:val="center"/>
        </w:trPr>
        <w:tc>
          <w:tcPr>
            <w:tcW w:w="342" w:type="pct"/>
            <w:vMerge w:val="continue"/>
            <w:tcBorders>
              <w:tl2br w:val="nil"/>
              <w:tr2bl w:val="nil"/>
            </w:tcBorders>
            <w:noWrap w:val="0"/>
            <w:vAlign w:val="center"/>
          </w:tcPr>
          <w:p w14:paraId="480B7CEA">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sz w:val="21"/>
                <w:szCs w:val="21"/>
                <w:highlight w:val="none"/>
              </w:rPr>
            </w:pPr>
          </w:p>
        </w:tc>
        <w:tc>
          <w:tcPr>
            <w:tcW w:w="304" w:type="pct"/>
            <w:tcBorders>
              <w:tl2br w:val="nil"/>
              <w:tr2bl w:val="nil"/>
            </w:tcBorders>
            <w:noWrap w:val="0"/>
            <w:vAlign w:val="center"/>
          </w:tcPr>
          <w:p w14:paraId="16B51D59">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21</w:t>
            </w:r>
          </w:p>
        </w:tc>
        <w:tc>
          <w:tcPr>
            <w:tcW w:w="1770" w:type="pct"/>
            <w:gridSpan w:val="2"/>
            <w:tcBorders>
              <w:tl2br w:val="nil"/>
              <w:tr2bl w:val="nil"/>
            </w:tcBorders>
            <w:noWrap w:val="0"/>
            <w:vAlign w:val="center"/>
          </w:tcPr>
          <w:p w14:paraId="3EAC9037">
            <w:pPr>
              <w:keepNext w:val="0"/>
              <w:keepLines w:val="0"/>
              <w:pageBreakBefore w:val="0"/>
              <w:widowControl w:val="0"/>
              <w:kinsoku/>
              <w:wordWrap/>
              <w:overflowPunct w:val="0"/>
              <w:topLinePunct/>
              <w:autoSpaceDE/>
              <w:autoSpaceDN/>
              <w:bidi w:val="0"/>
              <w:adjustRightInd/>
              <w:snapToGrid/>
              <w:spacing w:line="320" w:lineRule="exact"/>
              <w:ind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优良</w:t>
            </w:r>
            <w:r>
              <w:rPr>
                <w:rFonts w:hint="eastAsia" w:ascii="宋体" w:hAnsi="宋体" w:eastAsia="宋体" w:cs="宋体"/>
                <w:color w:val="auto"/>
                <w:sz w:val="21"/>
                <w:szCs w:val="21"/>
                <w:highlight w:val="none"/>
              </w:rPr>
              <w:t>水体比例（%）</w:t>
            </w:r>
          </w:p>
        </w:tc>
        <w:tc>
          <w:tcPr>
            <w:tcW w:w="615" w:type="pct"/>
            <w:tcBorders>
              <w:tl2br w:val="nil"/>
              <w:tr2bl w:val="nil"/>
            </w:tcBorders>
            <w:noWrap w:val="0"/>
            <w:vAlign w:val="center"/>
          </w:tcPr>
          <w:p w14:paraId="2CA773C5">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p>
        </w:tc>
        <w:tc>
          <w:tcPr>
            <w:tcW w:w="680" w:type="pct"/>
            <w:tcBorders>
              <w:tl2br w:val="nil"/>
              <w:tr2bl w:val="nil"/>
            </w:tcBorders>
            <w:noWrap w:val="0"/>
            <w:vAlign w:val="center"/>
          </w:tcPr>
          <w:p w14:paraId="654C3483">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达到省</w:t>
            </w:r>
          </w:p>
          <w:p w14:paraId="7A1D1618">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考核要求</w:t>
            </w:r>
          </w:p>
        </w:tc>
        <w:tc>
          <w:tcPr>
            <w:tcW w:w="842" w:type="pct"/>
            <w:tcBorders>
              <w:tl2br w:val="nil"/>
              <w:tr2bl w:val="nil"/>
            </w:tcBorders>
            <w:noWrap w:val="0"/>
            <w:vAlign w:val="center"/>
          </w:tcPr>
          <w:p w14:paraId="4C8C62DC">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p>
        </w:tc>
        <w:tc>
          <w:tcPr>
            <w:tcW w:w="443" w:type="pct"/>
            <w:tcBorders>
              <w:tl2br w:val="nil"/>
              <w:tr2bl w:val="nil"/>
            </w:tcBorders>
            <w:noWrap w:val="0"/>
            <w:vAlign w:val="center"/>
          </w:tcPr>
          <w:p w14:paraId="37CD6CB9">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约束性</w:t>
            </w:r>
          </w:p>
        </w:tc>
      </w:tr>
      <w:tr w14:paraId="4F6A4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342" w:type="pct"/>
            <w:vMerge w:val="continue"/>
            <w:tcBorders>
              <w:tl2br w:val="nil"/>
              <w:tr2bl w:val="nil"/>
            </w:tcBorders>
            <w:noWrap w:val="0"/>
            <w:vAlign w:val="center"/>
          </w:tcPr>
          <w:p w14:paraId="1DE0EE20">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sz w:val="21"/>
                <w:szCs w:val="21"/>
                <w:highlight w:val="none"/>
              </w:rPr>
            </w:pPr>
          </w:p>
        </w:tc>
        <w:tc>
          <w:tcPr>
            <w:tcW w:w="304" w:type="pct"/>
            <w:tcBorders>
              <w:tl2br w:val="nil"/>
              <w:tr2bl w:val="nil"/>
            </w:tcBorders>
            <w:noWrap w:val="0"/>
            <w:vAlign w:val="center"/>
          </w:tcPr>
          <w:p w14:paraId="39D19BBE">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22</w:t>
            </w:r>
          </w:p>
        </w:tc>
        <w:tc>
          <w:tcPr>
            <w:tcW w:w="1770" w:type="pct"/>
            <w:gridSpan w:val="2"/>
            <w:tcBorders>
              <w:tl2br w:val="nil"/>
              <w:tr2bl w:val="nil"/>
            </w:tcBorders>
            <w:noWrap w:val="0"/>
            <w:vAlign w:val="center"/>
          </w:tcPr>
          <w:p w14:paraId="39D07EC3">
            <w:pPr>
              <w:keepNext w:val="0"/>
              <w:keepLines w:val="0"/>
              <w:pageBreakBefore w:val="0"/>
              <w:widowControl w:val="0"/>
              <w:kinsoku/>
              <w:wordWrap/>
              <w:overflowPunct w:val="0"/>
              <w:topLinePunct/>
              <w:autoSpaceDE/>
              <w:autoSpaceDN/>
              <w:bidi w:val="0"/>
              <w:adjustRightInd/>
              <w:snapToGrid/>
              <w:spacing w:line="320" w:lineRule="exact"/>
              <w:ind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森林覆盖率（%）</w:t>
            </w:r>
          </w:p>
        </w:tc>
        <w:tc>
          <w:tcPr>
            <w:tcW w:w="615" w:type="pct"/>
            <w:tcBorders>
              <w:tl2br w:val="nil"/>
              <w:tr2bl w:val="nil"/>
            </w:tcBorders>
            <w:noWrap w:val="0"/>
            <w:vAlign w:val="center"/>
          </w:tcPr>
          <w:p w14:paraId="52E89A6E">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32.38</w:t>
            </w:r>
          </w:p>
        </w:tc>
        <w:tc>
          <w:tcPr>
            <w:tcW w:w="680" w:type="pct"/>
            <w:tcBorders>
              <w:tl2br w:val="nil"/>
              <w:tr2bl w:val="nil"/>
            </w:tcBorders>
            <w:noWrap w:val="0"/>
            <w:vAlign w:val="center"/>
          </w:tcPr>
          <w:p w14:paraId="22B3CA8F">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达到省</w:t>
            </w:r>
          </w:p>
          <w:p w14:paraId="046E35BB">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考核要求</w:t>
            </w:r>
          </w:p>
        </w:tc>
        <w:tc>
          <w:tcPr>
            <w:tcW w:w="842" w:type="pct"/>
            <w:tcBorders>
              <w:tl2br w:val="nil"/>
              <w:tr2bl w:val="nil"/>
            </w:tcBorders>
            <w:noWrap w:val="0"/>
            <w:vAlign w:val="center"/>
          </w:tcPr>
          <w:p w14:paraId="08FFB853">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p>
        </w:tc>
        <w:tc>
          <w:tcPr>
            <w:tcW w:w="443" w:type="pct"/>
            <w:tcBorders>
              <w:tl2br w:val="nil"/>
              <w:tr2bl w:val="nil"/>
            </w:tcBorders>
            <w:noWrap w:val="0"/>
            <w:vAlign w:val="center"/>
          </w:tcPr>
          <w:p w14:paraId="22012838">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约束性</w:t>
            </w:r>
          </w:p>
        </w:tc>
      </w:tr>
      <w:tr w14:paraId="1B1BA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atLeast"/>
          <w:jc w:val="center"/>
        </w:trPr>
        <w:tc>
          <w:tcPr>
            <w:tcW w:w="342" w:type="pct"/>
            <w:vMerge w:val="restart"/>
            <w:tcBorders>
              <w:tl2br w:val="nil"/>
              <w:tr2bl w:val="nil"/>
            </w:tcBorders>
            <w:noWrap w:val="0"/>
            <w:vAlign w:val="center"/>
          </w:tcPr>
          <w:p w14:paraId="6C77826F">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spacing w:val="-6"/>
                <w:sz w:val="21"/>
                <w:szCs w:val="21"/>
                <w:highlight w:val="none"/>
              </w:rPr>
            </w:pPr>
            <w:r>
              <w:rPr>
                <w:rFonts w:hint="eastAsia" w:ascii="宋体" w:hAnsi="宋体" w:eastAsia="宋体" w:cs="宋体"/>
                <w:color w:val="auto"/>
                <w:spacing w:val="-6"/>
                <w:sz w:val="21"/>
                <w:szCs w:val="21"/>
                <w:highlight w:val="none"/>
              </w:rPr>
              <w:t>安</w:t>
            </w:r>
          </w:p>
          <w:p w14:paraId="1BE7BE07">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spacing w:val="-6"/>
                <w:sz w:val="21"/>
                <w:szCs w:val="21"/>
                <w:highlight w:val="none"/>
              </w:rPr>
            </w:pPr>
            <w:r>
              <w:rPr>
                <w:rFonts w:hint="eastAsia" w:ascii="宋体" w:hAnsi="宋体" w:eastAsia="宋体" w:cs="宋体"/>
                <w:color w:val="auto"/>
                <w:spacing w:val="-6"/>
                <w:sz w:val="21"/>
                <w:szCs w:val="21"/>
                <w:highlight w:val="none"/>
              </w:rPr>
              <w:t>全</w:t>
            </w:r>
          </w:p>
          <w:p w14:paraId="50B8BB32">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spacing w:val="-6"/>
                <w:sz w:val="21"/>
                <w:szCs w:val="21"/>
                <w:highlight w:val="none"/>
              </w:rPr>
            </w:pPr>
            <w:r>
              <w:rPr>
                <w:rFonts w:hint="eastAsia" w:ascii="宋体" w:hAnsi="宋体" w:eastAsia="宋体" w:cs="宋体"/>
                <w:color w:val="auto"/>
                <w:spacing w:val="-6"/>
                <w:sz w:val="21"/>
                <w:szCs w:val="21"/>
                <w:highlight w:val="none"/>
              </w:rPr>
              <w:t>保</w:t>
            </w:r>
          </w:p>
          <w:p w14:paraId="14248B7F">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spacing w:val="-6"/>
                <w:sz w:val="21"/>
                <w:szCs w:val="21"/>
                <w:highlight w:val="none"/>
              </w:rPr>
            </w:pPr>
            <w:r>
              <w:rPr>
                <w:rFonts w:hint="eastAsia" w:ascii="宋体" w:hAnsi="宋体" w:eastAsia="宋体" w:cs="宋体"/>
                <w:color w:val="auto"/>
                <w:spacing w:val="-6"/>
                <w:sz w:val="21"/>
                <w:szCs w:val="21"/>
                <w:highlight w:val="none"/>
              </w:rPr>
              <w:t>障</w:t>
            </w:r>
          </w:p>
          <w:p w14:paraId="7E32BE92">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pacing w:val="-6"/>
                <w:sz w:val="21"/>
                <w:szCs w:val="21"/>
                <w:highlight w:val="none"/>
                <w:lang w:val="en-US" w:eastAsia="zh-CN"/>
              </w:rPr>
              <w:t>类</w:t>
            </w:r>
          </w:p>
        </w:tc>
        <w:tc>
          <w:tcPr>
            <w:tcW w:w="304" w:type="pct"/>
            <w:tcBorders>
              <w:tl2br w:val="nil"/>
              <w:tr2bl w:val="nil"/>
            </w:tcBorders>
            <w:noWrap w:val="0"/>
            <w:vAlign w:val="center"/>
          </w:tcPr>
          <w:p w14:paraId="51315A54">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23</w:t>
            </w:r>
          </w:p>
        </w:tc>
        <w:tc>
          <w:tcPr>
            <w:tcW w:w="1770" w:type="pct"/>
            <w:gridSpan w:val="2"/>
            <w:tcBorders>
              <w:tl2br w:val="nil"/>
              <w:tr2bl w:val="nil"/>
            </w:tcBorders>
            <w:noWrap w:val="0"/>
            <w:vAlign w:val="center"/>
          </w:tcPr>
          <w:p w14:paraId="5BCA29C8">
            <w:pPr>
              <w:keepNext w:val="0"/>
              <w:keepLines w:val="0"/>
              <w:pageBreakBefore w:val="0"/>
              <w:widowControl w:val="0"/>
              <w:kinsoku/>
              <w:wordWrap/>
              <w:overflowPunct w:val="0"/>
              <w:topLinePunct/>
              <w:autoSpaceDE/>
              <w:autoSpaceDN/>
              <w:bidi w:val="0"/>
              <w:adjustRightInd/>
              <w:snapToGrid/>
              <w:spacing w:line="320" w:lineRule="exact"/>
              <w:ind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粮食综合生产能力（亿斤）</w:t>
            </w:r>
          </w:p>
        </w:tc>
        <w:tc>
          <w:tcPr>
            <w:tcW w:w="615" w:type="pct"/>
            <w:tcBorders>
              <w:tl2br w:val="nil"/>
              <w:tr2bl w:val="nil"/>
            </w:tcBorders>
            <w:noWrap w:val="0"/>
            <w:vAlign w:val="center"/>
          </w:tcPr>
          <w:p w14:paraId="59457BA7">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33.8</w:t>
            </w:r>
          </w:p>
        </w:tc>
        <w:tc>
          <w:tcPr>
            <w:tcW w:w="680" w:type="pct"/>
            <w:tcBorders>
              <w:tl2br w:val="nil"/>
              <w:tr2bl w:val="nil"/>
            </w:tcBorders>
            <w:noWrap w:val="0"/>
            <w:vAlign w:val="center"/>
          </w:tcPr>
          <w:p w14:paraId="7C757B22">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34</w:t>
            </w:r>
          </w:p>
        </w:tc>
        <w:tc>
          <w:tcPr>
            <w:tcW w:w="842" w:type="pct"/>
            <w:tcBorders>
              <w:tl2br w:val="nil"/>
              <w:tr2bl w:val="nil"/>
            </w:tcBorders>
            <w:noWrap w:val="0"/>
            <w:vAlign w:val="center"/>
          </w:tcPr>
          <w:p w14:paraId="5C67E94A">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eastAsia="zh-CN"/>
              </w:rPr>
              <w:t>——</w:t>
            </w:r>
          </w:p>
        </w:tc>
        <w:tc>
          <w:tcPr>
            <w:tcW w:w="443" w:type="pct"/>
            <w:tcBorders>
              <w:tl2br w:val="nil"/>
              <w:tr2bl w:val="nil"/>
            </w:tcBorders>
            <w:noWrap w:val="0"/>
            <w:vAlign w:val="center"/>
          </w:tcPr>
          <w:p w14:paraId="260597ED">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约束性</w:t>
            </w:r>
          </w:p>
        </w:tc>
      </w:tr>
      <w:tr w14:paraId="118AD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5" w:hRule="atLeast"/>
          <w:jc w:val="center"/>
        </w:trPr>
        <w:tc>
          <w:tcPr>
            <w:tcW w:w="342" w:type="pct"/>
            <w:vMerge w:val="continue"/>
            <w:tcBorders>
              <w:tl2br w:val="nil"/>
              <w:tr2bl w:val="nil"/>
            </w:tcBorders>
            <w:noWrap w:val="0"/>
            <w:vAlign w:val="center"/>
          </w:tcPr>
          <w:p w14:paraId="642EF0BC">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sz w:val="21"/>
                <w:szCs w:val="21"/>
                <w:highlight w:val="none"/>
              </w:rPr>
            </w:pPr>
          </w:p>
        </w:tc>
        <w:tc>
          <w:tcPr>
            <w:tcW w:w="304" w:type="pct"/>
            <w:tcBorders>
              <w:tl2br w:val="nil"/>
              <w:tr2bl w:val="nil"/>
            </w:tcBorders>
            <w:noWrap w:val="0"/>
            <w:vAlign w:val="center"/>
          </w:tcPr>
          <w:p w14:paraId="28A1FA57">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24</w:t>
            </w:r>
          </w:p>
        </w:tc>
        <w:tc>
          <w:tcPr>
            <w:tcW w:w="1770" w:type="pct"/>
            <w:gridSpan w:val="2"/>
            <w:tcBorders>
              <w:tl2br w:val="nil"/>
              <w:tr2bl w:val="nil"/>
            </w:tcBorders>
            <w:noWrap w:val="0"/>
            <w:vAlign w:val="center"/>
          </w:tcPr>
          <w:p w14:paraId="4222BAF5">
            <w:pPr>
              <w:keepNext w:val="0"/>
              <w:keepLines w:val="0"/>
              <w:pageBreakBefore w:val="0"/>
              <w:widowControl w:val="0"/>
              <w:kinsoku/>
              <w:wordWrap/>
              <w:overflowPunct w:val="0"/>
              <w:topLinePunct/>
              <w:autoSpaceDE/>
              <w:autoSpaceDN/>
              <w:bidi w:val="0"/>
              <w:adjustRightInd/>
              <w:snapToGrid/>
              <w:spacing w:line="320" w:lineRule="exact"/>
              <w:ind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能源</w:t>
            </w:r>
            <w:r>
              <w:rPr>
                <w:rFonts w:hint="eastAsia" w:ascii="宋体" w:hAnsi="宋体" w:eastAsia="宋体" w:cs="宋体"/>
                <w:color w:val="auto"/>
                <w:sz w:val="21"/>
                <w:szCs w:val="21"/>
                <w:highlight w:val="none"/>
                <w:lang w:val="en-US" w:eastAsia="zh-CN"/>
              </w:rPr>
              <w:t>综合生产能力</w:t>
            </w:r>
            <w:r>
              <w:rPr>
                <w:rFonts w:hint="eastAsia" w:ascii="宋体" w:hAnsi="宋体" w:eastAsia="宋体" w:cs="宋体"/>
                <w:color w:val="auto"/>
                <w:sz w:val="21"/>
                <w:szCs w:val="21"/>
                <w:highlight w:val="none"/>
              </w:rPr>
              <w:t>（万吨标准煤）</w:t>
            </w:r>
          </w:p>
        </w:tc>
        <w:tc>
          <w:tcPr>
            <w:tcW w:w="615" w:type="pct"/>
            <w:tcBorders>
              <w:tl2br w:val="nil"/>
              <w:tr2bl w:val="nil"/>
            </w:tcBorders>
            <w:noWrap w:val="0"/>
            <w:vAlign w:val="center"/>
          </w:tcPr>
          <w:p w14:paraId="42DEB70F">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12</w:t>
            </w:r>
          </w:p>
        </w:tc>
        <w:tc>
          <w:tcPr>
            <w:tcW w:w="680" w:type="pct"/>
            <w:tcBorders>
              <w:tl2br w:val="nil"/>
              <w:tr2bl w:val="nil"/>
            </w:tcBorders>
            <w:noWrap w:val="0"/>
            <w:vAlign w:val="center"/>
          </w:tcPr>
          <w:p w14:paraId="75C79F2B">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40</w:t>
            </w:r>
          </w:p>
        </w:tc>
        <w:tc>
          <w:tcPr>
            <w:tcW w:w="842" w:type="pct"/>
            <w:tcBorders>
              <w:tl2br w:val="nil"/>
              <w:tr2bl w:val="nil"/>
            </w:tcBorders>
            <w:noWrap w:val="0"/>
            <w:vAlign w:val="center"/>
          </w:tcPr>
          <w:p w14:paraId="155740DB">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eastAsia="zh-CN"/>
              </w:rPr>
              <w:t>——</w:t>
            </w:r>
          </w:p>
        </w:tc>
        <w:tc>
          <w:tcPr>
            <w:tcW w:w="443" w:type="pct"/>
            <w:tcBorders>
              <w:tl2br w:val="nil"/>
              <w:tr2bl w:val="nil"/>
            </w:tcBorders>
            <w:noWrap w:val="0"/>
            <w:vAlign w:val="center"/>
          </w:tcPr>
          <w:p w14:paraId="13E614CE">
            <w:pPr>
              <w:keepNext w:val="0"/>
              <w:keepLines w:val="0"/>
              <w:pageBreakBefore w:val="0"/>
              <w:widowControl w:val="0"/>
              <w:kinsoku/>
              <w:wordWrap/>
              <w:overflowPunct w:val="0"/>
              <w:topLinePunct/>
              <w:autoSpaceDE/>
              <w:autoSpaceDN/>
              <w:bidi w:val="0"/>
              <w:adjustRightInd/>
              <w:snapToGrid/>
              <w:spacing w:line="320" w:lineRule="exact"/>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strike w:val="0"/>
                <w:color w:val="auto"/>
                <w:sz w:val="21"/>
                <w:szCs w:val="21"/>
                <w:highlight w:val="none"/>
              </w:rPr>
              <w:t>约束性</w:t>
            </w:r>
          </w:p>
        </w:tc>
      </w:tr>
    </w:tbl>
    <w:p w14:paraId="7459B0AC">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color w:val="auto"/>
          <w:sz w:val="20"/>
          <w:szCs w:val="20"/>
          <w:lang w:val="en-US" w:eastAsia="zh-CN"/>
        </w:rPr>
      </w:pPr>
      <w:bookmarkStart w:id="0" w:name="_Toc31739"/>
    </w:p>
    <w:p w14:paraId="5B54EAA8">
      <w:pPr>
        <w:keepNext w:val="0"/>
        <w:keepLines w:val="0"/>
        <w:pageBreakBefore w:val="0"/>
        <w:widowControl w:val="0"/>
        <w:kinsoku/>
        <w:wordWrap/>
        <w:overflowPunct/>
        <w:topLinePunct w:val="0"/>
        <w:autoSpaceDE/>
        <w:autoSpaceDN/>
        <w:bidi w:val="0"/>
        <w:adjustRightInd/>
        <w:snapToGrid/>
        <w:spacing w:line="240" w:lineRule="exact"/>
        <w:ind w:left="-2" w:leftChars="-200" w:right="-395" w:rightChars="-188" w:hanging="418" w:hangingChars="209"/>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0"/>
          <w:szCs w:val="20"/>
          <w:lang w:val="en-US" w:eastAsia="zh-CN"/>
        </w:rPr>
        <w:t>注：①〔〕内为5年累计数。②带*的为2024年数据。③标▲为我市特色指标，其余为省“十五五”规划指标</w:t>
      </w:r>
      <w:r>
        <w:rPr>
          <w:rFonts w:hint="eastAsia" w:ascii="宋体" w:hAnsi="宋体" w:eastAsia="宋体" w:cs="宋体"/>
          <w:color w:val="auto"/>
          <w:sz w:val="21"/>
          <w:szCs w:val="21"/>
          <w:lang w:val="en-US" w:eastAsia="zh-CN"/>
        </w:rPr>
        <w:t>。</w:t>
      </w:r>
      <w:bookmarkEnd w:id="0"/>
    </w:p>
    <w:p w14:paraId="01F3F22A">
      <w:pPr>
        <w:pStyle w:val="2"/>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0" w:firstLineChars="0"/>
        <w:jc w:val="center"/>
        <w:textAlignment w:val="auto"/>
        <w:rPr>
          <w:rFonts w:hint="eastAsia" w:ascii="方正黑体_GBK" w:hAnsi="方正黑体_GBK" w:eastAsia="方正黑体_GBK" w:cs="方正黑体_GBK"/>
          <w:b w:val="0"/>
          <w:bCs w:val="0"/>
          <w:color w:val="auto"/>
          <w:kern w:val="2"/>
          <w:sz w:val="32"/>
          <w:szCs w:val="32"/>
          <w:highlight w:val="none"/>
          <w:u w:val="none" w:color="auto"/>
          <w:lang w:eastAsia="zh-CN"/>
        </w:rPr>
      </w:pPr>
    </w:p>
    <w:p w14:paraId="6FA8DA46">
      <w:pPr>
        <w:pStyle w:val="2"/>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0" w:firstLineChars="0"/>
        <w:jc w:val="center"/>
        <w:textAlignment w:val="auto"/>
        <w:rPr>
          <w:rFonts w:hint="eastAsia" w:ascii="方正黑体_GBK" w:hAnsi="方正黑体_GBK" w:eastAsia="方正黑体_GBK" w:cs="方正黑体_GBK"/>
          <w:b w:val="0"/>
          <w:bCs w:val="0"/>
          <w:color w:val="auto"/>
          <w:kern w:val="2"/>
          <w:sz w:val="32"/>
          <w:szCs w:val="32"/>
          <w:highlight w:val="none"/>
          <w:u w:val="none" w:color="auto"/>
          <w:lang w:eastAsia="zh-CN"/>
        </w:rPr>
      </w:pPr>
    </w:p>
    <w:p w14:paraId="7810B308">
      <w:pPr>
        <w:pStyle w:val="2"/>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0" w:firstLineChars="0"/>
        <w:jc w:val="center"/>
        <w:textAlignment w:val="auto"/>
        <w:rPr>
          <w:rFonts w:hint="eastAsia" w:ascii="方正黑体_GBK" w:hAnsi="方正黑体_GBK" w:eastAsia="方正黑体_GBK" w:cs="方正黑体_GBK"/>
          <w:b w:val="0"/>
          <w:bCs w:val="0"/>
          <w:color w:val="auto"/>
          <w:kern w:val="2"/>
          <w:sz w:val="32"/>
          <w:szCs w:val="32"/>
          <w:highlight w:val="none"/>
          <w:u w:val="none" w:color="auto"/>
          <w:lang w:eastAsia="zh-CN"/>
        </w:rPr>
      </w:pPr>
    </w:p>
    <w:p w14:paraId="2DAF188A">
      <w:pPr>
        <w:pStyle w:val="2"/>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0" w:firstLineChars="0"/>
        <w:jc w:val="center"/>
        <w:textAlignment w:val="auto"/>
        <w:rPr>
          <w:rFonts w:hint="eastAsia" w:ascii="方正黑体_GBK" w:hAnsi="方正黑体_GBK" w:eastAsia="方正黑体_GBK" w:cs="方正黑体_GBK"/>
          <w:b w:val="0"/>
          <w:bCs w:val="0"/>
          <w:color w:val="auto"/>
          <w:kern w:val="2"/>
          <w:sz w:val="32"/>
          <w:szCs w:val="32"/>
          <w:highlight w:val="none"/>
          <w:u w:val="none" w:color="auto"/>
          <w:lang w:eastAsia="zh-CN"/>
        </w:rPr>
      </w:pPr>
    </w:p>
    <w:p w14:paraId="4760D586">
      <w:pPr>
        <w:pStyle w:val="2"/>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left="0" w:leftChars="0" w:firstLine="0" w:firstLineChars="0"/>
        <w:jc w:val="center"/>
        <w:textAlignment w:val="auto"/>
        <w:rPr>
          <w:rFonts w:hint="eastAsia" w:ascii="方正小标宋_GBK" w:hAnsi="方正小标宋_GBK" w:eastAsia="方正小标宋_GBK" w:cs="方正小标宋_GBK"/>
          <w:b w:val="0"/>
          <w:bCs w:val="0"/>
          <w:color w:val="auto"/>
          <w:kern w:val="2"/>
          <w:sz w:val="36"/>
          <w:szCs w:val="36"/>
          <w:highlight w:val="none"/>
          <w:u w:val="none" w:color="auto"/>
          <w:lang w:eastAsia="zh-CN"/>
        </w:rPr>
      </w:pPr>
      <w:r>
        <w:rPr>
          <w:rFonts w:hint="eastAsia" w:ascii="方正小标宋_GBK" w:hAnsi="方正小标宋_GBK" w:eastAsia="方正小标宋_GBK" w:cs="方正小标宋_GBK"/>
          <w:b w:val="0"/>
          <w:bCs w:val="0"/>
          <w:color w:val="auto"/>
          <w:kern w:val="2"/>
          <w:sz w:val="36"/>
          <w:szCs w:val="36"/>
          <w:highlight w:val="none"/>
          <w:u w:val="none" w:color="auto"/>
          <w:lang w:eastAsia="zh-CN"/>
        </w:rPr>
        <w:t>第二章  构建现代化产业体系</w:t>
      </w:r>
    </w:p>
    <w:p w14:paraId="612BC382">
      <w:pPr>
        <w:pStyle w:val="2"/>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left="0" w:leftChars="0" w:firstLine="0" w:firstLineChars="0"/>
        <w:jc w:val="center"/>
        <w:textAlignment w:val="auto"/>
        <w:rPr>
          <w:rFonts w:hint="eastAsia" w:ascii="方正小标宋_GBK" w:hAnsi="方正小标宋_GBK" w:eastAsia="方正小标宋_GBK" w:cs="方正小标宋_GBK"/>
          <w:b w:val="0"/>
          <w:bCs w:val="0"/>
          <w:color w:val="auto"/>
          <w:kern w:val="2"/>
          <w:sz w:val="36"/>
          <w:szCs w:val="36"/>
          <w:highlight w:val="none"/>
          <w:u w:val="none" w:color="auto"/>
          <w:lang w:eastAsia="zh-CN"/>
        </w:rPr>
      </w:pPr>
      <w:r>
        <w:rPr>
          <w:rFonts w:hint="eastAsia" w:ascii="方正小标宋_GBK" w:hAnsi="方正小标宋_GBK" w:eastAsia="方正小标宋_GBK" w:cs="方正小标宋_GBK"/>
          <w:b w:val="0"/>
          <w:bCs w:val="0"/>
          <w:color w:val="auto"/>
          <w:kern w:val="2"/>
          <w:sz w:val="36"/>
          <w:szCs w:val="36"/>
          <w:highlight w:val="none"/>
          <w:u w:val="none" w:color="auto"/>
          <w:lang w:eastAsia="zh-CN"/>
        </w:rPr>
        <w:t>巩固壮大实体经济根基</w:t>
      </w:r>
    </w:p>
    <w:p w14:paraId="7789D2D6">
      <w:pPr>
        <w:pStyle w:val="2"/>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640" w:firstLineChars="200"/>
        <w:jc w:val="both"/>
        <w:textAlignment w:val="auto"/>
        <w:rPr>
          <w:rFonts w:hint="eastAsia" w:ascii="方正仿宋_GBK" w:hAnsi="方正仿宋_GBK" w:eastAsia="方正仿宋_GBK" w:cs="方正仿宋_GBK"/>
          <w:b w:val="0"/>
          <w:bCs w:val="0"/>
          <w:color w:val="auto"/>
          <w:kern w:val="2"/>
          <w:sz w:val="32"/>
          <w:szCs w:val="32"/>
          <w:highlight w:val="none"/>
          <w:u w:val="none" w:color="auto"/>
          <w:lang w:eastAsia="zh-CN"/>
        </w:rPr>
      </w:pPr>
      <w:r>
        <w:rPr>
          <w:rFonts w:hint="eastAsia" w:ascii="方正仿宋_GBK" w:hAnsi="方正仿宋_GBK" w:eastAsia="方正仿宋_GBK" w:cs="方正仿宋_GBK"/>
          <w:b w:val="0"/>
          <w:bCs w:val="0"/>
          <w:color w:val="auto"/>
          <w:kern w:val="2"/>
          <w:sz w:val="32"/>
          <w:szCs w:val="32"/>
          <w:highlight w:val="none"/>
          <w:u w:val="none" w:color="auto"/>
          <w:lang w:eastAsia="zh-CN"/>
        </w:rPr>
        <w:t>将产业作为立市之基、工业作为强市之本，坚持把发展经济的着力点放在实体经济上，统筹推动传统产业转型升级，培育壮大新兴产业和未来产业，深入推进服务业扩能提质行动，加快构建具有辽源特色的“5+2+N”现代化产业体系，打造纺织袜业之城、汽车零部件之城、特色农产品之城、新能源之城、全域文旅之城，重塑辽源老工业基地产业竞争新优势。</w:t>
      </w:r>
    </w:p>
    <w:p w14:paraId="13AE230A">
      <w:pPr>
        <w:pStyle w:val="2"/>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left="0" w:leftChars="0" w:firstLine="0" w:firstLineChars="0"/>
        <w:jc w:val="center"/>
        <w:textAlignment w:val="auto"/>
        <w:rPr>
          <w:rFonts w:hint="eastAsia" w:ascii="方正黑体_GBK" w:hAnsi="方正黑体_GBK" w:eastAsia="方正黑体_GBK" w:cs="方正黑体_GBK"/>
          <w:b w:val="0"/>
          <w:bCs w:val="0"/>
          <w:color w:val="auto"/>
          <w:kern w:val="2"/>
          <w:sz w:val="32"/>
          <w:szCs w:val="32"/>
          <w:highlight w:val="none"/>
          <w:u w:val="none" w:color="auto"/>
          <w:lang w:eastAsia="zh-CN"/>
        </w:rPr>
      </w:pPr>
      <w:r>
        <w:rPr>
          <w:rFonts w:hint="eastAsia" w:ascii="方正黑体_GBK" w:hAnsi="方正黑体_GBK" w:eastAsia="方正黑体_GBK" w:cs="方正黑体_GBK"/>
          <w:b w:val="0"/>
          <w:bCs w:val="0"/>
          <w:color w:val="auto"/>
          <w:kern w:val="2"/>
          <w:sz w:val="32"/>
          <w:szCs w:val="32"/>
          <w:highlight w:val="none"/>
          <w:u w:val="none" w:color="auto"/>
          <w:lang w:eastAsia="zh-CN"/>
        </w:rPr>
        <w:t>第一节  优化提升传统优势产业</w:t>
      </w:r>
    </w:p>
    <w:p w14:paraId="10A2C6FC">
      <w:pPr>
        <w:pStyle w:val="2"/>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640" w:firstLineChars="200"/>
        <w:jc w:val="both"/>
        <w:textAlignment w:val="auto"/>
        <w:rPr>
          <w:rFonts w:hint="eastAsia" w:ascii="方正仿宋_GBK" w:hAnsi="方正仿宋_GBK" w:eastAsia="方正仿宋_GBK" w:cs="方正仿宋_GBK"/>
          <w:b w:val="0"/>
          <w:bCs w:val="0"/>
          <w:color w:val="auto"/>
          <w:kern w:val="2"/>
          <w:sz w:val="32"/>
          <w:szCs w:val="32"/>
          <w:highlight w:val="none"/>
          <w:u w:val="none" w:color="auto"/>
          <w:lang w:eastAsia="zh-CN"/>
        </w:rPr>
      </w:pPr>
      <w:r>
        <w:rPr>
          <w:rFonts w:hint="eastAsia" w:ascii="方正楷体_GBK" w:hAnsi="方正楷体_GBK" w:eastAsia="方正楷体_GBK" w:cs="方正楷体_GBK"/>
          <w:b w:val="0"/>
          <w:bCs w:val="0"/>
          <w:color w:val="auto"/>
          <w:kern w:val="2"/>
          <w:sz w:val="32"/>
          <w:szCs w:val="32"/>
          <w:highlight w:val="none"/>
          <w:u w:val="none" w:color="auto"/>
          <w:lang w:eastAsia="zh-CN"/>
        </w:rPr>
        <w:t>加快袜业纺织品牌化升级。</w:t>
      </w:r>
      <w:r>
        <w:rPr>
          <w:rFonts w:hint="eastAsia" w:ascii="方正仿宋_GBK" w:hAnsi="方正仿宋_GBK" w:eastAsia="方正仿宋_GBK" w:cs="方正仿宋_GBK"/>
          <w:b w:val="0"/>
          <w:bCs w:val="0"/>
          <w:color w:val="auto"/>
          <w:kern w:val="2"/>
          <w:sz w:val="32"/>
          <w:szCs w:val="32"/>
          <w:highlight w:val="none"/>
          <w:u w:val="none" w:color="auto"/>
          <w:lang w:eastAsia="zh-CN"/>
        </w:rPr>
        <w:t>推动代工型生产模式向自主品牌发展方向转变。聚焦品牌化培育，鼓励袜业企业做大做强自主品牌，不断提升品牌知名度、影响力，拓宽国内国际市场。积极引入研发、原料、印染、袜机制造等延链补链强链企业，拓展智能温控袜、军用袜、冰雪袜、抗菌医疗袜等高端化、功能性品类。聚焦数智化升级，深入实施“智造强链+跨境赋能”双轮驱动战略，提标实施袜业产业“智改数转”。加快建设国家级袜业数字化转型促进中心，利用人工智能升级产品研发能力，开发虚拟制版、数字化工厂等应用场景。聚焦规模化发展，加快推动东北袜业园三期、大学生创业基地、电商中心投入运营，进一步放大产业集聚效应。加强创新资源统筹，提升袜业纺织设计研发能力，应用推广数码印花、提花织造、生态染整等先进工艺。到2030年，力争袜业纺织产业集群产值突破200亿元，让“辽源袜”成为“脚上时装”的代名词，打造具有全球影响力的纺织袜业之城。</w:t>
      </w:r>
    </w:p>
    <w:p w14:paraId="23D7833A">
      <w:pPr>
        <w:pStyle w:val="2"/>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640" w:firstLineChars="200"/>
        <w:jc w:val="both"/>
        <w:textAlignment w:val="auto"/>
        <w:rPr>
          <w:rFonts w:hint="eastAsia" w:ascii="方正仿宋_GBK" w:hAnsi="方正仿宋_GBK" w:eastAsia="方正仿宋_GBK" w:cs="方正仿宋_GBK"/>
          <w:b w:val="0"/>
          <w:bCs w:val="0"/>
          <w:color w:val="auto"/>
          <w:kern w:val="2"/>
          <w:sz w:val="32"/>
          <w:szCs w:val="32"/>
          <w:highlight w:val="none"/>
          <w:u w:val="none" w:color="auto"/>
          <w:lang w:eastAsia="zh-CN"/>
        </w:rPr>
      </w:pPr>
      <w:r>
        <w:rPr>
          <w:rFonts w:hint="eastAsia" w:ascii="方正楷体_GBK" w:hAnsi="方正楷体_GBK" w:eastAsia="方正楷体_GBK" w:cs="方正楷体_GBK"/>
          <w:b w:val="0"/>
          <w:bCs w:val="0"/>
          <w:color w:val="auto"/>
          <w:kern w:val="2"/>
          <w:sz w:val="32"/>
          <w:szCs w:val="32"/>
          <w:highlight w:val="none"/>
          <w:u w:val="none" w:color="auto"/>
          <w:lang w:eastAsia="zh-CN"/>
        </w:rPr>
        <w:t>推动冶金建材绿色化发展。</w:t>
      </w:r>
      <w:r>
        <w:rPr>
          <w:rFonts w:hint="eastAsia" w:ascii="方正仿宋_GBK" w:hAnsi="方正仿宋_GBK" w:eastAsia="方正仿宋_GBK" w:cs="方正仿宋_GBK"/>
          <w:b w:val="0"/>
          <w:bCs w:val="0"/>
          <w:color w:val="auto"/>
          <w:kern w:val="2"/>
          <w:sz w:val="32"/>
          <w:szCs w:val="32"/>
          <w:highlight w:val="none"/>
          <w:u w:val="none" w:color="auto"/>
          <w:lang w:eastAsia="zh-CN"/>
        </w:rPr>
        <w:t>聚焦“绿色+高端+循环”方向，优化绿色建材产业生态，加快钢铁、水泥等产业减排降碳改造、资源循环再生利用步伐，推进绿色低碳转型。建立绿色循环链，提升钢渣、矿渣等工业固废资源化循环利用能力，研发生产高标号水泥产品，构建“建筑固废—再生骨料—干混砂浆—商品混凝土”绿色建材全产业链条，抢占寒地绿色建材市场，固废综合利用率逐年提高。积极对接国家和区域重大战略需求，在公共建筑、基础设施等重点领域率先应用绿色钢材、低碳水泥和装配式建材。瞄准新能源、高端装备等新兴产业需求，加快型钢、特种钢、高性能复合材料等高附加值产品研发与生产，实现从“绿色工厂”到“绿色产品”“绿色市场”的价值跃升。到2030年，力争建成冶金建材200亿级产业集群，打造吉林省绿色建材配套和固废资源化循环利用基地。</w:t>
      </w:r>
    </w:p>
    <w:p w14:paraId="39DEFD25">
      <w:pPr>
        <w:pStyle w:val="2"/>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640" w:firstLineChars="200"/>
        <w:jc w:val="both"/>
        <w:textAlignment w:val="auto"/>
        <w:rPr>
          <w:rFonts w:hint="eastAsia" w:ascii="方正仿宋_GBK" w:hAnsi="方正仿宋_GBK" w:eastAsia="方正仿宋_GBK" w:cs="方正仿宋_GBK"/>
          <w:b w:val="0"/>
          <w:bCs w:val="0"/>
          <w:color w:val="auto"/>
          <w:kern w:val="2"/>
          <w:sz w:val="32"/>
          <w:szCs w:val="32"/>
          <w:highlight w:val="none"/>
          <w:u w:val="none" w:color="auto"/>
          <w:lang w:eastAsia="zh-CN"/>
        </w:rPr>
      </w:pPr>
      <w:r>
        <w:rPr>
          <w:rFonts w:hint="eastAsia" w:ascii="方正楷体_GBK" w:hAnsi="方正楷体_GBK" w:eastAsia="方正楷体_GBK" w:cs="方正楷体_GBK"/>
          <w:b w:val="0"/>
          <w:bCs w:val="0"/>
          <w:color w:val="auto"/>
          <w:kern w:val="2"/>
          <w:sz w:val="32"/>
          <w:szCs w:val="32"/>
          <w:highlight w:val="none"/>
          <w:u w:val="none" w:color="auto"/>
          <w:lang w:eastAsia="zh-CN"/>
        </w:rPr>
        <w:t>实施装备制造业集群化发展。</w:t>
      </w:r>
      <w:r>
        <w:rPr>
          <w:rFonts w:hint="eastAsia" w:ascii="方正仿宋_GBK" w:hAnsi="方正仿宋_GBK" w:eastAsia="方正仿宋_GBK" w:cs="方正仿宋_GBK"/>
          <w:b w:val="0"/>
          <w:bCs w:val="0"/>
          <w:color w:val="auto"/>
          <w:kern w:val="2"/>
          <w:sz w:val="32"/>
          <w:szCs w:val="32"/>
          <w:highlight w:val="none"/>
          <w:u w:val="none" w:color="auto"/>
          <w:lang w:eastAsia="zh-CN"/>
        </w:rPr>
        <w:t>培育以绿色低碳为标志的产业集群，推动传统装备制造业向高端化、数字化、绿色化转型，加快新技术新产品新场景大规模应用。积极融入长春现代化都市圈先进制造产业带，聚焦汽车轻量化材料、新能源电池、新能源汽车关键部件、高精铝加工等领域，深化与一汽、中车长客等龙头企业合作，提升集群化协作能级，增强为长春、沈阳及全国整车企业协同配套能力，逐步提高配套份额。加大与一汽联合招商力度，吸引一批创新能力强、附加值高的零部件项目落户辽源。聚焦汽车从销售到报废全过程，布局动力电池回收拆解、零部件再制造项目，向后延伸汽车产业链条。支持选矿设备、粮食加工机械等传统装备制造企业智能化改造和数字化转型，提升产品能级与生产效率。培育冰雪装备“专精特新”企业，布局建设冰雪装备制造配套基地。到2030年，力争建成具有区域竞争力的装备制造100亿级产业集群，建设绿电驱动的新能源汽车产业配套和高精铝轨道客车产业配套“双基地”，打造汽车零部件之城。</w:t>
      </w:r>
    </w:p>
    <w:p w14:paraId="3E92C188">
      <w:pPr>
        <w:pStyle w:val="2"/>
        <w:keepNext w:val="0"/>
        <w:keepLines w:val="0"/>
        <w:pageBreakBefore w:val="0"/>
        <w:widowControl w:val="0"/>
        <w:kinsoku/>
        <w:wordWrap/>
        <w:overflowPunct/>
        <w:topLinePunct w:val="0"/>
        <w:autoSpaceDE/>
        <w:autoSpaceDN/>
        <w:bidi w:val="0"/>
        <w:adjustRightInd/>
        <w:snapToGrid/>
        <w:spacing w:after="0" w:afterLines="0" w:line="200" w:lineRule="exact"/>
        <w:ind w:left="0" w:leftChars="0" w:firstLine="640" w:firstLineChars="200"/>
        <w:jc w:val="both"/>
        <w:textAlignment w:val="auto"/>
        <w:rPr>
          <w:rFonts w:hint="eastAsia" w:ascii="方正仿宋_GBK" w:hAnsi="方正仿宋_GBK" w:eastAsia="方正仿宋_GBK" w:cs="方正仿宋_GBK"/>
          <w:b w:val="0"/>
          <w:bCs w:val="0"/>
          <w:color w:val="auto"/>
          <w:kern w:val="2"/>
          <w:sz w:val="32"/>
          <w:szCs w:val="32"/>
          <w:highlight w:val="none"/>
          <w:u w:val="none" w:color="auto"/>
          <w:lang w:eastAsia="zh-CN"/>
        </w:rPr>
      </w:pP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43A9D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7" w:hRule="atLeast"/>
          <w:jc w:val="center"/>
        </w:trPr>
        <w:tc>
          <w:tcPr>
            <w:tcW w:w="8834" w:type="dxa"/>
            <w:noWrap w:val="0"/>
            <w:vAlign w:val="top"/>
          </w:tcPr>
          <w:p w14:paraId="306461B1">
            <w:pPr>
              <w:keepNext w:val="0"/>
              <w:keepLines w:val="0"/>
              <w:pageBreakBefore w:val="0"/>
              <w:widowControl w:val="0"/>
              <w:kinsoku/>
              <w:wordWrap/>
              <w:overflowPunct w:val="0"/>
              <w:topLinePunct/>
              <w:autoSpaceDE/>
              <w:autoSpaceDN/>
              <w:bidi w:val="0"/>
              <w:adjustRightInd/>
              <w:snapToGrid/>
              <w:spacing w:before="157" w:beforeLines="50" w:after="157" w:afterLines="50" w:line="440" w:lineRule="exact"/>
              <w:ind w:firstLine="0" w:firstLineChars="0"/>
              <w:jc w:val="center"/>
              <w:textAlignment w:val="auto"/>
              <w:rPr>
                <w:rFonts w:hint="eastAsia" w:ascii="方正黑体_GBK" w:hAnsi="方正黑体_GBK" w:eastAsia="方正黑体_GBK" w:cs="方正黑体_GBK"/>
                <w:color w:val="auto"/>
                <w:sz w:val="28"/>
                <w:szCs w:val="28"/>
                <w:highlight w:val="none"/>
                <w:lang w:val="en-US" w:eastAsia="zh-CN"/>
              </w:rPr>
            </w:pPr>
            <w:r>
              <w:rPr>
                <w:rFonts w:hint="eastAsia" w:ascii="方正黑体_GBK" w:hAnsi="方正黑体_GBK" w:eastAsia="方正黑体_GBK" w:cs="方正黑体_GBK"/>
                <w:color w:val="auto"/>
                <w:sz w:val="28"/>
                <w:szCs w:val="28"/>
                <w:highlight w:val="none"/>
                <w:lang w:val="en-US" w:eastAsia="zh-CN"/>
              </w:rPr>
              <w:t>专栏2  传统优势产业转型升级工程</w:t>
            </w:r>
          </w:p>
          <w:p w14:paraId="20E607A1">
            <w:pPr>
              <w:keepNext w:val="0"/>
              <w:keepLines w:val="0"/>
              <w:pageBreakBefore w:val="0"/>
              <w:widowControl w:val="0"/>
              <w:numPr>
                <w:ilvl w:val="0"/>
                <w:numId w:val="0"/>
              </w:numPr>
              <w:kinsoku/>
              <w:wordWrap/>
              <w:overflowPunct w:val="0"/>
              <w:topLinePunct/>
              <w:autoSpaceDE/>
              <w:autoSpaceDN/>
              <w:bidi w:val="0"/>
              <w:adjustRightInd/>
              <w:snapToGrid/>
              <w:spacing w:line="340" w:lineRule="exact"/>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　　1. 袜业纺织产业</w:t>
            </w:r>
          </w:p>
          <w:p w14:paraId="2717FEAE">
            <w:pPr>
              <w:keepNext w:val="0"/>
              <w:keepLines w:val="0"/>
              <w:pageBreakBefore w:val="0"/>
              <w:widowControl w:val="0"/>
              <w:kinsoku/>
              <w:wordWrap/>
              <w:overflowPunct w:val="0"/>
              <w:topLinePunct/>
              <w:autoSpaceDE/>
              <w:autoSpaceDN/>
              <w:bidi w:val="0"/>
              <w:adjustRightInd/>
              <w:snapToGrid/>
              <w:spacing w:line="340" w:lineRule="exact"/>
              <w:ind w:firstLine="422"/>
              <w:textAlignment w:val="auto"/>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lang w:eastAsia="zh-CN"/>
              </w:rPr>
              <w:t>依托现有袜业纺织产业链基础，加快产业数智化转型升级与规模化发展。建成投用新领地现代纺织产业园；实施小爱、</w:t>
            </w:r>
            <w:r>
              <w:rPr>
                <w:rFonts w:hint="eastAsia" w:ascii="宋体" w:hAnsi="宋体" w:eastAsia="宋体" w:cs="宋体"/>
                <w:b w:val="0"/>
                <w:bCs w:val="0"/>
                <w:color w:val="auto"/>
                <w:sz w:val="21"/>
                <w:szCs w:val="21"/>
                <w:highlight w:val="none"/>
                <w:lang w:val="en-US" w:eastAsia="zh-CN"/>
              </w:rPr>
              <w:t>信鹏</w:t>
            </w:r>
            <w:r>
              <w:rPr>
                <w:rFonts w:hint="eastAsia" w:ascii="宋体" w:hAnsi="宋体" w:eastAsia="宋体" w:cs="宋体"/>
                <w:b w:val="0"/>
                <w:bCs w:val="0"/>
                <w:color w:val="auto"/>
                <w:sz w:val="21"/>
                <w:szCs w:val="21"/>
                <w:highlight w:val="none"/>
                <w:lang w:eastAsia="zh-CN"/>
              </w:rPr>
              <w:t>、比尔、棉钰等</w:t>
            </w:r>
            <w:r>
              <w:rPr>
                <w:rFonts w:hint="eastAsia" w:ascii="宋体" w:hAnsi="宋体" w:eastAsia="宋体" w:cs="宋体"/>
                <w:b w:val="0"/>
                <w:bCs w:val="0"/>
                <w:color w:val="auto"/>
                <w:sz w:val="21"/>
                <w:szCs w:val="21"/>
                <w:highlight w:val="none"/>
                <w:lang w:val="en-US" w:eastAsia="zh-CN"/>
              </w:rPr>
              <w:t>一批</w:t>
            </w:r>
            <w:r>
              <w:rPr>
                <w:rFonts w:hint="eastAsia" w:ascii="宋体" w:hAnsi="宋体" w:eastAsia="宋体" w:cs="宋体"/>
                <w:b w:val="0"/>
                <w:bCs w:val="0"/>
                <w:color w:val="auto"/>
                <w:sz w:val="21"/>
                <w:szCs w:val="21"/>
                <w:highlight w:val="none"/>
                <w:lang w:eastAsia="zh-CN"/>
              </w:rPr>
              <w:t>企业智能袜机数字化工厂建设项目，提升装备自动化、数控化水平与高档棉袜产能。</w:t>
            </w:r>
            <w:r>
              <w:rPr>
                <w:rFonts w:hint="eastAsia" w:ascii="宋体" w:hAnsi="宋体" w:eastAsia="宋体" w:cs="宋体"/>
                <w:b w:val="0"/>
                <w:bCs w:val="0"/>
                <w:color w:val="auto"/>
                <w:sz w:val="21"/>
                <w:szCs w:val="21"/>
                <w:highlight w:val="none"/>
                <w:lang w:val="en-US" w:eastAsia="zh-CN"/>
              </w:rPr>
              <w:t>加快建设</w:t>
            </w:r>
            <w:r>
              <w:rPr>
                <w:rFonts w:hint="eastAsia" w:ascii="宋体" w:hAnsi="宋体" w:eastAsia="宋体" w:cs="宋体"/>
                <w:b w:val="0"/>
                <w:bCs w:val="0"/>
                <w:color w:val="auto"/>
                <w:sz w:val="21"/>
                <w:szCs w:val="21"/>
                <w:highlight w:val="none"/>
                <w:lang w:eastAsia="zh-CN"/>
              </w:rPr>
              <w:t>东北袜业园公共技术服务体系</w:t>
            </w:r>
            <w:r>
              <w:rPr>
                <w:rFonts w:hint="eastAsia" w:ascii="宋体" w:hAnsi="宋体" w:eastAsia="宋体" w:cs="宋体"/>
                <w:b w:val="0"/>
                <w:bCs w:val="0"/>
                <w:color w:val="auto"/>
                <w:sz w:val="21"/>
                <w:szCs w:val="21"/>
                <w:highlight w:val="none"/>
                <w:lang w:val="en-US" w:eastAsia="zh-CN"/>
              </w:rPr>
              <w:t>和</w:t>
            </w:r>
            <w:r>
              <w:rPr>
                <w:rFonts w:hint="eastAsia" w:ascii="宋体" w:hAnsi="宋体" w:eastAsia="宋体" w:cs="宋体"/>
                <w:b w:val="0"/>
                <w:bCs w:val="0"/>
                <w:color w:val="auto"/>
                <w:sz w:val="21"/>
                <w:szCs w:val="21"/>
                <w:highlight w:val="none"/>
                <w:lang w:eastAsia="zh-CN"/>
              </w:rPr>
              <w:t>智能化综合提升示范项目，完善研发设计、检验检测等公共服务平台。支持企业培育自主品牌，增强产业集群整体竞争力。研究论证袜业集团三园区续建工程。</w:t>
            </w:r>
          </w:p>
          <w:p w14:paraId="7085FE36">
            <w:pPr>
              <w:keepNext w:val="0"/>
              <w:keepLines w:val="0"/>
              <w:pageBreakBefore w:val="0"/>
              <w:widowControl w:val="0"/>
              <w:numPr>
                <w:ilvl w:val="0"/>
                <w:numId w:val="0"/>
              </w:numPr>
              <w:kinsoku/>
              <w:wordWrap/>
              <w:overflowPunct w:val="0"/>
              <w:topLinePunct/>
              <w:autoSpaceDE/>
              <w:autoSpaceDN/>
              <w:bidi w:val="0"/>
              <w:adjustRightInd/>
              <w:snapToGrid/>
              <w:spacing w:line="340" w:lineRule="exact"/>
              <w:ind w:leftChars="200"/>
              <w:textAlignment w:val="auto"/>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lang w:val="en-US" w:eastAsia="zh-CN"/>
              </w:rPr>
              <w:t xml:space="preserve">2. </w:t>
            </w:r>
            <w:r>
              <w:rPr>
                <w:rFonts w:hint="eastAsia" w:ascii="宋体" w:hAnsi="宋体" w:eastAsia="宋体" w:cs="宋体"/>
                <w:b w:val="0"/>
                <w:bCs w:val="0"/>
                <w:color w:val="auto"/>
                <w:sz w:val="21"/>
                <w:szCs w:val="21"/>
                <w:highlight w:val="none"/>
              </w:rPr>
              <w:t>冶金建材</w:t>
            </w:r>
            <w:r>
              <w:rPr>
                <w:rFonts w:hint="eastAsia" w:ascii="宋体" w:hAnsi="宋体" w:eastAsia="宋体" w:cs="宋体"/>
                <w:b w:val="0"/>
                <w:bCs w:val="0"/>
                <w:color w:val="auto"/>
                <w:sz w:val="21"/>
                <w:szCs w:val="21"/>
                <w:highlight w:val="none"/>
                <w:lang w:val="en-US" w:eastAsia="zh-CN"/>
              </w:rPr>
              <w:t>产业</w:t>
            </w:r>
          </w:p>
          <w:p w14:paraId="7E3764AE">
            <w:pPr>
              <w:keepNext w:val="0"/>
              <w:keepLines w:val="0"/>
              <w:pageBreakBefore w:val="0"/>
              <w:widowControl w:val="0"/>
              <w:kinsoku/>
              <w:wordWrap/>
              <w:overflowPunct w:val="0"/>
              <w:topLinePunct/>
              <w:autoSpaceDE/>
              <w:autoSpaceDN/>
              <w:bidi w:val="0"/>
              <w:adjustRightInd/>
              <w:snapToGrid/>
              <w:spacing w:line="340" w:lineRule="exact"/>
              <w:ind w:firstLine="422"/>
              <w:textAlignment w:val="auto"/>
              <w:rPr>
                <w:rFonts w:hint="eastAsia" w:ascii="宋体" w:hAnsi="宋体" w:eastAsia="宋体" w:cs="宋体"/>
                <w:b/>
                <w:bCs/>
                <w:color w:val="auto"/>
                <w:sz w:val="21"/>
                <w:szCs w:val="21"/>
                <w:highlight w:val="none"/>
              </w:rPr>
            </w:pPr>
            <w:r>
              <w:rPr>
                <w:rFonts w:hint="eastAsia" w:ascii="宋体" w:hAnsi="宋体" w:eastAsia="宋体" w:cs="宋体"/>
                <w:b w:val="0"/>
                <w:bCs w:val="0"/>
                <w:color w:val="auto"/>
                <w:sz w:val="21"/>
                <w:szCs w:val="21"/>
                <w:highlight w:val="none"/>
              </w:rPr>
              <w:t>推动冶金建材产业绿色化、高端化发展。</w:t>
            </w:r>
            <w:r>
              <w:rPr>
                <w:rFonts w:hint="eastAsia" w:ascii="宋体" w:hAnsi="宋体" w:eastAsia="宋体" w:cs="宋体"/>
                <w:b w:val="0"/>
                <w:bCs w:val="0"/>
                <w:color w:val="auto"/>
                <w:sz w:val="21"/>
                <w:szCs w:val="21"/>
                <w:highlight w:val="none"/>
                <w:lang w:val="en-US" w:eastAsia="zh-CN"/>
              </w:rPr>
              <w:t>加快钢铁</w:t>
            </w:r>
            <w:r>
              <w:rPr>
                <w:rFonts w:hint="eastAsia" w:ascii="宋体" w:hAnsi="宋体" w:eastAsia="宋体" w:cs="宋体"/>
                <w:b w:val="0"/>
                <w:bCs w:val="0"/>
                <w:color w:val="auto"/>
                <w:sz w:val="21"/>
                <w:szCs w:val="21"/>
                <w:highlight w:val="none"/>
              </w:rPr>
              <w:t>生产工艺设备优化升级，完成产能置换技术改造、365平方米烧结机、热轧带钢及固废资源综合利用等建设。实施年产10万吨再生铝和6万吨铝箔项目，提升高端铝材深加工能力。开工建设高精铝轻量化科技创新中心。</w:t>
            </w:r>
            <w:r>
              <w:rPr>
                <w:rFonts w:hint="eastAsia" w:ascii="宋体" w:hAnsi="宋体" w:eastAsia="宋体" w:cs="宋体"/>
                <w:b w:val="0"/>
                <w:bCs w:val="0"/>
                <w:color w:val="auto"/>
                <w:sz w:val="21"/>
                <w:szCs w:val="21"/>
                <w:highlight w:val="none"/>
                <w:lang w:val="en-US" w:eastAsia="zh-CN"/>
              </w:rPr>
              <w:t>加快</w:t>
            </w:r>
            <w:r>
              <w:rPr>
                <w:rFonts w:hint="eastAsia" w:ascii="宋体" w:hAnsi="宋体" w:eastAsia="宋体" w:cs="宋体"/>
                <w:b w:val="0"/>
                <w:bCs w:val="0"/>
                <w:color w:val="auto"/>
                <w:sz w:val="21"/>
                <w:szCs w:val="21"/>
                <w:highlight w:val="none"/>
              </w:rPr>
              <w:t>新能源汽车产业配套、高精铝轨道客车产业配套“双基地”提升工程</w:t>
            </w:r>
            <w:r>
              <w:rPr>
                <w:rFonts w:hint="eastAsia" w:ascii="宋体" w:hAnsi="宋体" w:eastAsia="宋体" w:cs="宋体"/>
                <w:b w:val="0"/>
                <w:bCs w:val="0"/>
                <w:color w:val="auto"/>
                <w:sz w:val="21"/>
                <w:szCs w:val="21"/>
                <w:highlight w:val="none"/>
                <w:lang w:val="en-US" w:eastAsia="zh-CN"/>
              </w:rPr>
              <w:t>建设</w:t>
            </w:r>
            <w:r>
              <w:rPr>
                <w:rFonts w:hint="eastAsia" w:ascii="宋体" w:hAnsi="宋体" w:eastAsia="宋体" w:cs="宋体"/>
                <w:b w:val="0"/>
                <w:bCs w:val="0"/>
                <w:color w:val="auto"/>
                <w:sz w:val="21"/>
                <w:szCs w:val="21"/>
                <w:highlight w:val="none"/>
              </w:rPr>
              <w:t>，打造北方高精铝产业基地。实施石料开采、加工环保项目，对建筑用玄武岩矿进行集约化、环保化开采加工。</w:t>
            </w:r>
          </w:p>
          <w:p w14:paraId="12A15D00">
            <w:pPr>
              <w:keepNext w:val="0"/>
              <w:keepLines w:val="0"/>
              <w:pageBreakBefore w:val="0"/>
              <w:widowControl w:val="0"/>
              <w:numPr>
                <w:ilvl w:val="0"/>
                <w:numId w:val="0"/>
              </w:numPr>
              <w:kinsoku/>
              <w:wordWrap/>
              <w:overflowPunct w:val="0"/>
              <w:topLinePunct/>
              <w:autoSpaceDE/>
              <w:autoSpaceDN/>
              <w:bidi w:val="0"/>
              <w:adjustRightInd/>
              <w:snapToGrid/>
              <w:spacing w:line="340" w:lineRule="exact"/>
              <w:ind w:leftChars="200"/>
              <w:textAlignment w:val="auto"/>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lang w:val="en-US" w:eastAsia="zh-CN"/>
              </w:rPr>
              <w:t xml:space="preserve">3. </w:t>
            </w:r>
            <w:r>
              <w:rPr>
                <w:rFonts w:hint="eastAsia" w:ascii="宋体" w:hAnsi="宋体" w:eastAsia="宋体" w:cs="宋体"/>
                <w:b w:val="0"/>
                <w:bCs w:val="0"/>
                <w:color w:val="auto"/>
                <w:sz w:val="21"/>
                <w:szCs w:val="21"/>
                <w:highlight w:val="none"/>
              </w:rPr>
              <w:t>装备制造</w:t>
            </w:r>
            <w:r>
              <w:rPr>
                <w:rFonts w:hint="eastAsia" w:ascii="宋体" w:hAnsi="宋体" w:eastAsia="宋体" w:cs="宋体"/>
                <w:b w:val="0"/>
                <w:bCs w:val="0"/>
                <w:color w:val="auto"/>
                <w:sz w:val="21"/>
                <w:szCs w:val="21"/>
                <w:highlight w:val="none"/>
                <w:lang w:val="en-US" w:eastAsia="zh-CN"/>
              </w:rPr>
              <w:t>产业　</w:t>
            </w:r>
          </w:p>
          <w:p w14:paraId="6E388856">
            <w:pPr>
              <w:keepNext w:val="0"/>
              <w:keepLines w:val="0"/>
              <w:pageBreakBefore w:val="0"/>
              <w:widowControl w:val="0"/>
              <w:kinsoku/>
              <w:wordWrap/>
              <w:overflowPunct w:val="0"/>
              <w:topLinePunct/>
              <w:autoSpaceDE/>
              <w:autoSpaceDN/>
              <w:bidi w:val="0"/>
              <w:adjustRightInd/>
              <w:snapToGrid/>
              <w:spacing w:line="340" w:lineRule="exact"/>
              <w:ind w:firstLine="422"/>
              <w:textAlignment w:val="auto"/>
              <w:rPr>
                <w:rFonts w:hint="default" w:ascii="Times New Roman" w:hAnsi="Times New Roman" w:eastAsia="宋体" w:cs="Times New Roman"/>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重点推动装备制造业向智能化、绿色化、服务化升级，延伸和做强汽车配套产业链。建成投用高端欧标汽车模具生产实训培训基地，提升模具研发与技能培训能力。开工建设风帆蓄电池产业园，建设汽车启动电池、动力电源研发及回收综合利用基地。实施万通汽车零部件生产线智能化改造和轻量化板簧智慧工厂建设、天宇报废汽车回收拆解等项目，推动关键零部件本地化配套与资源循环利用。</w:t>
            </w:r>
          </w:p>
        </w:tc>
      </w:tr>
    </w:tbl>
    <w:p w14:paraId="74E49B34">
      <w:pPr>
        <w:pStyle w:val="2"/>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left="0" w:leftChars="0" w:firstLine="0" w:firstLineChars="0"/>
        <w:jc w:val="center"/>
        <w:textAlignment w:val="auto"/>
        <w:rPr>
          <w:rFonts w:hint="eastAsia" w:ascii="方正黑体_GBK" w:hAnsi="方正黑体_GBK" w:eastAsia="方正黑体_GBK" w:cs="方正黑体_GBK"/>
          <w:b w:val="0"/>
          <w:bCs w:val="0"/>
          <w:color w:val="auto"/>
          <w:kern w:val="2"/>
          <w:sz w:val="32"/>
          <w:szCs w:val="32"/>
          <w:highlight w:val="none"/>
          <w:u w:val="none" w:color="auto"/>
          <w:lang w:eastAsia="zh-CN"/>
        </w:rPr>
      </w:pPr>
    </w:p>
    <w:p w14:paraId="3D2E16EF">
      <w:pPr>
        <w:pStyle w:val="2"/>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left="0" w:leftChars="0" w:firstLine="0" w:firstLineChars="0"/>
        <w:jc w:val="center"/>
        <w:textAlignment w:val="auto"/>
        <w:rPr>
          <w:rFonts w:hint="eastAsia" w:ascii="方正黑体_GBK" w:hAnsi="方正黑体_GBK" w:eastAsia="方正黑体_GBK" w:cs="方正黑体_GBK"/>
          <w:b w:val="0"/>
          <w:bCs w:val="0"/>
          <w:color w:val="auto"/>
          <w:kern w:val="2"/>
          <w:sz w:val="32"/>
          <w:szCs w:val="32"/>
          <w:highlight w:val="none"/>
          <w:u w:val="none" w:color="auto"/>
          <w:lang w:eastAsia="zh-CN"/>
        </w:rPr>
      </w:pPr>
      <w:r>
        <w:rPr>
          <w:rFonts w:hint="eastAsia" w:ascii="方正黑体_GBK" w:hAnsi="方正黑体_GBK" w:eastAsia="方正黑体_GBK" w:cs="方正黑体_GBK"/>
          <w:b w:val="0"/>
          <w:bCs w:val="0"/>
          <w:color w:val="auto"/>
          <w:kern w:val="2"/>
          <w:sz w:val="32"/>
          <w:szCs w:val="32"/>
          <w:highlight w:val="none"/>
          <w:u w:val="none" w:color="auto"/>
          <w:lang w:eastAsia="zh-CN"/>
        </w:rPr>
        <w:t>第二节  培育壮大新兴产业和未来产业</w:t>
      </w:r>
    </w:p>
    <w:p w14:paraId="24ECBD5C">
      <w:pPr>
        <w:pStyle w:val="2"/>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640" w:firstLineChars="200"/>
        <w:jc w:val="both"/>
        <w:textAlignment w:val="auto"/>
        <w:rPr>
          <w:rFonts w:hint="eastAsia" w:ascii="方正仿宋_GBK" w:hAnsi="方正仿宋_GBK" w:eastAsia="方正仿宋_GBK" w:cs="方正仿宋_GBK"/>
          <w:b w:val="0"/>
          <w:bCs w:val="0"/>
          <w:color w:val="auto"/>
          <w:kern w:val="2"/>
          <w:sz w:val="32"/>
          <w:szCs w:val="32"/>
          <w:highlight w:val="none"/>
          <w:u w:val="none" w:color="auto"/>
          <w:lang w:eastAsia="zh-CN"/>
        </w:rPr>
      </w:pPr>
      <w:r>
        <w:rPr>
          <w:rFonts w:hint="eastAsia" w:ascii="方正楷体_GBK" w:hAnsi="方正楷体_GBK" w:eastAsia="方正楷体_GBK" w:cs="方正楷体_GBK"/>
          <w:b w:val="0"/>
          <w:bCs w:val="0"/>
          <w:color w:val="auto"/>
          <w:kern w:val="2"/>
          <w:sz w:val="32"/>
          <w:szCs w:val="32"/>
          <w:highlight w:val="none"/>
          <w:u w:val="none" w:color="auto"/>
          <w:lang w:eastAsia="zh-CN"/>
        </w:rPr>
        <w:t>打造新能源支柱型产业。</w:t>
      </w:r>
      <w:r>
        <w:rPr>
          <w:rFonts w:hint="eastAsia" w:ascii="方正仿宋_GBK" w:hAnsi="方正仿宋_GBK" w:eastAsia="方正仿宋_GBK" w:cs="方正仿宋_GBK"/>
          <w:b w:val="0"/>
          <w:bCs w:val="0"/>
          <w:color w:val="auto"/>
          <w:kern w:val="2"/>
          <w:sz w:val="32"/>
          <w:szCs w:val="32"/>
          <w:highlight w:val="none"/>
          <w:u w:val="none" w:color="auto"/>
          <w:lang w:eastAsia="zh-CN"/>
        </w:rPr>
        <w:t>积极融入长春现代化都市圈能源产业带，推动新能源开发向以氢基绿能为主的非电利用、产业耦合转变，实现新能源规模化开发和就地转化、产业互促相协同。大力发展“绿氢+”产业，前瞻布局船用绿色燃料市场，加快推动天楹风光储氢氨醇一体化项目化工、风电、生物质、储能四大板块全面投产，带动绿氢、绿醇、绿甲烷等绿色能源一体化发展。推动绿氢与冶金、交通等领域深度融合，加快氢能在储能调峰、分布式能源等领域应用。创新完善“绿电+消纳”机制，健全源网荷储体系，做强增量配电网，布局化学储能、飞轮储能、重力储能等新型储能项目，加快算力中心建设，以绿电优势向北吸引一汽、长客出口型汽车零部件产品布局辽源。谋划实施“绿电直连”项目，推动就近就地消纳和外送能力，将更多绿电转化为工业产品。到2030年，可再生能源装机规模达到400万千瓦，力争建成100亿级新能源产业集群，建设高水平国家级零碳园区，打造新能源之城。</w:t>
      </w:r>
    </w:p>
    <w:p w14:paraId="0696D8EF">
      <w:pPr>
        <w:pStyle w:val="2"/>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640" w:firstLineChars="200"/>
        <w:jc w:val="both"/>
        <w:textAlignment w:val="auto"/>
        <w:rPr>
          <w:rFonts w:hint="eastAsia" w:ascii="方正仿宋_GBK" w:hAnsi="方正仿宋_GBK" w:eastAsia="方正仿宋_GBK" w:cs="方正仿宋_GBK"/>
          <w:b w:val="0"/>
          <w:bCs w:val="0"/>
          <w:color w:val="auto"/>
          <w:kern w:val="2"/>
          <w:sz w:val="32"/>
          <w:szCs w:val="32"/>
          <w:highlight w:val="none"/>
          <w:u w:val="none" w:color="auto"/>
          <w:lang w:eastAsia="zh-CN"/>
        </w:rPr>
      </w:pPr>
      <w:r>
        <w:rPr>
          <w:rFonts w:hint="eastAsia" w:ascii="方正楷体_GBK" w:hAnsi="方正楷体_GBK" w:eastAsia="方正楷体_GBK" w:cs="方正楷体_GBK"/>
          <w:b w:val="0"/>
          <w:bCs w:val="0"/>
          <w:color w:val="auto"/>
          <w:kern w:val="2"/>
          <w:sz w:val="32"/>
          <w:szCs w:val="32"/>
          <w:highlight w:val="none"/>
          <w:u w:val="none" w:color="auto"/>
          <w:lang w:eastAsia="zh-CN"/>
        </w:rPr>
        <w:t>加快医药健康产业提级扩能</w:t>
      </w:r>
      <w:r>
        <w:rPr>
          <w:rFonts w:hint="eastAsia" w:ascii="方正仿宋_GBK" w:hAnsi="方正仿宋_GBK" w:eastAsia="方正仿宋_GBK" w:cs="方正仿宋_GBK"/>
          <w:b w:val="0"/>
          <w:bCs w:val="0"/>
          <w:color w:val="auto"/>
          <w:kern w:val="2"/>
          <w:sz w:val="32"/>
          <w:szCs w:val="32"/>
          <w:highlight w:val="none"/>
          <w:u w:val="none" w:color="auto"/>
          <w:lang w:eastAsia="zh-CN"/>
        </w:rPr>
        <w:t>。积极融入长春现代化都市圈医药产业带，依托化药、原料药发展基础，统筹用好梅花鹿创投园、医疗器械产业园等平台载体和省级中试中心等资源，构建要素齐备、功能完善的医药健康产业体系。支持骨干企业开展新药创制、仿制药一致性评价和关键工艺升级，推动聚普瑞锌、依达拉奉注射液等优势品种扩大产能和市场份额。健全产学研用合作机制，推动梅花鹿、蛋品、毛驴等特色产业，向医药、保健品、特医食品等领域延伸，推动医养结合、康养结合。加快融入生物制药新赛道，鼓励企业引进和研发针对肿瘤、心血管等重大疾病的生物药，积极推动在研品种临床试验与产业化。引入外部资本和优质医药企业，分类盘活闲置药号资源。到2030年，建成吉林省重要的化学原料药及制剂生产基地和创新医药承载区。</w:t>
      </w:r>
    </w:p>
    <w:p w14:paraId="33B4D1F7">
      <w:pPr>
        <w:pStyle w:val="2"/>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640" w:firstLineChars="200"/>
        <w:jc w:val="both"/>
        <w:textAlignment w:val="auto"/>
        <w:rPr>
          <w:rFonts w:hint="eastAsia" w:ascii="方正仿宋_GBK" w:hAnsi="方正仿宋_GBK" w:eastAsia="方正仿宋_GBK" w:cs="方正仿宋_GBK"/>
          <w:b w:val="0"/>
          <w:bCs w:val="0"/>
          <w:color w:val="auto"/>
          <w:kern w:val="2"/>
          <w:sz w:val="32"/>
          <w:szCs w:val="32"/>
          <w:highlight w:val="none"/>
          <w:u w:val="none" w:color="auto"/>
          <w:lang w:eastAsia="zh-CN"/>
        </w:rPr>
      </w:pPr>
      <w:r>
        <w:rPr>
          <w:rFonts w:hint="eastAsia" w:ascii="方正楷体_GBK" w:hAnsi="方正楷体_GBK" w:eastAsia="方正楷体_GBK" w:cs="方正楷体_GBK"/>
          <w:b w:val="0"/>
          <w:bCs w:val="0"/>
          <w:color w:val="auto"/>
          <w:kern w:val="2"/>
          <w:sz w:val="32"/>
          <w:szCs w:val="32"/>
          <w:highlight w:val="none"/>
          <w:u w:val="none" w:color="auto"/>
          <w:lang w:eastAsia="zh-CN"/>
        </w:rPr>
        <w:t>促进低空经济产业发展</w:t>
      </w:r>
      <w:r>
        <w:rPr>
          <w:rFonts w:hint="eastAsia" w:ascii="方正仿宋_GBK" w:hAnsi="方正仿宋_GBK" w:eastAsia="方正仿宋_GBK" w:cs="方正仿宋_GBK"/>
          <w:b w:val="0"/>
          <w:bCs w:val="0"/>
          <w:color w:val="auto"/>
          <w:kern w:val="2"/>
          <w:sz w:val="32"/>
          <w:szCs w:val="32"/>
          <w:highlight w:val="none"/>
          <w:u w:val="none" w:color="auto"/>
          <w:lang w:eastAsia="zh-CN"/>
        </w:rPr>
        <w:t>。依托辽源职业技术学院，构建“技术实训+场地演练”闭环人才培育体系，统筹培训和考试资源，建设军民融合办学基地，打造吉林省产学研用深度融合的低空经济人才发展中心。加强对空域的统一管理，开展低空经济应用场景建设，加快低空通信、导航、监视、气象等基础设施建设，推动在城市治理、物流配送、旅游观光、农林牧渔、应急救援、医疗教育等场景应用。发挥高精铝、碳纤维等新材料和装备制造等产业优势，以低空经济应用场景为牵引，适配招引低空飞行器关键零部件生产制造企业，联合开展技术攻关与产品研发，全力构建集行业应用、生产制造、试验验证、飞行测试于一体的多方协同、广泛参与的低空经济发展格局。</w:t>
      </w:r>
    </w:p>
    <w:tbl>
      <w:tblPr>
        <w:tblStyle w:val="7"/>
        <w:tblpPr w:leftFromText="180" w:rightFromText="180" w:vertAnchor="text" w:horzAnchor="page" w:tblpX="1627" w:tblpY="93"/>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05A2F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17" w:hRule="atLeast"/>
        </w:trPr>
        <w:tc>
          <w:tcPr>
            <w:tcW w:w="8834" w:type="dxa"/>
            <w:noWrap w:val="0"/>
            <w:vAlign w:val="top"/>
          </w:tcPr>
          <w:p w14:paraId="09A0995B">
            <w:pPr>
              <w:keepNext w:val="0"/>
              <w:keepLines w:val="0"/>
              <w:pageBreakBefore w:val="0"/>
              <w:widowControl w:val="0"/>
              <w:kinsoku/>
              <w:wordWrap/>
              <w:overflowPunct w:val="0"/>
              <w:topLinePunct/>
              <w:autoSpaceDE/>
              <w:autoSpaceDN/>
              <w:bidi w:val="0"/>
              <w:adjustRightInd/>
              <w:snapToGrid/>
              <w:spacing w:before="156" w:beforeLines="50" w:after="156" w:afterLines="50" w:line="340" w:lineRule="exact"/>
              <w:ind w:firstLine="0" w:firstLineChars="0"/>
              <w:jc w:val="center"/>
              <w:textAlignment w:val="auto"/>
              <w:rPr>
                <w:rFonts w:hint="eastAsia" w:ascii="方正黑体_GBK" w:hAnsi="方正黑体_GBK" w:eastAsia="方正黑体_GBK" w:cs="方正黑体_GBK"/>
                <w:color w:val="auto"/>
                <w:sz w:val="28"/>
                <w:szCs w:val="28"/>
              </w:rPr>
            </w:pPr>
            <w:r>
              <w:rPr>
                <w:rFonts w:hint="eastAsia" w:ascii="方正黑体_GBK" w:hAnsi="方正黑体_GBK" w:eastAsia="方正黑体_GBK" w:cs="方正黑体_GBK"/>
                <w:color w:val="auto"/>
                <w:sz w:val="28"/>
                <w:szCs w:val="28"/>
              </w:rPr>
              <w:t>专栏</w:t>
            </w:r>
            <w:r>
              <w:rPr>
                <w:rFonts w:hint="eastAsia" w:ascii="方正黑体_GBK" w:hAnsi="方正黑体_GBK" w:eastAsia="方正黑体_GBK" w:cs="方正黑体_GBK"/>
                <w:color w:val="auto"/>
                <w:sz w:val="28"/>
                <w:szCs w:val="28"/>
                <w:lang w:val="en-US" w:eastAsia="zh-CN"/>
              </w:rPr>
              <w:t>3</w:t>
            </w:r>
            <w:r>
              <w:rPr>
                <w:rFonts w:hint="eastAsia" w:ascii="方正黑体_GBK" w:hAnsi="方正黑体_GBK" w:eastAsia="方正黑体_GBK" w:cs="方正黑体_GBK"/>
                <w:color w:val="auto"/>
                <w:sz w:val="28"/>
                <w:szCs w:val="28"/>
              </w:rPr>
              <w:t xml:space="preserve"> </w:t>
            </w:r>
            <w:r>
              <w:rPr>
                <w:rFonts w:hint="eastAsia" w:ascii="方正黑体_GBK" w:hAnsi="方正黑体_GBK" w:eastAsia="方正黑体_GBK" w:cs="方正黑体_GBK"/>
                <w:color w:val="auto"/>
                <w:sz w:val="28"/>
                <w:szCs w:val="28"/>
                <w:lang w:val="en-US" w:eastAsia="zh-CN"/>
              </w:rPr>
              <w:t xml:space="preserve"> </w:t>
            </w:r>
            <w:r>
              <w:rPr>
                <w:rFonts w:hint="eastAsia" w:ascii="方正黑体_GBK" w:hAnsi="方正黑体_GBK" w:eastAsia="方正黑体_GBK" w:cs="方正黑体_GBK"/>
                <w:color w:val="auto"/>
                <w:sz w:val="28"/>
                <w:szCs w:val="28"/>
              </w:rPr>
              <w:t>新兴产业培育壮大工程</w:t>
            </w:r>
          </w:p>
          <w:p w14:paraId="48C77BEA">
            <w:pPr>
              <w:keepNext w:val="0"/>
              <w:keepLines w:val="0"/>
              <w:pageBreakBefore w:val="0"/>
              <w:widowControl w:val="0"/>
              <w:numPr>
                <w:ilvl w:val="0"/>
                <w:numId w:val="0"/>
              </w:numPr>
              <w:kinsoku/>
              <w:wordWrap/>
              <w:overflowPunct w:val="0"/>
              <w:topLinePunct/>
              <w:autoSpaceDE/>
              <w:autoSpaceDN/>
              <w:bidi w:val="0"/>
              <w:adjustRightInd/>
              <w:snapToGrid/>
              <w:spacing w:line="340" w:lineRule="exact"/>
              <w:ind w:firstLine="420" w:firstLineChars="200"/>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lang w:val="en-US" w:eastAsia="zh-CN"/>
              </w:rPr>
              <w:t>1.</w:t>
            </w:r>
            <w:r>
              <w:rPr>
                <w:rFonts w:hint="eastAsia" w:ascii="宋体" w:hAnsi="宋体" w:eastAsia="宋体" w:cs="宋体"/>
                <w:b w:val="0"/>
                <w:bCs w:val="0"/>
                <w:color w:val="auto"/>
                <w:sz w:val="21"/>
                <w:szCs w:val="21"/>
                <w:highlight w:val="none"/>
                <w:lang w:val="en-US" w:eastAsia="zh-CN"/>
              </w:rPr>
              <w:t xml:space="preserve"> </w:t>
            </w:r>
            <w:r>
              <w:rPr>
                <w:rFonts w:hint="eastAsia" w:ascii="宋体" w:hAnsi="宋体" w:eastAsia="宋体" w:cs="宋体"/>
                <w:b w:val="0"/>
                <w:bCs w:val="0"/>
                <w:color w:val="auto"/>
                <w:sz w:val="21"/>
                <w:szCs w:val="21"/>
              </w:rPr>
              <w:t>新能源</w:t>
            </w:r>
            <w:r>
              <w:rPr>
                <w:rFonts w:hint="eastAsia" w:ascii="宋体" w:hAnsi="宋体" w:eastAsia="宋体" w:cs="宋体"/>
                <w:b w:val="0"/>
                <w:bCs w:val="0"/>
                <w:color w:val="auto"/>
                <w:sz w:val="21"/>
                <w:szCs w:val="21"/>
                <w:lang w:val="en-US" w:eastAsia="zh-CN"/>
              </w:rPr>
              <w:t>产业</w:t>
            </w:r>
          </w:p>
          <w:p w14:paraId="3D5C087C">
            <w:pPr>
              <w:keepNext w:val="0"/>
              <w:keepLines w:val="0"/>
              <w:pageBreakBefore w:val="0"/>
              <w:widowControl w:val="0"/>
              <w:kinsoku/>
              <w:wordWrap/>
              <w:overflowPunct w:val="0"/>
              <w:topLinePunct/>
              <w:autoSpaceDE/>
              <w:autoSpaceDN/>
              <w:bidi w:val="0"/>
              <w:adjustRightInd/>
              <w:snapToGrid/>
              <w:spacing w:line="340" w:lineRule="exact"/>
              <w:ind w:firstLine="422"/>
              <w:textAlignment w:val="auto"/>
              <w:rPr>
                <w:rFonts w:hint="eastAsia" w:ascii="宋体" w:hAnsi="宋体" w:eastAsia="宋体" w:cs="宋体"/>
                <w:b/>
                <w:bCs/>
                <w:color w:val="auto"/>
                <w:sz w:val="21"/>
                <w:szCs w:val="21"/>
              </w:rPr>
            </w:pPr>
            <w:r>
              <w:rPr>
                <w:rFonts w:hint="eastAsia" w:ascii="宋体" w:hAnsi="宋体" w:eastAsia="宋体" w:cs="宋体"/>
                <w:b w:val="0"/>
                <w:bCs w:val="0"/>
                <w:color w:val="auto"/>
                <w:sz w:val="21"/>
                <w:szCs w:val="21"/>
              </w:rPr>
              <w:t>加快构建风光氢储多能互补体系，推动</w:t>
            </w:r>
            <w:r>
              <w:rPr>
                <w:rFonts w:hint="eastAsia" w:ascii="宋体" w:hAnsi="宋体" w:eastAsia="宋体" w:cs="宋体"/>
                <w:b w:val="0"/>
                <w:bCs w:val="0"/>
                <w:color w:val="auto"/>
                <w:sz w:val="21"/>
                <w:szCs w:val="21"/>
                <w:lang w:val="en-US" w:eastAsia="zh-CN"/>
              </w:rPr>
              <w:t>发展</w:t>
            </w:r>
            <w:r>
              <w:rPr>
                <w:rFonts w:hint="eastAsia" w:ascii="宋体" w:hAnsi="宋体" w:eastAsia="宋体" w:cs="宋体"/>
                <w:b w:val="0"/>
                <w:bCs w:val="0"/>
                <w:color w:val="auto"/>
                <w:sz w:val="21"/>
                <w:szCs w:val="21"/>
              </w:rPr>
              <w:t>绿电直连模式。建成投用天楹风光储氢氨醇一体化项目，形成2.6GW风电装机及绿电制氢、合成绿色燃料能力。加快建设</w:t>
            </w:r>
            <w:r>
              <w:rPr>
                <w:rFonts w:hint="eastAsia" w:ascii="宋体" w:hAnsi="宋体" w:eastAsia="宋体" w:cs="宋体"/>
                <w:b w:val="0"/>
                <w:bCs w:val="0"/>
                <w:color w:val="auto"/>
                <w:sz w:val="21"/>
                <w:szCs w:val="21"/>
                <w:lang w:val="en-US" w:eastAsia="zh-CN"/>
              </w:rPr>
              <w:t>氢基</w:t>
            </w:r>
            <w:r>
              <w:rPr>
                <w:rFonts w:hint="eastAsia" w:ascii="宋体" w:hAnsi="宋体" w:eastAsia="宋体" w:cs="宋体"/>
                <w:b w:val="0"/>
                <w:bCs w:val="0"/>
                <w:color w:val="auto"/>
                <w:sz w:val="21"/>
                <w:szCs w:val="21"/>
              </w:rPr>
              <w:t>绿</w:t>
            </w:r>
            <w:r>
              <w:rPr>
                <w:rFonts w:hint="eastAsia" w:ascii="宋体" w:hAnsi="宋体" w:eastAsia="宋体" w:cs="宋体"/>
                <w:b w:val="0"/>
                <w:bCs w:val="0"/>
                <w:color w:val="auto"/>
                <w:sz w:val="21"/>
                <w:szCs w:val="21"/>
                <w:lang w:val="en-US" w:eastAsia="zh-CN"/>
              </w:rPr>
              <w:t>能</w:t>
            </w:r>
            <w:r>
              <w:rPr>
                <w:rFonts w:hint="eastAsia" w:ascii="宋体" w:hAnsi="宋体" w:eastAsia="宋体" w:cs="宋体"/>
                <w:b w:val="0"/>
                <w:bCs w:val="0"/>
                <w:color w:val="auto"/>
                <w:sz w:val="21"/>
                <w:szCs w:val="21"/>
              </w:rPr>
              <w:t>产业示范园区，实施配套的</w:t>
            </w:r>
            <w:r>
              <w:rPr>
                <w:rFonts w:hint="eastAsia" w:ascii="宋体" w:hAnsi="宋体" w:eastAsia="宋体" w:cs="宋体"/>
                <w:b w:val="0"/>
                <w:bCs w:val="0"/>
                <w:color w:val="auto"/>
                <w:sz w:val="21"/>
                <w:szCs w:val="21"/>
                <w:lang w:val="en-US" w:eastAsia="zh-CN"/>
              </w:rPr>
              <w:t>生物质</w:t>
            </w:r>
            <w:r>
              <w:rPr>
                <w:rFonts w:hint="eastAsia" w:ascii="宋体" w:hAnsi="宋体" w:eastAsia="宋体" w:cs="宋体"/>
                <w:b w:val="0"/>
                <w:bCs w:val="0"/>
                <w:color w:val="auto"/>
                <w:sz w:val="21"/>
                <w:szCs w:val="21"/>
              </w:rPr>
              <w:t>发电、</w:t>
            </w:r>
            <w:r>
              <w:rPr>
                <w:rFonts w:hint="eastAsia" w:ascii="宋体" w:hAnsi="宋体" w:eastAsia="宋体" w:cs="宋体"/>
                <w:b w:val="0"/>
                <w:bCs w:val="0"/>
                <w:color w:val="auto"/>
                <w:sz w:val="21"/>
                <w:szCs w:val="21"/>
                <w:lang w:val="en-US" w:eastAsia="zh-CN"/>
              </w:rPr>
              <w:t>重力储能等项目</w:t>
            </w:r>
            <w:r>
              <w:rPr>
                <w:rFonts w:hint="eastAsia" w:ascii="宋体" w:hAnsi="宋体" w:eastAsia="宋体" w:cs="宋体"/>
                <w:b w:val="0"/>
                <w:bCs w:val="0"/>
                <w:color w:val="auto"/>
                <w:sz w:val="21"/>
                <w:szCs w:val="21"/>
              </w:rPr>
              <w:t>。实施屋顶分布式光伏开发，推广“自发自用、余电上网”模式。</w:t>
            </w:r>
          </w:p>
          <w:p w14:paraId="4FADAAD0">
            <w:pPr>
              <w:keepNext w:val="0"/>
              <w:keepLines w:val="0"/>
              <w:pageBreakBefore w:val="0"/>
              <w:widowControl w:val="0"/>
              <w:kinsoku/>
              <w:wordWrap/>
              <w:overflowPunct w:val="0"/>
              <w:topLinePunct/>
              <w:autoSpaceDE/>
              <w:autoSpaceDN/>
              <w:bidi w:val="0"/>
              <w:adjustRightInd/>
              <w:snapToGrid/>
              <w:spacing w:line="340" w:lineRule="exact"/>
              <w:ind w:firstLine="422"/>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lang w:val="en-US" w:eastAsia="zh-CN"/>
              </w:rPr>
              <w:t>2.</w:t>
            </w:r>
            <w:r>
              <w:rPr>
                <w:rFonts w:hint="eastAsia" w:ascii="宋体" w:hAnsi="宋体" w:eastAsia="宋体" w:cs="宋体"/>
                <w:b w:val="0"/>
                <w:bCs w:val="0"/>
                <w:color w:val="auto"/>
                <w:sz w:val="21"/>
                <w:szCs w:val="21"/>
                <w:highlight w:val="none"/>
                <w:lang w:val="en-US" w:eastAsia="zh-CN"/>
              </w:rPr>
              <w:t xml:space="preserve"> </w:t>
            </w:r>
            <w:r>
              <w:rPr>
                <w:rFonts w:hint="eastAsia" w:ascii="宋体" w:hAnsi="宋体" w:eastAsia="宋体" w:cs="宋体"/>
                <w:b w:val="0"/>
                <w:bCs w:val="0"/>
                <w:color w:val="auto"/>
                <w:sz w:val="21"/>
                <w:szCs w:val="21"/>
              </w:rPr>
              <w:t>医药健康</w:t>
            </w:r>
            <w:r>
              <w:rPr>
                <w:rFonts w:hint="eastAsia" w:ascii="宋体" w:hAnsi="宋体" w:eastAsia="宋体" w:cs="宋体"/>
                <w:b w:val="0"/>
                <w:bCs w:val="0"/>
                <w:color w:val="auto"/>
                <w:sz w:val="21"/>
                <w:szCs w:val="21"/>
                <w:lang w:val="en-US" w:eastAsia="zh-CN"/>
              </w:rPr>
              <w:t>产业</w:t>
            </w:r>
          </w:p>
          <w:p w14:paraId="7790DB76">
            <w:pPr>
              <w:keepNext w:val="0"/>
              <w:keepLines w:val="0"/>
              <w:pageBreakBefore w:val="0"/>
              <w:widowControl w:val="0"/>
              <w:kinsoku/>
              <w:wordWrap/>
              <w:overflowPunct w:val="0"/>
              <w:topLinePunct/>
              <w:autoSpaceDE/>
              <w:autoSpaceDN/>
              <w:bidi w:val="0"/>
              <w:adjustRightInd/>
              <w:snapToGrid/>
              <w:spacing w:line="340" w:lineRule="exact"/>
              <w:ind w:firstLine="422"/>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完善“研发—中试—制造—服务”全产业链条，实施新建多功能车间和研发中心项目，提升标准化、柔性化制造与协同研发水平。建成投用嘉利达扩建年产6500吨明胶生产线，增强特色原料药及关键辅料市场优势。推动本地资源优势向产业优势转化，加快人参精深加工生产线改扩建项目前期工作。研究论证</w:t>
            </w:r>
            <w:r>
              <w:rPr>
                <w:rFonts w:hint="eastAsia" w:ascii="宋体" w:hAnsi="宋体" w:eastAsia="宋体" w:cs="宋体"/>
                <w:b w:val="0"/>
                <w:bCs w:val="0"/>
                <w:color w:val="auto"/>
                <w:sz w:val="21"/>
                <w:szCs w:val="21"/>
              </w:rPr>
              <w:t>医疗器械产业园（二期）</w:t>
            </w: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lang w:val="en-US" w:eastAsia="zh-CN"/>
              </w:rPr>
              <w:t>药品保健品加工车间升级改造等项目，支持骨干企业开展新药创制和仿制药制造，推动鑫辉药业智能化改建工程、东辽中医药物流产业园建成投产，提升医药健康产业集群集聚能力。</w:t>
            </w:r>
          </w:p>
          <w:p w14:paraId="6E3E8557">
            <w:pPr>
              <w:keepNext w:val="0"/>
              <w:keepLines w:val="0"/>
              <w:pageBreakBefore w:val="0"/>
              <w:widowControl w:val="0"/>
              <w:kinsoku/>
              <w:wordWrap/>
              <w:overflowPunct w:val="0"/>
              <w:topLinePunct/>
              <w:autoSpaceDE/>
              <w:autoSpaceDN/>
              <w:bidi w:val="0"/>
              <w:adjustRightInd/>
              <w:snapToGrid/>
              <w:spacing w:line="340" w:lineRule="exact"/>
              <w:ind w:firstLine="422"/>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lang w:val="en-US" w:eastAsia="zh-CN"/>
              </w:rPr>
              <w:t>3.</w:t>
            </w:r>
            <w:r>
              <w:rPr>
                <w:rFonts w:hint="eastAsia" w:ascii="宋体" w:hAnsi="宋体" w:eastAsia="宋体" w:cs="宋体"/>
                <w:b w:val="0"/>
                <w:bCs w:val="0"/>
                <w:color w:val="auto"/>
                <w:sz w:val="21"/>
                <w:szCs w:val="21"/>
                <w:highlight w:val="none"/>
                <w:lang w:val="en-US" w:eastAsia="zh-CN"/>
              </w:rPr>
              <w:t xml:space="preserve"> </w:t>
            </w:r>
            <w:r>
              <w:rPr>
                <w:rFonts w:hint="eastAsia" w:ascii="宋体" w:hAnsi="宋体" w:eastAsia="宋体" w:cs="宋体"/>
                <w:b w:val="0"/>
                <w:bCs w:val="0"/>
                <w:color w:val="auto"/>
                <w:sz w:val="21"/>
                <w:szCs w:val="21"/>
              </w:rPr>
              <w:t>新材料</w:t>
            </w:r>
            <w:r>
              <w:rPr>
                <w:rFonts w:hint="eastAsia" w:ascii="宋体" w:hAnsi="宋体" w:eastAsia="宋体" w:cs="宋体"/>
                <w:b w:val="0"/>
                <w:bCs w:val="0"/>
                <w:color w:val="auto"/>
                <w:sz w:val="21"/>
                <w:szCs w:val="21"/>
                <w:lang w:val="en-US" w:eastAsia="zh-CN"/>
              </w:rPr>
              <w:t>产业</w:t>
            </w:r>
          </w:p>
          <w:p w14:paraId="08B1B638">
            <w:pPr>
              <w:keepNext w:val="0"/>
              <w:keepLines w:val="0"/>
              <w:pageBreakBefore w:val="0"/>
              <w:widowControl w:val="0"/>
              <w:kinsoku/>
              <w:wordWrap/>
              <w:overflowPunct w:val="0"/>
              <w:topLinePunct/>
              <w:autoSpaceDE/>
              <w:autoSpaceDN/>
              <w:bidi w:val="0"/>
              <w:adjustRightInd/>
              <w:snapToGrid/>
              <w:spacing w:line="340" w:lineRule="exact"/>
              <w:ind w:firstLine="422"/>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依托现有碳纤维产业发展基础，鼓励亿达碳业、北方碳纤维等骨干企业研发高性能碳纤维复合材料，探索开展高性能纤维等前沿新材料的应用研究与技术孵化。建设年产8000吨高性能碳纤维项目。推动碳纤维复合材料在汽车轻量化、风电叶片、高端体育器材、无人机制造等领域的规模化应用与市场推广，打造新材料产业重要增长极。</w:t>
            </w:r>
          </w:p>
          <w:p w14:paraId="01B1F738">
            <w:pPr>
              <w:keepNext w:val="0"/>
              <w:keepLines w:val="0"/>
              <w:pageBreakBefore w:val="0"/>
              <w:widowControl w:val="0"/>
              <w:kinsoku/>
              <w:wordWrap/>
              <w:overflowPunct w:val="0"/>
              <w:topLinePunct/>
              <w:autoSpaceDE/>
              <w:autoSpaceDN/>
              <w:bidi w:val="0"/>
              <w:adjustRightInd/>
              <w:snapToGrid/>
              <w:spacing w:line="340" w:lineRule="exact"/>
              <w:ind w:firstLine="422"/>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lang w:val="en-US" w:eastAsia="zh-CN"/>
              </w:rPr>
              <w:t>4.</w:t>
            </w:r>
            <w:r>
              <w:rPr>
                <w:rFonts w:hint="eastAsia" w:ascii="宋体" w:hAnsi="宋体" w:eastAsia="宋体" w:cs="宋体"/>
                <w:b w:val="0"/>
                <w:bCs w:val="0"/>
                <w:color w:val="auto"/>
                <w:sz w:val="21"/>
                <w:szCs w:val="21"/>
                <w:highlight w:val="none"/>
                <w:lang w:val="en-US" w:eastAsia="zh-CN"/>
              </w:rPr>
              <w:t xml:space="preserve"> </w:t>
            </w:r>
            <w:r>
              <w:rPr>
                <w:rFonts w:hint="eastAsia" w:ascii="宋体" w:hAnsi="宋体" w:eastAsia="宋体" w:cs="宋体"/>
                <w:b w:val="0"/>
                <w:bCs w:val="0"/>
                <w:color w:val="auto"/>
                <w:sz w:val="21"/>
                <w:szCs w:val="21"/>
              </w:rPr>
              <w:t>低空经济</w:t>
            </w:r>
            <w:r>
              <w:rPr>
                <w:rFonts w:hint="eastAsia" w:ascii="宋体" w:hAnsi="宋体" w:eastAsia="宋体" w:cs="宋体"/>
                <w:b w:val="0"/>
                <w:bCs w:val="0"/>
                <w:color w:val="auto"/>
                <w:sz w:val="21"/>
                <w:szCs w:val="21"/>
                <w:lang w:val="en-US" w:eastAsia="zh-CN"/>
              </w:rPr>
              <w:t>产业</w:t>
            </w:r>
          </w:p>
          <w:p w14:paraId="5F489525">
            <w:pPr>
              <w:keepNext w:val="0"/>
              <w:keepLines w:val="0"/>
              <w:pageBreakBefore w:val="0"/>
              <w:widowControl w:val="0"/>
              <w:kinsoku/>
              <w:wordWrap/>
              <w:overflowPunct w:val="0"/>
              <w:topLinePunct/>
              <w:autoSpaceDE/>
              <w:autoSpaceDN/>
              <w:bidi w:val="0"/>
              <w:adjustRightInd/>
              <w:snapToGrid/>
              <w:spacing w:line="340" w:lineRule="exact"/>
              <w:ind w:firstLine="422"/>
              <w:textAlignment w:val="auto"/>
              <w:rPr>
                <w:rFonts w:hint="default" w:ascii="Times New Roman" w:hAnsi="Times New Roman" w:eastAsia="宋体" w:cs="Times New Roman"/>
                <w:b w:val="0"/>
                <w:bCs w:val="0"/>
                <w:color w:val="auto"/>
                <w:sz w:val="21"/>
                <w:szCs w:val="21"/>
                <w:lang w:val="en-US" w:eastAsia="zh-CN"/>
              </w:rPr>
            </w:pPr>
            <w:r>
              <w:rPr>
                <w:rFonts w:hint="eastAsia" w:ascii="宋体" w:hAnsi="宋体" w:eastAsia="宋体" w:cs="宋体"/>
                <w:b w:val="0"/>
                <w:bCs w:val="0"/>
                <w:color w:val="auto"/>
                <w:sz w:val="21"/>
                <w:szCs w:val="21"/>
              </w:rPr>
              <w:t>引进和培育低空经济研发制造、运营服务企业，完善产业链条，加快以拓展场景应用牵引产业项目落地。</w:t>
            </w:r>
            <w:r>
              <w:rPr>
                <w:rFonts w:hint="eastAsia" w:ascii="宋体" w:hAnsi="宋体" w:eastAsia="宋体" w:cs="宋体"/>
                <w:b w:val="0"/>
                <w:bCs w:val="0"/>
                <w:color w:val="auto"/>
                <w:sz w:val="21"/>
                <w:szCs w:val="21"/>
                <w:lang w:val="en-US" w:eastAsia="zh-CN"/>
              </w:rPr>
              <w:t>拓展</w:t>
            </w:r>
            <w:r>
              <w:rPr>
                <w:rFonts w:hint="eastAsia" w:ascii="宋体" w:hAnsi="宋体" w:eastAsia="宋体" w:cs="宋体"/>
                <w:b w:val="0"/>
                <w:bCs w:val="0"/>
                <w:color w:val="auto"/>
                <w:sz w:val="21"/>
                <w:szCs w:val="21"/>
              </w:rPr>
              <w:t>在农林植保、文旅观光、特种物流、应急巡检、城市治理等领域</w:t>
            </w:r>
            <w:r>
              <w:rPr>
                <w:rFonts w:hint="eastAsia" w:ascii="宋体" w:hAnsi="宋体" w:eastAsia="宋体" w:cs="宋体"/>
                <w:b w:val="0"/>
                <w:bCs w:val="0"/>
                <w:color w:val="auto"/>
                <w:sz w:val="21"/>
                <w:szCs w:val="21"/>
                <w:lang w:val="en-US" w:eastAsia="zh-CN"/>
              </w:rPr>
              <w:t>场景</w:t>
            </w:r>
            <w:r>
              <w:rPr>
                <w:rFonts w:hint="eastAsia" w:ascii="宋体" w:hAnsi="宋体" w:eastAsia="宋体" w:cs="宋体"/>
                <w:b w:val="0"/>
                <w:bCs w:val="0"/>
                <w:color w:val="auto"/>
                <w:sz w:val="21"/>
                <w:szCs w:val="21"/>
              </w:rPr>
              <w:t>应用，培育低空消费新业态</w:t>
            </w: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lang w:val="en-US" w:eastAsia="zh-CN"/>
              </w:rPr>
              <w:t>扩大低空经济服务范围，加快多源融合低空智能服务工程前期工作。</w:t>
            </w:r>
          </w:p>
        </w:tc>
      </w:tr>
    </w:tbl>
    <w:p w14:paraId="5993BFC7">
      <w:pPr>
        <w:pStyle w:val="2"/>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640" w:firstLineChars="200"/>
        <w:jc w:val="both"/>
        <w:textAlignment w:val="auto"/>
        <w:rPr>
          <w:rFonts w:hint="eastAsia" w:ascii="方正仿宋_GBK" w:hAnsi="方正仿宋_GBK" w:eastAsia="方正仿宋_GBK" w:cs="方正仿宋_GBK"/>
          <w:b w:val="0"/>
          <w:bCs w:val="0"/>
          <w:color w:val="auto"/>
          <w:kern w:val="2"/>
          <w:sz w:val="32"/>
          <w:szCs w:val="32"/>
          <w:highlight w:val="none"/>
          <w:u w:val="none" w:color="auto"/>
          <w:lang w:eastAsia="zh-CN"/>
        </w:rPr>
      </w:pPr>
      <w:r>
        <w:rPr>
          <w:rFonts w:hint="eastAsia" w:ascii="方正楷体_GBK" w:hAnsi="方正楷体_GBK" w:eastAsia="方正楷体_GBK" w:cs="方正楷体_GBK"/>
          <w:b w:val="0"/>
          <w:bCs w:val="0"/>
          <w:color w:val="auto"/>
          <w:kern w:val="2"/>
          <w:sz w:val="32"/>
          <w:szCs w:val="32"/>
          <w:highlight w:val="none"/>
          <w:u w:val="none" w:color="auto"/>
          <w:lang w:eastAsia="zh-CN"/>
        </w:rPr>
        <w:t>前瞻布局未来产业。</w:t>
      </w:r>
      <w:r>
        <w:rPr>
          <w:rFonts w:hint="eastAsia" w:ascii="方正仿宋_GBK" w:hAnsi="方正仿宋_GBK" w:eastAsia="方正仿宋_GBK" w:cs="方正仿宋_GBK"/>
          <w:b w:val="0"/>
          <w:bCs w:val="0"/>
          <w:color w:val="auto"/>
          <w:kern w:val="2"/>
          <w:sz w:val="32"/>
          <w:szCs w:val="32"/>
          <w:highlight w:val="none"/>
          <w:u w:val="none" w:color="auto"/>
          <w:lang w:eastAsia="zh-CN"/>
        </w:rPr>
        <w:t>积极跟踪科技变革前沿，以场景应用为牵引，探索人工智能、空天信息、生物制造、无人物流等未来产业局部领域的融合创新与示范应用。实施“人工智能+”行动，加速人工智能技术在各行业的深度渗透与实践，支持装备制造、新材料、新能源等重点行业打造高价值应用场景、高质量数据集合大模型，建设一批基于AI智能监测控制的智能生产线、数字化车间与智慧工厂。推动AI在宏观经济运行分析、产业发展赋能、城市数字化管理等方面的应用，构建智慧化决策支撑体系，提升全市经济调控与产业布局的科学性和精准性。积极融入全省高性能算力集群建设，联合骨干企业和通信运营商，探索构建空天地一体化智能网络感知系统，推动空天信息技术在城市治理、应急减灾、生态监测等领域广泛应用。加快发展生物工程制品，开发新型生物健康产品。</w:t>
      </w:r>
    </w:p>
    <w:p w14:paraId="20FA7479">
      <w:pPr>
        <w:pStyle w:val="2"/>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left="0" w:leftChars="0" w:firstLine="0" w:firstLineChars="0"/>
        <w:jc w:val="center"/>
        <w:textAlignment w:val="auto"/>
        <w:rPr>
          <w:rFonts w:hint="eastAsia" w:ascii="方正黑体_GBK" w:hAnsi="方正黑体_GBK" w:eastAsia="方正黑体_GBK" w:cs="方正黑体_GBK"/>
          <w:b w:val="0"/>
          <w:bCs w:val="0"/>
          <w:color w:val="auto"/>
          <w:kern w:val="2"/>
          <w:sz w:val="32"/>
          <w:szCs w:val="32"/>
          <w:highlight w:val="none"/>
          <w:u w:val="none" w:color="auto"/>
          <w:lang w:eastAsia="zh-CN"/>
        </w:rPr>
      </w:pPr>
      <w:r>
        <w:rPr>
          <w:rFonts w:hint="eastAsia" w:ascii="方正黑体_GBK" w:hAnsi="方正黑体_GBK" w:eastAsia="方正黑体_GBK" w:cs="方正黑体_GBK"/>
          <w:b w:val="0"/>
          <w:bCs w:val="0"/>
          <w:color w:val="auto"/>
          <w:kern w:val="2"/>
          <w:sz w:val="32"/>
          <w:szCs w:val="32"/>
          <w:highlight w:val="none"/>
          <w:u w:val="none" w:color="auto"/>
          <w:lang w:eastAsia="zh-CN"/>
        </w:rPr>
        <w:t>第三节  促进服务业优质高效发展</w:t>
      </w:r>
    </w:p>
    <w:p w14:paraId="594D190D">
      <w:pPr>
        <w:pStyle w:val="2"/>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640" w:firstLineChars="200"/>
        <w:jc w:val="both"/>
        <w:textAlignment w:val="auto"/>
        <w:rPr>
          <w:rFonts w:hint="eastAsia" w:ascii="方正仿宋_GBK" w:hAnsi="方正仿宋_GBK" w:eastAsia="方正仿宋_GBK" w:cs="方正仿宋_GBK"/>
          <w:b w:val="0"/>
          <w:bCs w:val="0"/>
          <w:color w:val="auto"/>
          <w:kern w:val="2"/>
          <w:sz w:val="32"/>
          <w:szCs w:val="32"/>
          <w:highlight w:val="none"/>
          <w:u w:val="none" w:color="auto"/>
          <w:lang w:eastAsia="zh-CN"/>
        </w:rPr>
      </w:pPr>
      <w:r>
        <w:rPr>
          <w:rFonts w:hint="eastAsia" w:ascii="方正楷体_GBK" w:hAnsi="方正楷体_GBK" w:eastAsia="方正楷体_GBK" w:cs="方正楷体_GBK"/>
          <w:b w:val="0"/>
          <w:bCs w:val="0"/>
          <w:color w:val="auto"/>
          <w:kern w:val="2"/>
          <w:sz w:val="32"/>
          <w:szCs w:val="32"/>
          <w:highlight w:val="none"/>
          <w:u w:val="none" w:color="auto"/>
          <w:lang w:eastAsia="zh-CN"/>
        </w:rPr>
        <w:t>加快发展现代物流产业。</w:t>
      </w:r>
      <w:r>
        <w:rPr>
          <w:rFonts w:hint="eastAsia" w:ascii="方正仿宋_GBK" w:hAnsi="方正仿宋_GBK" w:eastAsia="方正仿宋_GBK" w:cs="方正仿宋_GBK"/>
          <w:b w:val="0"/>
          <w:bCs w:val="0"/>
          <w:color w:val="auto"/>
          <w:kern w:val="2"/>
          <w:sz w:val="32"/>
          <w:szCs w:val="32"/>
          <w:highlight w:val="none"/>
          <w:u w:val="none" w:color="auto"/>
          <w:lang w:eastAsia="zh-CN"/>
        </w:rPr>
        <w:t>以构建“枢纽引领、网络联通、智慧高效、融合联动”的现代物流体系为目标，推动物流业与制造业、农业、商贸业深度融合。推进现代化综合交通运输体系建设，强化公路、铁路衔接，大力发展多式联运。推广应用物联网、大数据、智能仓储等技术，拓展网络货运、共同配送、集中仓储、智能调度等新模式。鼓励冶金建材、袜业纺织、农产品深加工等重点企业，逐步剥离分立物流业务，通过联合、并购、引进战略投资者等方式，转型培育为专业化、社会化物流服务企业或产业物流联盟。依托仙城物流园区、农产品冷链及现代智慧物流园区、云享智慧物流园区、同城医药物流园区等既有载体，强化功能互补与联动发展，提升园区集聚辐射与资源整合能力。重点谋划建设南部新城综合物流枢纽中心，打造区域性物流转换中心和供应链组织节点，提升辽源在区域物流格局中的枢纽能级。健全县、乡、村三级电子商务与寄递物流服务网络，整合商贸、交通、邮政、供销等资源，推广“统仓共配”“客货邮融合”等模式。加快推进农村电商服务站点建设与功能升级，“十五五”时期，实现行政村电商服务站点覆盖率稳步提升。</w:t>
      </w:r>
    </w:p>
    <w:p w14:paraId="0397314B">
      <w:pPr>
        <w:pStyle w:val="2"/>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640" w:firstLineChars="200"/>
        <w:jc w:val="both"/>
        <w:textAlignment w:val="auto"/>
        <w:rPr>
          <w:rFonts w:hint="eastAsia" w:ascii="方正仿宋_GBK" w:hAnsi="方正仿宋_GBK" w:eastAsia="方正仿宋_GBK" w:cs="方正仿宋_GBK"/>
          <w:b w:val="0"/>
          <w:bCs w:val="0"/>
          <w:color w:val="auto"/>
          <w:kern w:val="2"/>
          <w:sz w:val="32"/>
          <w:szCs w:val="32"/>
          <w:highlight w:val="none"/>
          <w:u w:val="none" w:color="auto"/>
          <w:lang w:eastAsia="zh-CN"/>
        </w:rPr>
      </w:pPr>
      <w:r>
        <w:rPr>
          <w:rFonts w:hint="eastAsia" w:ascii="方正楷体_GBK" w:hAnsi="方正楷体_GBK" w:eastAsia="方正楷体_GBK" w:cs="方正楷体_GBK"/>
          <w:b w:val="0"/>
          <w:bCs w:val="0"/>
          <w:color w:val="auto"/>
          <w:kern w:val="2"/>
          <w:sz w:val="32"/>
          <w:szCs w:val="32"/>
          <w:highlight w:val="none"/>
          <w:u w:val="none" w:color="auto"/>
          <w:lang w:eastAsia="zh-CN"/>
        </w:rPr>
        <w:t>培育发展专业化、高端化生产性服务业。</w:t>
      </w:r>
      <w:r>
        <w:rPr>
          <w:rFonts w:hint="eastAsia" w:ascii="方正仿宋_GBK" w:hAnsi="方正仿宋_GBK" w:eastAsia="方正仿宋_GBK" w:cs="方正仿宋_GBK"/>
          <w:b w:val="0"/>
          <w:bCs w:val="0"/>
          <w:color w:val="auto"/>
          <w:kern w:val="2"/>
          <w:sz w:val="32"/>
          <w:szCs w:val="32"/>
          <w:highlight w:val="none"/>
          <w:u w:val="none" w:color="auto"/>
          <w:lang w:eastAsia="zh-CN"/>
        </w:rPr>
        <w:t>推动现代服务业与先进制造业、现代农业深度融合。着力发展软件与信息技术服务、科技研发、商务会展、金融服务等知识密集型服务业。积极培育工业设计基地、金融集聚区、总部经济等高能级服务业载体。鼓励袜业纺织、汽车零部件、高精铝、蛋品加工等特色产业集群，从制造环节向研发设计、品牌营销、供应链管理、全生命周期服务等高端环节延伸。加快服务业数字化转型，推动数据要素在生产性服务业中的创新应用。支持企业利用工业互联网平台整合资源，开展协同设计、共享制造、远程运维等模式。鼓励检验检测、信息技术、人力资源、教育培训等服务业企业深化技术应用，提升专业化服务能力与辐射能级。到2030年，力争形成2—3个具有区域影响力的生产性服务业集群和融合载体，初步建成具有竞争力和辐射力的生产性服务业集聚区。</w:t>
      </w:r>
    </w:p>
    <w:p w14:paraId="01C0D381">
      <w:pPr>
        <w:pStyle w:val="2"/>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640" w:firstLineChars="200"/>
        <w:jc w:val="both"/>
        <w:textAlignment w:val="auto"/>
        <w:rPr>
          <w:rFonts w:hint="eastAsia" w:ascii="方正仿宋_GBK" w:hAnsi="方正仿宋_GBK" w:eastAsia="方正仿宋_GBK" w:cs="方正仿宋_GBK"/>
          <w:b w:val="0"/>
          <w:bCs w:val="0"/>
          <w:color w:val="auto"/>
          <w:kern w:val="2"/>
          <w:sz w:val="32"/>
          <w:szCs w:val="32"/>
          <w:highlight w:val="none"/>
          <w:u w:val="none" w:color="auto"/>
          <w:lang w:eastAsia="zh-CN"/>
        </w:rPr>
      </w:pPr>
      <w:r>
        <w:rPr>
          <w:rFonts w:hint="eastAsia" w:ascii="方正楷体_GBK" w:hAnsi="方正楷体_GBK" w:eastAsia="方正楷体_GBK" w:cs="方正楷体_GBK"/>
          <w:b w:val="0"/>
          <w:bCs w:val="0"/>
          <w:color w:val="auto"/>
          <w:kern w:val="2"/>
          <w:sz w:val="32"/>
          <w:szCs w:val="32"/>
          <w:highlight w:val="none"/>
          <w:u w:val="none" w:color="auto"/>
          <w:lang w:eastAsia="zh-CN"/>
        </w:rPr>
        <w:t>推动发展高品质、多样化生活性服务业。</w:t>
      </w:r>
      <w:r>
        <w:rPr>
          <w:rFonts w:hint="eastAsia" w:ascii="方正仿宋_GBK" w:hAnsi="方正仿宋_GBK" w:eastAsia="方正仿宋_GBK" w:cs="方正仿宋_GBK"/>
          <w:b w:val="0"/>
          <w:bCs w:val="0"/>
          <w:color w:val="auto"/>
          <w:kern w:val="2"/>
          <w:sz w:val="32"/>
          <w:szCs w:val="32"/>
          <w:highlight w:val="none"/>
          <w:u w:val="none" w:color="auto"/>
          <w:lang w:eastAsia="zh-CN"/>
        </w:rPr>
        <w:t>聚焦品质提升、业态创新与场景打造，推动生活性服务业与城市发展、民生改善深度融合，塑造具有辽源特色的服务品牌和消费名片。推动专业市场转型发展，支持二手车、旧货等市场向集展贸、交易、检测、金融等多功能于一体的综合服务体系升级。积极培育研学旅行、体育休闲、家政服务等新兴消费增长点。引进和培育现代零售、数字文娱等新业态，打造沉浸式、体验式消费场景。鼓励社会力量参与养老服务，加快构建以社区居家为基础、机构为支撑、医养康养相结合的养老服务体系。发展智慧养老，推广适老化产品和智能照护设备。推进医养深度融合，支持发展护理型养老机构，提升长期照护、康复护理、安宁疗护等服务能力。推动住宿餐饮业提质升级，深度挖掘和宣传地方特色美食，鼓励发展精品民宿、星级酒店以及连锁化、品牌化餐饮企业。实施龙山公园周边业态提升工程，推动小什街传统商业区有机更新，布局袜业品牌消费、特色农产品展销专门店，打造集文化、商业、休闲于一体的潮流街区，开发一批具有年轻态、时尚感的城市打卡新地标。</w:t>
      </w:r>
    </w:p>
    <w:p w14:paraId="71761AD1">
      <w:pPr>
        <w:pStyle w:val="2"/>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640" w:firstLineChars="200"/>
        <w:jc w:val="both"/>
        <w:textAlignment w:val="auto"/>
        <w:rPr>
          <w:rFonts w:hint="eastAsia" w:ascii="方正仿宋_GBK" w:hAnsi="方正仿宋_GBK" w:eastAsia="方正仿宋_GBK" w:cs="方正仿宋_GBK"/>
          <w:b w:val="0"/>
          <w:bCs w:val="0"/>
          <w:color w:val="auto"/>
          <w:kern w:val="2"/>
          <w:sz w:val="32"/>
          <w:szCs w:val="32"/>
          <w:highlight w:val="none"/>
          <w:u w:val="none" w:color="auto"/>
          <w:lang w:eastAsia="zh-CN"/>
        </w:rPr>
      </w:pPr>
      <w:r>
        <w:rPr>
          <w:rFonts w:hint="eastAsia" w:ascii="方正楷体_GBK" w:hAnsi="方正楷体_GBK" w:eastAsia="方正楷体_GBK" w:cs="方正楷体_GBK"/>
          <w:b w:val="0"/>
          <w:bCs w:val="0"/>
          <w:color w:val="auto"/>
          <w:kern w:val="2"/>
          <w:sz w:val="32"/>
          <w:szCs w:val="32"/>
          <w:highlight w:val="none"/>
          <w:u w:val="none" w:color="auto"/>
          <w:lang w:eastAsia="zh-CN"/>
        </w:rPr>
        <w:t>推进电子商务平台体系建设。</w:t>
      </w:r>
      <w:r>
        <w:rPr>
          <w:rFonts w:hint="eastAsia" w:ascii="方正仿宋_GBK" w:hAnsi="方正仿宋_GBK" w:eastAsia="方正仿宋_GBK" w:cs="方正仿宋_GBK"/>
          <w:b w:val="0"/>
          <w:bCs w:val="0"/>
          <w:color w:val="auto"/>
          <w:kern w:val="2"/>
          <w:sz w:val="32"/>
          <w:szCs w:val="32"/>
          <w:highlight w:val="none"/>
          <w:u w:val="none" w:color="auto"/>
          <w:lang w:eastAsia="zh-CN"/>
        </w:rPr>
        <w:t>实施电商基地提质扩容行动，发展壮大辽源电子商务园区等电商基地，加快东丰县梅花鹿创投园电商基地、东辽县电商服务中心等县域电商节点建设。完善仓储物流、人才培训、企业孵化等配套服务。积极培育直播电商、跨境电商、社交电商、即时零售等新业态新模式，推动电子商务与制造、文旅、农业等产业深度融合。鼓励传统外贸企业和制造企业开展跨境电商业务，支持企业建设海外仓、运用独立站拓展市场，组织参加国际跨境电商展览会、中国国际电子商务博览会等平台活动，推动“辽源制造”与“辽源优品”线上出海。大力发展社区电子商务，整合餐饮、医药、家政、美容、养老等生活服务资源，构建线上线下联动的社区便民服务圈。支持电商平台与本地商业实体深度融合，促进即时配送、网订店取、社区团购等模式规范发展。支持电商服务商、供应链企业发展，构建协同共生的电商服务生态，持续优化电商创新创业环境。“十五五”期间，力争全市网络零售额年均增长8%。</w:t>
      </w:r>
    </w:p>
    <w:p w14:paraId="5984176D">
      <w:pPr>
        <w:pStyle w:val="2"/>
        <w:keepNext w:val="0"/>
        <w:keepLines w:val="0"/>
        <w:pageBreakBefore w:val="0"/>
        <w:widowControl w:val="0"/>
        <w:kinsoku/>
        <w:wordWrap/>
        <w:overflowPunct/>
        <w:topLinePunct w:val="0"/>
        <w:autoSpaceDE/>
        <w:autoSpaceDN/>
        <w:bidi w:val="0"/>
        <w:adjustRightInd/>
        <w:snapToGrid/>
        <w:spacing w:after="0" w:afterLines="0" w:line="320" w:lineRule="exact"/>
        <w:ind w:left="0" w:leftChars="0" w:firstLine="640" w:firstLineChars="200"/>
        <w:jc w:val="both"/>
        <w:textAlignment w:val="auto"/>
        <w:rPr>
          <w:rFonts w:hint="eastAsia" w:ascii="方正仿宋_GBK" w:hAnsi="方正仿宋_GBK" w:eastAsia="方正仿宋_GBK" w:cs="方正仿宋_GBK"/>
          <w:b w:val="0"/>
          <w:bCs w:val="0"/>
          <w:color w:val="auto"/>
          <w:kern w:val="2"/>
          <w:sz w:val="32"/>
          <w:szCs w:val="32"/>
          <w:highlight w:val="none"/>
          <w:u w:val="none" w:color="auto"/>
          <w:lang w:eastAsia="zh-CN"/>
        </w:rPr>
      </w:pP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11273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57" w:hRule="atLeast"/>
          <w:jc w:val="center"/>
        </w:trPr>
        <w:tc>
          <w:tcPr>
            <w:tcW w:w="8834" w:type="dxa"/>
            <w:noWrap w:val="0"/>
            <w:vAlign w:val="top"/>
          </w:tcPr>
          <w:p w14:paraId="35A1EC10">
            <w:pPr>
              <w:keepNext w:val="0"/>
              <w:keepLines w:val="0"/>
              <w:pageBreakBefore w:val="0"/>
              <w:widowControl w:val="0"/>
              <w:kinsoku/>
              <w:wordWrap/>
              <w:overflowPunct w:val="0"/>
              <w:topLinePunct/>
              <w:autoSpaceDE/>
              <w:autoSpaceDN/>
              <w:bidi w:val="0"/>
              <w:adjustRightInd/>
              <w:snapToGrid/>
              <w:spacing w:before="156" w:beforeLines="50" w:after="156" w:afterLines="50" w:line="340" w:lineRule="exact"/>
              <w:ind w:firstLine="0" w:firstLineChars="0"/>
              <w:jc w:val="center"/>
              <w:textAlignment w:val="auto"/>
              <w:rPr>
                <w:rFonts w:hint="eastAsia" w:ascii="方正黑体_GBK" w:hAnsi="方正黑体_GBK" w:eastAsia="方正黑体_GBK" w:cs="方正黑体_GBK"/>
                <w:bCs/>
                <w:color w:val="auto"/>
                <w:sz w:val="28"/>
                <w:szCs w:val="28"/>
                <w:lang w:eastAsia="zh-CN"/>
              </w:rPr>
            </w:pPr>
            <w:r>
              <w:rPr>
                <w:rFonts w:hint="eastAsia" w:ascii="方正黑体_GBK" w:hAnsi="方正黑体_GBK" w:eastAsia="方正黑体_GBK" w:cs="方正黑体_GBK"/>
                <w:color w:val="auto"/>
                <w:sz w:val="28"/>
                <w:szCs w:val="28"/>
              </w:rPr>
              <w:t>专栏</w:t>
            </w:r>
            <w:r>
              <w:rPr>
                <w:rFonts w:hint="eastAsia" w:ascii="方正黑体_GBK" w:hAnsi="方正黑体_GBK" w:eastAsia="方正黑体_GBK" w:cs="方正黑体_GBK"/>
                <w:color w:val="auto"/>
                <w:sz w:val="28"/>
                <w:szCs w:val="28"/>
                <w:lang w:val="en-US" w:eastAsia="zh-CN"/>
              </w:rPr>
              <w:t>4</w:t>
            </w:r>
            <w:r>
              <w:rPr>
                <w:rFonts w:hint="eastAsia" w:ascii="方正黑体_GBK" w:hAnsi="方正黑体_GBK" w:eastAsia="方正黑体_GBK" w:cs="方正黑体_GBK"/>
                <w:color w:val="auto"/>
                <w:sz w:val="28"/>
                <w:szCs w:val="28"/>
              </w:rPr>
              <w:t xml:space="preserve"> </w:t>
            </w:r>
            <w:r>
              <w:rPr>
                <w:rFonts w:hint="eastAsia" w:ascii="方正黑体_GBK" w:hAnsi="方正黑体_GBK" w:eastAsia="方正黑体_GBK" w:cs="方正黑体_GBK"/>
                <w:color w:val="auto"/>
                <w:sz w:val="28"/>
                <w:szCs w:val="28"/>
                <w:lang w:val="en-US" w:eastAsia="zh-CN"/>
              </w:rPr>
              <w:t xml:space="preserve"> 现代</w:t>
            </w:r>
            <w:r>
              <w:rPr>
                <w:rFonts w:hint="eastAsia" w:ascii="方正黑体_GBK" w:hAnsi="方正黑体_GBK" w:eastAsia="方正黑体_GBK" w:cs="方正黑体_GBK"/>
                <w:color w:val="auto"/>
                <w:sz w:val="28"/>
                <w:szCs w:val="28"/>
              </w:rPr>
              <w:t>服务业发展工程</w:t>
            </w:r>
          </w:p>
          <w:p w14:paraId="18CAA696">
            <w:pPr>
              <w:keepNext w:val="0"/>
              <w:keepLines w:val="0"/>
              <w:pageBreakBefore w:val="0"/>
              <w:widowControl w:val="0"/>
              <w:numPr>
                <w:ilvl w:val="0"/>
                <w:numId w:val="0"/>
              </w:numPr>
              <w:kinsoku/>
              <w:wordWrap/>
              <w:overflowPunct w:val="0"/>
              <w:topLinePunct/>
              <w:autoSpaceDE/>
              <w:autoSpaceDN/>
              <w:bidi w:val="0"/>
              <w:adjustRightInd/>
              <w:snapToGrid/>
              <w:spacing w:line="340" w:lineRule="exact"/>
              <w:ind w:firstLine="420" w:firstLineChars="200"/>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lang w:val="en-US" w:eastAsia="zh-CN"/>
              </w:rPr>
              <w:t xml:space="preserve">1. </w:t>
            </w:r>
            <w:r>
              <w:rPr>
                <w:rFonts w:hint="eastAsia" w:ascii="宋体" w:hAnsi="宋体" w:eastAsia="宋体" w:cs="宋体"/>
                <w:b w:val="0"/>
                <w:bCs w:val="0"/>
                <w:color w:val="auto"/>
                <w:sz w:val="21"/>
                <w:szCs w:val="21"/>
              </w:rPr>
              <w:t>科技服务赋能</w:t>
            </w:r>
          </w:p>
          <w:p w14:paraId="0E3924EF">
            <w:pPr>
              <w:keepNext w:val="0"/>
              <w:keepLines w:val="0"/>
              <w:pageBreakBefore w:val="0"/>
              <w:widowControl w:val="0"/>
              <w:kinsoku/>
              <w:wordWrap/>
              <w:overflowPunct w:val="0"/>
              <w:topLinePunct/>
              <w:autoSpaceDE/>
              <w:autoSpaceDN/>
              <w:bidi w:val="0"/>
              <w:adjustRightInd/>
              <w:snapToGrid/>
              <w:spacing w:line="340" w:lineRule="exact"/>
              <w:ind w:firstLine="420" w:firstLineChars="200"/>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以提升产业基础能力为导向，支持制造业企业建设和提升工业设计创新中心。提升东北袜业国检中心、博大伟业研发中心、启星铝业研发中心、梅花鹿研发检测中心等平台研发服务能力。着力培育和引进工业设计、信息技术服务、高端咨询等领域市场主体，强化研发设计、检验检测、科技服务等生产性服务业领域对制造业转型升级的支撑。</w:t>
            </w:r>
          </w:p>
          <w:p w14:paraId="6FA3EBC2">
            <w:pPr>
              <w:keepNext w:val="0"/>
              <w:keepLines w:val="0"/>
              <w:pageBreakBefore w:val="0"/>
              <w:widowControl w:val="0"/>
              <w:kinsoku/>
              <w:wordWrap/>
              <w:overflowPunct w:val="0"/>
              <w:topLinePunct/>
              <w:autoSpaceDE/>
              <w:autoSpaceDN/>
              <w:bidi w:val="0"/>
              <w:adjustRightInd/>
              <w:snapToGrid/>
              <w:spacing w:line="340" w:lineRule="exact"/>
              <w:ind w:firstLine="420" w:firstLineChars="200"/>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2. 金融服务提升</w:t>
            </w:r>
          </w:p>
          <w:p w14:paraId="659AEAA0">
            <w:pPr>
              <w:keepNext w:val="0"/>
              <w:keepLines w:val="0"/>
              <w:pageBreakBefore w:val="0"/>
              <w:widowControl w:val="0"/>
              <w:kinsoku/>
              <w:wordWrap/>
              <w:overflowPunct w:val="0"/>
              <w:topLinePunct/>
              <w:autoSpaceDE/>
              <w:autoSpaceDN/>
              <w:bidi w:val="0"/>
              <w:adjustRightInd/>
              <w:snapToGrid/>
              <w:spacing w:line="340" w:lineRule="exact"/>
              <w:ind w:firstLine="420" w:firstLineChars="200"/>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以服务实体经济为着力点，加快构建多层次、覆盖广、差异化的现代金融服务体系。谋划实施金融服务创新提升行动，引导金融机构开发推广供应链金融、绿色金融等特色产品。常态化组织金融机构深入袜业纺织、高精铝加工、汽车零部件等重点园区及“专精特新”企业，提供精准融资解决方案。落实落细中小微企业融资协调服务机制，有效降低企业融资门槛。</w:t>
            </w:r>
          </w:p>
          <w:p w14:paraId="5E1A1DB7">
            <w:pPr>
              <w:keepNext w:val="0"/>
              <w:keepLines w:val="0"/>
              <w:pageBreakBefore w:val="0"/>
              <w:widowControl w:val="0"/>
              <w:kinsoku/>
              <w:wordWrap/>
              <w:overflowPunct w:val="0"/>
              <w:topLinePunct/>
              <w:autoSpaceDE/>
              <w:autoSpaceDN/>
              <w:bidi w:val="0"/>
              <w:adjustRightInd/>
              <w:snapToGrid/>
              <w:spacing w:line="340" w:lineRule="exact"/>
              <w:ind w:firstLine="420" w:firstLineChars="200"/>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lang w:val="en-US" w:eastAsia="zh-CN"/>
              </w:rPr>
              <w:t>3</w:t>
            </w:r>
            <w:r>
              <w:rPr>
                <w:rFonts w:hint="eastAsia" w:ascii="宋体" w:hAnsi="宋体" w:eastAsia="宋体" w:cs="宋体"/>
                <w:b w:val="0"/>
                <w:bCs w:val="0"/>
                <w:color w:val="auto"/>
                <w:sz w:val="21"/>
                <w:szCs w:val="21"/>
              </w:rPr>
              <w:t>.</w:t>
            </w:r>
            <w:r>
              <w:rPr>
                <w:rFonts w:hint="eastAsia" w:ascii="宋体" w:hAnsi="宋体" w:eastAsia="宋体" w:cs="宋体"/>
                <w:b w:val="0"/>
                <w:bCs w:val="0"/>
                <w:color w:val="auto"/>
                <w:sz w:val="21"/>
                <w:szCs w:val="21"/>
                <w:lang w:val="en-US" w:eastAsia="zh-CN"/>
              </w:rPr>
              <w:t xml:space="preserve"> </w:t>
            </w:r>
            <w:r>
              <w:rPr>
                <w:rFonts w:hint="eastAsia" w:ascii="宋体" w:hAnsi="宋体" w:eastAsia="宋体" w:cs="宋体"/>
                <w:b w:val="0"/>
                <w:bCs w:val="0"/>
                <w:color w:val="auto"/>
                <w:sz w:val="21"/>
                <w:szCs w:val="21"/>
              </w:rPr>
              <w:t>现代物流枢纽建设</w:t>
            </w:r>
          </w:p>
          <w:p w14:paraId="3631FDEC">
            <w:pPr>
              <w:keepNext w:val="0"/>
              <w:keepLines w:val="0"/>
              <w:pageBreakBefore w:val="0"/>
              <w:widowControl w:val="0"/>
              <w:kinsoku/>
              <w:wordWrap/>
              <w:overflowPunct w:val="0"/>
              <w:topLinePunct/>
              <w:autoSpaceDE/>
              <w:autoSpaceDN/>
              <w:bidi w:val="0"/>
              <w:adjustRightInd/>
              <w:snapToGrid/>
              <w:spacing w:line="340" w:lineRule="exact"/>
              <w:ind w:firstLine="420" w:firstLineChars="200"/>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以构建“通道+枢纽+网络”现代物流体系为目标，建成投用农贸物流集散中心。加快推进云享智慧物流产业园区基础设施建设，形成规模化冷储与高效分拣配送能力。围绕重点产业，引进和培育一批专业化物流服务商，打造长春现代化都市圈重要物流节点。</w:t>
            </w:r>
          </w:p>
          <w:p w14:paraId="70006462">
            <w:pPr>
              <w:keepNext w:val="0"/>
              <w:keepLines w:val="0"/>
              <w:pageBreakBefore w:val="0"/>
              <w:widowControl w:val="0"/>
              <w:kinsoku/>
              <w:wordWrap/>
              <w:overflowPunct w:val="0"/>
              <w:topLinePunct/>
              <w:autoSpaceDE/>
              <w:autoSpaceDN/>
              <w:bidi w:val="0"/>
              <w:adjustRightInd/>
              <w:snapToGrid/>
              <w:spacing w:line="340" w:lineRule="exact"/>
              <w:ind w:firstLine="420" w:firstLineChars="200"/>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4. 商贸消费能级提升</w:t>
            </w:r>
          </w:p>
          <w:p w14:paraId="12A9B7CE">
            <w:pPr>
              <w:keepNext w:val="0"/>
              <w:keepLines w:val="0"/>
              <w:pageBreakBefore w:val="0"/>
              <w:widowControl w:val="0"/>
              <w:kinsoku/>
              <w:wordWrap/>
              <w:overflowPunct w:val="0"/>
              <w:topLinePunct/>
              <w:autoSpaceDE/>
              <w:autoSpaceDN/>
              <w:bidi w:val="0"/>
              <w:adjustRightInd/>
              <w:snapToGrid/>
              <w:spacing w:line="340" w:lineRule="exact"/>
              <w:ind w:firstLine="420" w:firstLineChars="200"/>
              <w:textAlignment w:val="auto"/>
              <w:rPr>
                <w:rFonts w:hint="default" w:ascii="Times New Roman" w:hAnsi="Times New Roman" w:eastAsia="宋体" w:cs="Times New Roman"/>
                <w:b w:val="0"/>
                <w:bCs w:val="0"/>
                <w:color w:val="auto"/>
                <w:sz w:val="21"/>
                <w:szCs w:val="21"/>
                <w:lang w:val="en-US" w:eastAsia="zh-CN"/>
              </w:rPr>
            </w:pPr>
            <w:r>
              <w:rPr>
                <w:rFonts w:hint="eastAsia" w:ascii="宋体" w:hAnsi="宋体" w:eastAsia="宋体" w:cs="宋体"/>
                <w:b w:val="0"/>
                <w:bCs w:val="0"/>
                <w:color w:val="auto"/>
                <w:sz w:val="21"/>
                <w:szCs w:val="21"/>
                <w:lang w:val="en-US" w:eastAsia="zh-CN"/>
              </w:rPr>
              <w:t>构建多层次、高品质、智慧化的现代商贸体系，推进实施新世界彩悦城改建、四维生活MALL等项目建设，打造城市消费新地标。推进传统商圈与特色商业街区改造提升，整合跨境体验、工厂直营、电商直播等服务，培育“商贸+文旅+跨境”融合消费新场景，探索打造智慧贸易中心。挖掘生态、冰雪、农产品等特色资源，培育生态康养、乡村旅游、特色节庆等消费品牌。</w:t>
            </w:r>
          </w:p>
        </w:tc>
      </w:tr>
    </w:tbl>
    <w:p w14:paraId="7845CB3E">
      <w:pPr>
        <w:pStyle w:val="2"/>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left="0" w:leftChars="0" w:firstLine="0" w:firstLineChars="0"/>
        <w:jc w:val="center"/>
        <w:textAlignment w:val="auto"/>
        <w:rPr>
          <w:rFonts w:hint="eastAsia" w:ascii="方正黑体_GBK" w:hAnsi="方正黑体_GBK" w:eastAsia="方正黑体_GBK" w:cs="方正黑体_GBK"/>
          <w:b w:val="0"/>
          <w:bCs w:val="0"/>
          <w:color w:val="auto"/>
          <w:kern w:val="2"/>
          <w:sz w:val="32"/>
          <w:szCs w:val="32"/>
          <w:highlight w:val="none"/>
          <w:u w:val="none" w:color="auto"/>
          <w:lang w:eastAsia="zh-CN"/>
        </w:rPr>
      </w:pPr>
    </w:p>
    <w:p w14:paraId="20EEBCE1">
      <w:pPr>
        <w:pStyle w:val="2"/>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left="0" w:leftChars="0" w:firstLine="0" w:firstLineChars="0"/>
        <w:jc w:val="center"/>
        <w:textAlignment w:val="auto"/>
        <w:rPr>
          <w:rFonts w:hint="eastAsia" w:ascii="方正黑体_GBK" w:hAnsi="方正黑体_GBK" w:eastAsia="方正黑体_GBK" w:cs="方正黑体_GBK"/>
          <w:b w:val="0"/>
          <w:bCs w:val="0"/>
          <w:color w:val="auto"/>
          <w:kern w:val="2"/>
          <w:sz w:val="32"/>
          <w:szCs w:val="32"/>
          <w:highlight w:val="none"/>
          <w:u w:val="none" w:color="auto"/>
          <w:lang w:eastAsia="zh-CN"/>
        </w:rPr>
      </w:pPr>
    </w:p>
    <w:p w14:paraId="57B20A3F">
      <w:pPr>
        <w:pStyle w:val="2"/>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left="0" w:leftChars="0" w:firstLine="0" w:firstLineChars="0"/>
        <w:jc w:val="center"/>
        <w:textAlignment w:val="auto"/>
        <w:rPr>
          <w:rFonts w:hint="eastAsia" w:ascii="方正黑体_GBK" w:hAnsi="方正黑体_GBK" w:eastAsia="方正黑体_GBK" w:cs="方正黑体_GBK"/>
          <w:b w:val="0"/>
          <w:bCs w:val="0"/>
          <w:color w:val="auto"/>
          <w:kern w:val="2"/>
          <w:sz w:val="32"/>
          <w:szCs w:val="32"/>
          <w:highlight w:val="none"/>
          <w:u w:val="none" w:color="auto"/>
          <w:lang w:eastAsia="zh-CN"/>
        </w:rPr>
      </w:pPr>
    </w:p>
    <w:p w14:paraId="6F1F3FC4">
      <w:pPr>
        <w:pStyle w:val="2"/>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left="0" w:leftChars="0" w:firstLine="0" w:firstLineChars="0"/>
        <w:jc w:val="center"/>
        <w:textAlignment w:val="auto"/>
        <w:rPr>
          <w:rFonts w:hint="eastAsia" w:ascii="方正黑体_GBK" w:hAnsi="方正黑体_GBK" w:eastAsia="方正黑体_GBK" w:cs="方正黑体_GBK"/>
          <w:b w:val="0"/>
          <w:bCs w:val="0"/>
          <w:color w:val="auto"/>
          <w:kern w:val="2"/>
          <w:sz w:val="32"/>
          <w:szCs w:val="32"/>
          <w:highlight w:val="none"/>
          <w:u w:val="none" w:color="auto"/>
          <w:lang w:eastAsia="zh-CN"/>
        </w:rPr>
      </w:pPr>
    </w:p>
    <w:p w14:paraId="4FEA315F">
      <w:pPr>
        <w:pStyle w:val="2"/>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left="0" w:leftChars="0" w:firstLine="0" w:firstLineChars="0"/>
        <w:jc w:val="center"/>
        <w:textAlignment w:val="auto"/>
        <w:rPr>
          <w:rFonts w:hint="eastAsia" w:ascii="方正黑体_GBK" w:hAnsi="方正黑体_GBK" w:eastAsia="方正黑体_GBK" w:cs="方正黑体_GBK"/>
          <w:b w:val="0"/>
          <w:bCs w:val="0"/>
          <w:color w:val="auto"/>
          <w:kern w:val="2"/>
          <w:sz w:val="32"/>
          <w:szCs w:val="32"/>
          <w:highlight w:val="none"/>
          <w:u w:val="none" w:color="auto"/>
          <w:lang w:eastAsia="zh-CN"/>
        </w:rPr>
      </w:pPr>
    </w:p>
    <w:p w14:paraId="4143EBFE">
      <w:pPr>
        <w:pStyle w:val="2"/>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left="0" w:leftChars="0" w:firstLine="0" w:firstLineChars="0"/>
        <w:jc w:val="center"/>
        <w:textAlignment w:val="auto"/>
        <w:rPr>
          <w:rFonts w:hint="eastAsia" w:ascii="方正黑体_GBK" w:hAnsi="方正黑体_GBK" w:eastAsia="方正黑体_GBK" w:cs="方正黑体_GBK"/>
          <w:b w:val="0"/>
          <w:bCs w:val="0"/>
          <w:color w:val="auto"/>
          <w:kern w:val="2"/>
          <w:sz w:val="32"/>
          <w:szCs w:val="32"/>
          <w:highlight w:val="none"/>
          <w:u w:val="none" w:color="auto"/>
          <w:lang w:eastAsia="zh-CN"/>
        </w:rPr>
      </w:pPr>
    </w:p>
    <w:p w14:paraId="4C9B726D">
      <w:pPr>
        <w:pStyle w:val="2"/>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line="560" w:lineRule="exact"/>
        <w:ind w:leftChars="0"/>
        <w:jc w:val="center"/>
        <w:textAlignment w:val="auto"/>
        <w:rPr>
          <w:rFonts w:hint="eastAsia" w:ascii="方正小标宋_GBK" w:hAnsi="方正小标宋_GBK" w:eastAsia="方正小标宋_GBK" w:cs="方正小标宋_GBK"/>
          <w:b w:val="0"/>
          <w:bCs w:val="0"/>
          <w:color w:val="auto"/>
          <w:kern w:val="2"/>
          <w:sz w:val="36"/>
          <w:szCs w:val="36"/>
          <w:highlight w:val="none"/>
          <w:u w:val="none" w:color="auto"/>
          <w:lang w:eastAsia="zh-CN"/>
        </w:rPr>
      </w:pPr>
      <w:r>
        <w:rPr>
          <w:rFonts w:hint="eastAsia" w:ascii="方正小标宋_GBK" w:hAnsi="方正小标宋_GBK" w:eastAsia="方正小标宋_GBK" w:cs="方正小标宋_GBK"/>
          <w:b w:val="0"/>
          <w:bCs w:val="0"/>
          <w:color w:val="auto"/>
          <w:kern w:val="2"/>
          <w:sz w:val="36"/>
          <w:szCs w:val="36"/>
          <w:highlight w:val="none"/>
          <w:u w:val="none" w:color="auto"/>
          <w:lang w:eastAsia="zh-CN"/>
        </w:rPr>
        <w:t>第三章</w:t>
      </w:r>
      <w:r>
        <w:rPr>
          <w:rFonts w:hint="eastAsia" w:ascii="方正小标宋_GBK" w:hAnsi="方正小标宋_GBK" w:eastAsia="方正小标宋_GBK" w:cs="方正小标宋_GBK"/>
          <w:b w:val="0"/>
          <w:bCs w:val="0"/>
          <w:color w:val="auto"/>
          <w:kern w:val="2"/>
          <w:sz w:val="36"/>
          <w:szCs w:val="36"/>
          <w:highlight w:val="none"/>
          <w:u w:val="none" w:color="auto"/>
          <w:lang w:val="en-US" w:eastAsia="zh-CN"/>
        </w:rPr>
        <w:t xml:space="preserve">  </w:t>
      </w:r>
      <w:r>
        <w:rPr>
          <w:rFonts w:hint="eastAsia" w:ascii="方正小标宋_GBK" w:hAnsi="方正小标宋_GBK" w:eastAsia="方正小标宋_GBK" w:cs="方正小标宋_GBK"/>
          <w:b w:val="0"/>
          <w:bCs w:val="0"/>
          <w:color w:val="auto"/>
          <w:kern w:val="2"/>
          <w:sz w:val="36"/>
          <w:szCs w:val="36"/>
          <w:highlight w:val="none"/>
          <w:u w:val="none" w:color="auto"/>
          <w:lang w:eastAsia="zh-CN"/>
        </w:rPr>
        <w:t>突出科技创新引领</w:t>
      </w:r>
      <w:r>
        <w:rPr>
          <w:rFonts w:hint="eastAsia" w:ascii="方正小标宋_GBK" w:hAnsi="方正小标宋_GBK" w:eastAsia="方正小标宋_GBK" w:cs="方正小标宋_GBK"/>
          <w:b w:val="0"/>
          <w:bCs w:val="0"/>
          <w:color w:val="auto"/>
          <w:kern w:val="2"/>
          <w:sz w:val="36"/>
          <w:szCs w:val="36"/>
          <w:highlight w:val="none"/>
          <w:u w:val="none" w:color="auto"/>
          <w:lang w:val="en-US" w:eastAsia="zh-CN"/>
        </w:rPr>
        <w:t xml:space="preserve"> </w:t>
      </w:r>
      <w:r>
        <w:rPr>
          <w:rFonts w:hint="eastAsia" w:ascii="方正小标宋_GBK" w:hAnsi="方正小标宋_GBK" w:eastAsia="方正小标宋_GBK" w:cs="方正小标宋_GBK"/>
          <w:b w:val="0"/>
          <w:bCs w:val="0"/>
          <w:color w:val="auto"/>
          <w:kern w:val="2"/>
          <w:sz w:val="36"/>
          <w:szCs w:val="36"/>
          <w:highlight w:val="none"/>
          <w:u w:val="none" w:color="auto"/>
          <w:lang w:eastAsia="zh-CN"/>
        </w:rPr>
        <w:t>激发高质量发展核心动能</w:t>
      </w:r>
    </w:p>
    <w:p w14:paraId="3FFF5E3F">
      <w:pPr>
        <w:pStyle w:val="2"/>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640" w:firstLineChars="200"/>
        <w:jc w:val="both"/>
        <w:textAlignment w:val="auto"/>
        <w:rPr>
          <w:rFonts w:hint="eastAsia" w:ascii="方正仿宋_GBK" w:hAnsi="方正仿宋_GBK" w:eastAsia="方正仿宋_GBK" w:cs="方正仿宋_GBK"/>
          <w:b w:val="0"/>
          <w:bCs w:val="0"/>
          <w:color w:val="auto"/>
          <w:kern w:val="2"/>
          <w:sz w:val="32"/>
          <w:szCs w:val="32"/>
          <w:highlight w:val="none"/>
          <w:u w:val="none" w:color="auto"/>
          <w:lang w:eastAsia="zh-CN"/>
        </w:rPr>
      </w:pPr>
      <w:r>
        <w:rPr>
          <w:rFonts w:hint="eastAsia" w:ascii="方正仿宋_GBK" w:hAnsi="方正仿宋_GBK" w:eastAsia="方正仿宋_GBK" w:cs="方正仿宋_GBK"/>
          <w:b w:val="0"/>
          <w:bCs w:val="0"/>
          <w:color w:val="auto"/>
          <w:kern w:val="2"/>
          <w:sz w:val="32"/>
          <w:szCs w:val="32"/>
          <w:highlight w:val="none"/>
          <w:u w:val="none" w:color="auto"/>
          <w:lang w:eastAsia="zh-CN"/>
        </w:rPr>
        <w:t>把握新一轮科技革命和产业变革历史机遇，以科技创新推动产业创新，加快发展新质生产力。推动创新链、产业链、资金链、人才链深度融合，完善区域创新体系，全面提升科技成果转化和产业化水平，为辽源高质量转型发展注入核心动能。</w:t>
      </w:r>
    </w:p>
    <w:p w14:paraId="5EF0563D">
      <w:pPr>
        <w:pStyle w:val="2"/>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left="0" w:leftChars="0" w:firstLine="640" w:firstLineChars="200"/>
        <w:jc w:val="center"/>
        <w:textAlignment w:val="auto"/>
        <w:rPr>
          <w:rFonts w:hint="eastAsia" w:ascii="方正黑体_GBK" w:hAnsi="方正黑体_GBK" w:eastAsia="方正黑体_GBK" w:cs="方正黑体_GBK"/>
          <w:b w:val="0"/>
          <w:bCs w:val="0"/>
          <w:color w:val="auto"/>
          <w:kern w:val="2"/>
          <w:sz w:val="32"/>
          <w:szCs w:val="32"/>
          <w:highlight w:val="none"/>
          <w:u w:val="none" w:color="auto"/>
          <w:lang w:eastAsia="zh-CN"/>
        </w:rPr>
      </w:pPr>
      <w:r>
        <w:rPr>
          <w:rFonts w:hint="eastAsia" w:ascii="方正黑体_GBK" w:hAnsi="方正黑体_GBK" w:eastAsia="方正黑体_GBK" w:cs="方正黑体_GBK"/>
          <w:b w:val="0"/>
          <w:bCs w:val="0"/>
          <w:color w:val="auto"/>
          <w:kern w:val="2"/>
          <w:sz w:val="32"/>
          <w:szCs w:val="32"/>
          <w:highlight w:val="none"/>
          <w:u w:val="none" w:color="auto"/>
          <w:lang w:eastAsia="zh-CN"/>
        </w:rPr>
        <w:t>第一节  搭建高能级创新平台载体</w:t>
      </w:r>
    </w:p>
    <w:p w14:paraId="054FD073">
      <w:pPr>
        <w:pStyle w:val="2"/>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640" w:firstLineChars="200"/>
        <w:jc w:val="both"/>
        <w:textAlignment w:val="auto"/>
        <w:rPr>
          <w:rFonts w:hint="eastAsia" w:ascii="方正仿宋_GBK" w:hAnsi="方正仿宋_GBK" w:eastAsia="方正仿宋_GBK" w:cs="方正仿宋_GBK"/>
          <w:b w:val="0"/>
          <w:bCs w:val="0"/>
          <w:color w:val="auto"/>
          <w:kern w:val="2"/>
          <w:sz w:val="32"/>
          <w:szCs w:val="32"/>
          <w:highlight w:val="none"/>
          <w:u w:val="none" w:color="auto"/>
          <w:lang w:eastAsia="zh-CN"/>
        </w:rPr>
      </w:pPr>
      <w:r>
        <w:rPr>
          <w:rFonts w:hint="eastAsia" w:ascii="方正仿宋_GBK" w:hAnsi="方正仿宋_GBK" w:eastAsia="方正仿宋_GBK" w:cs="方正仿宋_GBK"/>
          <w:b w:val="0"/>
          <w:bCs w:val="0"/>
          <w:color w:val="auto"/>
          <w:kern w:val="2"/>
          <w:sz w:val="32"/>
          <w:szCs w:val="32"/>
          <w:highlight w:val="none"/>
          <w:u w:val="none" w:color="auto"/>
          <w:lang w:eastAsia="zh-CN"/>
        </w:rPr>
        <w:t>完善以企业为主体、市场为导向、产学研用金介深度融合的协同创新机制，布局建设多层次、高能级的创新平台体系。鼓励装备制造、医药健康、新能源汽车零部件等重点领域龙头企业，联合高校、科研院所组建产学研创新联盟，通过技术许可、合作研发等方式，共同攻关产业关键核心技术。积极推动与长春工业大学签署校地合作协议，共建辽源汽车产业技术研究院。与吉林省氢能产业综合研究院合作共建辽源市氢能产业综合研究院。积极推广“域外研发+辽源转化”模式，支持企业在长春、沈阳、北京、上海等创新资源富集地区设立研发中心或“科创飞地”，吸引高端人才、技术等创新要素向辽源集聚。积极融入哈长沈大产业科技创新走廊，强化区域协同创新。围绕梅花鹿、高精铝、纺织袜业等特色产业，对接省内高校及科研资源，争创省级重点实验室、技术创新中心、产业创新中心。完善科技成果转化机制，依托吉林大学、省农科院等合作高校院所，建设一批中试基地和成果转化基地。到2030年，建成东丰梅花鹿等省级以上重点实验室、科创中心平台30个以上。</w:t>
      </w:r>
    </w:p>
    <w:p w14:paraId="132FE8BF">
      <w:pPr>
        <w:pStyle w:val="2"/>
        <w:keepNext w:val="0"/>
        <w:keepLines w:val="0"/>
        <w:pageBreakBefore w:val="0"/>
        <w:widowControl w:val="0"/>
        <w:kinsoku/>
        <w:wordWrap/>
        <w:overflowPunct/>
        <w:topLinePunct w:val="0"/>
        <w:autoSpaceDE/>
        <w:autoSpaceDN/>
        <w:bidi w:val="0"/>
        <w:adjustRightInd/>
        <w:snapToGrid/>
        <w:spacing w:after="0" w:afterLines="0" w:line="200" w:lineRule="exact"/>
        <w:ind w:left="0" w:leftChars="0" w:firstLine="640" w:firstLineChars="200"/>
        <w:jc w:val="both"/>
        <w:textAlignment w:val="auto"/>
        <w:rPr>
          <w:rFonts w:hint="eastAsia" w:ascii="方正仿宋_GBK" w:hAnsi="方正仿宋_GBK" w:eastAsia="方正仿宋_GBK" w:cs="方正仿宋_GBK"/>
          <w:b w:val="0"/>
          <w:bCs w:val="0"/>
          <w:color w:val="auto"/>
          <w:kern w:val="2"/>
          <w:sz w:val="32"/>
          <w:szCs w:val="32"/>
          <w:highlight w:val="none"/>
          <w:u w:val="none" w:color="auto"/>
          <w:lang w:eastAsia="zh-CN"/>
        </w:rPr>
      </w:pP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1521D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2" w:hRule="atLeast"/>
          <w:jc w:val="center"/>
        </w:trPr>
        <w:tc>
          <w:tcPr>
            <w:tcW w:w="8834" w:type="dxa"/>
            <w:noWrap w:val="0"/>
            <w:vAlign w:val="top"/>
          </w:tcPr>
          <w:p w14:paraId="4400A67E">
            <w:pPr>
              <w:keepNext w:val="0"/>
              <w:keepLines w:val="0"/>
              <w:pageBreakBefore w:val="0"/>
              <w:widowControl w:val="0"/>
              <w:kinsoku/>
              <w:wordWrap/>
              <w:overflowPunct w:val="0"/>
              <w:topLinePunct/>
              <w:autoSpaceDE/>
              <w:autoSpaceDN/>
              <w:bidi w:val="0"/>
              <w:adjustRightInd/>
              <w:snapToGrid/>
              <w:spacing w:before="156" w:beforeLines="50" w:after="156" w:afterLines="50" w:line="340" w:lineRule="exact"/>
              <w:ind w:firstLine="0" w:firstLineChars="0"/>
              <w:jc w:val="center"/>
              <w:textAlignment w:val="auto"/>
              <w:rPr>
                <w:rFonts w:hint="eastAsia" w:ascii="方正黑体_GBK" w:hAnsi="方正黑体_GBK" w:eastAsia="方正黑体_GBK" w:cs="方正黑体_GBK"/>
                <w:b w:val="0"/>
                <w:bCs w:val="0"/>
                <w:color w:val="auto"/>
                <w:kern w:val="0"/>
                <w:sz w:val="28"/>
                <w:szCs w:val="28"/>
              </w:rPr>
            </w:pPr>
            <w:r>
              <w:rPr>
                <w:rFonts w:hint="eastAsia" w:ascii="方正黑体_GBK" w:hAnsi="方正黑体_GBK" w:eastAsia="方正黑体_GBK" w:cs="方正黑体_GBK"/>
                <w:b w:val="0"/>
                <w:bCs w:val="0"/>
                <w:color w:val="auto"/>
                <w:sz w:val="28"/>
                <w:szCs w:val="28"/>
              </w:rPr>
              <w:t>专栏</w:t>
            </w:r>
            <w:r>
              <w:rPr>
                <w:rFonts w:hint="eastAsia" w:ascii="方正黑体_GBK" w:hAnsi="方正黑体_GBK" w:eastAsia="方正黑体_GBK" w:cs="方正黑体_GBK"/>
                <w:b w:val="0"/>
                <w:bCs w:val="0"/>
                <w:color w:val="auto"/>
                <w:sz w:val="28"/>
                <w:szCs w:val="28"/>
                <w:lang w:val="en-US" w:eastAsia="zh-CN"/>
              </w:rPr>
              <w:t>5</w:t>
            </w:r>
            <w:r>
              <w:rPr>
                <w:rFonts w:hint="eastAsia" w:ascii="方正黑体_GBK" w:hAnsi="方正黑体_GBK" w:eastAsia="方正黑体_GBK" w:cs="方正黑体_GBK"/>
                <w:b w:val="0"/>
                <w:bCs w:val="0"/>
                <w:color w:val="auto"/>
                <w:sz w:val="28"/>
                <w:szCs w:val="28"/>
              </w:rPr>
              <w:t xml:space="preserve"> </w:t>
            </w:r>
            <w:r>
              <w:rPr>
                <w:rFonts w:hint="eastAsia" w:ascii="方正黑体_GBK" w:hAnsi="方正黑体_GBK" w:eastAsia="方正黑体_GBK" w:cs="方正黑体_GBK"/>
                <w:b w:val="0"/>
                <w:bCs w:val="0"/>
                <w:color w:val="auto"/>
                <w:sz w:val="28"/>
                <w:szCs w:val="28"/>
                <w:lang w:val="en-US" w:eastAsia="zh-CN"/>
              </w:rPr>
              <w:t xml:space="preserve"> </w:t>
            </w:r>
            <w:r>
              <w:rPr>
                <w:rFonts w:hint="eastAsia" w:ascii="方正黑体_GBK" w:hAnsi="方正黑体_GBK" w:eastAsia="方正黑体_GBK" w:cs="方正黑体_GBK"/>
                <w:b w:val="0"/>
                <w:bCs w:val="0"/>
                <w:color w:val="auto"/>
                <w:sz w:val="28"/>
                <w:szCs w:val="28"/>
              </w:rPr>
              <w:t>科技创新领域重点平台</w:t>
            </w:r>
          </w:p>
          <w:p w14:paraId="1850C084">
            <w:pPr>
              <w:keepNext w:val="0"/>
              <w:keepLines w:val="0"/>
              <w:pageBreakBefore w:val="0"/>
              <w:widowControl w:val="0"/>
              <w:kinsoku/>
              <w:wordWrap/>
              <w:overflowPunct w:val="0"/>
              <w:topLinePunct/>
              <w:autoSpaceDE/>
              <w:autoSpaceDN/>
              <w:bidi w:val="0"/>
              <w:adjustRightInd/>
              <w:snapToGrid/>
              <w:spacing w:line="340" w:lineRule="exact"/>
              <w:ind w:firstLine="422"/>
              <w:textAlignment w:val="auto"/>
              <w:rPr>
                <w:rFonts w:hint="default"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 xml:space="preserve">1. </w:t>
            </w:r>
            <w:r>
              <w:rPr>
                <w:rFonts w:hint="eastAsia" w:ascii="宋体" w:hAnsi="宋体" w:eastAsia="宋体" w:cs="宋体"/>
                <w:b w:val="0"/>
                <w:bCs w:val="0"/>
                <w:color w:val="auto"/>
                <w:sz w:val="21"/>
                <w:szCs w:val="21"/>
              </w:rPr>
              <w:t>梅花鹿产品物质基础及功能评价重点实验室</w:t>
            </w:r>
          </w:p>
          <w:p w14:paraId="07F76FB1">
            <w:pPr>
              <w:keepNext w:val="0"/>
              <w:keepLines w:val="0"/>
              <w:pageBreakBefore w:val="0"/>
              <w:widowControl w:val="0"/>
              <w:kinsoku/>
              <w:wordWrap/>
              <w:overflowPunct w:val="0"/>
              <w:topLinePunct/>
              <w:autoSpaceDE/>
              <w:autoSpaceDN/>
              <w:bidi w:val="0"/>
              <w:adjustRightInd/>
              <w:snapToGrid/>
              <w:spacing w:line="340" w:lineRule="exact"/>
              <w:ind w:firstLine="422"/>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聚焦领域核心难题，培养梅花鹿产品物质基础及功能评价高水平科研团队，深入开展“鹿肉质提升”“培育新型高产肉用鹿品种”等研发项目，开发高附加值鹿产品，推动涉鹿食品、保健品、药品等领域的科技成果转化落地，为区域经济发展注入新动能。</w:t>
            </w:r>
          </w:p>
          <w:p w14:paraId="4B429B57">
            <w:pPr>
              <w:keepNext w:val="0"/>
              <w:keepLines w:val="0"/>
              <w:pageBreakBefore w:val="0"/>
              <w:widowControl w:val="0"/>
              <w:kinsoku/>
              <w:wordWrap/>
              <w:overflowPunct w:val="0"/>
              <w:topLinePunct/>
              <w:autoSpaceDE/>
              <w:autoSpaceDN/>
              <w:bidi w:val="0"/>
              <w:adjustRightInd/>
              <w:snapToGrid/>
              <w:spacing w:line="340" w:lineRule="exact"/>
              <w:ind w:firstLine="422"/>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lang w:val="en-US" w:eastAsia="zh-CN"/>
              </w:rPr>
              <w:t xml:space="preserve">2. </w:t>
            </w:r>
            <w:r>
              <w:rPr>
                <w:rFonts w:hint="eastAsia" w:ascii="宋体" w:hAnsi="宋体" w:eastAsia="宋体" w:cs="宋体"/>
                <w:b w:val="0"/>
                <w:bCs w:val="0"/>
                <w:color w:val="auto"/>
                <w:sz w:val="21"/>
                <w:szCs w:val="21"/>
              </w:rPr>
              <w:t>蛋品精深加工科技成果转化中试中心</w:t>
            </w:r>
          </w:p>
          <w:p w14:paraId="407BA0F6">
            <w:pPr>
              <w:keepNext w:val="0"/>
              <w:keepLines w:val="0"/>
              <w:pageBreakBefore w:val="0"/>
              <w:widowControl w:val="0"/>
              <w:kinsoku/>
              <w:wordWrap/>
              <w:overflowPunct w:val="0"/>
              <w:topLinePunct/>
              <w:autoSpaceDE/>
              <w:autoSpaceDN/>
              <w:bidi w:val="0"/>
              <w:adjustRightInd/>
              <w:snapToGrid/>
              <w:spacing w:line="340" w:lineRule="exact"/>
              <w:ind w:firstLine="422"/>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整合研发、检测与中试资源，搭建成果转化关键平台，开展功能活性物质提取、新型蛋制品开发、品质控制与标准化等关键技术攻关与工艺优化，开发高附加值蛋品及其衍生产品，推动一批新型营养健康食品、生物制品等蛋品精深加工</w:t>
            </w:r>
            <w:r>
              <w:rPr>
                <w:rFonts w:hint="eastAsia" w:ascii="宋体" w:hAnsi="宋体" w:eastAsia="宋体" w:cs="宋体"/>
                <w:b w:val="0"/>
                <w:bCs w:val="0"/>
                <w:color w:val="auto"/>
                <w:sz w:val="21"/>
                <w:szCs w:val="21"/>
                <w:lang w:eastAsia="zh-CN"/>
              </w:rPr>
              <w:t>科技成果转化</w:t>
            </w:r>
            <w:r>
              <w:rPr>
                <w:rFonts w:hint="eastAsia" w:ascii="宋体" w:hAnsi="宋体" w:eastAsia="宋体" w:cs="宋体"/>
                <w:b w:val="0"/>
                <w:bCs w:val="0"/>
                <w:color w:val="auto"/>
                <w:sz w:val="21"/>
                <w:szCs w:val="21"/>
              </w:rPr>
              <w:t>与落地。</w:t>
            </w:r>
          </w:p>
          <w:p w14:paraId="7594FE9D">
            <w:pPr>
              <w:keepNext w:val="0"/>
              <w:keepLines w:val="0"/>
              <w:pageBreakBefore w:val="0"/>
              <w:widowControl w:val="0"/>
              <w:kinsoku/>
              <w:wordWrap/>
              <w:overflowPunct w:val="0"/>
              <w:topLinePunct/>
              <w:autoSpaceDE/>
              <w:autoSpaceDN/>
              <w:bidi w:val="0"/>
              <w:adjustRightInd/>
              <w:snapToGrid/>
              <w:spacing w:line="340" w:lineRule="exact"/>
              <w:ind w:firstLine="422"/>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lang w:val="en-US" w:eastAsia="zh-CN"/>
              </w:rPr>
              <w:t xml:space="preserve">3. </w:t>
            </w:r>
            <w:r>
              <w:rPr>
                <w:rFonts w:hint="eastAsia" w:ascii="宋体" w:hAnsi="宋体" w:eastAsia="宋体" w:cs="宋体"/>
                <w:b w:val="0"/>
                <w:bCs w:val="0"/>
                <w:color w:val="auto"/>
                <w:sz w:val="21"/>
                <w:szCs w:val="21"/>
              </w:rPr>
              <w:t>原料药中间体科技成果转化中试中心</w:t>
            </w:r>
          </w:p>
          <w:p w14:paraId="070825B3">
            <w:pPr>
              <w:keepNext w:val="0"/>
              <w:keepLines w:val="0"/>
              <w:pageBreakBefore w:val="0"/>
              <w:widowControl w:val="0"/>
              <w:kinsoku/>
              <w:wordWrap/>
              <w:overflowPunct w:val="0"/>
              <w:topLinePunct/>
              <w:autoSpaceDE/>
              <w:autoSpaceDN/>
              <w:bidi w:val="0"/>
              <w:adjustRightInd/>
              <w:snapToGrid/>
              <w:spacing w:line="340" w:lineRule="exact"/>
              <w:ind w:firstLine="422"/>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加快推进国内技术领先、设备先进的原料药及中间体研发与中试平台建设，为高校、科研院所及企业提供高水平、开放式的成果转化服务。推动具备产业化前景的中试项目实现规模化应用，引进和培育高端原料药细分领域企业，提升产业整体技术水平和市场竞争力。</w:t>
            </w:r>
          </w:p>
          <w:p w14:paraId="63F2405F">
            <w:pPr>
              <w:keepNext w:val="0"/>
              <w:keepLines w:val="0"/>
              <w:pageBreakBefore w:val="0"/>
              <w:widowControl w:val="0"/>
              <w:kinsoku/>
              <w:wordWrap/>
              <w:overflowPunct w:val="0"/>
              <w:topLinePunct/>
              <w:autoSpaceDE/>
              <w:autoSpaceDN/>
              <w:bidi w:val="0"/>
              <w:adjustRightInd/>
              <w:snapToGrid/>
              <w:spacing w:line="340" w:lineRule="exact"/>
              <w:ind w:firstLine="422"/>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4. 农作物种业科技成果转化中试中心</w:t>
            </w:r>
          </w:p>
          <w:p w14:paraId="68D9999F">
            <w:pPr>
              <w:keepNext w:val="0"/>
              <w:keepLines w:val="0"/>
              <w:pageBreakBefore w:val="0"/>
              <w:widowControl w:val="0"/>
              <w:kinsoku/>
              <w:wordWrap/>
              <w:overflowPunct w:val="0"/>
              <w:topLinePunct/>
              <w:autoSpaceDE/>
              <w:autoSpaceDN/>
              <w:bidi w:val="0"/>
              <w:adjustRightInd/>
              <w:snapToGrid/>
              <w:spacing w:line="340" w:lineRule="exact"/>
              <w:ind w:firstLine="422"/>
              <w:textAlignment w:val="auto"/>
              <w:rPr>
                <w:rFonts w:hint="eastAsia" w:ascii="Times New Roman" w:hAnsi="Times New Roman" w:eastAsia="宋体" w:cs="Times New Roman"/>
                <w:color w:val="auto"/>
                <w:sz w:val="21"/>
                <w:szCs w:val="21"/>
                <w:lang w:eastAsia="zh-CN"/>
              </w:rPr>
            </w:pPr>
            <w:r>
              <w:rPr>
                <w:rFonts w:hint="eastAsia" w:ascii="宋体" w:hAnsi="宋体" w:eastAsia="宋体" w:cs="宋体"/>
                <w:b w:val="0"/>
                <w:bCs w:val="0"/>
                <w:color w:val="auto"/>
                <w:sz w:val="21"/>
                <w:szCs w:val="21"/>
                <w:lang w:val="en-US" w:eastAsia="zh-CN"/>
              </w:rPr>
              <w:t>突破种业</w:t>
            </w:r>
            <w:r>
              <w:rPr>
                <w:rFonts w:hint="eastAsia" w:ascii="Times New Roman" w:hAnsi="Times New Roman" w:eastAsia="宋体" w:cs="Times New Roman"/>
                <w:b w:val="0"/>
                <w:bCs w:val="0"/>
                <w:color w:val="auto"/>
                <w:sz w:val="21"/>
                <w:szCs w:val="21"/>
                <w:lang w:val="en-US" w:eastAsia="zh-CN"/>
              </w:rPr>
              <w:t>“卡脖子”技术，开展高产优质、抗逆抗病、适宜机械化作业的新品种（系）选育与联合攻关，推进育种关键技术集成与良种繁育工艺优化。加速新品种就地转化与推广应用，推动一批具备市场潜力的突破性新品种完成中试与区域试验。</w:t>
            </w:r>
          </w:p>
        </w:tc>
      </w:tr>
    </w:tbl>
    <w:p w14:paraId="25AB3257">
      <w:pPr>
        <w:pStyle w:val="2"/>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left="0" w:leftChars="0" w:firstLine="0" w:firstLineChars="0"/>
        <w:jc w:val="center"/>
        <w:textAlignment w:val="auto"/>
        <w:rPr>
          <w:rFonts w:hint="eastAsia" w:ascii="方正黑体_GBK" w:hAnsi="方正黑体_GBK" w:eastAsia="方正黑体_GBK" w:cs="方正黑体_GBK"/>
          <w:b w:val="0"/>
          <w:bCs w:val="0"/>
          <w:color w:val="auto"/>
          <w:kern w:val="2"/>
          <w:sz w:val="32"/>
          <w:szCs w:val="32"/>
          <w:highlight w:val="none"/>
          <w:u w:val="none" w:color="auto"/>
          <w:lang w:eastAsia="zh-CN"/>
        </w:rPr>
      </w:pPr>
      <w:r>
        <w:rPr>
          <w:rFonts w:hint="eastAsia" w:ascii="方正黑体_GBK" w:hAnsi="方正黑体_GBK" w:eastAsia="方正黑体_GBK" w:cs="方正黑体_GBK"/>
          <w:b w:val="0"/>
          <w:bCs w:val="0"/>
          <w:color w:val="auto"/>
          <w:kern w:val="2"/>
          <w:sz w:val="32"/>
          <w:szCs w:val="32"/>
          <w:highlight w:val="none"/>
          <w:u w:val="none" w:color="auto"/>
          <w:lang w:eastAsia="zh-CN"/>
        </w:rPr>
        <w:t>第二节  强化企业科技创新主体地位</w:t>
      </w:r>
    </w:p>
    <w:p w14:paraId="590593BF">
      <w:pPr>
        <w:pStyle w:val="2"/>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640" w:firstLineChars="200"/>
        <w:jc w:val="both"/>
        <w:textAlignment w:val="auto"/>
        <w:rPr>
          <w:rFonts w:hint="eastAsia" w:ascii="方正仿宋_GBK" w:hAnsi="方正仿宋_GBK" w:eastAsia="方正仿宋_GBK" w:cs="方正仿宋_GBK"/>
          <w:b w:val="0"/>
          <w:bCs w:val="0"/>
          <w:color w:val="auto"/>
          <w:kern w:val="2"/>
          <w:sz w:val="32"/>
          <w:szCs w:val="32"/>
          <w:highlight w:val="none"/>
          <w:u w:val="none" w:color="auto"/>
          <w:lang w:eastAsia="zh-CN"/>
        </w:rPr>
      </w:pPr>
      <w:r>
        <w:rPr>
          <w:rFonts w:hint="eastAsia" w:ascii="方正仿宋_GBK" w:hAnsi="方正仿宋_GBK" w:eastAsia="方正仿宋_GBK" w:cs="方正仿宋_GBK"/>
          <w:b w:val="0"/>
          <w:bCs w:val="0"/>
          <w:color w:val="auto"/>
          <w:kern w:val="2"/>
          <w:sz w:val="32"/>
          <w:szCs w:val="32"/>
          <w:highlight w:val="none"/>
          <w:u w:val="none" w:color="auto"/>
          <w:lang w:eastAsia="zh-CN"/>
        </w:rPr>
        <w:t>坚持将企业作为科技创新的核心主体，完善“政策引导+服务赋能”的支撑体系，推动技术、人才、资金、数据等创新要素向企业集聚，构建以企业为主导的产学研用深度融合格局。建立健全“科技型中小企业—高新技术企业—‘雏鹰’‘瞪羚’企业—专精特新‘小巨人’—上市企业和创新领军企业”的梯次培育库，实施分类指导、动态管理、精准扶持，打造接续有力、梯队发展的创新型企业集群。聚焦袜业纺织、高精铝深加工、汽车零部件、新能源、医药健康等重点产业链，重点培育一批具有产业链主导力的科技领军企业和掌握关键核心技术的细分领域“隐形冠军”。强化企业在创新方向、技术路线、资源配置中的主导权，鼓励企业持续加大研发投入，建立企业技术中心、工程研究中心、工业设计中心等研发机构，积极承担国家和省级重大科技项目、重点研发计划。建设完善企业公共服务平台、制造业创新服务平台和科技金融对接平台，推动“个性化+专业化”惠企政策精准直达。深入开展专家进企业活动，促进技术、管理、服务下沉，构建大中小企业协同创新、融通发展的产业生态。</w:t>
      </w:r>
    </w:p>
    <w:p w14:paraId="408E767B">
      <w:pPr>
        <w:pStyle w:val="2"/>
        <w:keepNext w:val="0"/>
        <w:keepLines w:val="0"/>
        <w:pageBreakBefore w:val="0"/>
        <w:widowControl w:val="0"/>
        <w:kinsoku/>
        <w:wordWrap/>
        <w:overflowPunct/>
        <w:topLinePunct w:val="0"/>
        <w:autoSpaceDE/>
        <w:autoSpaceDN/>
        <w:bidi w:val="0"/>
        <w:adjustRightInd/>
        <w:snapToGrid/>
        <w:spacing w:after="0" w:afterLines="0" w:line="300" w:lineRule="exact"/>
        <w:ind w:left="0" w:leftChars="0" w:firstLine="640" w:firstLineChars="200"/>
        <w:jc w:val="both"/>
        <w:textAlignment w:val="auto"/>
        <w:rPr>
          <w:rFonts w:hint="eastAsia" w:ascii="方正仿宋_GBK" w:hAnsi="方正仿宋_GBK" w:eastAsia="方正仿宋_GBK" w:cs="方正仿宋_GBK"/>
          <w:b w:val="0"/>
          <w:bCs w:val="0"/>
          <w:color w:val="auto"/>
          <w:kern w:val="2"/>
          <w:sz w:val="32"/>
          <w:szCs w:val="32"/>
          <w:highlight w:val="none"/>
          <w:u w:val="none" w:color="auto"/>
          <w:lang w:eastAsia="zh-CN"/>
        </w:rPr>
      </w:pP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26EA7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2" w:hRule="atLeast"/>
          <w:jc w:val="center"/>
        </w:trPr>
        <w:tc>
          <w:tcPr>
            <w:tcW w:w="8834" w:type="dxa"/>
            <w:noWrap w:val="0"/>
            <w:vAlign w:val="top"/>
          </w:tcPr>
          <w:p w14:paraId="36CB2C01">
            <w:pPr>
              <w:keepNext w:val="0"/>
              <w:keepLines w:val="0"/>
              <w:pageBreakBefore w:val="0"/>
              <w:widowControl w:val="0"/>
              <w:kinsoku/>
              <w:wordWrap/>
              <w:overflowPunct w:val="0"/>
              <w:topLinePunct/>
              <w:autoSpaceDE/>
              <w:autoSpaceDN/>
              <w:bidi w:val="0"/>
              <w:adjustRightInd/>
              <w:snapToGrid/>
              <w:spacing w:before="156" w:beforeLines="50" w:after="156" w:afterLines="50" w:line="340" w:lineRule="exact"/>
              <w:ind w:firstLine="0" w:firstLineChars="0"/>
              <w:jc w:val="center"/>
              <w:textAlignment w:val="auto"/>
              <w:rPr>
                <w:rFonts w:hint="eastAsia" w:ascii="方正黑体_GBK" w:hAnsi="方正黑体_GBK" w:eastAsia="方正黑体_GBK" w:cs="方正黑体_GBK"/>
                <w:b w:val="0"/>
                <w:bCs w:val="0"/>
                <w:color w:val="auto"/>
                <w:kern w:val="0"/>
                <w:sz w:val="28"/>
                <w:szCs w:val="28"/>
              </w:rPr>
            </w:pPr>
            <w:r>
              <w:rPr>
                <w:rFonts w:hint="eastAsia" w:ascii="方正黑体_GBK" w:hAnsi="方正黑体_GBK" w:eastAsia="方正黑体_GBK" w:cs="方正黑体_GBK"/>
                <w:b w:val="0"/>
                <w:bCs w:val="0"/>
                <w:color w:val="auto"/>
                <w:sz w:val="28"/>
                <w:szCs w:val="28"/>
              </w:rPr>
              <w:t>专栏</w:t>
            </w:r>
            <w:r>
              <w:rPr>
                <w:rFonts w:hint="eastAsia" w:ascii="方正黑体_GBK" w:hAnsi="方正黑体_GBK" w:eastAsia="方正黑体_GBK" w:cs="方正黑体_GBK"/>
                <w:b w:val="0"/>
                <w:bCs w:val="0"/>
                <w:color w:val="auto"/>
                <w:sz w:val="28"/>
                <w:szCs w:val="28"/>
                <w:lang w:val="en-US" w:eastAsia="zh-CN"/>
              </w:rPr>
              <w:t>6</w:t>
            </w:r>
            <w:r>
              <w:rPr>
                <w:rFonts w:hint="eastAsia" w:ascii="方正黑体_GBK" w:hAnsi="方正黑体_GBK" w:eastAsia="方正黑体_GBK" w:cs="方正黑体_GBK"/>
                <w:b w:val="0"/>
                <w:bCs w:val="0"/>
                <w:color w:val="auto"/>
                <w:sz w:val="28"/>
                <w:szCs w:val="28"/>
              </w:rPr>
              <w:t xml:space="preserve">  科技创新重点行动</w:t>
            </w:r>
          </w:p>
          <w:p w14:paraId="7AA32AF6">
            <w:pPr>
              <w:keepNext w:val="0"/>
              <w:keepLines w:val="0"/>
              <w:pageBreakBefore w:val="0"/>
              <w:widowControl w:val="0"/>
              <w:kinsoku/>
              <w:wordWrap/>
              <w:overflowPunct w:val="0"/>
              <w:topLinePunct/>
              <w:autoSpaceDE/>
              <w:autoSpaceDN/>
              <w:bidi w:val="0"/>
              <w:adjustRightInd/>
              <w:snapToGrid/>
              <w:spacing w:line="340" w:lineRule="exact"/>
              <w:ind w:firstLine="422"/>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 xml:space="preserve">1. </w:t>
            </w:r>
            <w:r>
              <w:rPr>
                <w:rFonts w:hint="eastAsia" w:ascii="宋体" w:hAnsi="宋体" w:eastAsia="宋体" w:cs="宋体"/>
                <w:b w:val="0"/>
                <w:bCs w:val="0"/>
                <w:color w:val="auto"/>
                <w:sz w:val="21"/>
                <w:szCs w:val="21"/>
              </w:rPr>
              <w:t>区域创新载体建设行动</w:t>
            </w:r>
          </w:p>
          <w:p w14:paraId="71FAFCFA">
            <w:pPr>
              <w:keepNext w:val="0"/>
              <w:keepLines w:val="0"/>
              <w:pageBreakBefore w:val="0"/>
              <w:widowControl w:val="0"/>
              <w:kinsoku/>
              <w:wordWrap/>
              <w:overflowPunct w:val="0"/>
              <w:topLinePunct/>
              <w:autoSpaceDE/>
              <w:autoSpaceDN/>
              <w:bidi w:val="0"/>
              <w:adjustRightInd/>
              <w:snapToGrid/>
              <w:spacing w:line="340" w:lineRule="exact"/>
              <w:ind w:firstLine="422"/>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以</w:t>
            </w:r>
            <w:r>
              <w:rPr>
                <w:rFonts w:hint="eastAsia" w:ascii="宋体" w:hAnsi="宋体" w:eastAsia="宋体" w:cs="宋体"/>
                <w:b w:val="0"/>
                <w:bCs w:val="0"/>
                <w:color w:val="auto"/>
                <w:sz w:val="21"/>
                <w:szCs w:val="21"/>
                <w:lang w:eastAsia="zh-CN"/>
              </w:rPr>
              <w:t>辽源</w:t>
            </w:r>
            <w:r>
              <w:rPr>
                <w:rFonts w:hint="eastAsia" w:ascii="宋体" w:hAnsi="宋体" w:eastAsia="宋体" w:cs="宋体"/>
                <w:b w:val="0"/>
                <w:bCs w:val="0"/>
                <w:color w:val="auto"/>
                <w:sz w:val="21"/>
                <w:szCs w:val="21"/>
              </w:rPr>
              <w:t>高新区为主体，</w:t>
            </w:r>
            <w:r>
              <w:rPr>
                <w:rFonts w:hint="eastAsia" w:ascii="宋体" w:hAnsi="宋体" w:eastAsia="宋体" w:cs="宋体"/>
                <w:b w:val="0"/>
                <w:bCs w:val="0"/>
                <w:color w:val="auto"/>
                <w:sz w:val="21"/>
                <w:szCs w:val="21"/>
                <w:lang w:val="en-US" w:eastAsia="zh-CN"/>
              </w:rPr>
              <w:t>推动</w:t>
            </w:r>
            <w:r>
              <w:rPr>
                <w:rFonts w:hint="eastAsia" w:ascii="宋体" w:hAnsi="宋体" w:eastAsia="宋体" w:cs="宋体"/>
                <w:b w:val="0"/>
                <w:bCs w:val="0"/>
                <w:color w:val="auto"/>
                <w:sz w:val="21"/>
                <w:szCs w:val="21"/>
              </w:rPr>
              <w:t>创新平台扩容</w:t>
            </w:r>
            <w:r>
              <w:rPr>
                <w:rFonts w:hint="eastAsia" w:ascii="宋体" w:hAnsi="宋体" w:eastAsia="宋体" w:cs="宋体"/>
                <w:b w:val="0"/>
                <w:bCs w:val="0"/>
                <w:color w:val="auto"/>
                <w:sz w:val="21"/>
                <w:szCs w:val="21"/>
                <w:lang w:val="en-US" w:eastAsia="zh-CN"/>
              </w:rPr>
              <w:t>和创新</w:t>
            </w:r>
            <w:r>
              <w:rPr>
                <w:rFonts w:hint="eastAsia" w:ascii="宋体" w:hAnsi="宋体" w:eastAsia="宋体" w:cs="宋体"/>
                <w:b w:val="0"/>
                <w:bCs w:val="0"/>
                <w:color w:val="auto"/>
                <w:sz w:val="21"/>
                <w:szCs w:val="21"/>
              </w:rPr>
              <w:t>生态优化，做大做强高新技术产业集群。以科技领军型企业为龙头，联合</w:t>
            </w:r>
            <w:r>
              <w:rPr>
                <w:rFonts w:hint="eastAsia" w:ascii="宋体" w:hAnsi="宋体" w:eastAsia="宋体" w:cs="宋体"/>
                <w:b w:val="0"/>
                <w:bCs w:val="0"/>
                <w:color w:val="auto"/>
                <w:sz w:val="21"/>
                <w:szCs w:val="21"/>
                <w:lang w:val="en-US" w:eastAsia="zh-CN"/>
              </w:rPr>
              <w:t>高校</w:t>
            </w:r>
            <w:r>
              <w:rPr>
                <w:rFonts w:hint="eastAsia" w:ascii="宋体" w:hAnsi="宋体" w:eastAsia="宋体" w:cs="宋体"/>
                <w:b w:val="0"/>
                <w:bCs w:val="0"/>
                <w:color w:val="auto"/>
                <w:sz w:val="21"/>
                <w:szCs w:val="21"/>
              </w:rPr>
              <w:t>、科研院所共建创新中心、中试基地等平台，开展关键核心技术联合攻关。布局建设域外科技成果转移转化飞地，链接高端创新资源，持续壮大创新主体规模。</w:t>
            </w:r>
          </w:p>
          <w:p w14:paraId="3CAAD626">
            <w:pPr>
              <w:keepNext w:val="0"/>
              <w:keepLines w:val="0"/>
              <w:pageBreakBefore w:val="0"/>
              <w:widowControl w:val="0"/>
              <w:kinsoku/>
              <w:wordWrap/>
              <w:overflowPunct w:val="0"/>
              <w:topLinePunct/>
              <w:autoSpaceDE/>
              <w:autoSpaceDN/>
              <w:bidi w:val="0"/>
              <w:adjustRightInd/>
              <w:snapToGrid/>
              <w:spacing w:line="340" w:lineRule="exact"/>
              <w:ind w:firstLine="422"/>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lang w:val="en-US" w:eastAsia="zh-CN"/>
              </w:rPr>
              <w:t xml:space="preserve">2. </w:t>
            </w:r>
            <w:r>
              <w:rPr>
                <w:rFonts w:hint="eastAsia" w:ascii="宋体" w:hAnsi="宋体" w:eastAsia="宋体" w:cs="宋体"/>
                <w:b w:val="0"/>
                <w:bCs w:val="0"/>
                <w:color w:val="auto"/>
                <w:sz w:val="21"/>
                <w:szCs w:val="21"/>
              </w:rPr>
              <w:t>科技型企业梯次培育行动</w:t>
            </w:r>
          </w:p>
          <w:p w14:paraId="2D199A3E">
            <w:pPr>
              <w:keepNext w:val="0"/>
              <w:keepLines w:val="0"/>
              <w:pageBreakBefore w:val="0"/>
              <w:widowControl w:val="0"/>
              <w:kinsoku/>
              <w:wordWrap/>
              <w:overflowPunct w:val="0"/>
              <w:topLinePunct/>
              <w:autoSpaceDE/>
              <w:autoSpaceDN/>
              <w:bidi w:val="0"/>
              <w:adjustRightInd/>
              <w:snapToGrid/>
              <w:spacing w:line="340" w:lineRule="exact"/>
              <w:ind w:firstLine="422"/>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lang w:val="en-US" w:eastAsia="zh-CN"/>
              </w:rPr>
              <w:t>发挥</w:t>
            </w:r>
            <w:r>
              <w:rPr>
                <w:rFonts w:hint="eastAsia" w:ascii="宋体" w:hAnsi="宋体" w:eastAsia="宋体" w:cs="宋体"/>
                <w:b w:val="0"/>
                <w:bCs w:val="0"/>
                <w:color w:val="auto"/>
                <w:sz w:val="21"/>
                <w:szCs w:val="21"/>
              </w:rPr>
              <w:t>科技型中小企业在科技创新发展大局中的基础性作用，建立后备企业库并提供精准服务，发展培育更多科技创新主体</w:t>
            </w: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rPr>
              <w:t>支持骨干企业牵头组建创新</w:t>
            </w:r>
            <w:r>
              <w:rPr>
                <w:rFonts w:hint="eastAsia" w:ascii="宋体" w:hAnsi="宋体" w:eastAsia="宋体" w:cs="宋体"/>
                <w:b w:val="0"/>
                <w:bCs w:val="0"/>
                <w:color w:val="auto"/>
                <w:sz w:val="21"/>
                <w:szCs w:val="21"/>
                <w:lang w:val="en-US" w:eastAsia="zh-CN"/>
              </w:rPr>
              <w:t>平台基地</w:t>
            </w:r>
            <w:r>
              <w:rPr>
                <w:rFonts w:hint="eastAsia" w:ascii="宋体" w:hAnsi="宋体" w:eastAsia="宋体" w:cs="宋体"/>
                <w:b w:val="0"/>
                <w:bCs w:val="0"/>
                <w:color w:val="auto"/>
                <w:sz w:val="21"/>
                <w:szCs w:val="21"/>
              </w:rPr>
              <w:t>，承担重大科技项目，打造具有行业引领力的创新龙头。建立以科技型中小企业、高新技术企业、创新龙头企业为主要对象的梯次培育体系。</w:t>
            </w:r>
          </w:p>
          <w:p w14:paraId="75BDED29">
            <w:pPr>
              <w:keepNext w:val="0"/>
              <w:keepLines w:val="0"/>
              <w:pageBreakBefore w:val="0"/>
              <w:widowControl w:val="0"/>
              <w:kinsoku/>
              <w:wordWrap/>
              <w:overflowPunct w:val="0"/>
              <w:topLinePunct/>
              <w:autoSpaceDE/>
              <w:autoSpaceDN/>
              <w:bidi w:val="0"/>
              <w:adjustRightInd/>
              <w:snapToGrid/>
              <w:spacing w:line="340" w:lineRule="exact"/>
              <w:ind w:firstLine="422"/>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lang w:val="en-US" w:eastAsia="zh-CN"/>
              </w:rPr>
              <w:t xml:space="preserve">3. </w:t>
            </w:r>
            <w:r>
              <w:rPr>
                <w:rFonts w:hint="eastAsia" w:ascii="宋体" w:hAnsi="宋体" w:eastAsia="宋体" w:cs="宋体"/>
                <w:b w:val="0"/>
                <w:bCs w:val="0"/>
                <w:color w:val="auto"/>
                <w:sz w:val="21"/>
                <w:szCs w:val="21"/>
              </w:rPr>
              <w:t>产业创新人才引育行动</w:t>
            </w:r>
          </w:p>
          <w:p w14:paraId="4CA8F0A6">
            <w:pPr>
              <w:keepNext w:val="0"/>
              <w:keepLines w:val="0"/>
              <w:pageBreakBefore w:val="0"/>
              <w:widowControl w:val="0"/>
              <w:kinsoku/>
              <w:wordWrap/>
              <w:overflowPunct w:val="0"/>
              <w:topLinePunct/>
              <w:autoSpaceDE/>
              <w:autoSpaceDN/>
              <w:bidi w:val="0"/>
              <w:adjustRightInd/>
              <w:snapToGrid/>
              <w:spacing w:line="340" w:lineRule="exact"/>
              <w:ind w:firstLine="422"/>
              <w:textAlignment w:val="auto"/>
              <w:rPr>
                <w:rFonts w:ascii="宋体" w:hAnsi="宋体" w:eastAsia="宋体" w:cs="Times New Roman"/>
                <w:color w:val="auto"/>
                <w:sz w:val="20"/>
                <w:szCs w:val="20"/>
              </w:rPr>
            </w:pPr>
            <w:r>
              <w:rPr>
                <w:rFonts w:hint="eastAsia" w:ascii="宋体" w:hAnsi="宋体" w:eastAsia="宋体" w:cs="宋体"/>
                <w:b w:val="0"/>
                <w:bCs w:val="0"/>
                <w:color w:val="auto"/>
                <w:sz w:val="21"/>
                <w:szCs w:val="21"/>
              </w:rPr>
              <w:t>围绕重点产业链构建人才链，打造高水平产业人才集聚地。依托辽源职教园区深化产教融合，建设特色产业学院和实训基地，培育大批“辽源工匠”等高技能人才。加大产业创新研究院等载体建设力度</w:t>
            </w: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rPr>
              <w:t>柔性引进高端人才、科技创新人才和科技项目研发团队</w:t>
            </w: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rPr>
              <w:t>建立本土科技人才与引进人才的对接培养机制，带动本土创新团队能力整体跃升。</w:t>
            </w:r>
          </w:p>
        </w:tc>
      </w:tr>
    </w:tbl>
    <w:p w14:paraId="163F24C6">
      <w:pPr>
        <w:pStyle w:val="2"/>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left="0" w:leftChars="0" w:firstLine="0" w:firstLineChars="0"/>
        <w:jc w:val="center"/>
        <w:textAlignment w:val="auto"/>
        <w:rPr>
          <w:rFonts w:hint="eastAsia" w:ascii="方正黑体_GBK" w:hAnsi="方正黑体_GBK" w:eastAsia="方正黑体_GBK" w:cs="方正黑体_GBK"/>
          <w:b w:val="0"/>
          <w:bCs w:val="0"/>
          <w:color w:val="auto"/>
          <w:kern w:val="2"/>
          <w:sz w:val="32"/>
          <w:szCs w:val="32"/>
          <w:highlight w:val="none"/>
          <w:u w:val="none" w:color="auto"/>
          <w:lang w:eastAsia="zh-CN"/>
        </w:rPr>
      </w:pPr>
      <w:r>
        <w:rPr>
          <w:rFonts w:hint="eastAsia" w:ascii="方正黑体_GBK" w:hAnsi="方正黑体_GBK" w:eastAsia="方正黑体_GBK" w:cs="方正黑体_GBK"/>
          <w:b w:val="0"/>
          <w:bCs w:val="0"/>
          <w:color w:val="auto"/>
          <w:kern w:val="2"/>
          <w:sz w:val="32"/>
          <w:szCs w:val="32"/>
          <w:highlight w:val="none"/>
          <w:u w:val="none" w:color="auto"/>
          <w:lang w:eastAsia="zh-CN"/>
        </w:rPr>
        <w:t>第三节  优化全链条创新创业生态环境</w:t>
      </w:r>
    </w:p>
    <w:p w14:paraId="5738A0D2">
      <w:pPr>
        <w:pStyle w:val="2"/>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640" w:firstLineChars="200"/>
        <w:jc w:val="both"/>
        <w:textAlignment w:val="auto"/>
        <w:rPr>
          <w:rFonts w:hint="eastAsia" w:ascii="方正仿宋_GBK" w:hAnsi="方正仿宋_GBK" w:eastAsia="方正仿宋_GBK" w:cs="方正仿宋_GBK"/>
          <w:b w:val="0"/>
          <w:bCs w:val="0"/>
          <w:color w:val="auto"/>
          <w:kern w:val="2"/>
          <w:sz w:val="32"/>
          <w:szCs w:val="32"/>
          <w:highlight w:val="none"/>
          <w:u w:val="none" w:color="auto"/>
          <w:lang w:eastAsia="zh-CN"/>
        </w:rPr>
      </w:pPr>
      <w:r>
        <w:rPr>
          <w:rFonts w:hint="eastAsia" w:ascii="方正仿宋_GBK" w:hAnsi="方正仿宋_GBK" w:eastAsia="方正仿宋_GBK" w:cs="方正仿宋_GBK"/>
          <w:b w:val="0"/>
          <w:bCs w:val="0"/>
          <w:color w:val="auto"/>
          <w:kern w:val="2"/>
          <w:sz w:val="32"/>
          <w:szCs w:val="32"/>
          <w:highlight w:val="none"/>
          <w:u w:val="none" w:color="auto"/>
          <w:lang w:eastAsia="zh-CN"/>
        </w:rPr>
        <w:t>健全教育、科技、人才一体化发展机制，强化政策协同与资源统筹，构建“引育用留”并举的全链条人才生态。完善“高精尖缺”人才引进培育计划，鼓励“候鸟型”专家、高校学者、“科创专员”等柔性引才用才模式，通过项目合作、技术指导等方式服务辽源重点产业。到2030年，力争柔性引进高层次科技创新人才300人以上。深化产教融合、校企合作，依托辽源职业技术学院等本地院校，拓展职业技能培训领域。弘扬工匠精神，培育一批适应智能制造、生物医药、现代农业等领域“辽源工匠”与高素质技能人才队伍。建立健全人才培养、使用、引进、激励等全流程政策体系，完善住房保障、子女教育、医疗健康等配套服务。优化薪酬制度与科技成果转化收益分享机制，充分激发科研人员、技能人才、企业经营管理人才的创新创业动力。加大财政科技投入，引导金融资源精准支持科技创新，大力发展科技金融产品。加强知识产权创造、运用、保护、管理和服务全链条建设，激发全社会创新活力。加强科学普及，大力弘扬科学家精神，营造尊重知识、崇尚创新、人才优先的政策环境和社会氛围。</w:t>
      </w:r>
    </w:p>
    <w:p w14:paraId="2CA1F150">
      <w:pPr>
        <w:pStyle w:val="2"/>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640" w:firstLineChars="200"/>
        <w:jc w:val="both"/>
        <w:textAlignment w:val="auto"/>
        <w:rPr>
          <w:rFonts w:hint="eastAsia" w:ascii="方正仿宋_GBK" w:hAnsi="方正仿宋_GBK" w:eastAsia="方正仿宋_GBK" w:cs="方正仿宋_GBK"/>
          <w:b w:val="0"/>
          <w:bCs w:val="0"/>
          <w:color w:val="auto"/>
          <w:kern w:val="2"/>
          <w:sz w:val="32"/>
          <w:szCs w:val="32"/>
          <w:highlight w:val="none"/>
          <w:u w:val="none" w:color="auto"/>
          <w:lang w:eastAsia="zh-CN"/>
        </w:rPr>
      </w:pPr>
    </w:p>
    <w:p w14:paraId="57A74355">
      <w:pPr>
        <w:pStyle w:val="2"/>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640" w:firstLineChars="200"/>
        <w:jc w:val="both"/>
        <w:textAlignment w:val="auto"/>
        <w:rPr>
          <w:rFonts w:hint="eastAsia" w:ascii="方正仿宋_GBK" w:hAnsi="方正仿宋_GBK" w:eastAsia="方正仿宋_GBK" w:cs="方正仿宋_GBK"/>
          <w:b w:val="0"/>
          <w:bCs w:val="0"/>
          <w:color w:val="auto"/>
          <w:kern w:val="2"/>
          <w:sz w:val="32"/>
          <w:szCs w:val="32"/>
          <w:highlight w:val="none"/>
          <w:u w:val="none" w:color="auto"/>
          <w:lang w:eastAsia="zh-CN"/>
        </w:rPr>
      </w:pPr>
    </w:p>
    <w:p w14:paraId="0EB52432">
      <w:pPr>
        <w:pStyle w:val="2"/>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640" w:firstLineChars="200"/>
        <w:jc w:val="both"/>
        <w:textAlignment w:val="auto"/>
        <w:rPr>
          <w:rFonts w:hint="eastAsia" w:ascii="方正仿宋_GBK" w:hAnsi="方正仿宋_GBK" w:eastAsia="方正仿宋_GBK" w:cs="方正仿宋_GBK"/>
          <w:b w:val="0"/>
          <w:bCs w:val="0"/>
          <w:color w:val="auto"/>
          <w:kern w:val="2"/>
          <w:sz w:val="32"/>
          <w:szCs w:val="32"/>
          <w:highlight w:val="none"/>
          <w:u w:val="none" w:color="auto"/>
          <w:lang w:eastAsia="zh-CN"/>
        </w:rPr>
      </w:pPr>
    </w:p>
    <w:p w14:paraId="18E313D9">
      <w:pPr>
        <w:pStyle w:val="2"/>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640" w:firstLineChars="200"/>
        <w:jc w:val="both"/>
        <w:textAlignment w:val="auto"/>
        <w:rPr>
          <w:rFonts w:hint="eastAsia" w:ascii="方正仿宋_GBK" w:hAnsi="方正仿宋_GBK" w:eastAsia="方正仿宋_GBK" w:cs="方正仿宋_GBK"/>
          <w:b w:val="0"/>
          <w:bCs w:val="0"/>
          <w:color w:val="auto"/>
          <w:kern w:val="2"/>
          <w:sz w:val="32"/>
          <w:szCs w:val="32"/>
          <w:highlight w:val="none"/>
          <w:u w:val="none" w:color="auto"/>
          <w:lang w:eastAsia="zh-CN"/>
        </w:rPr>
      </w:pPr>
    </w:p>
    <w:p w14:paraId="63CE3292">
      <w:pPr>
        <w:pStyle w:val="2"/>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640" w:firstLineChars="200"/>
        <w:jc w:val="both"/>
        <w:textAlignment w:val="auto"/>
        <w:rPr>
          <w:rFonts w:hint="eastAsia" w:ascii="方正仿宋_GBK" w:hAnsi="方正仿宋_GBK" w:eastAsia="方正仿宋_GBK" w:cs="方正仿宋_GBK"/>
          <w:b w:val="0"/>
          <w:bCs w:val="0"/>
          <w:color w:val="auto"/>
          <w:kern w:val="2"/>
          <w:sz w:val="32"/>
          <w:szCs w:val="32"/>
          <w:highlight w:val="none"/>
          <w:u w:val="none" w:color="auto"/>
          <w:lang w:eastAsia="zh-CN"/>
        </w:rPr>
      </w:pPr>
    </w:p>
    <w:p w14:paraId="42E072F4">
      <w:pPr>
        <w:pStyle w:val="2"/>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640" w:firstLineChars="200"/>
        <w:jc w:val="both"/>
        <w:textAlignment w:val="auto"/>
        <w:rPr>
          <w:rFonts w:hint="eastAsia" w:ascii="方正仿宋_GBK" w:hAnsi="方正仿宋_GBK" w:eastAsia="方正仿宋_GBK" w:cs="方正仿宋_GBK"/>
          <w:b w:val="0"/>
          <w:bCs w:val="0"/>
          <w:color w:val="auto"/>
          <w:kern w:val="2"/>
          <w:sz w:val="32"/>
          <w:szCs w:val="32"/>
          <w:highlight w:val="none"/>
          <w:u w:val="none" w:color="auto"/>
          <w:lang w:eastAsia="zh-CN"/>
        </w:rPr>
      </w:pPr>
    </w:p>
    <w:p w14:paraId="2CD26B35">
      <w:pPr>
        <w:pStyle w:val="2"/>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640" w:firstLineChars="200"/>
        <w:jc w:val="both"/>
        <w:textAlignment w:val="auto"/>
        <w:rPr>
          <w:rFonts w:hint="eastAsia" w:ascii="方正仿宋_GBK" w:hAnsi="方正仿宋_GBK" w:eastAsia="方正仿宋_GBK" w:cs="方正仿宋_GBK"/>
          <w:b w:val="0"/>
          <w:bCs w:val="0"/>
          <w:color w:val="auto"/>
          <w:kern w:val="2"/>
          <w:sz w:val="32"/>
          <w:szCs w:val="32"/>
          <w:highlight w:val="none"/>
          <w:u w:val="none" w:color="auto"/>
          <w:lang w:eastAsia="zh-CN"/>
        </w:rPr>
      </w:pPr>
    </w:p>
    <w:p w14:paraId="5AFF7A20">
      <w:pPr>
        <w:pStyle w:val="2"/>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left="0" w:leftChars="0" w:firstLine="0" w:firstLineChars="0"/>
        <w:jc w:val="center"/>
        <w:textAlignment w:val="auto"/>
        <w:rPr>
          <w:rFonts w:hint="eastAsia" w:ascii="方正小标宋_GBK" w:hAnsi="方正小标宋_GBK" w:eastAsia="方正小标宋_GBK" w:cs="方正小标宋_GBK"/>
          <w:b w:val="0"/>
          <w:bCs w:val="0"/>
          <w:color w:val="auto"/>
          <w:kern w:val="2"/>
          <w:sz w:val="36"/>
          <w:szCs w:val="36"/>
          <w:highlight w:val="none"/>
          <w:u w:val="none" w:color="auto"/>
          <w:lang w:eastAsia="zh-CN"/>
        </w:rPr>
      </w:pPr>
      <w:r>
        <w:rPr>
          <w:rFonts w:hint="eastAsia" w:ascii="方正小标宋_GBK" w:hAnsi="方正小标宋_GBK" w:eastAsia="方正小标宋_GBK" w:cs="方正小标宋_GBK"/>
          <w:b w:val="0"/>
          <w:bCs w:val="0"/>
          <w:color w:val="auto"/>
          <w:kern w:val="2"/>
          <w:sz w:val="36"/>
          <w:szCs w:val="36"/>
          <w:highlight w:val="none"/>
          <w:u w:val="none" w:color="auto"/>
          <w:lang w:eastAsia="zh-CN"/>
        </w:rPr>
        <w:t>第四章  强化消费投资驱动</w:t>
      </w:r>
      <w:r>
        <w:rPr>
          <w:rFonts w:hint="eastAsia" w:ascii="方正小标宋_GBK" w:hAnsi="方正小标宋_GBK" w:eastAsia="方正小标宋_GBK" w:cs="方正小标宋_GBK"/>
          <w:b w:val="0"/>
          <w:bCs w:val="0"/>
          <w:color w:val="auto"/>
          <w:kern w:val="2"/>
          <w:sz w:val="36"/>
          <w:szCs w:val="36"/>
          <w:highlight w:val="none"/>
          <w:u w:val="none" w:color="auto"/>
          <w:lang w:val="en-US" w:eastAsia="zh-CN"/>
        </w:rPr>
        <w:t xml:space="preserve"> </w:t>
      </w:r>
      <w:r>
        <w:rPr>
          <w:rFonts w:hint="eastAsia" w:ascii="方正小标宋_GBK" w:hAnsi="方正小标宋_GBK" w:eastAsia="方正小标宋_GBK" w:cs="方正小标宋_GBK"/>
          <w:b w:val="0"/>
          <w:bCs w:val="0"/>
          <w:color w:val="auto"/>
          <w:kern w:val="2"/>
          <w:sz w:val="36"/>
          <w:szCs w:val="36"/>
          <w:highlight w:val="none"/>
          <w:u w:val="none" w:color="auto"/>
          <w:lang w:eastAsia="zh-CN"/>
        </w:rPr>
        <w:t>全方位扩大有效需求</w:t>
      </w:r>
    </w:p>
    <w:p w14:paraId="20751B74">
      <w:pPr>
        <w:pStyle w:val="2"/>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640" w:firstLineChars="200"/>
        <w:jc w:val="both"/>
        <w:textAlignment w:val="auto"/>
        <w:rPr>
          <w:rFonts w:hint="eastAsia" w:ascii="方正仿宋_GBK" w:hAnsi="方正仿宋_GBK" w:eastAsia="方正仿宋_GBK" w:cs="方正仿宋_GBK"/>
          <w:b w:val="0"/>
          <w:bCs w:val="0"/>
          <w:color w:val="auto"/>
          <w:kern w:val="2"/>
          <w:sz w:val="32"/>
          <w:szCs w:val="32"/>
          <w:highlight w:val="none"/>
          <w:u w:val="none" w:color="auto"/>
          <w:lang w:eastAsia="zh-CN"/>
        </w:rPr>
      </w:pPr>
      <w:r>
        <w:rPr>
          <w:rFonts w:hint="eastAsia" w:ascii="方正仿宋_GBK" w:hAnsi="方正仿宋_GBK" w:eastAsia="方正仿宋_GBK" w:cs="方正仿宋_GBK"/>
          <w:b w:val="0"/>
          <w:bCs w:val="0"/>
          <w:color w:val="auto"/>
          <w:kern w:val="2"/>
          <w:sz w:val="32"/>
          <w:szCs w:val="32"/>
          <w:highlight w:val="none"/>
          <w:u w:val="none" w:color="auto"/>
          <w:lang w:eastAsia="zh-CN"/>
        </w:rPr>
        <w:t>坚持扩大内需战略基点，促进消费和投资、供给和需求良性互动，增强供给与需求的适配性，推动投资于物和投资于人紧密结合，加快培育消费新场景、新业态、新模式，增强经济内生动力与发展韧性。</w:t>
      </w:r>
    </w:p>
    <w:p w14:paraId="64C19ACD">
      <w:pPr>
        <w:pStyle w:val="2"/>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left="0" w:leftChars="0" w:firstLine="0" w:firstLineChars="0"/>
        <w:jc w:val="center"/>
        <w:textAlignment w:val="auto"/>
        <w:rPr>
          <w:rFonts w:hint="eastAsia" w:ascii="方正黑体_GBK" w:hAnsi="方正黑体_GBK" w:eastAsia="方正黑体_GBK" w:cs="方正黑体_GBK"/>
          <w:b w:val="0"/>
          <w:bCs w:val="0"/>
          <w:color w:val="auto"/>
          <w:kern w:val="2"/>
          <w:sz w:val="32"/>
          <w:szCs w:val="32"/>
          <w:highlight w:val="none"/>
          <w:u w:val="none" w:color="auto"/>
          <w:lang w:eastAsia="zh-CN"/>
        </w:rPr>
      </w:pPr>
      <w:r>
        <w:rPr>
          <w:rFonts w:hint="eastAsia" w:ascii="方正黑体_GBK" w:hAnsi="方正黑体_GBK" w:eastAsia="方正黑体_GBK" w:cs="方正黑体_GBK"/>
          <w:b w:val="0"/>
          <w:bCs w:val="0"/>
          <w:color w:val="auto"/>
          <w:kern w:val="2"/>
          <w:sz w:val="32"/>
          <w:szCs w:val="32"/>
          <w:highlight w:val="none"/>
          <w:u w:val="none" w:color="auto"/>
          <w:lang w:eastAsia="zh-CN"/>
        </w:rPr>
        <w:t>第一节  推动消费扩容提质</w:t>
      </w:r>
    </w:p>
    <w:p w14:paraId="1C0D1B48">
      <w:pPr>
        <w:pStyle w:val="2"/>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640" w:firstLineChars="200"/>
        <w:jc w:val="both"/>
        <w:textAlignment w:val="auto"/>
        <w:rPr>
          <w:rFonts w:hint="eastAsia" w:ascii="方正仿宋_GBK" w:hAnsi="方正仿宋_GBK" w:eastAsia="方正仿宋_GBK" w:cs="方正仿宋_GBK"/>
          <w:b w:val="0"/>
          <w:bCs w:val="0"/>
          <w:color w:val="auto"/>
          <w:kern w:val="2"/>
          <w:sz w:val="32"/>
          <w:szCs w:val="32"/>
          <w:highlight w:val="none"/>
          <w:u w:val="none" w:color="auto"/>
          <w:lang w:eastAsia="zh-CN"/>
        </w:rPr>
      </w:pPr>
      <w:r>
        <w:rPr>
          <w:rFonts w:hint="eastAsia" w:ascii="方正楷体_GBK" w:hAnsi="方正楷体_GBK" w:eastAsia="方正楷体_GBK" w:cs="方正楷体_GBK"/>
          <w:b w:val="0"/>
          <w:bCs w:val="0"/>
          <w:color w:val="auto"/>
          <w:kern w:val="2"/>
          <w:sz w:val="32"/>
          <w:szCs w:val="32"/>
          <w:highlight w:val="none"/>
          <w:u w:val="none" w:color="auto"/>
          <w:lang w:eastAsia="zh-CN"/>
        </w:rPr>
        <w:t>释放特色消费潜能。</w:t>
      </w:r>
      <w:r>
        <w:rPr>
          <w:rFonts w:hint="eastAsia" w:ascii="方正仿宋_GBK" w:hAnsi="方正仿宋_GBK" w:eastAsia="方正仿宋_GBK" w:cs="方正仿宋_GBK"/>
          <w:b w:val="0"/>
          <w:bCs w:val="0"/>
          <w:color w:val="auto"/>
          <w:kern w:val="2"/>
          <w:sz w:val="32"/>
          <w:szCs w:val="32"/>
          <w:highlight w:val="none"/>
          <w:u w:val="none" w:color="auto"/>
          <w:lang w:eastAsia="zh-CN"/>
        </w:rPr>
        <w:t>激发消费对经济增长的基础性作用，顺应消费升级趋势，以场景创新、业态融合和模式拓展为抓手，培育具有辽源特色的多元消费增长点。持续实施汽车、家电、家装等消费品以旧换新行动，鼓励绿色、智能产品消费。打造“新春、盛夏、金秋、冰雪”四季主题消费节，以消费券、特色联票等形式，联动商贸、文旅、体育等领域，营造贯穿全年、热点不断的促消费氛围。用好梅花鹿、松籽、蛋品等特色物产，培育发展绿色餐饮、主题餐厅、特色民宿等“美食+文化”“住宿+体验”融合业态。推动“皇家围场1619”、乐兔乐园、天陆山等文旅项目与商业消费联动，打造商旅文体融合的消费场景。积极发展“首发经济”，支持袜业、冰雪装备等特色产品在我市举办新品发布、首展首秀。依托生态与中医药资源优势，拓展“夏季避暑+冬季康养+中医药调理”旅居养老新模式，发展文化养老、健康养老等业态，建设服务东北地区的康养旅居目的地。支持琵琶艺术等特色领域培训演艺机构发展，推动艺术流量转化为文旅消费增量。深入开展县域商业体系建设，优化农村消费环境，推动优质商品服务下沉，有效释放农村居民消费潜力。</w:t>
      </w:r>
    </w:p>
    <w:p w14:paraId="5D1E1420">
      <w:pPr>
        <w:pStyle w:val="2"/>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640" w:firstLineChars="200"/>
        <w:jc w:val="both"/>
        <w:textAlignment w:val="auto"/>
        <w:rPr>
          <w:rFonts w:hint="eastAsia" w:ascii="方正仿宋_GBK" w:hAnsi="方正仿宋_GBK" w:eastAsia="方正仿宋_GBK" w:cs="方正仿宋_GBK"/>
          <w:b w:val="0"/>
          <w:bCs w:val="0"/>
          <w:color w:val="auto"/>
          <w:kern w:val="2"/>
          <w:sz w:val="32"/>
          <w:szCs w:val="32"/>
          <w:highlight w:val="none"/>
          <w:u w:val="none" w:color="auto"/>
          <w:lang w:eastAsia="zh-CN"/>
        </w:rPr>
      </w:pPr>
      <w:r>
        <w:rPr>
          <w:rFonts w:hint="eastAsia" w:ascii="方正楷体_GBK" w:hAnsi="方正楷体_GBK" w:eastAsia="方正楷体_GBK" w:cs="方正楷体_GBK"/>
          <w:b w:val="0"/>
          <w:bCs w:val="0"/>
          <w:color w:val="auto"/>
          <w:kern w:val="2"/>
          <w:sz w:val="32"/>
          <w:szCs w:val="32"/>
          <w:highlight w:val="none"/>
          <w:u w:val="none" w:color="auto"/>
          <w:lang w:eastAsia="zh-CN"/>
        </w:rPr>
        <w:t>建设新型消费城市。</w:t>
      </w:r>
      <w:r>
        <w:rPr>
          <w:rFonts w:hint="eastAsia" w:ascii="方正仿宋_GBK" w:hAnsi="方正仿宋_GBK" w:eastAsia="方正仿宋_GBK" w:cs="方正仿宋_GBK"/>
          <w:b w:val="0"/>
          <w:bCs w:val="0"/>
          <w:color w:val="auto"/>
          <w:kern w:val="2"/>
          <w:sz w:val="32"/>
          <w:szCs w:val="32"/>
          <w:highlight w:val="none"/>
          <w:u w:val="none" w:color="auto"/>
          <w:lang w:eastAsia="zh-CN"/>
        </w:rPr>
        <w:t>优化市域商业空间布局，构建功能互补、层次分明、特色鲜明的“市级核心商圈—区域功能商圈—社区便民生活圈”体系，着力打造环东山文商旅体融合商圈、辽源高新区一站式休闲娱乐商圈、南部新城大学教育科创商圈、大小什街传统商贸服务商圈、乡村振兴先行区文旅消费商圈以及东丰、东辽县城商圈。提档升级世纪步行街、辽河半岛商业街、山语城美食街、玉圭园商业街等重点街区品质，建设一批综合性特色商业集聚区。依托棉袜、梅花鹿、蛋品等特色产品，打造“辽源优品”消费品牌矩阵。建设袜业主题街区、梅花鹿特色体验店、绿色食品展销中心等沉浸式、个性化消费场景，推动消费供给向智能化、品质化升级。</w:t>
      </w:r>
    </w:p>
    <w:p w14:paraId="02E724C2">
      <w:pPr>
        <w:pStyle w:val="2"/>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640" w:firstLineChars="200"/>
        <w:jc w:val="both"/>
        <w:textAlignment w:val="auto"/>
        <w:rPr>
          <w:rFonts w:hint="eastAsia" w:ascii="方正仿宋_GBK" w:hAnsi="方正仿宋_GBK" w:eastAsia="方正仿宋_GBK" w:cs="方正仿宋_GBK"/>
          <w:b w:val="0"/>
          <w:bCs w:val="0"/>
          <w:color w:val="auto"/>
          <w:kern w:val="2"/>
          <w:sz w:val="32"/>
          <w:szCs w:val="32"/>
          <w:highlight w:val="none"/>
          <w:u w:val="none" w:color="auto"/>
          <w:lang w:eastAsia="zh-CN"/>
        </w:rPr>
      </w:pPr>
      <w:r>
        <w:rPr>
          <w:rFonts w:hint="eastAsia" w:ascii="方正楷体_GBK" w:hAnsi="方正楷体_GBK" w:eastAsia="方正楷体_GBK" w:cs="方正楷体_GBK"/>
          <w:b w:val="0"/>
          <w:bCs w:val="0"/>
          <w:color w:val="auto"/>
          <w:kern w:val="2"/>
          <w:sz w:val="32"/>
          <w:szCs w:val="32"/>
          <w:highlight w:val="none"/>
          <w:u w:val="none" w:color="auto"/>
          <w:lang w:eastAsia="zh-CN"/>
        </w:rPr>
        <w:t>优化消费环境。</w:t>
      </w:r>
      <w:r>
        <w:rPr>
          <w:rFonts w:hint="eastAsia" w:ascii="方正仿宋_GBK" w:hAnsi="方正仿宋_GBK" w:eastAsia="方正仿宋_GBK" w:cs="方正仿宋_GBK"/>
          <w:b w:val="0"/>
          <w:bCs w:val="0"/>
          <w:color w:val="auto"/>
          <w:kern w:val="2"/>
          <w:sz w:val="32"/>
          <w:szCs w:val="32"/>
          <w:highlight w:val="none"/>
          <w:u w:val="none" w:color="auto"/>
          <w:lang w:eastAsia="zh-CN"/>
        </w:rPr>
        <w:t>完善促进消费的长效体制机制，用足用好各级促消费政策，推行优质服务认证与消费者评价引导机制，激发消费潜力。严守消费安全底线，全面应用“互联网+监管”等现代化手段，强化对食品、药品、婴幼儿用品等重点商品和生活必需品的全链条质量安全监测。针对袜业纺织产品、梅花鹿制品、林特产品等本地特色消费品，建立健全质量追溯与信用管理体系。规范发展消费信贷，拓展消费金融应用场景。压实经营者主体责任与属地管理责任，完善消费投诉与维权处理机制，发挥“12315”等平台作用，加强消费者权益保护。强化信用约束、行业自律、媒体监督与消费者参与，加强对网络销售、直播带货等新业态的规范引导与监督管理，依法严厉打击制假售假、虚假宣传、价格欺诈等违法行为，营造安全放心、便捷舒心、诚信友好消费环境。</w:t>
      </w:r>
    </w:p>
    <w:p w14:paraId="0AAB4002">
      <w:pPr>
        <w:pStyle w:val="2"/>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left="0" w:leftChars="0" w:firstLine="0" w:firstLineChars="0"/>
        <w:jc w:val="center"/>
        <w:textAlignment w:val="auto"/>
        <w:rPr>
          <w:rFonts w:hint="eastAsia" w:ascii="方正黑体_GBK" w:hAnsi="方正黑体_GBK" w:eastAsia="方正黑体_GBK" w:cs="方正黑体_GBK"/>
          <w:b w:val="0"/>
          <w:bCs w:val="0"/>
          <w:color w:val="auto"/>
          <w:kern w:val="2"/>
          <w:sz w:val="32"/>
          <w:szCs w:val="32"/>
          <w:highlight w:val="none"/>
          <w:u w:val="none" w:color="auto"/>
          <w:lang w:eastAsia="zh-CN"/>
        </w:rPr>
      </w:pPr>
      <w:r>
        <w:rPr>
          <w:rFonts w:hint="eastAsia" w:ascii="方正黑体_GBK" w:hAnsi="方正黑体_GBK" w:eastAsia="方正黑体_GBK" w:cs="方正黑体_GBK"/>
          <w:b w:val="0"/>
          <w:bCs w:val="0"/>
          <w:color w:val="auto"/>
          <w:kern w:val="2"/>
          <w:sz w:val="32"/>
          <w:szCs w:val="32"/>
          <w:highlight w:val="none"/>
          <w:u w:val="none" w:color="auto"/>
          <w:lang w:eastAsia="zh-CN"/>
        </w:rPr>
        <w:t>第二节  扩大精准有效投资</w:t>
      </w:r>
    </w:p>
    <w:p w14:paraId="3356EC85">
      <w:pPr>
        <w:pStyle w:val="2"/>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640" w:firstLineChars="200"/>
        <w:jc w:val="both"/>
        <w:textAlignment w:val="auto"/>
        <w:rPr>
          <w:rFonts w:hint="eastAsia" w:ascii="方正仿宋_GBK" w:hAnsi="方正仿宋_GBK" w:eastAsia="方正仿宋_GBK" w:cs="方正仿宋_GBK"/>
          <w:b w:val="0"/>
          <w:bCs w:val="0"/>
          <w:color w:val="auto"/>
          <w:kern w:val="2"/>
          <w:sz w:val="32"/>
          <w:szCs w:val="32"/>
          <w:highlight w:val="none"/>
          <w:u w:val="none" w:color="auto"/>
          <w:lang w:eastAsia="zh-CN"/>
        </w:rPr>
      </w:pPr>
      <w:r>
        <w:rPr>
          <w:rFonts w:hint="eastAsia" w:ascii="方正楷体_GBK" w:hAnsi="方正楷体_GBK" w:eastAsia="方正楷体_GBK" w:cs="方正楷体_GBK"/>
          <w:b w:val="0"/>
          <w:bCs w:val="0"/>
          <w:color w:val="auto"/>
          <w:kern w:val="2"/>
          <w:sz w:val="32"/>
          <w:szCs w:val="32"/>
          <w:highlight w:val="none"/>
          <w:u w:val="none" w:color="auto"/>
          <w:lang w:eastAsia="zh-CN"/>
        </w:rPr>
        <w:t>着力优化投资结构。</w:t>
      </w:r>
      <w:r>
        <w:rPr>
          <w:rFonts w:hint="eastAsia" w:ascii="方正仿宋_GBK" w:hAnsi="方正仿宋_GBK" w:eastAsia="方正仿宋_GBK" w:cs="方正仿宋_GBK"/>
          <w:b w:val="0"/>
          <w:bCs w:val="0"/>
          <w:color w:val="auto"/>
          <w:kern w:val="2"/>
          <w:sz w:val="32"/>
          <w:szCs w:val="32"/>
          <w:highlight w:val="none"/>
          <w:u w:val="none" w:color="auto"/>
          <w:lang w:eastAsia="zh-CN"/>
        </w:rPr>
        <w:t>坚持投资于物和投资于人紧密结合，增强政府投资带动作用，稳住传统领域投资基本盘，积极培育投资增长新动能，努力保持投资平稳增长。聚焦发展新质生产力，推动传统产业技术改造升级，扩大新兴产业有效投资，前瞻布局未来产业。聚焦促进服务业优质高效发展，扩大科技、软件、信息、物流等生产性服务业投资，加强人力资源开发和人的全面发展需要的生活性服务业投资。聚焦构建现代化基础设施体系，适度超前建设新型基础设施，完善城市基础设施，分类有序推进农村基础设施建设。聚焦经济社会发展全面绿色转型，扩大生态保护、环境治理、节能降碳等领域投资。聚焦惠民生、补短板、增动能，优化政府投资结构，统筹政府投资需求和能力，提高民生类政府投资比重。“十五五”期间，投资规模总量累计达到800亿元左右。</w:t>
      </w:r>
    </w:p>
    <w:p w14:paraId="0F8AEE14">
      <w:pPr>
        <w:pStyle w:val="2"/>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640" w:firstLineChars="200"/>
        <w:jc w:val="both"/>
        <w:textAlignment w:val="auto"/>
        <w:rPr>
          <w:rFonts w:hint="eastAsia" w:ascii="方正仿宋_GBK" w:hAnsi="方正仿宋_GBK" w:eastAsia="方正仿宋_GBK" w:cs="方正仿宋_GBK"/>
          <w:b w:val="0"/>
          <w:bCs w:val="0"/>
          <w:color w:val="auto"/>
          <w:kern w:val="2"/>
          <w:sz w:val="32"/>
          <w:szCs w:val="32"/>
          <w:highlight w:val="none"/>
          <w:u w:val="none" w:color="auto"/>
          <w:lang w:eastAsia="zh-CN"/>
        </w:rPr>
      </w:pPr>
      <w:r>
        <w:rPr>
          <w:rFonts w:hint="eastAsia" w:ascii="方正楷体_GBK" w:hAnsi="方正楷体_GBK" w:eastAsia="方正楷体_GBK" w:cs="方正楷体_GBK"/>
          <w:b w:val="0"/>
          <w:bCs w:val="0"/>
          <w:color w:val="auto"/>
          <w:kern w:val="2"/>
          <w:sz w:val="32"/>
          <w:szCs w:val="32"/>
          <w:highlight w:val="none"/>
          <w:u w:val="none" w:color="auto"/>
          <w:lang w:eastAsia="zh-CN"/>
        </w:rPr>
        <w:t>激发民间投资活力</w:t>
      </w:r>
      <w:r>
        <w:rPr>
          <w:rFonts w:hint="eastAsia" w:ascii="方正仿宋_GBK" w:hAnsi="方正仿宋_GBK" w:eastAsia="方正仿宋_GBK" w:cs="方正仿宋_GBK"/>
          <w:b w:val="0"/>
          <w:bCs w:val="0"/>
          <w:color w:val="auto"/>
          <w:kern w:val="2"/>
          <w:sz w:val="32"/>
          <w:szCs w:val="32"/>
          <w:highlight w:val="none"/>
          <w:u w:val="none" w:color="auto"/>
          <w:lang w:eastAsia="zh-CN"/>
        </w:rPr>
        <w:t>。完善民营企业常态化参与政府投资项目的长效机制，定期向民间资本推介优质项目清单。重点引导民间资本投向装备制造、生物医药、新能源、新材料等战略性新兴产业，鼓励参与新型基础设施、新型城镇化、交通水利等重大工程和补短板项目建设。积极推动民间资本进入工业设计、检验检测、数字化转型等生产性服务业，丰富投资层次。积极拓展民间投融资渠道，支持通过资产盘活、股权合作、特许经营等多种方式引入民间资本。大力推动符合条件的民间资本项目发行基础设施领域不动产投资信托基金（REITs），规范实施政府和社会资本合作（PPP）新机制，为社会资本提供稳定、可预期的投资回报路径。依法平等保障民营企业在用地、用能、融资等要素方面的需求，清理各类隐性壁垒。引导民营企业完善投资项目内部决策与风险管理机制。加强产权保护与合法经营权益保障，促进不同市场主体之间产业错位、优势互补、协同发展，有效防范同质化、“内卷式”竞争，构建健康有序的投资生态。</w:t>
      </w:r>
    </w:p>
    <w:p w14:paraId="55FCA64A">
      <w:pPr>
        <w:pStyle w:val="2"/>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640" w:firstLineChars="200"/>
        <w:jc w:val="both"/>
        <w:textAlignment w:val="auto"/>
        <w:rPr>
          <w:rFonts w:hint="eastAsia" w:ascii="方正仿宋_GBK" w:hAnsi="方正仿宋_GBK" w:eastAsia="方正仿宋_GBK" w:cs="方正仿宋_GBK"/>
          <w:b w:val="0"/>
          <w:bCs w:val="0"/>
          <w:color w:val="auto"/>
          <w:kern w:val="2"/>
          <w:sz w:val="32"/>
          <w:szCs w:val="32"/>
          <w:highlight w:val="none"/>
          <w:u w:val="none" w:color="auto"/>
          <w:lang w:eastAsia="zh-CN"/>
        </w:rPr>
      </w:pPr>
      <w:r>
        <w:rPr>
          <w:rFonts w:hint="eastAsia" w:ascii="方正楷体_GBK" w:hAnsi="方正楷体_GBK" w:eastAsia="方正楷体_GBK" w:cs="方正楷体_GBK"/>
          <w:b w:val="0"/>
          <w:bCs w:val="0"/>
          <w:color w:val="auto"/>
          <w:kern w:val="2"/>
          <w:sz w:val="32"/>
          <w:szCs w:val="32"/>
          <w:highlight w:val="none"/>
          <w:u w:val="none" w:color="auto"/>
          <w:lang w:eastAsia="zh-CN"/>
        </w:rPr>
        <w:t>加大招商引资力度</w:t>
      </w:r>
      <w:r>
        <w:rPr>
          <w:rFonts w:hint="eastAsia" w:ascii="方正仿宋_GBK" w:hAnsi="方正仿宋_GBK" w:eastAsia="方正仿宋_GBK" w:cs="方正仿宋_GBK"/>
          <w:b w:val="0"/>
          <w:bCs w:val="0"/>
          <w:color w:val="auto"/>
          <w:kern w:val="2"/>
          <w:sz w:val="32"/>
          <w:szCs w:val="32"/>
          <w:highlight w:val="none"/>
          <w:u w:val="none" w:color="auto"/>
          <w:lang w:eastAsia="zh-CN"/>
        </w:rPr>
        <w:t>。立足资源禀赋与发展定位，实施系统化、精准化招商策略。聚焦袜业纺织、装备制造、特色农产品、新能源、新文旅等重点产业，编制招商产业图谱。重点针对产业链的薄弱与缺失环节，锁定目标企业与项目，提升招商引资的精准性与有效性。积极推行“以商招商”，充分发挥本土企业的桥梁作用。探索在粤港澳、长三角、京津冀等发达地区设立招商平台，将招商触角延伸至前沿阵地。综合运用产业链招商、资本招商、展会节会招商、平台招商、委托招商等多种模式，形成立体化招商网络。举办专题产业推介会，开展技术对接与跨区域合作活动，主动链接优质资源。组织本土优秀企业参加进博会、广交会、服贸会等国家级展会平台，在更高舞台上展示辽源、对接项目。重点瞄准中央企业、国企及行业头部企业，全力推动其区域总部、生产基地或合作项目落地辽源，带动产业集群能级整体跃升。</w:t>
      </w:r>
    </w:p>
    <w:p w14:paraId="4EE3A527">
      <w:pPr>
        <w:pStyle w:val="2"/>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left="0" w:leftChars="0" w:firstLine="0" w:firstLineChars="0"/>
        <w:jc w:val="center"/>
        <w:textAlignment w:val="auto"/>
        <w:rPr>
          <w:rFonts w:hint="eastAsia" w:ascii="方正黑体_GBK" w:hAnsi="方正黑体_GBK" w:eastAsia="方正黑体_GBK" w:cs="方正黑体_GBK"/>
          <w:b w:val="0"/>
          <w:bCs w:val="0"/>
          <w:color w:val="auto"/>
          <w:kern w:val="2"/>
          <w:sz w:val="32"/>
          <w:szCs w:val="32"/>
          <w:highlight w:val="none"/>
          <w:u w:val="none" w:color="auto"/>
          <w:lang w:eastAsia="zh-CN"/>
        </w:rPr>
      </w:pPr>
      <w:r>
        <w:rPr>
          <w:rFonts w:hint="eastAsia" w:ascii="方正黑体_GBK" w:hAnsi="方正黑体_GBK" w:eastAsia="方正黑体_GBK" w:cs="方正黑体_GBK"/>
          <w:b w:val="0"/>
          <w:bCs w:val="0"/>
          <w:color w:val="auto"/>
          <w:kern w:val="2"/>
          <w:sz w:val="32"/>
          <w:szCs w:val="32"/>
          <w:highlight w:val="none"/>
          <w:u w:val="none" w:color="auto"/>
          <w:lang w:eastAsia="zh-CN"/>
        </w:rPr>
        <w:t>第三节  强化项目谋划和建设</w:t>
      </w:r>
    </w:p>
    <w:p w14:paraId="7E6BC4B9">
      <w:pPr>
        <w:pStyle w:val="2"/>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640" w:firstLineChars="200"/>
        <w:jc w:val="both"/>
        <w:textAlignment w:val="auto"/>
        <w:rPr>
          <w:rFonts w:hint="eastAsia" w:ascii="方正仿宋_GBK" w:hAnsi="方正仿宋_GBK" w:eastAsia="方正仿宋_GBK" w:cs="方正仿宋_GBK"/>
          <w:b w:val="0"/>
          <w:bCs w:val="0"/>
          <w:color w:val="auto"/>
          <w:kern w:val="2"/>
          <w:sz w:val="32"/>
          <w:szCs w:val="32"/>
          <w:highlight w:val="none"/>
          <w:u w:val="none" w:color="auto"/>
          <w:lang w:eastAsia="zh-CN"/>
        </w:rPr>
      </w:pPr>
      <w:r>
        <w:rPr>
          <w:rFonts w:hint="eastAsia" w:ascii="方正仿宋_GBK" w:hAnsi="方正仿宋_GBK" w:eastAsia="方正仿宋_GBK" w:cs="方正仿宋_GBK"/>
          <w:b w:val="0"/>
          <w:bCs w:val="0"/>
          <w:color w:val="auto"/>
          <w:kern w:val="2"/>
          <w:sz w:val="32"/>
          <w:szCs w:val="32"/>
          <w:highlight w:val="none"/>
          <w:u w:val="none" w:color="auto"/>
          <w:lang w:eastAsia="zh-CN"/>
        </w:rPr>
        <w:t>加强重大项目全生命周期管理，统筹“硬投资”和“软建设”，完善谋划、审批、建设、达效全链条项目推进体系。围绕中央预算内投资、超长期特别国债、地方政府专项债券、新型政策性金融工具等政策投向，着力在城乡功能完善、基础设施补短板、生态环境治理、基本公共服务提升等领域，谋划实施一批标志性、支撑性项目。聚焦制造业高质量发展和产业能级提升，突出产业链延伸、产业集群发展、产业园区提档、三次产业融合等重点方向，前瞻性谋划储备一批带动性强的重大产业项目，夯实投资增长和结构优化的项目基础。规范政府投资投向和投资行为，强化可行性论证、投资概算约束和事中事后监管。完善投资项目审批协调服务机制和全过程监测机制，推进审批标准化和数字化建设。强化“要素跟着项目走”保障机制，建立重点企业和重大项目要素需求动态清单，加强用地、用能、融资等核心资源精准匹配。推动金融机构开发适配项目建设需求的金融工具和创新产品，拓宽融资渠道。“十五五”期间，累计谋划储备和滚动实施5000万元以上的重大项目分别不低于800个。</w:t>
      </w:r>
    </w:p>
    <w:p w14:paraId="3B319124">
      <w:pPr>
        <w:pStyle w:val="2"/>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640" w:firstLineChars="200"/>
        <w:jc w:val="both"/>
        <w:textAlignment w:val="auto"/>
        <w:rPr>
          <w:rFonts w:hint="eastAsia" w:ascii="方正仿宋_GBK" w:hAnsi="方正仿宋_GBK" w:eastAsia="方正仿宋_GBK" w:cs="方正仿宋_GBK"/>
          <w:b w:val="0"/>
          <w:bCs w:val="0"/>
          <w:color w:val="auto"/>
          <w:kern w:val="2"/>
          <w:sz w:val="32"/>
          <w:szCs w:val="32"/>
          <w:highlight w:val="none"/>
          <w:u w:val="none" w:color="auto"/>
          <w:lang w:eastAsia="zh-CN"/>
        </w:rPr>
      </w:pPr>
    </w:p>
    <w:p w14:paraId="626975F2">
      <w:pPr>
        <w:pStyle w:val="2"/>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640" w:firstLineChars="200"/>
        <w:jc w:val="both"/>
        <w:textAlignment w:val="auto"/>
        <w:rPr>
          <w:rFonts w:hint="eastAsia" w:ascii="方正仿宋_GBK" w:hAnsi="方正仿宋_GBK" w:eastAsia="方正仿宋_GBK" w:cs="方正仿宋_GBK"/>
          <w:b w:val="0"/>
          <w:bCs w:val="0"/>
          <w:color w:val="auto"/>
          <w:kern w:val="2"/>
          <w:sz w:val="32"/>
          <w:szCs w:val="32"/>
          <w:highlight w:val="none"/>
          <w:u w:val="none" w:color="auto"/>
          <w:lang w:eastAsia="zh-CN"/>
        </w:rPr>
      </w:pPr>
    </w:p>
    <w:p w14:paraId="7385C82E">
      <w:pPr>
        <w:pStyle w:val="2"/>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640" w:firstLineChars="200"/>
        <w:jc w:val="both"/>
        <w:textAlignment w:val="auto"/>
        <w:rPr>
          <w:rFonts w:hint="eastAsia" w:ascii="方正仿宋_GBK" w:hAnsi="方正仿宋_GBK" w:eastAsia="方正仿宋_GBK" w:cs="方正仿宋_GBK"/>
          <w:b w:val="0"/>
          <w:bCs w:val="0"/>
          <w:color w:val="auto"/>
          <w:kern w:val="2"/>
          <w:sz w:val="32"/>
          <w:szCs w:val="32"/>
          <w:highlight w:val="none"/>
          <w:u w:val="none" w:color="auto"/>
          <w:lang w:eastAsia="zh-CN"/>
        </w:rPr>
      </w:pPr>
    </w:p>
    <w:p w14:paraId="198C91B7">
      <w:pPr>
        <w:pStyle w:val="2"/>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left="0" w:leftChars="0" w:firstLine="0" w:firstLineChars="0"/>
        <w:jc w:val="center"/>
        <w:textAlignment w:val="auto"/>
        <w:rPr>
          <w:rFonts w:hint="eastAsia" w:ascii="方正小标宋_GBK" w:hAnsi="方正小标宋_GBK" w:eastAsia="方正小标宋_GBK" w:cs="方正小标宋_GBK"/>
          <w:b w:val="0"/>
          <w:bCs w:val="0"/>
          <w:color w:val="auto"/>
          <w:kern w:val="2"/>
          <w:sz w:val="36"/>
          <w:szCs w:val="36"/>
          <w:highlight w:val="none"/>
          <w:u w:val="none" w:color="auto"/>
          <w:lang w:eastAsia="zh-CN"/>
        </w:rPr>
      </w:pPr>
      <w:r>
        <w:rPr>
          <w:rFonts w:hint="eastAsia" w:ascii="方正小标宋_GBK" w:hAnsi="方正小标宋_GBK" w:eastAsia="方正小标宋_GBK" w:cs="方正小标宋_GBK"/>
          <w:b w:val="0"/>
          <w:bCs w:val="0"/>
          <w:color w:val="auto"/>
          <w:kern w:val="2"/>
          <w:sz w:val="36"/>
          <w:szCs w:val="36"/>
          <w:highlight w:val="none"/>
          <w:u w:val="none" w:color="auto"/>
          <w:lang w:eastAsia="zh-CN"/>
        </w:rPr>
        <w:t>第五章  深化体制机制改革</w:t>
      </w:r>
      <w:r>
        <w:rPr>
          <w:rFonts w:hint="eastAsia" w:ascii="方正小标宋_GBK" w:hAnsi="方正小标宋_GBK" w:eastAsia="方正小标宋_GBK" w:cs="方正小标宋_GBK"/>
          <w:b w:val="0"/>
          <w:bCs w:val="0"/>
          <w:color w:val="auto"/>
          <w:kern w:val="2"/>
          <w:sz w:val="36"/>
          <w:szCs w:val="36"/>
          <w:highlight w:val="none"/>
          <w:u w:val="none" w:color="auto"/>
          <w:lang w:val="en-US" w:eastAsia="zh-CN"/>
        </w:rPr>
        <w:t xml:space="preserve"> </w:t>
      </w:r>
      <w:r>
        <w:rPr>
          <w:rFonts w:hint="eastAsia" w:ascii="方正小标宋_GBK" w:hAnsi="方正小标宋_GBK" w:eastAsia="方正小标宋_GBK" w:cs="方正小标宋_GBK"/>
          <w:b w:val="0"/>
          <w:bCs w:val="0"/>
          <w:color w:val="auto"/>
          <w:kern w:val="2"/>
          <w:sz w:val="36"/>
          <w:szCs w:val="36"/>
          <w:highlight w:val="none"/>
          <w:u w:val="none" w:color="auto"/>
          <w:lang w:eastAsia="zh-CN"/>
        </w:rPr>
        <w:t>增强开放发展内生动力</w:t>
      </w:r>
    </w:p>
    <w:p w14:paraId="6ADC92C0">
      <w:pPr>
        <w:pStyle w:val="2"/>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640" w:firstLineChars="200"/>
        <w:jc w:val="both"/>
        <w:textAlignment w:val="auto"/>
        <w:rPr>
          <w:rFonts w:hint="eastAsia" w:ascii="方正仿宋_GBK" w:hAnsi="方正仿宋_GBK" w:eastAsia="方正仿宋_GBK" w:cs="方正仿宋_GBK"/>
          <w:b w:val="0"/>
          <w:bCs w:val="0"/>
          <w:color w:val="auto"/>
          <w:kern w:val="2"/>
          <w:sz w:val="32"/>
          <w:szCs w:val="32"/>
          <w:highlight w:val="none"/>
          <w:u w:val="none" w:color="auto"/>
          <w:lang w:eastAsia="zh-CN"/>
        </w:rPr>
      </w:pPr>
      <w:r>
        <w:rPr>
          <w:rFonts w:hint="eastAsia" w:ascii="方正仿宋_GBK" w:hAnsi="方正仿宋_GBK" w:eastAsia="方正仿宋_GBK" w:cs="方正仿宋_GBK"/>
          <w:b w:val="0"/>
          <w:bCs w:val="0"/>
          <w:color w:val="auto"/>
          <w:kern w:val="2"/>
          <w:sz w:val="32"/>
          <w:szCs w:val="32"/>
          <w:highlight w:val="none"/>
          <w:u w:val="none" w:color="auto"/>
          <w:lang w:eastAsia="zh-CN"/>
        </w:rPr>
        <w:t>更好发挥经济体制改革牵引作用，着力破解深层次体制机制障碍，推动重点领域、关键环节改革取得新突破。扩大高水平对外开放，主动融入国家对外开放大局，促进有效市场和有为政府更好结合，以开放促改革促发展。</w:t>
      </w:r>
    </w:p>
    <w:p w14:paraId="3F23216D">
      <w:pPr>
        <w:pStyle w:val="2"/>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left="0" w:leftChars="0" w:firstLine="0" w:firstLineChars="0"/>
        <w:jc w:val="center"/>
        <w:textAlignment w:val="auto"/>
        <w:rPr>
          <w:rFonts w:hint="eastAsia" w:ascii="方正黑体_GBK" w:hAnsi="方正黑体_GBK" w:eastAsia="方正黑体_GBK" w:cs="方正黑体_GBK"/>
          <w:b w:val="0"/>
          <w:bCs w:val="0"/>
          <w:color w:val="auto"/>
          <w:kern w:val="2"/>
          <w:sz w:val="32"/>
          <w:szCs w:val="32"/>
          <w:highlight w:val="none"/>
          <w:u w:val="none" w:color="auto"/>
          <w:lang w:eastAsia="zh-CN"/>
        </w:rPr>
      </w:pPr>
      <w:r>
        <w:rPr>
          <w:rFonts w:hint="eastAsia" w:ascii="方正黑体_GBK" w:hAnsi="方正黑体_GBK" w:eastAsia="方正黑体_GBK" w:cs="方正黑体_GBK"/>
          <w:b w:val="0"/>
          <w:bCs w:val="0"/>
          <w:color w:val="auto"/>
          <w:kern w:val="2"/>
          <w:sz w:val="32"/>
          <w:szCs w:val="32"/>
          <w:highlight w:val="none"/>
          <w:u w:val="none" w:color="auto"/>
          <w:lang w:eastAsia="zh-CN"/>
        </w:rPr>
        <w:t>第一节  增强市场主体活力</w:t>
      </w:r>
    </w:p>
    <w:p w14:paraId="7D4ADEA7">
      <w:pPr>
        <w:pStyle w:val="2"/>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640" w:firstLineChars="200"/>
        <w:jc w:val="both"/>
        <w:textAlignment w:val="auto"/>
        <w:rPr>
          <w:rFonts w:hint="eastAsia" w:ascii="方正仿宋_GBK" w:hAnsi="方正仿宋_GBK" w:eastAsia="方正仿宋_GBK" w:cs="方正仿宋_GBK"/>
          <w:b w:val="0"/>
          <w:bCs w:val="0"/>
          <w:color w:val="auto"/>
          <w:kern w:val="2"/>
          <w:sz w:val="32"/>
          <w:szCs w:val="32"/>
          <w:highlight w:val="none"/>
          <w:u w:val="none" w:color="auto"/>
          <w:lang w:eastAsia="zh-CN"/>
        </w:rPr>
      </w:pPr>
      <w:r>
        <w:rPr>
          <w:rFonts w:hint="eastAsia" w:ascii="方正楷体_GBK" w:hAnsi="方正楷体_GBK" w:eastAsia="方正楷体_GBK" w:cs="方正楷体_GBK"/>
          <w:b w:val="0"/>
          <w:bCs w:val="0"/>
          <w:color w:val="auto"/>
          <w:kern w:val="2"/>
          <w:sz w:val="32"/>
          <w:szCs w:val="32"/>
          <w:highlight w:val="none"/>
          <w:u w:val="none" w:color="auto"/>
          <w:lang w:eastAsia="zh-CN"/>
        </w:rPr>
        <w:t>营造公平竞争市场环境。</w:t>
      </w:r>
      <w:r>
        <w:rPr>
          <w:rFonts w:hint="eastAsia" w:ascii="方正仿宋_GBK" w:hAnsi="方正仿宋_GBK" w:eastAsia="方正仿宋_GBK" w:cs="方正仿宋_GBK"/>
          <w:b w:val="0"/>
          <w:bCs w:val="0"/>
          <w:color w:val="auto"/>
          <w:kern w:val="2"/>
          <w:sz w:val="32"/>
          <w:szCs w:val="32"/>
          <w:highlight w:val="none"/>
          <w:u w:val="none" w:color="auto"/>
          <w:lang w:eastAsia="zh-CN"/>
        </w:rPr>
        <w:t>聚焦制度完善、执法规范、信用建设与权益保护，着力打造稳定公平透明可预期的发展环境。坚决落实市场准入负面清单制度，清理各类隐性市场准入壁垒，保障各类所有制企业依法平等获取生产要素、公平参与市场竞争。严格执行公平竞争审查制度，维护市场规则统一、秩序规范，持续破除影响商品和要素自由流动的体制机制障碍。强化涉企行政检查的法治化、规范化管理，杜绝随意检查、运动式执法。深化以信用为基础的分级分类监管，对信用良好的市场主体推广“无事不扰”“无感监管”。加强行政执法与刑事司法衔接，健全产权司法保护机制，保障企业合法权益不受侵犯。依托省级信用信息共享平台，完善重点领域失信联合惩戒机制，依法依规实施信用约束。拓展信用修复“免申即享”适用范围，支持市场主体重塑信用。强化政务诚信建设，依法保护民营企业及企业家合法权益，推动形成亲清统一的新型政商关系，增强市场主体发展信心。</w:t>
      </w:r>
    </w:p>
    <w:p w14:paraId="2EC1FC75">
      <w:pPr>
        <w:pStyle w:val="2"/>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640" w:firstLineChars="200"/>
        <w:jc w:val="both"/>
        <w:textAlignment w:val="auto"/>
        <w:rPr>
          <w:rFonts w:hint="eastAsia" w:ascii="方正仿宋_GBK" w:hAnsi="方正仿宋_GBK" w:eastAsia="方正仿宋_GBK" w:cs="方正仿宋_GBK"/>
          <w:b w:val="0"/>
          <w:bCs w:val="0"/>
          <w:color w:val="auto"/>
          <w:kern w:val="2"/>
          <w:sz w:val="32"/>
          <w:szCs w:val="32"/>
          <w:highlight w:val="none"/>
          <w:u w:val="none" w:color="auto"/>
          <w:lang w:eastAsia="zh-CN"/>
        </w:rPr>
      </w:pPr>
      <w:r>
        <w:rPr>
          <w:rFonts w:hint="eastAsia" w:ascii="方正楷体_GBK" w:hAnsi="方正楷体_GBK" w:eastAsia="方正楷体_GBK" w:cs="方正楷体_GBK"/>
          <w:b w:val="0"/>
          <w:bCs w:val="0"/>
          <w:color w:val="auto"/>
          <w:kern w:val="2"/>
          <w:sz w:val="32"/>
          <w:szCs w:val="32"/>
          <w:highlight w:val="none"/>
          <w:u w:val="none" w:color="auto"/>
          <w:lang w:eastAsia="zh-CN"/>
        </w:rPr>
        <w:t>强化关键要素供给。</w:t>
      </w:r>
      <w:r>
        <w:rPr>
          <w:rFonts w:hint="eastAsia" w:ascii="方正仿宋_GBK" w:hAnsi="方正仿宋_GBK" w:eastAsia="方正仿宋_GBK" w:cs="方正仿宋_GBK"/>
          <w:b w:val="0"/>
          <w:bCs w:val="0"/>
          <w:color w:val="auto"/>
          <w:kern w:val="2"/>
          <w:sz w:val="32"/>
          <w:szCs w:val="32"/>
          <w:highlight w:val="none"/>
          <w:u w:val="none" w:color="auto"/>
          <w:lang w:eastAsia="zh-CN"/>
        </w:rPr>
        <w:t>完善能源、土地、人才等关键要素供需对接机制，提升要素供给精准性与适配性。深入实施金融助力民营企业发展专项行动，用好再贷款、再贴现等货币政策工具，引导金融机构加大对民营企业信贷投放。大力推进“信易贷”模式，提升信用贷款占比，支持无缝续贷，避免盲目抽贷、断贷。清理规范涉企收费，持续推动拖欠民营企业账款清理，切实减轻企业负担。加强产业、投资、财政、金融等政策协同，鼓励民营企业参与重大科技攻关，加大对企业原始创新和知识产权保护力度。扎实推进企业上市“吉翔”计划，鼓励金翼食品、格致汽车等企业加快上市进程。大力弘扬企业家精神，实施企业家人才和新生代企业家人才培养计划，增强企业发展软实力，激发民营经济活力和创造力，促进民营经济发展壮大。</w:t>
      </w:r>
    </w:p>
    <w:p w14:paraId="2E3573CA">
      <w:pPr>
        <w:pStyle w:val="2"/>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640" w:firstLineChars="200"/>
        <w:jc w:val="both"/>
        <w:textAlignment w:val="auto"/>
        <w:rPr>
          <w:rFonts w:hint="eastAsia" w:ascii="方正仿宋_GBK" w:hAnsi="方正仿宋_GBK" w:eastAsia="方正仿宋_GBK" w:cs="方正仿宋_GBK"/>
          <w:b w:val="0"/>
          <w:bCs w:val="0"/>
          <w:color w:val="auto"/>
          <w:kern w:val="2"/>
          <w:sz w:val="32"/>
          <w:szCs w:val="32"/>
          <w:highlight w:val="none"/>
          <w:u w:val="none" w:color="auto"/>
          <w:lang w:eastAsia="zh-CN"/>
        </w:rPr>
      </w:pPr>
      <w:r>
        <w:rPr>
          <w:rFonts w:hint="eastAsia" w:ascii="方正楷体_GBK" w:hAnsi="方正楷体_GBK" w:eastAsia="方正楷体_GBK" w:cs="方正楷体_GBK"/>
          <w:b w:val="0"/>
          <w:bCs w:val="0"/>
          <w:color w:val="auto"/>
          <w:kern w:val="2"/>
          <w:sz w:val="32"/>
          <w:szCs w:val="32"/>
          <w:highlight w:val="none"/>
          <w:u w:val="none" w:color="auto"/>
          <w:lang w:eastAsia="zh-CN"/>
        </w:rPr>
        <w:t>畅通政企沟通渠道。</w:t>
      </w:r>
      <w:r>
        <w:rPr>
          <w:rFonts w:hint="eastAsia" w:ascii="方正仿宋_GBK" w:hAnsi="方正仿宋_GBK" w:eastAsia="方正仿宋_GBK" w:cs="方正仿宋_GBK"/>
          <w:b w:val="0"/>
          <w:bCs w:val="0"/>
          <w:color w:val="auto"/>
          <w:kern w:val="2"/>
          <w:sz w:val="32"/>
          <w:szCs w:val="32"/>
          <w:highlight w:val="none"/>
          <w:u w:val="none" w:color="auto"/>
          <w:lang w:eastAsia="zh-CN"/>
        </w:rPr>
        <w:t>以降低制度性交易成本为核心，深化政务服务系统性改革。全面推动“一网通办”“不见面审批”提质增效，实现“高效办成一件事”迭代升级。推进涉企服务增值化改革，在审批服务基础上叠加代办、咨询、金融、法律等集成化服务，建立“涉企服务一类事”清单制度，推动服务从“便捷”向“增值”转变。健全常态化、规范化政企沟通机制，建立企业诉求“直通车”平台，实现企业合理诉求高效响应、闭环办理。畅通“12345+网络舆情+信访”协同联动渠道，完善问题发现、交办、反馈闭环，提升涉企问题解决效能。优化外资全流程服务体系，落实AEO高级认证企业便利化措施，推动实现外资准入、运营、退出等环节服务协同。坚持内外资企业一视同仁，营造稳定透明可预期的投资环境。健全政务服务“好差评”制度，强化评价结果运用和服务持续改进。常态化清理制约市场主体活力的制度性障碍，推动政策措施与企业实际需求有效衔接，持续增强企业在辽投资兴业的信心和获得感。</w:t>
      </w:r>
    </w:p>
    <w:p w14:paraId="1E0F680D">
      <w:pPr>
        <w:pStyle w:val="2"/>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left="0" w:leftChars="0" w:firstLine="0" w:firstLineChars="0"/>
        <w:jc w:val="center"/>
        <w:textAlignment w:val="auto"/>
        <w:rPr>
          <w:rFonts w:hint="eastAsia" w:ascii="方正黑体_GBK" w:hAnsi="方正黑体_GBK" w:eastAsia="方正黑体_GBK" w:cs="方正黑体_GBK"/>
          <w:b w:val="0"/>
          <w:bCs w:val="0"/>
          <w:color w:val="auto"/>
          <w:kern w:val="2"/>
          <w:sz w:val="32"/>
          <w:szCs w:val="32"/>
          <w:highlight w:val="none"/>
          <w:u w:val="none" w:color="auto"/>
          <w:lang w:eastAsia="zh-CN"/>
        </w:rPr>
      </w:pPr>
      <w:r>
        <w:rPr>
          <w:rFonts w:hint="eastAsia" w:ascii="方正黑体_GBK" w:hAnsi="方正黑体_GBK" w:eastAsia="方正黑体_GBK" w:cs="方正黑体_GBK"/>
          <w:b w:val="0"/>
          <w:bCs w:val="0"/>
          <w:color w:val="auto"/>
          <w:kern w:val="2"/>
          <w:sz w:val="32"/>
          <w:szCs w:val="32"/>
          <w:highlight w:val="none"/>
          <w:u w:val="none" w:color="auto"/>
          <w:lang w:eastAsia="zh-CN"/>
        </w:rPr>
        <w:t>第二节  推动重点领域改革</w:t>
      </w:r>
    </w:p>
    <w:p w14:paraId="6D21634F">
      <w:pPr>
        <w:pStyle w:val="2"/>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640" w:firstLineChars="200"/>
        <w:jc w:val="both"/>
        <w:textAlignment w:val="auto"/>
        <w:rPr>
          <w:rFonts w:hint="eastAsia" w:ascii="方正仿宋_GBK" w:hAnsi="方正仿宋_GBK" w:eastAsia="方正仿宋_GBK" w:cs="方正仿宋_GBK"/>
          <w:b w:val="0"/>
          <w:bCs w:val="0"/>
          <w:color w:val="auto"/>
          <w:kern w:val="2"/>
          <w:sz w:val="32"/>
          <w:szCs w:val="32"/>
          <w:highlight w:val="none"/>
          <w:u w:val="none" w:color="auto"/>
          <w:lang w:eastAsia="zh-CN"/>
        </w:rPr>
      </w:pPr>
      <w:r>
        <w:rPr>
          <w:rFonts w:hint="eastAsia" w:ascii="方正楷体_GBK" w:hAnsi="方正楷体_GBK" w:eastAsia="方正楷体_GBK" w:cs="方正楷体_GBK"/>
          <w:b w:val="0"/>
          <w:bCs w:val="0"/>
          <w:color w:val="auto"/>
          <w:kern w:val="2"/>
          <w:sz w:val="32"/>
          <w:szCs w:val="32"/>
          <w:highlight w:val="none"/>
          <w:u w:val="none" w:color="auto"/>
          <w:lang w:eastAsia="zh-CN"/>
        </w:rPr>
        <w:t>深化农业农村改革。</w:t>
      </w:r>
      <w:r>
        <w:rPr>
          <w:rFonts w:hint="eastAsia" w:ascii="方正仿宋_GBK" w:hAnsi="方正仿宋_GBK" w:eastAsia="方正仿宋_GBK" w:cs="方正仿宋_GBK"/>
          <w:b w:val="0"/>
          <w:bCs w:val="0"/>
          <w:color w:val="auto"/>
          <w:kern w:val="2"/>
          <w:sz w:val="32"/>
          <w:szCs w:val="32"/>
          <w:highlight w:val="none"/>
          <w:u w:val="none" w:color="auto"/>
          <w:lang w:eastAsia="zh-CN"/>
        </w:rPr>
        <w:t>巩固完善农村基本经营制度，深化承包地“三权”分置，扎实做好第二轮土地承包到期后再延长</w:t>
      </w:r>
      <w:r>
        <w:rPr>
          <w:rFonts w:hint="eastAsia" w:ascii="方正仿宋_GBK" w:hAnsi="方正仿宋_GBK" w:eastAsia="方正仿宋_GBK" w:cs="方正仿宋_GBK"/>
          <w:b w:val="0"/>
          <w:bCs w:val="0"/>
          <w:color w:val="auto"/>
          <w:kern w:val="2"/>
          <w:sz w:val="32"/>
          <w:szCs w:val="32"/>
          <w:highlight w:val="none"/>
          <w:u w:val="none" w:color="auto"/>
          <w:lang w:val="en-US" w:eastAsia="zh-CN"/>
        </w:rPr>
        <w:t>30</w:t>
      </w:r>
      <w:r>
        <w:rPr>
          <w:rFonts w:hint="eastAsia" w:ascii="方正仿宋_GBK" w:hAnsi="方正仿宋_GBK" w:eastAsia="方正仿宋_GBK" w:cs="方正仿宋_GBK"/>
          <w:b w:val="0"/>
          <w:bCs w:val="0"/>
          <w:color w:val="auto"/>
          <w:kern w:val="2"/>
          <w:sz w:val="32"/>
          <w:szCs w:val="32"/>
          <w:highlight w:val="none"/>
          <w:u w:val="none" w:color="auto"/>
          <w:lang w:eastAsia="zh-CN"/>
        </w:rPr>
        <w:t>年工作。结合农业适度规模经营发展需求，探索建立规范高效的经营权流转机制与风险防范体系。有序推进农村集体经营性建设用地入市，依法保障农民宅基地权益与合理建房需求。完善土地流转保障与增值收益分配机制，在特色种养殖集中区推广“土地入股+保底分红”等模式，发展多种形式适度规模经营。深化农村集体产权制度改革，强化农村集体“三资”监管与服务，发展壮大新型农村集体经济。严格落实土地出让收入用于农业农村比例要求，为乡村全面振兴提供稳定资金来源。</w:t>
      </w:r>
    </w:p>
    <w:p w14:paraId="7440CED6">
      <w:pPr>
        <w:pStyle w:val="2"/>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640" w:firstLineChars="200"/>
        <w:jc w:val="both"/>
        <w:textAlignment w:val="auto"/>
        <w:rPr>
          <w:rFonts w:hint="eastAsia" w:ascii="方正仿宋_GBK" w:hAnsi="方正仿宋_GBK" w:eastAsia="方正仿宋_GBK" w:cs="方正仿宋_GBK"/>
          <w:b w:val="0"/>
          <w:bCs w:val="0"/>
          <w:color w:val="auto"/>
          <w:kern w:val="2"/>
          <w:sz w:val="32"/>
          <w:szCs w:val="32"/>
          <w:highlight w:val="none"/>
          <w:u w:val="none" w:color="auto"/>
          <w:lang w:eastAsia="zh-CN"/>
        </w:rPr>
      </w:pPr>
      <w:r>
        <w:rPr>
          <w:rFonts w:hint="eastAsia" w:ascii="方正楷体_GBK" w:hAnsi="方正楷体_GBK" w:eastAsia="方正楷体_GBK" w:cs="方正楷体_GBK"/>
          <w:b w:val="0"/>
          <w:bCs w:val="0"/>
          <w:color w:val="auto"/>
          <w:kern w:val="2"/>
          <w:sz w:val="32"/>
          <w:szCs w:val="32"/>
          <w:highlight w:val="none"/>
          <w:u w:val="none" w:color="auto"/>
          <w:lang w:eastAsia="zh-CN"/>
        </w:rPr>
        <w:t>深化国资国企改革</w:t>
      </w:r>
      <w:r>
        <w:rPr>
          <w:rFonts w:hint="eastAsia" w:ascii="方正仿宋_GBK" w:hAnsi="方正仿宋_GBK" w:eastAsia="方正仿宋_GBK" w:cs="方正仿宋_GBK"/>
          <w:b w:val="0"/>
          <w:bCs w:val="0"/>
          <w:color w:val="auto"/>
          <w:kern w:val="2"/>
          <w:sz w:val="32"/>
          <w:szCs w:val="32"/>
          <w:highlight w:val="none"/>
          <w:u w:val="none" w:color="auto"/>
          <w:lang w:eastAsia="zh-CN"/>
        </w:rPr>
        <w:t>。以提高国有经济活力与效率为核心，系统推进治理体系、资本布局与监管模式创新。完善现代企业制度，以“监管办法+公司章程+权责清单”的制度组合，推动市属国企规范化、精细化、市场化运营，厘清党委会、董事会、经理层权责界面。优化国有资本布局，通过“重组整合+低效出清+层级激活”促进资源协同与结构优化，出清无效资产和空壳企业，推动市属国企改革重组。创新“管资本”为主的监管机制，运用数字化手段推动监管从事后审计向穿透式实时动态管控转变，实现国有资产全生命周期精准管理，提升风险防控能力。</w:t>
      </w:r>
    </w:p>
    <w:p w14:paraId="44B29D56">
      <w:pPr>
        <w:pStyle w:val="2"/>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640" w:firstLineChars="200"/>
        <w:jc w:val="both"/>
        <w:textAlignment w:val="auto"/>
        <w:rPr>
          <w:rFonts w:hint="eastAsia" w:ascii="方正仿宋_GBK" w:hAnsi="方正仿宋_GBK" w:eastAsia="方正仿宋_GBK" w:cs="方正仿宋_GBK"/>
          <w:b w:val="0"/>
          <w:bCs w:val="0"/>
          <w:color w:val="auto"/>
          <w:kern w:val="2"/>
          <w:sz w:val="32"/>
          <w:szCs w:val="32"/>
          <w:highlight w:val="none"/>
          <w:u w:val="none" w:color="auto"/>
          <w:lang w:eastAsia="zh-CN"/>
        </w:rPr>
      </w:pPr>
      <w:r>
        <w:rPr>
          <w:rFonts w:hint="eastAsia" w:ascii="方正楷体_GBK" w:hAnsi="方正楷体_GBK" w:eastAsia="方正楷体_GBK" w:cs="方正楷体_GBK"/>
          <w:b w:val="0"/>
          <w:bCs w:val="0"/>
          <w:color w:val="auto"/>
          <w:kern w:val="2"/>
          <w:sz w:val="32"/>
          <w:szCs w:val="32"/>
          <w:highlight w:val="none"/>
          <w:u w:val="none" w:color="auto"/>
          <w:lang w:eastAsia="zh-CN"/>
        </w:rPr>
        <w:t>深化生态文明体制改革</w:t>
      </w:r>
      <w:r>
        <w:rPr>
          <w:rFonts w:hint="eastAsia" w:ascii="方正仿宋_GBK" w:hAnsi="方正仿宋_GBK" w:eastAsia="方正仿宋_GBK" w:cs="方正仿宋_GBK"/>
          <w:b w:val="0"/>
          <w:bCs w:val="0"/>
          <w:color w:val="auto"/>
          <w:kern w:val="2"/>
          <w:sz w:val="32"/>
          <w:szCs w:val="32"/>
          <w:highlight w:val="none"/>
          <w:u w:val="none" w:color="auto"/>
          <w:lang w:eastAsia="zh-CN"/>
        </w:rPr>
        <w:t>。聚焦绿色转型与生态保护，系统推进源头管控、市场机制、修复治理和低碳转型。强化空间分区管控，严格落实“三线一单”，建立覆盖全域的生态环境分区管控体系。健全自然资源资产产权制度，探索用水权、碳排放权交易及市场化生态补偿机制。加强生态保护修复，严格生态保护红线监管，推进东辽河、莲河等重点流域农村生活污水治理与黑土地保护修复。完善碳排放监测体系，加快推动能耗双控向碳排放双控转变，探索林业碳汇开发，推动经济社会发展全面绿色转型。</w:t>
      </w:r>
    </w:p>
    <w:p w14:paraId="29F0DB28">
      <w:pPr>
        <w:pStyle w:val="2"/>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640" w:firstLineChars="200"/>
        <w:jc w:val="both"/>
        <w:textAlignment w:val="auto"/>
        <w:rPr>
          <w:rFonts w:hint="eastAsia" w:ascii="方正仿宋_GBK" w:hAnsi="方正仿宋_GBK" w:eastAsia="方正仿宋_GBK" w:cs="方正仿宋_GBK"/>
          <w:b w:val="0"/>
          <w:bCs w:val="0"/>
          <w:color w:val="auto"/>
          <w:kern w:val="2"/>
          <w:sz w:val="32"/>
          <w:szCs w:val="32"/>
          <w:highlight w:val="none"/>
          <w:u w:val="none" w:color="auto"/>
          <w:lang w:eastAsia="zh-CN"/>
        </w:rPr>
      </w:pPr>
      <w:r>
        <w:rPr>
          <w:rFonts w:hint="eastAsia" w:ascii="方正楷体_GBK" w:hAnsi="方正楷体_GBK" w:eastAsia="方正楷体_GBK" w:cs="方正楷体_GBK"/>
          <w:b w:val="0"/>
          <w:bCs w:val="0"/>
          <w:color w:val="auto"/>
          <w:kern w:val="2"/>
          <w:sz w:val="32"/>
          <w:szCs w:val="32"/>
          <w:highlight w:val="none"/>
          <w:u w:val="none" w:color="auto"/>
          <w:lang w:eastAsia="zh-CN"/>
        </w:rPr>
        <w:t>深化财税金融改革</w:t>
      </w:r>
      <w:r>
        <w:rPr>
          <w:rFonts w:hint="eastAsia" w:ascii="方正仿宋_GBK" w:hAnsi="方正仿宋_GBK" w:eastAsia="方正仿宋_GBK" w:cs="方正仿宋_GBK"/>
          <w:b w:val="0"/>
          <w:bCs w:val="0"/>
          <w:color w:val="auto"/>
          <w:kern w:val="2"/>
          <w:sz w:val="32"/>
          <w:szCs w:val="32"/>
          <w:highlight w:val="none"/>
          <w:u w:val="none" w:color="auto"/>
          <w:lang w:eastAsia="zh-CN"/>
        </w:rPr>
        <w:t>。统筹推进财税金融体制改革，构建与高质量发展相适应的财税金融支撑体系。深化预算管理制度改革，实行全口径预算管理，全面实施零基预算，强化预算刚性约束和绩效导向。健全支出政策事前评估机制，强化绩效评价结果同预算安排、政策调整的实质性挂钩。深入推进市以下财政体制改革，建立权责清晰、财力协调、区域均衡的财政关系。加大行政事业单位国有资产、闲置资源盘活力度，提高资产使用效益。加强政府债务“借用管还”全生命周期管理，稳妥化解存量债务，坚决遏制隐性债务增量，构建规范、安全、高效的政府债务管理长效机制。引导金融机构扎实做好科技金融、绿色金融、普惠金融、养老金融、数字金融“五篇大文章”。鼓励金融机构创新特色金融产品，加大对“专精特新”中小企业、绿色转型项目、乡村振兴领域的信贷投放。积极发挥再贷款等货币政策工具的牵引带动作用，降低实体经济融资成本。推动完善政府性融资担保体系，拓宽小微企业、农业经营主体融资渠道。健全金融风险防控处置机制，规范政府融资平台公司市场化转型。强化金融监管协调，严厉打击非法金融活动，牢牢守住不发生系统性金融风险底线。</w:t>
      </w:r>
    </w:p>
    <w:p w14:paraId="0809F899">
      <w:pPr>
        <w:pStyle w:val="2"/>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left="0" w:leftChars="0" w:firstLine="0" w:firstLineChars="0"/>
        <w:jc w:val="center"/>
        <w:textAlignment w:val="auto"/>
        <w:rPr>
          <w:rFonts w:hint="eastAsia" w:ascii="方正黑体_GBK" w:hAnsi="方正黑体_GBK" w:eastAsia="方正黑体_GBK" w:cs="方正黑体_GBK"/>
          <w:b w:val="0"/>
          <w:bCs w:val="0"/>
          <w:color w:val="auto"/>
          <w:kern w:val="2"/>
          <w:sz w:val="32"/>
          <w:szCs w:val="32"/>
          <w:highlight w:val="none"/>
          <w:u w:val="none" w:color="auto"/>
          <w:lang w:eastAsia="zh-CN"/>
        </w:rPr>
      </w:pPr>
      <w:r>
        <w:rPr>
          <w:rFonts w:hint="eastAsia" w:ascii="方正黑体_GBK" w:hAnsi="方正黑体_GBK" w:eastAsia="方正黑体_GBK" w:cs="方正黑体_GBK"/>
          <w:b w:val="0"/>
          <w:bCs w:val="0"/>
          <w:color w:val="auto"/>
          <w:kern w:val="2"/>
          <w:sz w:val="32"/>
          <w:szCs w:val="32"/>
          <w:highlight w:val="none"/>
          <w:u w:val="none" w:color="auto"/>
          <w:lang w:eastAsia="zh-CN"/>
        </w:rPr>
        <w:t>第三节  深化要素市场化配置改革</w:t>
      </w:r>
    </w:p>
    <w:p w14:paraId="17361230">
      <w:pPr>
        <w:pStyle w:val="2"/>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640" w:firstLineChars="200"/>
        <w:jc w:val="both"/>
        <w:textAlignment w:val="auto"/>
        <w:rPr>
          <w:rFonts w:hint="eastAsia" w:ascii="方正仿宋_GBK" w:hAnsi="方正仿宋_GBK" w:eastAsia="方正仿宋_GBK" w:cs="方正仿宋_GBK"/>
          <w:b w:val="0"/>
          <w:bCs w:val="0"/>
          <w:color w:val="auto"/>
          <w:kern w:val="2"/>
          <w:sz w:val="32"/>
          <w:szCs w:val="32"/>
          <w:highlight w:val="none"/>
          <w:u w:val="none" w:color="auto"/>
          <w:lang w:eastAsia="zh-CN"/>
        </w:rPr>
      </w:pPr>
      <w:r>
        <w:rPr>
          <w:rFonts w:hint="eastAsia" w:ascii="方正仿宋_GBK" w:hAnsi="方正仿宋_GBK" w:eastAsia="方正仿宋_GBK" w:cs="方正仿宋_GBK"/>
          <w:b w:val="0"/>
          <w:bCs w:val="0"/>
          <w:color w:val="auto"/>
          <w:kern w:val="2"/>
          <w:sz w:val="32"/>
          <w:szCs w:val="32"/>
          <w:highlight w:val="none"/>
          <w:u w:val="none" w:color="auto"/>
          <w:lang w:eastAsia="zh-CN"/>
        </w:rPr>
        <w:t>立足畅通经济循环与提升资源配置效率，聚焦破除体制机制障碍、完善市场治理体系、培育现代要素市场三大方向协同发力，推动有效市场和有为政府更好结合，促进要素自主有序流动和高效公平配置。全面落实全国统一大市场建设部署，严格执行公平竞争审查制度。推行“标准地+弹性年期”等新型供地机制，强化以“亩均效益”为导向的工业企业综合评价和资源要素差别化配置机制。加大批而未供和闲置土地处置力度，依法盘活低效用地、闲置厂房和存量基础设施资源，提升土地利用集约化水平。推动司法执行与破产制度有效衔接，依法盘活被查封冻结资产，促进要素释放和重新配置。持续深化开发区人事薪酬制度改革，全面完成高新区社会事务职能剥离。积极培育技术、数据等新型要素市场，依托省级技术交易平台完善区域技术交易网络，推动政府数据分类分级、有序开放和授权运营，促进数据合规高效流通使用。完善与要素市场化配置相适应的配套政策，健全涵盖建设用地、劳动力、资本、技术、数据等要素的市场体系。鼓励符合条件的优质企业通过上市、发行债券等方式扩大直接融资规模，促进各类要素向先进生产力集聚。</w:t>
      </w:r>
    </w:p>
    <w:p w14:paraId="6B074F9A">
      <w:pPr>
        <w:pStyle w:val="2"/>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left="0" w:leftChars="0" w:firstLine="0" w:firstLineChars="0"/>
        <w:jc w:val="center"/>
        <w:textAlignment w:val="auto"/>
        <w:rPr>
          <w:rFonts w:hint="eastAsia" w:ascii="方正黑体_GBK" w:hAnsi="方正黑体_GBK" w:eastAsia="方正黑体_GBK" w:cs="方正黑体_GBK"/>
          <w:b w:val="0"/>
          <w:bCs w:val="0"/>
          <w:color w:val="auto"/>
          <w:kern w:val="2"/>
          <w:sz w:val="32"/>
          <w:szCs w:val="32"/>
          <w:highlight w:val="none"/>
          <w:u w:val="none" w:color="auto"/>
          <w:lang w:eastAsia="zh-CN"/>
        </w:rPr>
      </w:pPr>
      <w:r>
        <w:rPr>
          <w:rFonts w:hint="eastAsia" w:ascii="方正黑体_GBK" w:hAnsi="方正黑体_GBK" w:eastAsia="方正黑体_GBK" w:cs="方正黑体_GBK"/>
          <w:b w:val="0"/>
          <w:bCs w:val="0"/>
          <w:color w:val="auto"/>
          <w:kern w:val="2"/>
          <w:sz w:val="32"/>
          <w:szCs w:val="32"/>
          <w:highlight w:val="none"/>
          <w:u w:val="none" w:color="auto"/>
          <w:lang w:eastAsia="zh-CN"/>
        </w:rPr>
        <w:t>第四节  扩大高水平对外开放合作</w:t>
      </w:r>
    </w:p>
    <w:p w14:paraId="5E27F7D4">
      <w:pPr>
        <w:pStyle w:val="2"/>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640" w:firstLineChars="200"/>
        <w:jc w:val="both"/>
        <w:textAlignment w:val="auto"/>
        <w:rPr>
          <w:rFonts w:hint="eastAsia" w:ascii="方正仿宋_GBK" w:hAnsi="方正仿宋_GBK" w:eastAsia="方正仿宋_GBK" w:cs="方正仿宋_GBK"/>
          <w:b w:val="0"/>
          <w:bCs w:val="0"/>
          <w:color w:val="auto"/>
          <w:kern w:val="2"/>
          <w:sz w:val="32"/>
          <w:szCs w:val="32"/>
          <w:highlight w:val="none"/>
          <w:u w:val="none" w:color="auto"/>
          <w:lang w:eastAsia="zh-CN"/>
        </w:rPr>
      </w:pPr>
      <w:r>
        <w:rPr>
          <w:rFonts w:hint="eastAsia" w:ascii="方正仿宋_GBK" w:hAnsi="方正仿宋_GBK" w:eastAsia="方正仿宋_GBK" w:cs="方正仿宋_GBK"/>
          <w:b w:val="0"/>
          <w:bCs w:val="0"/>
          <w:color w:val="auto"/>
          <w:kern w:val="2"/>
          <w:sz w:val="32"/>
          <w:szCs w:val="32"/>
          <w:highlight w:val="none"/>
          <w:u w:val="none" w:color="auto"/>
          <w:lang w:eastAsia="zh-CN"/>
        </w:rPr>
        <w:t>坚持“引进来”和“走出去”并重，着力畅通开放通道、建强开放平台、培育外贸主体、优化外资结构。深度融入共建“一带一路”及“中蒙俄经济走廊”建设，积极融入全省开放大局，全力申建中国（辽源）跨境电子商务综合试验区。鼓励北方袜业在重点口岸设立展销中心和体验店、专门店，金翼食品等企业优化海外网点布局，打造特色产品出口集散基地。依托吉西南承接产业转移示范区，瞄准行业头部企业，主动承接京津冀、长三角、粤港澳大湾区等地区产业转移。充分利用吉商大会、东北亚博览会、中国跨境电商交易会等开放平台，拓展合作空间。持续深化与绍兴市及浙江省全域对口合作，推动辽源—浙江（绍兴）产业园建设，探索“飞地托管”“反向飞地”等合作运营模式。加快培育壮大外贸主体，鼓励汽车零部件、铝制品、袜业纺织、特色农产品等企业扩大海外市场与跨境电商布局。组织企业参加广交会、进博会、东盟博览会等国际性展会。完善外商投资促进、保护、管理和服务体系，提高利用外资质量。扎实做好对口支援西藏、新疆工作。</w:t>
      </w:r>
    </w:p>
    <w:p w14:paraId="76D08564">
      <w:pPr>
        <w:pStyle w:val="2"/>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640" w:firstLineChars="200"/>
        <w:jc w:val="both"/>
        <w:textAlignment w:val="auto"/>
        <w:rPr>
          <w:rFonts w:hint="eastAsia" w:ascii="方正仿宋_GBK" w:hAnsi="方正仿宋_GBK" w:eastAsia="方正仿宋_GBK" w:cs="方正仿宋_GBK"/>
          <w:b w:val="0"/>
          <w:bCs w:val="0"/>
          <w:color w:val="auto"/>
          <w:kern w:val="2"/>
          <w:sz w:val="32"/>
          <w:szCs w:val="32"/>
          <w:highlight w:val="none"/>
          <w:u w:val="none" w:color="auto"/>
          <w:lang w:eastAsia="zh-CN"/>
        </w:rPr>
      </w:pPr>
    </w:p>
    <w:p w14:paraId="049C8B0E">
      <w:pPr>
        <w:pStyle w:val="2"/>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640" w:firstLineChars="200"/>
        <w:jc w:val="both"/>
        <w:textAlignment w:val="auto"/>
        <w:rPr>
          <w:rFonts w:hint="eastAsia" w:ascii="方正仿宋_GBK" w:hAnsi="方正仿宋_GBK" w:eastAsia="方正仿宋_GBK" w:cs="方正仿宋_GBK"/>
          <w:b w:val="0"/>
          <w:bCs w:val="0"/>
          <w:color w:val="auto"/>
          <w:kern w:val="2"/>
          <w:sz w:val="32"/>
          <w:szCs w:val="32"/>
          <w:highlight w:val="none"/>
          <w:u w:val="none" w:color="auto"/>
          <w:lang w:eastAsia="zh-CN"/>
        </w:rPr>
      </w:pPr>
    </w:p>
    <w:p w14:paraId="5BD1649F">
      <w:pPr>
        <w:pStyle w:val="2"/>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640" w:firstLineChars="200"/>
        <w:jc w:val="both"/>
        <w:textAlignment w:val="auto"/>
        <w:rPr>
          <w:rFonts w:hint="eastAsia" w:ascii="方正仿宋_GBK" w:hAnsi="方正仿宋_GBK" w:eastAsia="方正仿宋_GBK" w:cs="方正仿宋_GBK"/>
          <w:b w:val="0"/>
          <w:bCs w:val="0"/>
          <w:color w:val="auto"/>
          <w:kern w:val="2"/>
          <w:sz w:val="32"/>
          <w:szCs w:val="32"/>
          <w:highlight w:val="none"/>
          <w:u w:val="none" w:color="auto"/>
          <w:lang w:eastAsia="zh-CN"/>
        </w:rPr>
      </w:pPr>
    </w:p>
    <w:p w14:paraId="59F07AB8">
      <w:pPr>
        <w:pStyle w:val="2"/>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640" w:firstLineChars="200"/>
        <w:jc w:val="both"/>
        <w:textAlignment w:val="auto"/>
        <w:rPr>
          <w:rFonts w:hint="eastAsia" w:ascii="方正仿宋_GBK" w:hAnsi="方正仿宋_GBK" w:eastAsia="方正仿宋_GBK" w:cs="方正仿宋_GBK"/>
          <w:b w:val="0"/>
          <w:bCs w:val="0"/>
          <w:color w:val="auto"/>
          <w:kern w:val="2"/>
          <w:sz w:val="32"/>
          <w:szCs w:val="32"/>
          <w:highlight w:val="none"/>
          <w:u w:val="none" w:color="auto"/>
          <w:lang w:eastAsia="zh-CN"/>
        </w:rPr>
      </w:pPr>
    </w:p>
    <w:p w14:paraId="6E137EE2">
      <w:pPr>
        <w:pStyle w:val="2"/>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left="0" w:leftChars="0" w:firstLine="0" w:firstLineChars="0"/>
        <w:jc w:val="center"/>
        <w:textAlignment w:val="auto"/>
        <w:rPr>
          <w:rFonts w:hint="eastAsia" w:ascii="方正小标宋_GBK" w:hAnsi="方正小标宋_GBK" w:eastAsia="方正小标宋_GBK" w:cs="方正小标宋_GBK"/>
          <w:b w:val="0"/>
          <w:bCs w:val="0"/>
          <w:color w:val="auto"/>
          <w:kern w:val="2"/>
          <w:sz w:val="36"/>
          <w:szCs w:val="36"/>
          <w:highlight w:val="none"/>
          <w:u w:val="none" w:color="auto"/>
          <w:lang w:eastAsia="zh-CN"/>
        </w:rPr>
      </w:pPr>
      <w:r>
        <w:rPr>
          <w:rFonts w:hint="eastAsia" w:ascii="方正小标宋_GBK" w:hAnsi="方正小标宋_GBK" w:eastAsia="方正小标宋_GBK" w:cs="方正小标宋_GBK"/>
          <w:b w:val="0"/>
          <w:bCs w:val="0"/>
          <w:color w:val="auto"/>
          <w:kern w:val="2"/>
          <w:sz w:val="36"/>
          <w:szCs w:val="36"/>
          <w:highlight w:val="none"/>
          <w:u w:val="none" w:color="auto"/>
          <w:lang w:eastAsia="zh-CN"/>
        </w:rPr>
        <w:t>第六章  协同推进长春现代化都市圈建设</w:t>
      </w:r>
    </w:p>
    <w:p w14:paraId="16D8A92C">
      <w:pPr>
        <w:pStyle w:val="2"/>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left="0" w:leftChars="0" w:firstLine="0" w:firstLineChars="0"/>
        <w:jc w:val="center"/>
        <w:textAlignment w:val="auto"/>
        <w:rPr>
          <w:rFonts w:hint="eastAsia" w:ascii="方正小标宋_GBK" w:hAnsi="方正小标宋_GBK" w:eastAsia="方正小标宋_GBK" w:cs="方正小标宋_GBK"/>
          <w:b w:val="0"/>
          <w:bCs w:val="0"/>
          <w:color w:val="auto"/>
          <w:kern w:val="2"/>
          <w:sz w:val="36"/>
          <w:szCs w:val="36"/>
          <w:highlight w:val="none"/>
          <w:u w:val="none" w:color="auto"/>
          <w:lang w:eastAsia="zh-CN"/>
        </w:rPr>
      </w:pPr>
      <w:r>
        <w:rPr>
          <w:rFonts w:hint="eastAsia" w:ascii="方正小标宋_GBK" w:hAnsi="方正小标宋_GBK" w:eastAsia="方正小标宋_GBK" w:cs="方正小标宋_GBK"/>
          <w:b w:val="0"/>
          <w:bCs w:val="0"/>
          <w:color w:val="auto"/>
          <w:kern w:val="2"/>
          <w:sz w:val="36"/>
          <w:szCs w:val="36"/>
          <w:highlight w:val="none"/>
          <w:u w:val="none" w:color="auto"/>
          <w:lang w:eastAsia="zh-CN"/>
        </w:rPr>
        <w:t>强力拉动振兴发展</w:t>
      </w:r>
    </w:p>
    <w:p w14:paraId="1F5ECBEB">
      <w:pPr>
        <w:pStyle w:val="2"/>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640" w:firstLineChars="200"/>
        <w:jc w:val="both"/>
        <w:textAlignment w:val="auto"/>
        <w:rPr>
          <w:rFonts w:hint="eastAsia" w:ascii="方正仿宋_GBK" w:hAnsi="方正仿宋_GBK" w:eastAsia="方正仿宋_GBK" w:cs="方正仿宋_GBK"/>
          <w:b w:val="0"/>
          <w:bCs w:val="0"/>
          <w:color w:val="auto"/>
          <w:kern w:val="2"/>
          <w:sz w:val="32"/>
          <w:szCs w:val="32"/>
          <w:highlight w:val="none"/>
          <w:u w:val="none" w:color="auto"/>
          <w:lang w:eastAsia="zh-CN"/>
        </w:rPr>
      </w:pPr>
      <w:r>
        <w:rPr>
          <w:rFonts w:hint="eastAsia" w:ascii="方正仿宋_GBK" w:hAnsi="方正仿宋_GBK" w:eastAsia="方正仿宋_GBK" w:cs="方正仿宋_GBK"/>
          <w:b w:val="0"/>
          <w:bCs w:val="0"/>
          <w:color w:val="auto"/>
          <w:kern w:val="2"/>
          <w:sz w:val="32"/>
          <w:szCs w:val="32"/>
          <w:highlight w:val="none"/>
          <w:u w:val="none" w:color="auto"/>
          <w:lang w:eastAsia="zh-CN"/>
        </w:rPr>
        <w:t>坚持以“战略协同、产业互补、创新联动、区域融合”为方向，锚定长春现代化都市圈重要组成部分和向南开放门户的定位，积极融入中心城市发展，全力推动交通畅达、产业联动、生态协同、文旅融合，打造经济增长新增长极。</w:t>
      </w:r>
    </w:p>
    <w:p w14:paraId="4F274609">
      <w:pPr>
        <w:pStyle w:val="2"/>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left="0" w:leftChars="0" w:firstLine="0" w:firstLineChars="0"/>
        <w:jc w:val="center"/>
        <w:textAlignment w:val="auto"/>
        <w:rPr>
          <w:rFonts w:hint="eastAsia" w:ascii="方正黑体_GBK" w:hAnsi="方正黑体_GBK" w:eastAsia="方正黑体_GBK" w:cs="方正黑体_GBK"/>
          <w:b w:val="0"/>
          <w:bCs w:val="0"/>
          <w:color w:val="auto"/>
          <w:kern w:val="2"/>
          <w:sz w:val="32"/>
          <w:szCs w:val="32"/>
          <w:highlight w:val="none"/>
          <w:u w:val="none" w:color="auto"/>
          <w:lang w:eastAsia="zh-CN"/>
        </w:rPr>
      </w:pPr>
      <w:r>
        <w:rPr>
          <w:rFonts w:hint="eastAsia" w:ascii="方正黑体_GBK" w:hAnsi="方正黑体_GBK" w:eastAsia="方正黑体_GBK" w:cs="方正黑体_GBK"/>
          <w:b w:val="0"/>
          <w:bCs w:val="0"/>
          <w:color w:val="auto"/>
          <w:kern w:val="2"/>
          <w:sz w:val="32"/>
          <w:szCs w:val="32"/>
          <w:highlight w:val="none"/>
          <w:u w:val="none" w:color="auto"/>
          <w:lang w:eastAsia="zh-CN"/>
        </w:rPr>
        <w:t>第一节  积极融入都市圈空间布局</w:t>
      </w:r>
    </w:p>
    <w:p w14:paraId="0E1757C0">
      <w:pPr>
        <w:pStyle w:val="2"/>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640" w:firstLineChars="200"/>
        <w:jc w:val="both"/>
        <w:textAlignment w:val="auto"/>
        <w:rPr>
          <w:rFonts w:hint="eastAsia" w:ascii="方正仿宋_GBK" w:hAnsi="方正仿宋_GBK" w:eastAsia="方正仿宋_GBK" w:cs="方正仿宋_GBK"/>
          <w:b w:val="0"/>
          <w:bCs w:val="0"/>
          <w:color w:val="auto"/>
          <w:kern w:val="2"/>
          <w:sz w:val="32"/>
          <w:szCs w:val="32"/>
          <w:highlight w:val="none"/>
          <w:u w:val="none" w:color="auto"/>
          <w:lang w:eastAsia="zh-CN"/>
        </w:rPr>
      </w:pPr>
      <w:r>
        <w:rPr>
          <w:rFonts w:hint="eastAsia" w:ascii="方正仿宋_GBK" w:hAnsi="方正仿宋_GBK" w:eastAsia="方正仿宋_GBK" w:cs="方正仿宋_GBK"/>
          <w:b w:val="0"/>
          <w:bCs w:val="0"/>
          <w:color w:val="auto"/>
          <w:kern w:val="2"/>
          <w:sz w:val="32"/>
          <w:szCs w:val="32"/>
          <w:highlight w:val="none"/>
          <w:u w:val="none" w:color="auto"/>
          <w:lang w:eastAsia="zh-CN"/>
        </w:rPr>
        <w:t>深度融入长春现代化都市圈“1351”空间发展格局，着力构建“北融南联、一轴贯通、双廊双带、四区协同”的市域功能布局。</w:t>
      </w:r>
      <w:r>
        <w:rPr>
          <w:rFonts w:hint="eastAsia" w:ascii="方正楷体_GBK" w:hAnsi="方正楷体_GBK" w:eastAsia="方正楷体_GBK" w:cs="方正楷体_GBK"/>
          <w:b w:val="0"/>
          <w:bCs w:val="0"/>
          <w:color w:val="auto"/>
          <w:kern w:val="2"/>
          <w:sz w:val="32"/>
          <w:szCs w:val="32"/>
          <w:highlight w:val="none"/>
          <w:u w:val="none" w:color="auto"/>
          <w:lang w:eastAsia="zh-CN"/>
        </w:rPr>
        <w:t>“北融南联”。</w:t>
      </w:r>
      <w:r>
        <w:rPr>
          <w:rFonts w:hint="eastAsia" w:ascii="方正仿宋_GBK" w:hAnsi="方正仿宋_GBK" w:eastAsia="方正仿宋_GBK" w:cs="方正仿宋_GBK"/>
          <w:b w:val="0"/>
          <w:bCs w:val="0"/>
          <w:color w:val="auto"/>
          <w:kern w:val="2"/>
          <w:sz w:val="32"/>
          <w:szCs w:val="32"/>
          <w:highlight w:val="none"/>
          <w:u w:val="none" w:color="auto"/>
          <w:lang w:eastAsia="zh-CN"/>
        </w:rPr>
        <w:t>向北深度融入长春现代化都市圈，向南积极对接沈阳都市圈，依托吉西南国家级承接产业转移示范区、吉南辽北蒙东六市一体化联席会议机制等平台，打通我省向南开放通道。推动跨区域产业协作与功能互补，搭建都市圈及省际产业协同平台，增强在区域网络中的节点支撑作用。</w:t>
      </w:r>
      <w:r>
        <w:rPr>
          <w:rFonts w:hint="eastAsia" w:ascii="方正楷体_GBK" w:hAnsi="方正楷体_GBK" w:eastAsia="方正楷体_GBK" w:cs="方正楷体_GBK"/>
          <w:b w:val="0"/>
          <w:bCs w:val="0"/>
          <w:color w:val="auto"/>
          <w:kern w:val="2"/>
          <w:sz w:val="32"/>
          <w:szCs w:val="32"/>
          <w:highlight w:val="none"/>
          <w:u w:val="none" w:color="auto"/>
          <w:lang w:eastAsia="zh-CN"/>
        </w:rPr>
        <w:t>“一轴贯通”。</w:t>
      </w:r>
      <w:r>
        <w:rPr>
          <w:rFonts w:hint="eastAsia" w:ascii="方正仿宋_GBK" w:hAnsi="方正仿宋_GBK" w:eastAsia="方正仿宋_GBK" w:cs="方正仿宋_GBK"/>
          <w:b w:val="0"/>
          <w:bCs w:val="0"/>
          <w:color w:val="auto"/>
          <w:kern w:val="2"/>
          <w:sz w:val="32"/>
          <w:szCs w:val="32"/>
          <w:highlight w:val="none"/>
          <w:u w:val="none" w:color="auto"/>
          <w:lang w:eastAsia="zh-CN"/>
        </w:rPr>
        <w:t>加快建设“辽源—伊通—长春”一体化发展轴，推动基础设施互联、产业协作融通、要素市场互通、公共服务直通，打造长辽协同发展的主轴通道。依托轴线交通与功能联动，促进人才、技术、资本等要素高效流动，强化与长春在汽车零部件、现代农业、文旅康养等领域的深度协作。“</w:t>
      </w:r>
      <w:r>
        <w:rPr>
          <w:rFonts w:hint="eastAsia" w:ascii="方正楷体_GBK" w:hAnsi="方正楷体_GBK" w:eastAsia="方正楷体_GBK" w:cs="方正楷体_GBK"/>
          <w:b w:val="0"/>
          <w:bCs w:val="0"/>
          <w:color w:val="auto"/>
          <w:kern w:val="2"/>
          <w:sz w:val="32"/>
          <w:szCs w:val="32"/>
          <w:highlight w:val="none"/>
          <w:u w:val="none" w:color="auto"/>
          <w:lang w:eastAsia="zh-CN"/>
        </w:rPr>
        <w:t>双廊双带”。</w:t>
      </w:r>
      <w:r>
        <w:rPr>
          <w:rFonts w:hint="eastAsia" w:ascii="方正仿宋_GBK" w:hAnsi="方正仿宋_GBK" w:eastAsia="方正仿宋_GBK" w:cs="方正仿宋_GBK"/>
          <w:b w:val="0"/>
          <w:bCs w:val="0"/>
          <w:color w:val="auto"/>
          <w:kern w:val="2"/>
          <w:sz w:val="32"/>
          <w:szCs w:val="32"/>
          <w:highlight w:val="none"/>
          <w:u w:val="none" w:color="auto"/>
          <w:lang w:eastAsia="zh-CN"/>
        </w:rPr>
        <w:t>依托医药基础与长春科研资源，推动中医药、化药、生物制药等领域合作，联合打造长辽医药健康产业走廊。与长春、四平协同推进东辽河流域生态治理，共建东辽河生态安全走廊，筑牢区域生态屏障。积极融入长春新能源产业带和新文旅融合发展带，促进产业错位布局与链条延伸。“</w:t>
      </w:r>
      <w:r>
        <w:rPr>
          <w:rFonts w:hint="eastAsia" w:ascii="方正楷体_GBK" w:hAnsi="方正楷体_GBK" w:eastAsia="方正楷体_GBK" w:cs="方正楷体_GBK"/>
          <w:b w:val="0"/>
          <w:bCs w:val="0"/>
          <w:color w:val="auto"/>
          <w:kern w:val="2"/>
          <w:sz w:val="32"/>
          <w:szCs w:val="32"/>
          <w:highlight w:val="none"/>
          <w:u w:val="none" w:color="auto"/>
          <w:lang w:eastAsia="zh-CN"/>
        </w:rPr>
        <w:t>四区协同”</w:t>
      </w:r>
      <w:r>
        <w:rPr>
          <w:rFonts w:hint="eastAsia" w:ascii="方正仿宋_GBK" w:hAnsi="方正仿宋_GBK" w:eastAsia="方正仿宋_GBK" w:cs="方正仿宋_GBK"/>
          <w:b w:val="0"/>
          <w:bCs w:val="0"/>
          <w:color w:val="auto"/>
          <w:kern w:val="2"/>
          <w:sz w:val="32"/>
          <w:szCs w:val="32"/>
          <w:highlight w:val="none"/>
          <w:u w:val="none" w:color="auto"/>
          <w:lang w:eastAsia="zh-CN"/>
        </w:rPr>
        <w:t>。按照分区组团、功能互补思路，优化中心城区空间布局，打造东部高端商贸发展新区，强化商业服务与现代流通功能；建设南部教育科创一体新区，推动产学研融合与创新孵化；培育西部新兴产业集聚新区，承接科技成果转化与先进制造项目；塑造北部生态文旅融合新区，依托生态基底发展休闲旅游与康养业态，形成“四区协同、特色发展”的市域功能体系。</w:t>
      </w:r>
    </w:p>
    <w:p w14:paraId="36CB5216">
      <w:pPr>
        <w:pStyle w:val="2"/>
        <w:keepNext w:val="0"/>
        <w:keepLines w:val="0"/>
        <w:pageBreakBefore w:val="0"/>
        <w:widowControl w:val="0"/>
        <w:kinsoku/>
        <w:wordWrap/>
        <w:overflowPunct/>
        <w:topLinePunct w:val="0"/>
        <w:autoSpaceDE/>
        <w:autoSpaceDN/>
        <w:bidi w:val="0"/>
        <w:adjustRightInd/>
        <w:snapToGrid/>
        <w:spacing w:after="0" w:afterLines="0" w:line="480" w:lineRule="auto"/>
        <w:ind w:left="0" w:leftChars="0" w:firstLine="480" w:firstLineChars="200"/>
        <w:jc w:val="both"/>
        <w:textAlignment w:val="auto"/>
        <w:rPr>
          <w:rFonts w:hint="eastAsia" w:ascii="黑体" w:hAnsi="黑体" w:eastAsia="黑体" w:cs="黑体"/>
          <w:b w:val="0"/>
          <w:bCs w:val="0"/>
          <w:color w:val="auto"/>
          <w:sz w:val="24"/>
          <w:szCs w:val="24"/>
        </w:rPr>
      </w:pPr>
      <w:r>
        <w:rPr>
          <w:rFonts w:hint="eastAsia" w:ascii="黑体" w:hAnsi="黑体" w:eastAsia="黑体" w:cs="黑体"/>
          <w:b w:val="0"/>
          <w:bCs w:val="0"/>
          <w:color w:val="auto"/>
          <w:sz w:val="24"/>
          <w:szCs w:val="24"/>
        </w:rPr>
        <w:drawing>
          <wp:anchor distT="0" distB="0" distL="114300" distR="114300" simplePos="0" relativeHeight="251659264" behindDoc="0" locked="0" layoutInCell="1" allowOverlap="1">
            <wp:simplePos x="0" y="0"/>
            <wp:positionH relativeFrom="column">
              <wp:posOffset>-102870</wp:posOffset>
            </wp:positionH>
            <wp:positionV relativeFrom="paragraph">
              <wp:posOffset>75565</wp:posOffset>
            </wp:positionV>
            <wp:extent cx="5821045" cy="3881120"/>
            <wp:effectExtent l="0" t="0" r="8255" b="5080"/>
            <wp:wrapNone/>
            <wp:docPr id="2" name="图片 6" descr="C:/Users/Administrator/Desktop/1.jp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6" descr="C:/Users/Administrator/Desktop/1.jpg1"/>
                    <pic:cNvPicPr>
                      <a:picLocks noChangeAspect="1"/>
                    </pic:cNvPicPr>
                  </pic:nvPicPr>
                  <pic:blipFill>
                    <a:blip r:embed="rId6"/>
                    <a:srcRect t="23" b="23"/>
                    <a:stretch>
                      <a:fillRect/>
                    </a:stretch>
                  </pic:blipFill>
                  <pic:spPr>
                    <a:xfrm>
                      <a:off x="0" y="0"/>
                      <a:ext cx="5821045" cy="3881120"/>
                    </a:xfrm>
                    <a:prstGeom prst="rect">
                      <a:avLst/>
                    </a:prstGeom>
                    <a:noFill/>
                    <a:ln>
                      <a:noFill/>
                    </a:ln>
                  </pic:spPr>
                </pic:pic>
              </a:graphicData>
            </a:graphic>
          </wp:anchor>
        </w:drawing>
      </w:r>
    </w:p>
    <w:p w14:paraId="4E122E75">
      <w:pPr>
        <w:bidi w:val="0"/>
        <w:rPr>
          <w:rFonts w:hint="eastAsia"/>
          <w:color w:val="auto"/>
          <w:lang w:eastAsia="zh-CN"/>
        </w:rPr>
      </w:pPr>
    </w:p>
    <w:p w14:paraId="54BF7302">
      <w:pPr>
        <w:bidi w:val="0"/>
        <w:rPr>
          <w:rFonts w:hint="eastAsia"/>
          <w:color w:val="auto"/>
          <w:lang w:eastAsia="zh-CN"/>
        </w:rPr>
      </w:pPr>
    </w:p>
    <w:p w14:paraId="6F5C02EE">
      <w:pPr>
        <w:bidi w:val="0"/>
        <w:rPr>
          <w:rFonts w:hint="eastAsia"/>
          <w:color w:val="auto"/>
          <w:lang w:eastAsia="zh-CN"/>
        </w:rPr>
      </w:pPr>
    </w:p>
    <w:p w14:paraId="75223048">
      <w:pPr>
        <w:bidi w:val="0"/>
        <w:rPr>
          <w:rFonts w:hint="eastAsia"/>
          <w:color w:val="auto"/>
          <w:lang w:eastAsia="zh-CN"/>
        </w:rPr>
      </w:pPr>
    </w:p>
    <w:p w14:paraId="2061BEBF">
      <w:pPr>
        <w:bidi w:val="0"/>
        <w:rPr>
          <w:rFonts w:hint="eastAsia"/>
          <w:color w:val="auto"/>
          <w:lang w:eastAsia="zh-CN"/>
        </w:rPr>
      </w:pPr>
    </w:p>
    <w:p w14:paraId="7200B4F4">
      <w:pPr>
        <w:bidi w:val="0"/>
        <w:rPr>
          <w:rFonts w:hint="eastAsia"/>
          <w:color w:val="auto"/>
          <w:lang w:eastAsia="zh-CN"/>
        </w:rPr>
      </w:pPr>
    </w:p>
    <w:p w14:paraId="617E72BC">
      <w:pPr>
        <w:bidi w:val="0"/>
        <w:rPr>
          <w:rFonts w:hint="eastAsia"/>
          <w:color w:val="auto"/>
          <w:lang w:eastAsia="zh-CN"/>
        </w:rPr>
      </w:pPr>
    </w:p>
    <w:p w14:paraId="1DC7D29B">
      <w:pPr>
        <w:bidi w:val="0"/>
        <w:rPr>
          <w:rFonts w:hint="eastAsia"/>
          <w:color w:val="auto"/>
          <w:lang w:eastAsia="zh-CN"/>
        </w:rPr>
      </w:pPr>
    </w:p>
    <w:p w14:paraId="12BCEFF4">
      <w:pPr>
        <w:bidi w:val="0"/>
        <w:rPr>
          <w:rFonts w:hint="eastAsia"/>
          <w:color w:val="auto"/>
          <w:lang w:eastAsia="zh-CN"/>
        </w:rPr>
      </w:pPr>
    </w:p>
    <w:p w14:paraId="1FB97DC0">
      <w:pPr>
        <w:bidi w:val="0"/>
        <w:rPr>
          <w:rFonts w:hint="eastAsia"/>
          <w:color w:val="auto"/>
          <w:lang w:eastAsia="zh-CN"/>
        </w:rPr>
      </w:pPr>
    </w:p>
    <w:p w14:paraId="28CF3357">
      <w:pPr>
        <w:bidi w:val="0"/>
        <w:rPr>
          <w:rFonts w:hint="eastAsia"/>
          <w:color w:val="auto"/>
          <w:lang w:eastAsia="zh-CN"/>
        </w:rPr>
      </w:pPr>
    </w:p>
    <w:p w14:paraId="605D8BB4">
      <w:pPr>
        <w:bidi w:val="0"/>
        <w:rPr>
          <w:rFonts w:hint="eastAsia"/>
          <w:color w:val="auto"/>
          <w:lang w:eastAsia="zh-CN"/>
        </w:rPr>
      </w:pPr>
    </w:p>
    <w:p w14:paraId="1F6FF38A">
      <w:pPr>
        <w:bidi w:val="0"/>
        <w:rPr>
          <w:rFonts w:hint="eastAsia"/>
          <w:color w:val="auto"/>
          <w:lang w:eastAsia="zh-CN"/>
        </w:rPr>
      </w:pPr>
    </w:p>
    <w:p w14:paraId="43148480">
      <w:pPr>
        <w:bidi w:val="0"/>
        <w:rPr>
          <w:rFonts w:hint="eastAsia"/>
          <w:color w:val="auto"/>
          <w:lang w:eastAsia="zh-CN"/>
        </w:rPr>
      </w:pPr>
    </w:p>
    <w:p w14:paraId="7E6E4376">
      <w:pPr>
        <w:bidi w:val="0"/>
        <w:rPr>
          <w:rFonts w:hint="eastAsia"/>
          <w:color w:val="auto"/>
          <w:lang w:eastAsia="zh-CN"/>
        </w:rPr>
      </w:pPr>
    </w:p>
    <w:p w14:paraId="4EB3EC19">
      <w:pPr>
        <w:bidi w:val="0"/>
        <w:rPr>
          <w:rFonts w:hint="eastAsia"/>
          <w:color w:val="auto"/>
          <w:lang w:eastAsia="zh-CN"/>
        </w:rPr>
      </w:pPr>
    </w:p>
    <w:p w14:paraId="520660F6">
      <w:pPr>
        <w:bidi w:val="0"/>
        <w:rPr>
          <w:rFonts w:hint="eastAsia"/>
          <w:color w:val="auto"/>
          <w:lang w:eastAsia="zh-CN"/>
        </w:rPr>
      </w:pPr>
    </w:p>
    <w:p w14:paraId="34B0FAA7">
      <w:pPr>
        <w:bidi w:val="0"/>
        <w:rPr>
          <w:rFonts w:hint="eastAsia"/>
          <w:color w:val="auto"/>
          <w:lang w:eastAsia="zh-CN"/>
        </w:rPr>
      </w:pPr>
    </w:p>
    <w:p w14:paraId="65CFB82C">
      <w:pPr>
        <w:bidi w:val="0"/>
        <w:rPr>
          <w:rFonts w:hint="eastAsia"/>
          <w:color w:val="auto"/>
          <w:lang w:eastAsia="zh-CN"/>
        </w:rPr>
      </w:pPr>
    </w:p>
    <w:p w14:paraId="63CF93C3">
      <w:pPr>
        <w:bidi w:val="0"/>
        <w:jc w:val="center"/>
        <w:rPr>
          <w:rFonts w:hint="eastAsia" w:ascii="方正黑体_GBK" w:hAnsi="方正黑体_GBK" w:eastAsia="方正黑体_GBK" w:cs="方正黑体_GBK"/>
          <w:color w:val="auto"/>
          <w:sz w:val="28"/>
          <w:szCs w:val="28"/>
          <w:lang w:eastAsia="zh-CN"/>
        </w:rPr>
      </w:pPr>
      <w:r>
        <w:rPr>
          <w:rFonts w:hint="eastAsia" w:ascii="方正黑体_GBK" w:hAnsi="方正黑体_GBK" w:eastAsia="方正黑体_GBK" w:cs="方正黑体_GBK"/>
          <w:color w:val="auto"/>
          <w:sz w:val="28"/>
          <w:szCs w:val="28"/>
          <w:lang w:eastAsia="zh-CN"/>
        </w:rPr>
        <w:t>图</w:t>
      </w:r>
      <w:r>
        <w:rPr>
          <w:rFonts w:hint="eastAsia" w:ascii="方正黑体_GBK" w:hAnsi="方正黑体_GBK" w:eastAsia="方正黑体_GBK" w:cs="方正黑体_GBK"/>
          <w:color w:val="auto"/>
          <w:sz w:val="28"/>
          <w:szCs w:val="28"/>
          <w:lang w:val="en-US" w:eastAsia="zh-CN"/>
        </w:rPr>
        <w:t>1</w:t>
      </w:r>
      <w:r>
        <w:rPr>
          <w:rFonts w:hint="eastAsia" w:ascii="方正黑体_GBK" w:hAnsi="方正黑体_GBK" w:eastAsia="方正黑体_GBK" w:cs="方正黑体_GBK"/>
          <w:color w:val="auto"/>
          <w:sz w:val="28"/>
          <w:szCs w:val="28"/>
          <w:lang w:eastAsia="zh-CN"/>
        </w:rPr>
        <w:t xml:space="preserve"> 辽源市融入长春现代化都市圈城市空间布局示意图</w:t>
      </w:r>
    </w:p>
    <w:p w14:paraId="09CDC906">
      <w:pPr>
        <w:pStyle w:val="2"/>
        <w:rPr>
          <w:rFonts w:hint="eastAsia"/>
          <w:color w:val="auto"/>
          <w:lang w:eastAsia="zh-CN"/>
        </w:rPr>
      </w:pPr>
    </w:p>
    <w:p w14:paraId="66C8B723">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jc w:val="center"/>
        <w:textAlignment w:val="auto"/>
        <w:rPr>
          <w:rFonts w:hint="eastAsia" w:ascii="方正黑体_GBK" w:hAnsi="方正黑体_GBK" w:eastAsia="方正黑体_GBK" w:cs="方正黑体_GBK"/>
          <w:color w:val="auto"/>
          <w:sz w:val="32"/>
          <w:szCs w:val="32"/>
          <w:lang w:eastAsia="zh-CN"/>
        </w:rPr>
      </w:pPr>
      <w:r>
        <w:rPr>
          <w:rFonts w:hint="eastAsia" w:ascii="方正黑体_GBK" w:hAnsi="方正黑体_GBK" w:eastAsia="方正黑体_GBK" w:cs="方正黑体_GBK"/>
          <w:color w:val="auto"/>
          <w:sz w:val="32"/>
          <w:szCs w:val="32"/>
          <w:lang w:eastAsia="zh-CN"/>
        </w:rPr>
        <w:t>第二节  加快建设都市圈同城化发展先行区</w:t>
      </w:r>
    </w:p>
    <w:p w14:paraId="214B0BD8">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方正仿宋_GBK" w:hAnsi="方正仿宋_GBK" w:eastAsia="方正仿宋_GBK" w:cs="方正仿宋_GBK"/>
          <w:color w:val="auto"/>
          <w:sz w:val="32"/>
          <w:szCs w:val="32"/>
          <w:lang w:eastAsia="zh-CN"/>
        </w:rPr>
      </w:pPr>
      <w:r>
        <w:rPr>
          <w:rFonts w:hint="eastAsia" w:ascii="方正仿宋_GBK" w:hAnsi="方正仿宋_GBK" w:eastAsia="方正仿宋_GBK" w:cs="方正仿宋_GBK"/>
          <w:color w:val="auto"/>
          <w:sz w:val="32"/>
          <w:szCs w:val="32"/>
          <w:lang w:val="en-US" w:eastAsia="zh-CN"/>
        </w:rPr>
        <w:t xml:space="preserve">    </w:t>
      </w:r>
      <w:r>
        <w:rPr>
          <w:rFonts w:hint="eastAsia" w:ascii="方正仿宋_GBK" w:hAnsi="方正仿宋_GBK" w:eastAsia="方正仿宋_GBK" w:cs="方正仿宋_GBK"/>
          <w:color w:val="auto"/>
          <w:sz w:val="32"/>
          <w:szCs w:val="32"/>
          <w:lang w:eastAsia="zh-CN"/>
        </w:rPr>
        <w:t>立足我市与长春市相向发展的战略导向，推动“东丰东辽两县四镇一乡”（那丹伯镇、辽河源镇、沙河镇、安石镇、金州乡）率先建设成为长春现代化都市圈乡村振兴先行区，打造生态为基、产业为核、文旅为脉、融合为径的协同发展新高地。以交通一体化打通区域联通“血脉经络”，谋划连接双阳、伊通、东丰、东辽的旅游新通道，推进高速、省道、县道改造提升，串联东辽河源头、民俗文化园、湿地公园等核心节点，构建“路景相融”的产业生态文旅大环线。探索布局无人机物流、低空观光、拍摄体验等“低空新赛道”，推动交通路网与产业园区、景区景点、物流枢纽高效衔接，提升区域互联互通水平。依托那丹伯镇肉牛产业基础，建设保种繁育、标准养殖、交易平台等三产融合项目，打造辐射东北地区的黄牛交易和肉牛养殖基地，建设都市圈产城融合重要节点。做足“粮头食尾”“畜头肉尾”“农头工尾”文章，推动有机水稻、蓝莓、柞蚕、菌菇、蓝龙虾等特色农业提质增效，建设都市圈有机特色农产品供应基地。整合沿线旅游资源和特色产业，打造以生态农业为底色、消费场景为牵引、特色文化为标识、疗愈休闲为亮点、健身竞技为引擎的农商文旅体融合发展区。深入挖掘东辽河源头生态资源，统筹各类资金撬动社会资本参与，构建城乡融合的乡村旅游振兴带。传承鹿乡历史与关东文化，丰富康养旅居、研学露营、民俗体验、冰雪运动等消费场景，开发面向长春市的休闲游与面向辽宁省的寻根游产品，推动创建国家级辽河源头文旅度假区，打造都市圈短期休闲游目的地。</w:t>
      </w:r>
    </w:p>
    <w:p w14:paraId="1821717B">
      <w:pPr>
        <w:pStyle w:val="2"/>
        <w:rPr>
          <w:rFonts w:hint="eastAsia" w:ascii="Times New Roman" w:hAnsi="Times New Roman" w:eastAsia="仿宋" w:cs="Times New Roman"/>
          <w:b/>
          <w:bCs/>
          <w:color w:val="auto"/>
          <w:lang w:eastAsia="zh-CN"/>
        </w:rPr>
      </w:pPr>
      <w:r>
        <w:rPr>
          <w:rFonts w:hint="eastAsia" w:ascii="Times New Roman" w:hAnsi="Times New Roman" w:eastAsia="仿宋" w:cs="Times New Roman"/>
          <w:b/>
          <w:bCs/>
          <w:color w:val="auto"/>
          <w:lang w:eastAsia="zh-CN"/>
        </w:rPr>
        <w:drawing>
          <wp:anchor distT="0" distB="0" distL="114300" distR="114300" simplePos="0" relativeHeight="251660288" behindDoc="0" locked="0" layoutInCell="1" allowOverlap="1">
            <wp:simplePos x="0" y="0"/>
            <wp:positionH relativeFrom="column">
              <wp:posOffset>-287655</wp:posOffset>
            </wp:positionH>
            <wp:positionV relativeFrom="paragraph">
              <wp:posOffset>177165</wp:posOffset>
            </wp:positionV>
            <wp:extent cx="6189345" cy="3510280"/>
            <wp:effectExtent l="0" t="0" r="1905" b="13970"/>
            <wp:wrapNone/>
            <wp:docPr id="1" name="图片 7" descr="C:/Users/Administrator/Desktop/6d6e60f4dec9c2b2d6e38bfb2d444216.jpg6d6e60f4dec9c2b2d6e38bfb2d444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7" descr="C:/Users/Administrator/Desktop/6d6e60f4dec9c2b2d6e38bfb2d444216.jpg6d6e60f4dec9c2b2d6e38bfb2d444216"/>
                    <pic:cNvPicPr>
                      <a:picLocks noChangeAspect="1"/>
                    </pic:cNvPicPr>
                  </pic:nvPicPr>
                  <pic:blipFill>
                    <a:blip r:embed="rId7"/>
                    <a:srcRect l="27" r="27"/>
                    <a:stretch>
                      <a:fillRect/>
                    </a:stretch>
                  </pic:blipFill>
                  <pic:spPr>
                    <a:xfrm>
                      <a:off x="0" y="0"/>
                      <a:ext cx="6189345" cy="3510280"/>
                    </a:xfrm>
                    <a:prstGeom prst="rect">
                      <a:avLst/>
                    </a:prstGeom>
                    <a:noFill/>
                    <a:ln>
                      <a:noFill/>
                    </a:ln>
                  </pic:spPr>
                </pic:pic>
              </a:graphicData>
            </a:graphic>
          </wp:anchor>
        </w:drawing>
      </w:r>
    </w:p>
    <w:p w14:paraId="05C41670">
      <w:pPr>
        <w:bidi w:val="0"/>
        <w:rPr>
          <w:rFonts w:hint="eastAsia"/>
          <w:color w:val="auto"/>
          <w:lang w:eastAsia="zh-CN"/>
        </w:rPr>
      </w:pPr>
    </w:p>
    <w:p w14:paraId="5FD2B9D5">
      <w:pPr>
        <w:bidi w:val="0"/>
        <w:rPr>
          <w:rFonts w:hint="eastAsia"/>
          <w:color w:val="auto"/>
          <w:lang w:eastAsia="zh-CN"/>
        </w:rPr>
      </w:pPr>
    </w:p>
    <w:p w14:paraId="36A9C227">
      <w:pPr>
        <w:bidi w:val="0"/>
        <w:rPr>
          <w:rFonts w:hint="eastAsia"/>
          <w:color w:val="auto"/>
          <w:lang w:eastAsia="zh-CN"/>
        </w:rPr>
      </w:pPr>
    </w:p>
    <w:p w14:paraId="08B1E54F">
      <w:pPr>
        <w:bidi w:val="0"/>
        <w:rPr>
          <w:rFonts w:hint="eastAsia"/>
          <w:color w:val="auto"/>
          <w:lang w:eastAsia="zh-CN"/>
        </w:rPr>
      </w:pPr>
    </w:p>
    <w:p w14:paraId="787A6275">
      <w:pPr>
        <w:bidi w:val="0"/>
        <w:rPr>
          <w:rFonts w:hint="eastAsia"/>
          <w:color w:val="auto"/>
          <w:lang w:eastAsia="zh-CN"/>
        </w:rPr>
      </w:pPr>
    </w:p>
    <w:p w14:paraId="43384193">
      <w:pPr>
        <w:bidi w:val="0"/>
        <w:rPr>
          <w:rFonts w:hint="eastAsia"/>
          <w:color w:val="auto"/>
          <w:lang w:eastAsia="zh-CN"/>
        </w:rPr>
      </w:pPr>
    </w:p>
    <w:p w14:paraId="3A3A6351">
      <w:pPr>
        <w:bidi w:val="0"/>
        <w:rPr>
          <w:rFonts w:hint="eastAsia"/>
          <w:color w:val="auto"/>
          <w:lang w:eastAsia="zh-CN"/>
        </w:rPr>
      </w:pPr>
    </w:p>
    <w:p w14:paraId="2B5009E9">
      <w:pPr>
        <w:bidi w:val="0"/>
        <w:rPr>
          <w:rFonts w:hint="eastAsia"/>
          <w:color w:val="auto"/>
          <w:lang w:eastAsia="zh-CN"/>
        </w:rPr>
      </w:pPr>
    </w:p>
    <w:p w14:paraId="17335898">
      <w:pPr>
        <w:bidi w:val="0"/>
        <w:rPr>
          <w:rFonts w:hint="eastAsia"/>
          <w:color w:val="auto"/>
          <w:lang w:eastAsia="zh-CN"/>
        </w:rPr>
      </w:pPr>
    </w:p>
    <w:p w14:paraId="1FEFDDB6">
      <w:pPr>
        <w:bidi w:val="0"/>
        <w:rPr>
          <w:rFonts w:hint="eastAsia"/>
          <w:color w:val="auto"/>
          <w:lang w:eastAsia="zh-CN"/>
        </w:rPr>
      </w:pPr>
    </w:p>
    <w:p w14:paraId="4A3B2F4F">
      <w:pPr>
        <w:bidi w:val="0"/>
        <w:rPr>
          <w:rFonts w:hint="eastAsia"/>
          <w:color w:val="auto"/>
          <w:lang w:eastAsia="zh-CN"/>
        </w:rPr>
      </w:pPr>
    </w:p>
    <w:p w14:paraId="465EF798">
      <w:pPr>
        <w:bidi w:val="0"/>
        <w:rPr>
          <w:rFonts w:hint="eastAsia"/>
          <w:color w:val="auto"/>
          <w:lang w:eastAsia="zh-CN"/>
        </w:rPr>
      </w:pPr>
    </w:p>
    <w:p w14:paraId="0CA05150">
      <w:pPr>
        <w:bidi w:val="0"/>
        <w:rPr>
          <w:rFonts w:hint="eastAsia"/>
          <w:color w:val="auto"/>
          <w:lang w:eastAsia="zh-CN"/>
        </w:rPr>
      </w:pPr>
    </w:p>
    <w:p w14:paraId="628B31F6">
      <w:pPr>
        <w:bidi w:val="0"/>
        <w:rPr>
          <w:rFonts w:hint="eastAsia"/>
          <w:color w:val="auto"/>
          <w:lang w:eastAsia="zh-CN"/>
        </w:rPr>
      </w:pPr>
    </w:p>
    <w:p w14:paraId="5B79C155">
      <w:pPr>
        <w:bidi w:val="0"/>
        <w:rPr>
          <w:rFonts w:hint="eastAsia"/>
          <w:color w:val="auto"/>
          <w:lang w:eastAsia="zh-CN"/>
        </w:rPr>
      </w:pPr>
    </w:p>
    <w:p w14:paraId="338AB611">
      <w:pPr>
        <w:bidi w:val="0"/>
        <w:rPr>
          <w:rFonts w:hint="eastAsia"/>
          <w:color w:val="auto"/>
          <w:lang w:eastAsia="zh-CN"/>
        </w:rPr>
      </w:pPr>
    </w:p>
    <w:p w14:paraId="6428CA6C">
      <w:pPr>
        <w:bidi w:val="0"/>
        <w:rPr>
          <w:rFonts w:hint="eastAsia"/>
          <w:color w:val="auto"/>
          <w:lang w:eastAsia="zh-CN"/>
        </w:rPr>
      </w:pPr>
    </w:p>
    <w:p w14:paraId="239426BE">
      <w:pPr>
        <w:keepNext w:val="0"/>
        <w:keepLines w:val="0"/>
        <w:pageBreakBefore w:val="0"/>
        <w:widowControl w:val="0"/>
        <w:tabs>
          <w:tab w:val="left" w:pos="1531"/>
        </w:tabs>
        <w:kinsoku/>
        <w:wordWrap/>
        <w:overflowPunct/>
        <w:topLinePunct w:val="0"/>
        <w:autoSpaceDE/>
        <w:autoSpaceDN/>
        <w:bidi w:val="0"/>
        <w:adjustRightInd/>
        <w:snapToGrid/>
        <w:spacing w:line="400" w:lineRule="exact"/>
        <w:jc w:val="center"/>
        <w:textAlignment w:val="auto"/>
        <w:rPr>
          <w:rFonts w:hint="eastAsia"/>
          <w:color w:val="auto"/>
          <w:lang w:eastAsia="zh-CN"/>
        </w:rPr>
      </w:pPr>
      <w:r>
        <w:rPr>
          <w:rFonts w:hint="eastAsia" w:ascii="方正黑体_GBK" w:hAnsi="方正黑体_GBK" w:eastAsia="方正黑体_GBK" w:cs="方正黑体_GBK"/>
          <w:color w:val="auto"/>
          <w:sz w:val="28"/>
          <w:szCs w:val="28"/>
          <w:lang w:eastAsia="zh-CN"/>
        </w:rPr>
        <w:t>图2 都市圈同城化发展先行区示意图</w:t>
      </w:r>
    </w:p>
    <w:p w14:paraId="6004C86B">
      <w:pPr>
        <w:pStyle w:val="2"/>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left="0" w:leftChars="0" w:firstLine="0" w:firstLineChars="0"/>
        <w:jc w:val="center"/>
        <w:textAlignment w:val="auto"/>
        <w:rPr>
          <w:rFonts w:hint="eastAsia" w:ascii="方正仿宋_GBK" w:hAnsi="方正仿宋_GBK" w:eastAsia="方正仿宋_GBK" w:cs="方正仿宋_GBK"/>
          <w:color w:val="auto"/>
          <w:sz w:val="32"/>
          <w:szCs w:val="32"/>
          <w:lang w:eastAsia="zh-CN"/>
        </w:rPr>
      </w:pPr>
      <w:r>
        <w:rPr>
          <w:rFonts w:hint="eastAsia" w:ascii="方正黑体_GBK" w:hAnsi="方正黑体_GBK" w:eastAsia="方正黑体_GBK" w:cs="方正黑体_GBK"/>
          <w:color w:val="auto"/>
          <w:sz w:val="32"/>
          <w:szCs w:val="32"/>
          <w:lang w:eastAsia="zh-CN"/>
        </w:rPr>
        <w:t>第三节  促进都市圈各城市同城化发展</w:t>
      </w:r>
    </w:p>
    <w:p w14:paraId="5F7FEA2C">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方正仿宋_GBK" w:hAnsi="方正仿宋_GBK" w:eastAsia="方正仿宋_GBK" w:cs="方正仿宋_GBK"/>
          <w:color w:val="auto"/>
          <w:sz w:val="32"/>
          <w:szCs w:val="32"/>
          <w:lang w:eastAsia="zh-CN"/>
        </w:rPr>
      </w:pPr>
      <w:r>
        <w:rPr>
          <w:rFonts w:hint="eastAsia" w:ascii="方正仿宋_GBK" w:hAnsi="方正仿宋_GBK" w:eastAsia="方正仿宋_GBK" w:cs="方正仿宋_GBK"/>
          <w:color w:val="auto"/>
          <w:sz w:val="32"/>
          <w:szCs w:val="32"/>
          <w:lang w:eastAsia="zh-CN"/>
        </w:rPr>
        <w:t>坚持以融合、协同、共享为发展导向，深度推进“长辽组团”建设，统筹基础设施“硬联通”与体制机制“软衔接”，着力构建高效畅达的通勤圈、优势互补的产业圈、宜居宜业的生活圈与智慧协同的治理圈，全面提升区域一体化发展水平。推进同城化交通网建设，协同完善都市圈铁路网、公路网布局，提升交通基础设施的连接性与贯通性。重点谋划与长春、四平、伊通等周边地区的快速通道建设，推动市域干线路网升级改造，为要素流动与产业协作提供坚实支撑。推进同城化产业链建设，聚焦汽车、化工、医药、农产品加工等区域优势产业链，建立与一汽、吉化等链主企业的“链长制”常态化对接机制。探索“绿电+”产业合作模式，联合共建绿色工厂、零碳园区，推动袜业、高精铝、蛋品、梅花鹿等领域企业精准嵌入区域供应链体系，实现从产品研发、协同制造到销售服务全链条升级。推进同城化生态圈建设，建立健全东辽河流域上下游、左右岸协同治理与联防联控机制，共同推进水环境综合治理、生态修复与水源涵养。统筹开展区域大气污染协同防治与固体废物协同处置，筑牢区域生态安全屏障。推进同城化政务服务建设，持续优化“跨域通办”服务机制，扩展企业开办、项目审批、社保医保、人才服务等高频事项“一网通办、一窗通办、圈内通办”范围，强化档案资源协同利用与互联互通。深化教育协同，推动职业教育合并升本、共建本科专业，融入都市圈基础教育集团化办学。联合开发跨区域文旅线路，共同举办节庆、赛事、展会活动，推动医疗、文化等优质公共服务资源合作共享，提升区域整体吸引力与居民获得感、幸福感。</w:t>
      </w:r>
    </w:p>
    <w:p w14:paraId="700DC888">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方正仿宋_GBK" w:hAnsi="方正仿宋_GBK" w:eastAsia="方正仿宋_GBK" w:cs="方正仿宋_GBK"/>
          <w:color w:val="auto"/>
          <w:sz w:val="32"/>
          <w:szCs w:val="32"/>
          <w:lang w:eastAsia="zh-CN"/>
        </w:rPr>
      </w:pP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0E0BB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2" w:hRule="atLeast"/>
          <w:jc w:val="center"/>
        </w:trPr>
        <w:tc>
          <w:tcPr>
            <w:tcW w:w="8834" w:type="dxa"/>
            <w:noWrap w:val="0"/>
            <w:vAlign w:val="top"/>
          </w:tcPr>
          <w:p w14:paraId="750D368E">
            <w:pPr>
              <w:keepNext w:val="0"/>
              <w:keepLines w:val="0"/>
              <w:pageBreakBefore w:val="0"/>
              <w:widowControl w:val="0"/>
              <w:kinsoku/>
              <w:wordWrap/>
              <w:overflowPunct w:val="0"/>
              <w:topLinePunct/>
              <w:autoSpaceDE/>
              <w:autoSpaceDN/>
              <w:bidi w:val="0"/>
              <w:adjustRightInd/>
              <w:snapToGrid/>
              <w:spacing w:before="156" w:beforeLines="50" w:after="156" w:afterLines="50" w:line="340" w:lineRule="exact"/>
              <w:ind w:firstLine="0" w:firstLineChars="0"/>
              <w:jc w:val="center"/>
              <w:textAlignment w:val="auto"/>
              <w:rPr>
                <w:rFonts w:hint="eastAsia" w:ascii="方正黑体_GBK" w:hAnsi="方正黑体_GBK" w:eastAsia="方正黑体_GBK" w:cs="方正黑体_GBK"/>
                <w:b w:val="0"/>
                <w:bCs w:val="0"/>
                <w:color w:val="auto"/>
                <w:sz w:val="28"/>
                <w:szCs w:val="28"/>
                <w:lang w:val="en-US" w:eastAsia="zh-CN"/>
              </w:rPr>
            </w:pPr>
            <w:r>
              <w:rPr>
                <w:rFonts w:hint="eastAsia" w:ascii="方正黑体_GBK" w:hAnsi="方正黑体_GBK" w:eastAsia="方正黑体_GBK" w:cs="方正黑体_GBK"/>
                <w:b w:val="0"/>
                <w:bCs w:val="0"/>
                <w:color w:val="auto"/>
                <w:sz w:val="28"/>
                <w:szCs w:val="28"/>
              </w:rPr>
              <w:t>专栏</w:t>
            </w:r>
            <w:r>
              <w:rPr>
                <w:rFonts w:hint="eastAsia" w:ascii="方正黑体_GBK" w:hAnsi="方正黑体_GBK" w:eastAsia="方正黑体_GBK" w:cs="方正黑体_GBK"/>
                <w:b w:val="0"/>
                <w:bCs w:val="0"/>
                <w:color w:val="auto"/>
                <w:sz w:val="28"/>
                <w:szCs w:val="28"/>
                <w:lang w:val="en-US" w:eastAsia="zh-CN"/>
              </w:rPr>
              <w:t>7</w:t>
            </w:r>
            <w:r>
              <w:rPr>
                <w:rFonts w:hint="eastAsia" w:ascii="方正黑体_GBK" w:hAnsi="方正黑体_GBK" w:eastAsia="方正黑体_GBK" w:cs="方正黑体_GBK"/>
                <w:b w:val="0"/>
                <w:bCs w:val="0"/>
                <w:color w:val="auto"/>
                <w:sz w:val="28"/>
                <w:szCs w:val="28"/>
              </w:rPr>
              <w:t xml:space="preserve">  同城化发展先行区</w:t>
            </w:r>
            <w:r>
              <w:rPr>
                <w:rFonts w:hint="eastAsia" w:ascii="方正黑体_GBK" w:hAnsi="方正黑体_GBK" w:eastAsia="方正黑体_GBK" w:cs="方正黑体_GBK"/>
                <w:b w:val="0"/>
                <w:bCs w:val="0"/>
                <w:color w:val="auto"/>
                <w:sz w:val="28"/>
                <w:szCs w:val="28"/>
                <w:lang w:val="en-US" w:eastAsia="zh-CN"/>
              </w:rPr>
              <w:t>共建事项</w:t>
            </w:r>
          </w:p>
          <w:p w14:paraId="6804B3B1">
            <w:pPr>
              <w:keepNext w:val="0"/>
              <w:keepLines w:val="0"/>
              <w:pageBreakBefore w:val="0"/>
              <w:widowControl w:val="0"/>
              <w:kinsoku/>
              <w:wordWrap/>
              <w:overflowPunct w:val="0"/>
              <w:topLinePunct/>
              <w:autoSpaceDE/>
              <w:autoSpaceDN/>
              <w:bidi w:val="0"/>
              <w:adjustRightInd/>
              <w:snapToGrid/>
              <w:spacing w:line="340" w:lineRule="exact"/>
              <w:ind w:firstLine="422"/>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 xml:space="preserve">1. </w:t>
            </w:r>
            <w:r>
              <w:rPr>
                <w:rFonts w:hint="eastAsia" w:ascii="宋体" w:hAnsi="宋体" w:eastAsia="宋体" w:cs="宋体"/>
                <w:b w:val="0"/>
                <w:bCs w:val="0"/>
                <w:color w:val="auto"/>
                <w:sz w:val="21"/>
                <w:szCs w:val="21"/>
              </w:rPr>
              <w:t>公共服务同城化</w:t>
            </w:r>
            <w:r>
              <w:rPr>
                <w:rFonts w:hint="eastAsia" w:ascii="宋体" w:hAnsi="宋体" w:eastAsia="宋体" w:cs="宋体"/>
                <w:b w:val="0"/>
                <w:bCs w:val="0"/>
                <w:color w:val="auto"/>
                <w:sz w:val="21"/>
                <w:szCs w:val="21"/>
                <w:lang w:val="en-US" w:eastAsia="zh-CN"/>
              </w:rPr>
              <w:t>共建事项</w:t>
            </w:r>
          </w:p>
          <w:p w14:paraId="1BC95BDB">
            <w:pPr>
              <w:keepNext w:val="0"/>
              <w:keepLines w:val="0"/>
              <w:pageBreakBefore w:val="0"/>
              <w:widowControl w:val="0"/>
              <w:kinsoku/>
              <w:wordWrap/>
              <w:overflowPunct w:val="0"/>
              <w:topLinePunct/>
              <w:autoSpaceDE/>
              <w:autoSpaceDN/>
              <w:bidi w:val="0"/>
              <w:adjustRightInd/>
              <w:snapToGrid/>
              <w:spacing w:line="340" w:lineRule="exact"/>
              <w:ind w:firstLine="422"/>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围绕政务、医疗教育、社会保障三个方面，推动“跨市通办”等公共服务向先行区优先覆盖，让企业和群众率先享受同城化便利。开展长辽医疗协作，推动吉大一院等长春优质资源在先行区设立分支机构或合作办医，试点远程医疗等共享模式。融入都市圈教育</w:t>
            </w:r>
            <w:r>
              <w:rPr>
                <w:rFonts w:hint="eastAsia" w:ascii="宋体" w:hAnsi="宋体" w:eastAsia="宋体" w:cs="宋体"/>
                <w:b w:val="0"/>
                <w:bCs w:val="0"/>
                <w:color w:val="auto"/>
                <w:sz w:val="21"/>
                <w:szCs w:val="21"/>
                <w:lang w:val="en-US" w:eastAsia="zh-CN"/>
              </w:rPr>
              <w:t>联盟</w:t>
            </w:r>
            <w:r>
              <w:rPr>
                <w:rFonts w:hint="eastAsia" w:ascii="宋体" w:hAnsi="宋体" w:eastAsia="宋体" w:cs="宋体"/>
                <w:b w:val="0"/>
                <w:bCs w:val="0"/>
                <w:color w:val="auto"/>
                <w:sz w:val="21"/>
                <w:szCs w:val="21"/>
              </w:rPr>
              <w:t>，实施“名校结对共进”行动，推动都市圈学校办学质量整体提升。加快社会保障同城化对接，实现示范区参保人员在长春定点医疗机构直接结算，推动两地社保卡在图书馆、博物馆等公共服务场所互认互通。</w:t>
            </w:r>
          </w:p>
          <w:p w14:paraId="76F0637F">
            <w:pPr>
              <w:keepNext w:val="0"/>
              <w:keepLines w:val="0"/>
              <w:pageBreakBefore w:val="0"/>
              <w:widowControl w:val="0"/>
              <w:kinsoku/>
              <w:wordWrap/>
              <w:overflowPunct w:val="0"/>
              <w:topLinePunct/>
              <w:autoSpaceDE/>
              <w:autoSpaceDN/>
              <w:bidi w:val="0"/>
              <w:adjustRightInd/>
              <w:snapToGrid/>
              <w:spacing w:line="340" w:lineRule="exact"/>
              <w:ind w:firstLine="422"/>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lang w:val="en-US" w:eastAsia="zh-CN"/>
              </w:rPr>
              <w:t xml:space="preserve">2. </w:t>
            </w:r>
            <w:r>
              <w:rPr>
                <w:rFonts w:hint="eastAsia" w:ascii="宋体" w:hAnsi="宋体" w:eastAsia="宋体" w:cs="宋体"/>
                <w:b w:val="0"/>
                <w:bCs w:val="0"/>
                <w:color w:val="auto"/>
                <w:sz w:val="21"/>
                <w:szCs w:val="21"/>
              </w:rPr>
              <w:t>绿色</w:t>
            </w:r>
            <w:r>
              <w:rPr>
                <w:rFonts w:hint="eastAsia" w:ascii="宋体" w:hAnsi="宋体" w:eastAsia="宋体" w:cs="宋体"/>
                <w:b w:val="0"/>
                <w:bCs w:val="0"/>
                <w:color w:val="auto"/>
                <w:sz w:val="21"/>
                <w:szCs w:val="21"/>
                <w:lang w:val="en-US" w:eastAsia="zh-CN"/>
              </w:rPr>
              <w:t>生态</w:t>
            </w:r>
            <w:r>
              <w:rPr>
                <w:rFonts w:hint="eastAsia" w:ascii="宋体" w:hAnsi="宋体" w:eastAsia="宋体" w:cs="宋体"/>
                <w:b w:val="0"/>
                <w:bCs w:val="0"/>
                <w:color w:val="auto"/>
                <w:sz w:val="21"/>
                <w:szCs w:val="21"/>
              </w:rPr>
              <w:t>产业圈</w:t>
            </w:r>
            <w:r>
              <w:rPr>
                <w:rFonts w:hint="eastAsia" w:ascii="宋体" w:hAnsi="宋体" w:eastAsia="宋体" w:cs="宋体"/>
                <w:b w:val="0"/>
                <w:bCs w:val="0"/>
                <w:color w:val="auto"/>
                <w:sz w:val="21"/>
                <w:szCs w:val="21"/>
                <w:lang w:val="en-US" w:eastAsia="zh-CN"/>
              </w:rPr>
              <w:t>共建事项</w:t>
            </w:r>
          </w:p>
          <w:p w14:paraId="55CFD8D2">
            <w:pPr>
              <w:keepNext w:val="0"/>
              <w:keepLines w:val="0"/>
              <w:pageBreakBefore w:val="0"/>
              <w:widowControl w:val="0"/>
              <w:kinsoku/>
              <w:wordWrap/>
              <w:overflowPunct w:val="0"/>
              <w:topLinePunct/>
              <w:autoSpaceDE/>
              <w:autoSpaceDN/>
              <w:bidi w:val="0"/>
              <w:adjustRightInd/>
              <w:snapToGrid/>
              <w:spacing w:line="340" w:lineRule="exact"/>
              <w:ind w:firstLine="422"/>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重点推动与毗邻地区开展务实合作，在产业协同方面，建设区域性黄牛交易中心和三产融合示范基地，探索与伊通营城子镇开展产业协作，与长春双阳区深化梅花鹿产业种源保护、养殖加工与品牌共建；在生态文旅方面，协同开展东辽河源头流域治理，探索跨市界断面水质联合监测与补偿机制，激励上游地区主动保护、下游地区支持上游发展，共建生态安全走廊。打造长春绿色农产品直供基地，在先行区建设5000亩绿色果蔬种植基地，配套建设5000立方米冷链仓储设施，打造“长辽菜篮子”直采直供体系。开发东辽河生态康养社区，合作开发集温泉疗养、森林康养、老年公寓于一体的生态康养社区，首期规划建设300张床位，吸引长春康养客群。</w:t>
            </w:r>
            <w:r>
              <w:rPr>
                <w:rFonts w:hint="eastAsia" w:ascii="宋体" w:hAnsi="宋体" w:eastAsia="宋体" w:cs="宋体"/>
                <w:b w:val="0"/>
                <w:bCs w:val="0"/>
                <w:strike w:val="0"/>
                <w:dstrike w:val="0"/>
                <w:color w:val="auto"/>
                <w:sz w:val="21"/>
                <w:szCs w:val="21"/>
                <w:highlight w:val="none"/>
                <w:lang w:val="en-US" w:eastAsia="zh-CN"/>
              </w:rPr>
              <w:t>培育“辽河源头”农产品区域公用品牌</w:t>
            </w:r>
            <w:r>
              <w:rPr>
                <w:rFonts w:hint="eastAsia" w:ascii="宋体" w:hAnsi="宋体" w:eastAsia="宋体" w:cs="宋体"/>
                <w:b w:val="0"/>
                <w:bCs w:val="0"/>
                <w:color w:val="auto"/>
                <w:sz w:val="21"/>
                <w:szCs w:val="21"/>
                <w:lang w:val="en-US" w:eastAsia="zh-CN"/>
              </w:rPr>
              <w:t>，联合制定大米、柞蚕、蓝莓等特色农产品质量标准体系，共建产品溯源平台，统一包装标识，纳入长春欧亚等高端商超专柜销售。</w:t>
            </w:r>
          </w:p>
          <w:p w14:paraId="1AE7ABFF">
            <w:pPr>
              <w:keepNext w:val="0"/>
              <w:keepLines w:val="0"/>
              <w:pageBreakBefore w:val="0"/>
              <w:widowControl w:val="0"/>
              <w:kinsoku/>
              <w:wordWrap/>
              <w:overflowPunct w:val="0"/>
              <w:topLinePunct/>
              <w:autoSpaceDE/>
              <w:autoSpaceDN/>
              <w:bidi w:val="0"/>
              <w:adjustRightInd/>
              <w:snapToGrid/>
              <w:spacing w:line="340" w:lineRule="exact"/>
              <w:ind w:firstLine="422"/>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3. 旅游协同发展共建事项</w:t>
            </w:r>
          </w:p>
          <w:p w14:paraId="1B5AFD6F">
            <w:pPr>
              <w:keepNext w:val="0"/>
              <w:keepLines w:val="0"/>
              <w:pageBreakBefore w:val="0"/>
              <w:widowControl w:val="0"/>
              <w:kinsoku/>
              <w:wordWrap/>
              <w:overflowPunct w:val="0"/>
              <w:topLinePunct/>
              <w:autoSpaceDE/>
              <w:autoSpaceDN/>
              <w:bidi w:val="0"/>
              <w:adjustRightInd/>
              <w:snapToGrid/>
              <w:spacing w:line="340" w:lineRule="exact"/>
              <w:ind w:firstLine="422"/>
              <w:textAlignment w:val="auto"/>
              <w:rPr>
                <w:rFonts w:ascii="Times New Roman" w:hAnsi="Times New Roman" w:eastAsia="宋体" w:cs="Times New Roman"/>
                <w:bCs/>
                <w:color w:val="auto"/>
                <w:sz w:val="21"/>
                <w:szCs w:val="21"/>
              </w:rPr>
            </w:pPr>
            <w:r>
              <w:rPr>
                <w:rFonts w:hint="eastAsia" w:ascii="宋体" w:hAnsi="宋体" w:eastAsia="宋体" w:cs="宋体"/>
                <w:b w:val="0"/>
                <w:bCs w:val="0"/>
                <w:color w:val="auto"/>
                <w:sz w:val="21"/>
                <w:szCs w:val="21"/>
                <w:lang w:val="en-US" w:eastAsia="zh-CN"/>
              </w:rPr>
              <w:t>谋划建设“辽河源—安石—金州”衔接“那丹伯+沙河镇”的环长春现代化都市圈旅游新通道，重点提升沿线住宿服务质量，完善旅游集散中心、停车场、旅游厕所等基础设施，协同开发以生态观光、溯源体验、乡村休闲为特色的旅游产品，共建跨区域旅游推广联盟，塑造“长春西花园·辽河源头行”旅游品牌，增强区域旅游整体吸引力、影响力、创造力。</w:t>
            </w:r>
          </w:p>
        </w:tc>
      </w:tr>
    </w:tbl>
    <w:p w14:paraId="099624DE">
      <w:pPr>
        <w:pStyle w:val="2"/>
        <w:keepNext w:val="0"/>
        <w:keepLines w:val="0"/>
        <w:pageBreakBefore w:val="0"/>
        <w:widowControl w:val="0"/>
        <w:kinsoku/>
        <w:wordWrap/>
        <w:overflowPunct/>
        <w:topLinePunct w:val="0"/>
        <w:autoSpaceDE/>
        <w:autoSpaceDN/>
        <w:bidi w:val="0"/>
        <w:adjustRightInd/>
        <w:snapToGrid/>
        <w:spacing w:after="0"/>
        <w:ind w:firstLine="640" w:firstLineChars="200"/>
        <w:textAlignment w:val="auto"/>
        <w:rPr>
          <w:rFonts w:hint="eastAsia" w:ascii="方正仿宋_GBK" w:hAnsi="方正仿宋_GBK" w:eastAsia="方正仿宋_GBK" w:cs="方正仿宋_GBK"/>
          <w:color w:val="auto"/>
          <w:sz w:val="32"/>
          <w:szCs w:val="32"/>
          <w:lang w:eastAsia="zh-CN"/>
        </w:rPr>
      </w:pPr>
    </w:p>
    <w:p w14:paraId="2C074CBC">
      <w:pPr>
        <w:pStyle w:val="2"/>
        <w:keepNext w:val="0"/>
        <w:keepLines w:val="0"/>
        <w:pageBreakBefore w:val="0"/>
        <w:widowControl w:val="0"/>
        <w:kinsoku/>
        <w:wordWrap/>
        <w:overflowPunct/>
        <w:topLinePunct w:val="0"/>
        <w:autoSpaceDE/>
        <w:autoSpaceDN/>
        <w:bidi w:val="0"/>
        <w:adjustRightInd/>
        <w:snapToGrid/>
        <w:spacing w:after="0"/>
        <w:ind w:firstLine="640" w:firstLineChars="200"/>
        <w:textAlignment w:val="auto"/>
        <w:rPr>
          <w:rFonts w:hint="eastAsia" w:ascii="方正仿宋_GBK" w:hAnsi="方正仿宋_GBK" w:eastAsia="方正仿宋_GBK" w:cs="方正仿宋_GBK"/>
          <w:color w:val="auto"/>
          <w:sz w:val="32"/>
          <w:szCs w:val="32"/>
          <w:lang w:eastAsia="zh-CN"/>
        </w:rPr>
      </w:pPr>
    </w:p>
    <w:p w14:paraId="70951E85">
      <w:pPr>
        <w:pStyle w:val="2"/>
        <w:keepNext w:val="0"/>
        <w:keepLines w:val="0"/>
        <w:pageBreakBefore w:val="0"/>
        <w:widowControl w:val="0"/>
        <w:kinsoku/>
        <w:wordWrap/>
        <w:overflowPunct/>
        <w:topLinePunct w:val="0"/>
        <w:autoSpaceDE/>
        <w:autoSpaceDN/>
        <w:bidi w:val="0"/>
        <w:adjustRightInd/>
        <w:snapToGrid/>
        <w:spacing w:after="0"/>
        <w:ind w:firstLine="640" w:firstLineChars="200"/>
        <w:textAlignment w:val="auto"/>
        <w:rPr>
          <w:rFonts w:hint="eastAsia" w:ascii="方正仿宋_GBK" w:hAnsi="方正仿宋_GBK" w:eastAsia="方正仿宋_GBK" w:cs="方正仿宋_GBK"/>
          <w:color w:val="auto"/>
          <w:sz w:val="32"/>
          <w:szCs w:val="32"/>
          <w:lang w:eastAsia="zh-CN"/>
        </w:rPr>
      </w:pPr>
    </w:p>
    <w:p w14:paraId="190C2EDD">
      <w:pPr>
        <w:pStyle w:val="2"/>
        <w:keepNext w:val="0"/>
        <w:keepLines w:val="0"/>
        <w:pageBreakBefore w:val="0"/>
        <w:widowControl w:val="0"/>
        <w:kinsoku/>
        <w:wordWrap/>
        <w:overflowPunct/>
        <w:topLinePunct w:val="0"/>
        <w:autoSpaceDE/>
        <w:autoSpaceDN/>
        <w:bidi w:val="0"/>
        <w:adjustRightInd/>
        <w:snapToGrid/>
        <w:spacing w:after="0"/>
        <w:ind w:firstLine="640" w:firstLineChars="200"/>
        <w:textAlignment w:val="auto"/>
        <w:rPr>
          <w:rFonts w:hint="eastAsia" w:ascii="方正仿宋_GBK" w:hAnsi="方正仿宋_GBK" w:eastAsia="方正仿宋_GBK" w:cs="方正仿宋_GBK"/>
          <w:color w:val="auto"/>
          <w:sz w:val="32"/>
          <w:szCs w:val="32"/>
          <w:lang w:eastAsia="zh-CN"/>
        </w:rPr>
      </w:pPr>
    </w:p>
    <w:p w14:paraId="44E4CA23">
      <w:pPr>
        <w:pStyle w:val="2"/>
        <w:keepNext w:val="0"/>
        <w:keepLines w:val="0"/>
        <w:pageBreakBefore w:val="0"/>
        <w:widowControl w:val="0"/>
        <w:kinsoku/>
        <w:wordWrap/>
        <w:overflowPunct/>
        <w:topLinePunct w:val="0"/>
        <w:autoSpaceDE/>
        <w:autoSpaceDN/>
        <w:bidi w:val="0"/>
        <w:adjustRightInd/>
        <w:snapToGrid/>
        <w:spacing w:after="0"/>
        <w:ind w:firstLine="640" w:firstLineChars="200"/>
        <w:textAlignment w:val="auto"/>
        <w:rPr>
          <w:rFonts w:hint="eastAsia" w:ascii="方正仿宋_GBK" w:hAnsi="方正仿宋_GBK" w:eastAsia="方正仿宋_GBK" w:cs="方正仿宋_GBK"/>
          <w:color w:val="auto"/>
          <w:sz w:val="32"/>
          <w:szCs w:val="32"/>
          <w:lang w:eastAsia="zh-CN"/>
        </w:rPr>
      </w:pPr>
    </w:p>
    <w:p w14:paraId="68710E62">
      <w:pPr>
        <w:pStyle w:val="2"/>
        <w:keepNext w:val="0"/>
        <w:keepLines w:val="0"/>
        <w:pageBreakBefore w:val="0"/>
        <w:widowControl w:val="0"/>
        <w:kinsoku/>
        <w:wordWrap/>
        <w:overflowPunct/>
        <w:topLinePunct w:val="0"/>
        <w:autoSpaceDE/>
        <w:autoSpaceDN/>
        <w:bidi w:val="0"/>
        <w:adjustRightInd/>
        <w:snapToGrid/>
        <w:spacing w:after="0"/>
        <w:ind w:firstLine="640" w:firstLineChars="200"/>
        <w:textAlignment w:val="auto"/>
        <w:rPr>
          <w:rFonts w:hint="eastAsia" w:ascii="方正仿宋_GBK" w:hAnsi="方正仿宋_GBK" w:eastAsia="方正仿宋_GBK" w:cs="方正仿宋_GBK"/>
          <w:color w:val="auto"/>
          <w:sz w:val="32"/>
          <w:szCs w:val="32"/>
          <w:lang w:eastAsia="zh-CN"/>
        </w:rPr>
      </w:pPr>
    </w:p>
    <w:p w14:paraId="732CC700">
      <w:pPr>
        <w:pStyle w:val="2"/>
        <w:keepNext w:val="0"/>
        <w:keepLines w:val="0"/>
        <w:pageBreakBefore w:val="0"/>
        <w:widowControl w:val="0"/>
        <w:kinsoku/>
        <w:wordWrap/>
        <w:overflowPunct/>
        <w:topLinePunct w:val="0"/>
        <w:autoSpaceDE/>
        <w:autoSpaceDN/>
        <w:bidi w:val="0"/>
        <w:adjustRightInd/>
        <w:snapToGrid/>
        <w:spacing w:after="0"/>
        <w:ind w:firstLine="640" w:firstLineChars="200"/>
        <w:textAlignment w:val="auto"/>
        <w:rPr>
          <w:rFonts w:hint="eastAsia" w:ascii="方正仿宋_GBK" w:hAnsi="方正仿宋_GBK" w:eastAsia="方正仿宋_GBK" w:cs="方正仿宋_GBK"/>
          <w:color w:val="auto"/>
          <w:sz w:val="32"/>
          <w:szCs w:val="32"/>
          <w:lang w:eastAsia="zh-CN"/>
        </w:rPr>
      </w:pPr>
    </w:p>
    <w:p w14:paraId="2A190D15">
      <w:pPr>
        <w:pStyle w:val="2"/>
        <w:keepNext w:val="0"/>
        <w:keepLines w:val="0"/>
        <w:pageBreakBefore w:val="0"/>
        <w:widowControl w:val="0"/>
        <w:kinsoku/>
        <w:wordWrap/>
        <w:overflowPunct/>
        <w:topLinePunct w:val="0"/>
        <w:autoSpaceDE/>
        <w:autoSpaceDN/>
        <w:bidi w:val="0"/>
        <w:adjustRightInd/>
        <w:snapToGrid/>
        <w:spacing w:before="157" w:beforeLines="50" w:after="157" w:afterLines="50"/>
        <w:ind w:left="0" w:leftChars="0" w:firstLine="0" w:firstLineChars="0"/>
        <w:jc w:val="center"/>
        <w:textAlignment w:val="auto"/>
        <w:rPr>
          <w:rFonts w:hint="eastAsia" w:ascii="方正小标宋_GBK" w:hAnsi="方正小标宋_GBK" w:eastAsia="方正小标宋_GBK" w:cs="方正小标宋_GBK"/>
          <w:color w:val="auto"/>
          <w:sz w:val="36"/>
          <w:szCs w:val="36"/>
          <w:lang w:eastAsia="zh-CN"/>
        </w:rPr>
      </w:pPr>
      <w:r>
        <w:rPr>
          <w:rFonts w:hint="eastAsia" w:ascii="方正小标宋_GBK" w:hAnsi="方正小标宋_GBK" w:eastAsia="方正小标宋_GBK" w:cs="方正小标宋_GBK"/>
          <w:color w:val="auto"/>
          <w:sz w:val="36"/>
          <w:szCs w:val="36"/>
          <w:lang w:eastAsia="zh-CN"/>
        </w:rPr>
        <w:t>第七章  推进乡村全面振兴</w:t>
      </w:r>
      <w:r>
        <w:rPr>
          <w:rFonts w:hint="eastAsia" w:ascii="方正小标宋_GBK" w:hAnsi="方正小标宋_GBK" w:eastAsia="方正小标宋_GBK" w:cs="方正小标宋_GBK"/>
          <w:color w:val="auto"/>
          <w:sz w:val="36"/>
          <w:szCs w:val="36"/>
          <w:lang w:val="en-US" w:eastAsia="zh-CN"/>
        </w:rPr>
        <w:t xml:space="preserve"> </w:t>
      </w:r>
      <w:r>
        <w:rPr>
          <w:rFonts w:hint="eastAsia" w:ascii="方正小标宋_GBK" w:hAnsi="方正小标宋_GBK" w:eastAsia="方正小标宋_GBK" w:cs="方正小标宋_GBK"/>
          <w:color w:val="auto"/>
          <w:sz w:val="36"/>
          <w:szCs w:val="36"/>
          <w:lang w:eastAsia="zh-CN"/>
        </w:rPr>
        <w:t>加快实现农业农村现代化</w:t>
      </w:r>
    </w:p>
    <w:p w14:paraId="5A7F97A1">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方正仿宋_GBK" w:hAnsi="方正仿宋_GBK" w:eastAsia="方正仿宋_GBK" w:cs="方正仿宋_GBK"/>
          <w:color w:val="auto"/>
          <w:sz w:val="32"/>
          <w:szCs w:val="32"/>
          <w:lang w:eastAsia="zh-CN"/>
        </w:rPr>
      </w:pPr>
      <w:r>
        <w:rPr>
          <w:rFonts w:hint="eastAsia" w:ascii="方正仿宋_GBK" w:hAnsi="方正仿宋_GBK" w:eastAsia="方正仿宋_GBK" w:cs="方正仿宋_GBK"/>
          <w:color w:val="auto"/>
          <w:sz w:val="32"/>
          <w:szCs w:val="32"/>
          <w:lang w:eastAsia="zh-CN"/>
        </w:rPr>
        <w:t>坚持把解决好“三农”问题作为重中之重，充分激发农民主体力量，统筹推进农业农村优先发展，加快推进乡村全面振兴，实施优势特色产业壮大工程，促进农村一二三产业融合，把小品种做成大产业，推动实现农业高质高效、乡村宜居宜业、农民富裕富足。</w:t>
      </w:r>
    </w:p>
    <w:p w14:paraId="28C6F523">
      <w:pPr>
        <w:pStyle w:val="2"/>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left="0" w:leftChars="0" w:firstLine="0" w:firstLineChars="0"/>
        <w:jc w:val="center"/>
        <w:textAlignment w:val="auto"/>
        <w:rPr>
          <w:rFonts w:hint="eastAsia" w:ascii="方正黑体_GBK" w:hAnsi="方正黑体_GBK" w:eastAsia="方正黑体_GBK" w:cs="方正黑体_GBK"/>
          <w:color w:val="auto"/>
          <w:sz w:val="32"/>
          <w:szCs w:val="32"/>
          <w:lang w:eastAsia="zh-CN"/>
        </w:rPr>
      </w:pPr>
      <w:r>
        <w:rPr>
          <w:rFonts w:hint="eastAsia" w:ascii="方正黑体_GBK" w:hAnsi="方正黑体_GBK" w:eastAsia="方正黑体_GBK" w:cs="方正黑体_GBK"/>
          <w:color w:val="auto"/>
          <w:sz w:val="32"/>
          <w:szCs w:val="32"/>
          <w:lang w:eastAsia="zh-CN"/>
        </w:rPr>
        <w:t>第一节  维护国家粮食安全</w:t>
      </w:r>
    </w:p>
    <w:p w14:paraId="053B2E91">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方正仿宋_GBK" w:hAnsi="方正仿宋_GBK" w:eastAsia="方正仿宋_GBK" w:cs="方正仿宋_GBK"/>
          <w:color w:val="auto"/>
          <w:sz w:val="32"/>
          <w:szCs w:val="32"/>
          <w:lang w:eastAsia="zh-CN"/>
        </w:rPr>
      </w:pPr>
      <w:r>
        <w:rPr>
          <w:rFonts w:hint="eastAsia" w:ascii="方正楷体_GBK" w:hAnsi="方正楷体_GBK" w:eastAsia="方正楷体_GBK" w:cs="方正楷体_GBK"/>
          <w:color w:val="auto"/>
          <w:sz w:val="32"/>
          <w:szCs w:val="32"/>
          <w:lang w:eastAsia="zh-CN"/>
        </w:rPr>
        <w:t>夯实农业生产基础。</w:t>
      </w:r>
      <w:r>
        <w:rPr>
          <w:rFonts w:hint="eastAsia" w:ascii="方正仿宋_GBK" w:hAnsi="方正仿宋_GBK" w:eastAsia="方正仿宋_GBK" w:cs="方正仿宋_GBK"/>
          <w:color w:val="auto"/>
          <w:sz w:val="32"/>
          <w:szCs w:val="32"/>
          <w:lang w:eastAsia="zh-CN"/>
        </w:rPr>
        <w:t>加快推进全域高标准农田建设与改造提升，在全省率先将永久基本农田全部建成高标准农田，同步构建覆盖“投、融、建、运、管”全环节的一体化长效管护机制。统筹实施水土流失综合治理、末级渠系改造、农田塘坝升级等工程项目，系统提升农田灌排能力和防涝抗灾水平。坚持依法保护、用养结合，深入实施黑土地保护工程，推动保护性耕作技术提质扩面，坚决遏制耕地“非农化”、有效防止“非粮化”，全力守护好黑土地这一“耕地中的大熊猫”。加强农业新技术、新机具集成推广应用。推动黑土地保护法治化、常态化，依法严厉打击盗卖黑土等破坏耕地资源的违法行为，确保黑土地面积不减少、质量有提升、生态可持续。</w:t>
      </w:r>
    </w:p>
    <w:p w14:paraId="4BCABB55">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方正仿宋_GBK" w:hAnsi="方正仿宋_GBK" w:eastAsia="方正仿宋_GBK" w:cs="方正仿宋_GBK"/>
          <w:color w:val="auto"/>
          <w:sz w:val="32"/>
          <w:szCs w:val="32"/>
          <w:lang w:eastAsia="zh-CN"/>
        </w:rPr>
      </w:pPr>
      <w:r>
        <w:rPr>
          <w:rFonts w:hint="eastAsia" w:ascii="方正楷体_GBK" w:hAnsi="方正楷体_GBK" w:eastAsia="方正楷体_GBK" w:cs="方正楷体_GBK"/>
          <w:color w:val="auto"/>
          <w:sz w:val="32"/>
          <w:szCs w:val="32"/>
          <w:lang w:eastAsia="zh-CN"/>
        </w:rPr>
        <w:t>稳步提高粮食产量</w:t>
      </w:r>
      <w:r>
        <w:rPr>
          <w:rFonts w:hint="eastAsia" w:ascii="方正仿宋_GBK" w:hAnsi="方正仿宋_GBK" w:eastAsia="方正仿宋_GBK" w:cs="方正仿宋_GBK"/>
          <w:color w:val="auto"/>
          <w:sz w:val="32"/>
          <w:szCs w:val="32"/>
          <w:lang w:eastAsia="zh-CN"/>
        </w:rPr>
        <w:t>。深入实施“藏粮于地、藏粮于技”战略，统筹提升粮食产能、生产生态与农民收益，实施主要作物大面积单产提升行动，稳步增强粮食综合生产能力。坚持产量与产能并重、生产与生态协调、增产与增收统一，集成推广高产高效、资源节约、生态环保的粮食生产技术模式，实现粮食生产可持续发展。执行最严格的耕地保护制度，全面强化耕地数量、质量、生态“三位一体”保护。落实耕地总量动态平衡和占补平衡管理，优化永久基本农田布局，确保400.56万亩耕地红线不突破，286.21万亩永久基本农田面积不减少、用途不改变、质量有提升。加强粮食收储、流通和应急保障能力建设，推进高标准粮仓新建与智能化改造，提升仓储设施功能。持续开展粮食全链条节粮减损行动，健全从田间到餐桌的节约减损长效机制。“十五五”期间，在正常年景下，全市粮食年产量稳定在33亿斤以上水平。</w:t>
      </w:r>
    </w:p>
    <w:p w14:paraId="22D14B93">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方正仿宋_GBK" w:hAnsi="方正仿宋_GBK" w:eastAsia="方正仿宋_GBK" w:cs="方正仿宋_GBK"/>
          <w:color w:val="auto"/>
          <w:sz w:val="32"/>
          <w:szCs w:val="32"/>
          <w:lang w:eastAsia="zh-CN"/>
        </w:rPr>
      </w:pPr>
      <w:r>
        <w:rPr>
          <w:rFonts w:hint="eastAsia" w:ascii="方正楷体_GBK" w:hAnsi="方正楷体_GBK" w:eastAsia="方正楷体_GBK" w:cs="方正楷体_GBK"/>
          <w:color w:val="auto"/>
          <w:sz w:val="32"/>
          <w:szCs w:val="32"/>
          <w:lang w:eastAsia="zh-CN"/>
        </w:rPr>
        <w:t>实施种业振兴行动。</w:t>
      </w:r>
      <w:r>
        <w:rPr>
          <w:rFonts w:hint="eastAsia" w:ascii="方正仿宋_GBK" w:hAnsi="方正仿宋_GBK" w:eastAsia="方正仿宋_GBK" w:cs="方正仿宋_GBK"/>
          <w:color w:val="auto"/>
          <w:sz w:val="32"/>
          <w:szCs w:val="32"/>
          <w:lang w:eastAsia="zh-CN"/>
        </w:rPr>
        <w:t>围绕保障粮食安全和特色农业发展需求，构建以企业为主体、市场为导向、产学研用深度融合的现代种业创新体系。依托垦丰吉东种业、市农科院等骨干单位，聚焦玉米、水稻、大豆等主要粮食作物，深化与中国农业大学、吉林省农科院、吉林农业大学等科研院所合作，联合开展生物育种、常规育种等关键技术攻关，加快选育推广一批高产稳产、优质专用、抗逆抗病、适宜机械化作业的“吉字号”突破性新品种。加强种质资源保护与利用平台建设，系统开展地方特色种质资源收集、鉴定与创制，推动种业振兴与数字技术、生物技术等科技赋能深度融合。加快推进种业研发试验生产基地、农业科技创新中心、生物育种实验室等重点项目建设，持续提升育种研发、种子加工、仓储物流与质量检测等全链条能力。构建“资源保护—育种创新—良种推广—技术应用”一体化的种业发展新格局，为粮食稳产增产和农业高质量发展提供坚实种源支撑。</w:t>
      </w:r>
    </w:p>
    <w:p w14:paraId="7ADBA712">
      <w:pPr>
        <w:pStyle w:val="2"/>
        <w:keepNext w:val="0"/>
        <w:keepLines w:val="0"/>
        <w:pageBreakBefore w:val="0"/>
        <w:widowControl w:val="0"/>
        <w:kinsoku/>
        <w:wordWrap/>
        <w:overflowPunct/>
        <w:topLinePunct w:val="0"/>
        <w:autoSpaceDE/>
        <w:autoSpaceDN/>
        <w:bidi w:val="0"/>
        <w:adjustRightInd/>
        <w:snapToGrid/>
        <w:spacing w:after="0" w:line="200" w:lineRule="exact"/>
        <w:ind w:firstLine="640" w:firstLineChars="200"/>
        <w:textAlignment w:val="auto"/>
        <w:rPr>
          <w:rFonts w:hint="eastAsia" w:ascii="方正仿宋_GBK" w:hAnsi="方正仿宋_GBK" w:eastAsia="方正仿宋_GBK" w:cs="方正仿宋_GBK"/>
          <w:color w:val="auto"/>
          <w:sz w:val="32"/>
          <w:szCs w:val="32"/>
          <w:lang w:eastAsia="zh-CN"/>
        </w:rPr>
      </w:pP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625CE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2" w:hRule="atLeast"/>
          <w:jc w:val="center"/>
        </w:trPr>
        <w:tc>
          <w:tcPr>
            <w:tcW w:w="8834" w:type="dxa"/>
            <w:noWrap w:val="0"/>
            <w:vAlign w:val="top"/>
          </w:tcPr>
          <w:p w14:paraId="536B1242">
            <w:pPr>
              <w:keepNext w:val="0"/>
              <w:keepLines w:val="0"/>
              <w:pageBreakBefore w:val="0"/>
              <w:widowControl w:val="0"/>
              <w:kinsoku/>
              <w:wordWrap/>
              <w:overflowPunct w:val="0"/>
              <w:topLinePunct/>
              <w:autoSpaceDE/>
              <w:autoSpaceDN/>
              <w:bidi w:val="0"/>
              <w:adjustRightInd/>
              <w:snapToGrid/>
              <w:spacing w:before="156" w:beforeLines="50" w:after="156" w:afterLines="50" w:line="340" w:lineRule="exact"/>
              <w:ind w:firstLine="0" w:firstLineChars="0"/>
              <w:jc w:val="center"/>
              <w:textAlignment w:val="auto"/>
              <w:rPr>
                <w:rFonts w:hint="eastAsia" w:ascii="方正黑体_GBK" w:hAnsi="方正黑体_GBK" w:eastAsia="方正黑体_GBK" w:cs="方正黑体_GBK"/>
                <w:b w:val="0"/>
                <w:bCs w:val="0"/>
                <w:color w:val="auto"/>
                <w:sz w:val="28"/>
                <w:szCs w:val="28"/>
              </w:rPr>
            </w:pPr>
            <w:r>
              <w:rPr>
                <w:rFonts w:hint="eastAsia" w:ascii="方正黑体_GBK" w:hAnsi="方正黑体_GBK" w:eastAsia="方正黑体_GBK" w:cs="方正黑体_GBK"/>
                <w:b w:val="0"/>
                <w:bCs w:val="0"/>
                <w:color w:val="auto"/>
                <w:sz w:val="28"/>
                <w:szCs w:val="28"/>
              </w:rPr>
              <w:t>专栏</w:t>
            </w:r>
            <w:r>
              <w:rPr>
                <w:rFonts w:hint="eastAsia" w:ascii="方正黑体_GBK" w:hAnsi="方正黑体_GBK" w:eastAsia="方正黑体_GBK" w:cs="方正黑体_GBK"/>
                <w:b w:val="0"/>
                <w:bCs w:val="0"/>
                <w:color w:val="auto"/>
                <w:sz w:val="28"/>
                <w:szCs w:val="28"/>
                <w:lang w:val="en-US" w:eastAsia="zh-CN"/>
              </w:rPr>
              <w:t>8</w:t>
            </w:r>
            <w:r>
              <w:rPr>
                <w:rFonts w:hint="eastAsia" w:ascii="方正黑体_GBK" w:hAnsi="方正黑体_GBK" w:eastAsia="方正黑体_GBK" w:cs="方正黑体_GBK"/>
                <w:b w:val="0"/>
                <w:bCs w:val="0"/>
                <w:color w:val="auto"/>
                <w:sz w:val="28"/>
                <w:szCs w:val="28"/>
              </w:rPr>
              <w:t xml:space="preserve">  夯实粮食安全基础工程</w:t>
            </w:r>
          </w:p>
          <w:p w14:paraId="4C1C7600">
            <w:pPr>
              <w:keepNext w:val="0"/>
              <w:keepLines w:val="0"/>
              <w:pageBreakBefore w:val="0"/>
              <w:widowControl w:val="0"/>
              <w:kinsoku/>
              <w:wordWrap/>
              <w:overflowPunct w:val="0"/>
              <w:topLinePunct/>
              <w:autoSpaceDE/>
              <w:autoSpaceDN/>
              <w:bidi w:val="0"/>
              <w:adjustRightInd/>
              <w:snapToGrid/>
              <w:spacing w:line="340" w:lineRule="exact"/>
              <w:ind w:firstLine="422"/>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 xml:space="preserve">1. </w:t>
            </w:r>
            <w:r>
              <w:rPr>
                <w:rFonts w:hint="eastAsia" w:ascii="宋体" w:hAnsi="宋体" w:eastAsia="宋体" w:cs="宋体"/>
                <w:b w:val="0"/>
                <w:bCs w:val="0"/>
                <w:color w:val="auto"/>
                <w:sz w:val="21"/>
                <w:szCs w:val="21"/>
              </w:rPr>
              <w:t>高标准农田与黑土地保护方面</w:t>
            </w:r>
          </w:p>
          <w:p w14:paraId="360805EC">
            <w:pPr>
              <w:keepNext w:val="0"/>
              <w:keepLines w:val="0"/>
              <w:pageBreakBefore w:val="0"/>
              <w:widowControl w:val="0"/>
              <w:kinsoku/>
              <w:wordWrap/>
              <w:overflowPunct w:val="0"/>
              <w:topLinePunct/>
              <w:autoSpaceDE/>
              <w:autoSpaceDN/>
              <w:bidi w:val="0"/>
              <w:adjustRightInd/>
              <w:snapToGrid/>
              <w:spacing w:line="340" w:lineRule="exact"/>
              <w:ind w:firstLine="422"/>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lang w:val="en-US" w:eastAsia="zh-CN"/>
              </w:rPr>
              <w:t>以提升粮食产能和保护珍贵黑土资源为目标，推进</w:t>
            </w:r>
            <w:r>
              <w:rPr>
                <w:rFonts w:hint="eastAsia" w:ascii="宋体" w:hAnsi="宋体" w:eastAsia="宋体" w:cs="宋体"/>
                <w:b w:val="0"/>
                <w:bCs w:val="0"/>
                <w:color w:val="auto"/>
                <w:sz w:val="21"/>
                <w:szCs w:val="21"/>
              </w:rPr>
              <w:t>高标准农田建设</w:t>
            </w:r>
            <w:r>
              <w:rPr>
                <w:rFonts w:hint="eastAsia" w:ascii="宋体" w:hAnsi="宋体" w:eastAsia="宋体" w:cs="宋体"/>
                <w:b w:val="0"/>
                <w:bCs w:val="0"/>
                <w:color w:val="auto"/>
                <w:sz w:val="21"/>
                <w:szCs w:val="21"/>
                <w:lang w:val="en-US" w:eastAsia="zh-CN"/>
              </w:rPr>
              <w:t>提标扩面</w:t>
            </w:r>
            <w:r>
              <w:rPr>
                <w:rFonts w:hint="eastAsia" w:ascii="宋体" w:hAnsi="宋体" w:eastAsia="宋体" w:cs="宋体"/>
                <w:b w:val="0"/>
                <w:bCs w:val="0"/>
                <w:color w:val="auto"/>
                <w:sz w:val="21"/>
                <w:szCs w:val="21"/>
              </w:rPr>
              <w:t>，</w:t>
            </w:r>
            <w:r>
              <w:rPr>
                <w:rFonts w:hint="eastAsia" w:ascii="宋体" w:hAnsi="宋体" w:eastAsia="宋体" w:cs="宋体"/>
                <w:b w:val="0"/>
                <w:bCs w:val="0"/>
                <w:color w:val="auto"/>
                <w:sz w:val="21"/>
                <w:szCs w:val="21"/>
                <w:lang w:val="en-US" w:eastAsia="zh-CN"/>
              </w:rPr>
              <w:t>完善农田水利、田间道路、农田防护等基础设施，稳步提高耕地质量与防灾减灾能力。实施</w:t>
            </w:r>
            <w:r>
              <w:rPr>
                <w:rFonts w:hint="eastAsia" w:ascii="宋体" w:hAnsi="宋体" w:eastAsia="宋体" w:cs="宋体"/>
                <w:b w:val="0"/>
                <w:bCs w:val="0"/>
                <w:color w:val="auto"/>
                <w:sz w:val="21"/>
                <w:szCs w:val="21"/>
              </w:rPr>
              <w:t>东辽河流域水土保持综合治理工程，系统治理侵蚀沟，有效控制水土流失，</w:t>
            </w:r>
            <w:r>
              <w:rPr>
                <w:rFonts w:hint="eastAsia" w:ascii="宋体" w:hAnsi="宋体" w:eastAsia="宋体" w:cs="宋体"/>
                <w:b w:val="0"/>
                <w:bCs w:val="0"/>
                <w:color w:val="auto"/>
                <w:sz w:val="21"/>
                <w:szCs w:val="21"/>
                <w:lang w:val="en-US" w:eastAsia="zh-CN"/>
              </w:rPr>
              <w:t>改善黑土地质量。</w:t>
            </w:r>
          </w:p>
          <w:p w14:paraId="1C77C5AE">
            <w:pPr>
              <w:keepNext w:val="0"/>
              <w:keepLines w:val="0"/>
              <w:pageBreakBefore w:val="0"/>
              <w:widowControl w:val="0"/>
              <w:kinsoku/>
              <w:wordWrap/>
              <w:overflowPunct w:val="0"/>
              <w:topLinePunct/>
              <w:autoSpaceDE/>
              <w:autoSpaceDN/>
              <w:bidi w:val="0"/>
              <w:adjustRightInd/>
              <w:snapToGrid/>
              <w:spacing w:line="340" w:lineRule="exact"/>
              <w:ind w:firstLine="422"/>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lang w:val="en-US" w:eastAsia="zh-CN"/>
              </w:rPr>
              <w:t xml:space="preserve">2. </w:t>
            </w:r>
            <w:r>
              <w:rPr>
                <w:rFonts w:hint="eastAsia" w:ascii="宋体" w:hAnsi="宋体" w:eastAsia="宋体" w:cs="宋体"/>
                <w:b w:val="0"/>
                <w:bCs w:val="0"/>
                <w:color w:val="auto"/>
                <w:sz w:val="21"/>
                <w:szCs w:val="21"/>
              </w:rPr>
              <w:t>现代种业振兴与科技创新方面</w:t>
            </w:r>
          </w:p>
          <w:p w14:paraId="5C278154">
            <w:pPr>
              <w:keepNext w:val="0"/>
              <w:keepLines w:val="0"/>
              <w:pageBreakBefore w:val="0"/>
              <w:widowControl w:val="0"/>
              <w:kinsoku/>
              <w:wordWrap/>
              <w:overflowPunct w:val="0"/>
              <w:topLinePunct/>
              <w:autoSpaceDE/>
              <w:autoSpaceDN/>
              <w:bidi w:val="0"/>
              <w:adjustRightInd/>
              <w:snapToGrid/>
              <w:spacing w:line="340" w:lineRule="exact"/>
              <w:ind w:firstLine="422"/>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聚焦种源自主可控，强化科技支撑，构建适应未来发展的种业创新与科技服务体系。谋划推动国家农作物品种综合试验站辽源分站建设，建设数据中转、录入及应急事件处理室组建等土建工程及田间配套智能化系统，提升国家玉米、水稻和大豆品种区域试验任务能力</w:t>
            </w: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rPr>
              <w:t>同步谋划现代种业研发试验生产中心建设，探索整合种苗繁育、数字农业等要素，着力构建集科研、生产、推广于一体的全产业链发展模式。</w:t>
            </w:r>
          </w:p>
          <w:p w14:paraId="2C47FBC4">
            <w:pPr>
              <w:keepNext w:val="0"/>
              <w:keepLines w:val="0"/>
              <w:pageBreakBefore w:val="0"/>
              <w:widowControl w:val="0"/>
              <w:kinsoku/>
              <w:wordWrap/>
              <w:overflowPunct w:val="0"/>
              <w:topLinePunct/>
              <w:autoSpaceDE/>
              <w:autoSpaceDN/>
              <w:bidi w:val="0"/>
              <w:adjustRightInd/>
              <w:snapToGrid/>
              <w:spacing w:line="340" w:lineRule="exact"/>
              <w:ind w:firstLine="422"/>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lang w:val="en-US" w:eastAsia="zh-CN"/>
              </w:rPr>
              <w:t xml:space="preserve">3. </w:t>
            </w:r>
            <w:r>
              <w:rPr>
                <w:rFonts w:hint="eastAsia" w:ascii="宋体" w:hAnsi="宋体" w:eastAsia="宋体" w:cs="宋体"/>
                <w:b w:val="0"/>
                <w:bCs w:val="0"/>
                <w:color w:val="auto"/>
                <w:sz w:val="21"/>
                <w:szCs w:val="21"/>
              </w:rPr>
              <w:t>粮食储备与流通保障方面</w:t>
            </w:r>
          </w:p>
          <w:p w14:paraId="47BAB315">
            <w:pPr>
              <w:keepNext w:val="0"/>
              <w:keepLines w:val="0"/>
              <w:pageBreakBefore w:val="0"/>
              <w:widowControl w:val="0"/>
              <w:kinsoku/>
              <w:wordWrap/>
              <w:overflowPunct w:val="0"/>
              <w:topLinePunct/>
              <w:autoSpaceDE/>
              <w:autoSpaceDN/>
              <w:bidi w:val="0"/>
              <w:adjustRightInd/>
              <w:snapToGrid/>
              <w:spacing w:line="340" w:lineRule="exact"/>
              <w:ind w:firstLine="422"/>
              <w:textAlignment w:val="auto"/>
              <w:rPr>
                <w:rFonts w:hint="default" w:ascii="Times New Roman" w:hAnsi="Times New Roman" w:eastAsia="宋体" w:cs="Times New Roman"/>
                <w:b w:val="0"/>
                <w:bCs w:val="0"/>
                <w:color w:val="auto"/>
                <w:sz w:val="21"/>
                <w:szCs w:val="21"/>
              </w:rPr>
            </w:pPr>
            <w:r>
              <w:rPr>
                <w:rFonts w:hint="eastAsia" w:ascii="宋体" w:hAnsi="宋体" w:eastAsia="宋体" w:cs="宋体"/>
                <w:b w:val="0"/>
                <w:bCs w:val="0"/>
                <w:color w:val="auto"/>
                <w:sz w:val="21"/>
                <w:szCs w:val="21"/>
              </w:rPr>
              <w:t>完善分级分类储备体系</w:t>
            </w:r>
            <w:r>
              <w:rPr>
                <w:rFonts w:hint="eastAsia" w:ascii="宋体" w:hAnsi="宋体" w:eastAsia="宋体" w:cs="宋体"/>
                <w:b w:val="0"/>
                <w:bCs w:val="0"/>
                <w:color w:val="auto"/>
                <w:sz w:val="21"/>
                <w:szCs w:val="21"/>
                <w:lang w:val="en-US" w:eastAsia="zh-CN"/>
              </w:rPr>
              <w:t>，建设</w:t>
            </w:r>
            <w:r>
              <w:rPr>
                <w:rFonts w:hint="eastAsia" w:ascii="宋体" w:hAnsi="宋体" w:eastAsia="宋体" w:cs="宋体"/>
                <w:b w:val="0"/>
                <w:bCs w:val="0"/>
                <w:color w:val="auto"/>
                <w:sz w:val="21"/>
                <w:szCs w:val="21"/>
              </w:rPr>
              <w:t>中央储备粮辽源直属库东辽仓储</w:t>
            </w: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lang w:val="en-US" w:eastAsia="zh-CN"/>
              </w:rPr>
              <w:t>大阳粮库等</w:t>
            </w:r>
            <w:r>
              <w:rPr>
                <w:rFonts w:hint="eastAsia" w:ascii="宋体" w:hAnsi="宋体" w:eastAsia="宋体" w:cs="宋体"/>
                <w:b w:val="0"/>
                <w:bCs w:val="0"/>
                <w:color w:val="auto"/>
                <w:sz w:val="21"/>
                <w:szCs w:val="21"/>
              </w:rPr>
              <w:t>项目，</w:t>
            </w:r>
            <w:r>
              <w:rPr>
                <w:rFonts w:hint="eastAsia" w:ascii="宋体" w:hAnsi="宋体" w:eastAsia="宋体" w:cs="宋体"/>
                <w:b w:val="0"/>
                <w:bCs w:val="0"/>
                <w:color w:val="auto"/>
                <w:sz w:val="21"/>
                <w:szCs w:val="21"/>
                <w:lang w:val="en-US" w:eastAsia="zh-CN"/>
              </w:rPr>
              <w:t>提升粮食收储调控能力</w:t>
            </w: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rPr>
              <w:t>推进粮库信息化改造，提升仓储管理智能化水平</w:t>
            </w: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rPr>
              <w:t>鼓励符合条件的市场主体参与社会责任储备</w:t>
            </w: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rPr>
              <w:t>完善粮食流通网络，加强粮食市场监测预警，增强应急保障能力。</w:t>
            </w:r>
          </w:p>
        </w:tc>
      </w:tr>
    </w:tbl>
    <w:p w14:paraId="1DDA35F1">
      <w:pPr>
        <w:pStyle w:val="2"/>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left="0" w:leftChars="0" w:firstLine="0" w:firstLineChars="0"/>
        <w:jc w:val="center"/>
        <w:textAlignment w:val="auto"/>
        <w:rPr>
          <w:rFonts w:hint="eastAsia" w:ascii="方正黑体_GBK" w:hAnsi="方正黑体_GBK" w:eastAsia="方正黑体_GBK" w:cs="方正黑体_GBK"/>
          <w:color w:val="auto"/>
          <w:sz w:val="32"/>
          <w:szCs w:val="32"/>
          <w:lang w:eastAsia="zh-CN"/>
        </w:rPr>
      </w:pPr>
      <w:r>
        <w:rPr>
          <w:rFonts w:hint="eastAsia" w:ascii="方正黑体_GBK" w:hAnsi="方正黑体_GBK" w:eastAsia="方正黑体_GBK" w:cs="方正黑体_GBK"/>
          <w:color w:val="auto"/>
          <w:sz w:val="32"/>
          <w:szCs w:val="32"/>
          <w:lang w:eastAsia="zh-CN"/>
        </w:rPr>
        <w:t>第二节  完善现代农业“三大体系”</w:t>
      </w:r>
    </w:p>
    <w:p w14:paraId="6B00B725">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方正仿宋_GBK" w:hAnsi="方正仿宋_GBK" w:eastAsia="方正仿宋_GBK" w:cs="方正仿宋_GBK"/>
          <w:color w:val="auto"/>
          <w:sz w:val="32"/>
          <w:szCs w:val="32"/>
          <w:lang w:eastAsia="zh-CN"/>
        </w:rPr>
      </w:pPr>
      <w:r>
        <w:rPr>
          <w:rFonts w:hint="eastAsia" w:ascii="方正楷体_GBK" w:hAnsi="方正楷体_GBK" w:eastAsia="方正楷体_GBK" w:cs="方正楷体_GBK"/>
          <w:color w:val="auto"/>
          <w:sz w:val="32"/>
          <w:szCs w:val="32"/>
          <w:lang w:eastAsia="zh-CN"/>
        </w:rPr>
        <w:t>提升现代农业生产体系。</w:t>
      </w:r>
      <w:r>
        <w:rPr>
          <w:rFonts w:hint="eastAsia" w:ascii="方正仿宋_GBK" w:hAnsi="方正仿宋_GBK" w:eastAsia="方正仿宋_GBK" w:cs="方正仿宋_GBK"/>
          <w:color w:val="auto"/>
          <w:sz w:val="32"/>
          <w:szCs w:val="32"/>
          <w:lang w:eastAsia="zh-CN"/>
        </w:rPr>
        <w:t>围绕保障粮食安全和重要农产品稳定供给，推动农业生产向设施化、智能化、绿色化转型升级，构建高质高效的现代农业生产体系。推广保护性耕作、秸秆还田、有机肥施用等绿色技术模式，促进良田、良种、良法、良机深度融合。加快农机装备更新换代，推广适用大马力拖拉机、高性能联合收割机及丘陵山区小型专用机械，探索“人工智能+农机”作业模式。到2030年，力争全市农作物耕种收综合机械化率达到95%以上。推进种植设施改造升级，支持建设智能温室、标准塑料大棚，发展集约化育苗、工厂化生产。实施养殖设施提升行动，改造升级精准环境控制、自动化饲喂、疫病防控及粪污无害化处理等装备。加强农业面源污染综合治理，推广病虫害绿色防控与专业化统防统治，促进化肥农药科学使用。集成应用节水、节肥、节药技术模式，推动农业生产与生态保护协同发展。科学实施人工影响天气作业，提升抗旱防雹减灾能力。</w:t>
      </w:r>
    </w:p>
    <w:p w14:paraId="76972CAF">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方正仿宋_GBK" w:hAnsi="方正仿宋_GBK" w:eastAsia="方正仿宋_GBK" w:cs="方正仿宋_GBK"/>
          <w:color w:val="auto"/>
          <w:sz w:val="32"/>
          <w:szCs w:val="32"/>
          <w:lang w:eastAsia="zh-CN"/>
        </w:rPr>
      </w:pPr>
      <w:r>
        <w:rPr>
          <w:rFonts w:hint="eastAsia" w:ascii="方正楷体_GBK" w:hAnsi="方正楷体_GBK" w:eastAsia="方正楷体_GBK" w:cs="方正楷体_GBK"/>
          <w:color w:val="auto"/>
          <w:sz w:val="32"/>
          <w:szCs w:val="32"/>
          <w:lang w:eastAsia="zh-CN"/>
        </w:rPr>
        <w:t>优化现代农业产业体系。</w:t>
      </w:r>
      <w:r>
        <w:rPr>
          <w:rFonts w:hint="eastAsia" w:ascii="方正仿宋_GBK" w:hAnsi="方正仿宋_GBK" w:eastAsia="方正仿宋_GBK" w:cs="方正仿宋_GBK"/>
          <w:color w:val="auto"/>
          <w:sz w:val="32"/>
          <w:szCs w:val="32"/>
          <w:lang w:eastAsia="zh-CN"/>
        </w:rPr>
        <w:t>强化特色引领、加工增值、品牌赋能与业态创新，全面提升农业质量效益和竞争力，构建多元化、高质效的现代农业产业体系。巩固提升粮食综合生产能力，稳定玉米种植面积，大力发展高淀粉、高蛋白等优质专用品种，积极引导鲜食玉米等特色玉米发展。逐步提高绿色水稻、有机杂粮杂豆种植比例，合理扩大大豆种植规模，推动粮食品质提升和结构优化。推动水稻、梅花鹿、蛋品、食用菌等优势农产品深度开发，构建从种植养殖到加工、储运、销售的全产业链体系。提高农产品加工附加值，推动“粮头食尾”“畜头肉尾”“农头工尾”全链发展。鼓励发展庭院经济、棚膜经济、林下经济、休闲农业、乡村民宿等新业态。健全动植物疫病疫情防控体系和农作物病虫害监测防控网络，提升农业防灾减灾能力。完善农产品质量安全标准体系，着力构建优质农产品标准体系和全过程质量追溯体系，切实保障农产品质量安全。</w:t>
      </w:r>
    </w:p>
    <w:p w14:paraId="2DF73C65">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方正仿宋_GBK" w:hAnsi="方正仿宋_GBK" w:eastAsia="方正仿宋_GBK" w:cs="方正仿宋_GBK"/>
          <w:color w:val="auto"/>
          <w:sz w:val="32"/>
          <w:szCs w:val="32"/>
          <w:lang w:eastAsia="zh-CN"/>
        </w:rPr>
      </w:pPr>
      <w:r>
        <w:rPr>
          <w:rFonts w:hint="eastAsia" w:ascii="方正楷体_GBK" w:hAnsi="方正楷体_GBK" w:eastAsia="方正楷体_GBK" w:cs="方正楷体_GBK"/>
          <w:color w:val="auto"/>
          <w:sz w:val="32"/>
          <w:szCs w:val="32"/>
          <w:lang w:eastAsia="zh-CN"/>
        </w:rPr>
        <w:t>发展现代农业经营体系。</w:t>
      </w:r>
      <w:r>
        <w:rPr>
          <w:rFonts w:hint="eastAsia" w:ascii="方正仿宋_GBK" w:hAnsi="方正仿宋_GBK" w:eastAsia="方正仿宋_GBK" w:cs="方正仿宋_GBK"/>
          <w:color w:val="auto"/>
          <w:sz w:val="32"/>
          <w:szCs w:val="32"/>
          <w:lang w:eastAsia="zh-CN"/>
        </w:rPr>
        <w:t>围绕提升农业组织化、规模化、集约化水平，加快构建以农户家庭经营为基础、新型农业经营主体为骨干、社会化服务为支撑的现代农业经营体系。巩固和完善农村基本经营制度，大力培育家庭农场、农民合作社、农业产业化龙头企业等新型农业经营主体，支持组建农民合作社联合社、家庭农场联盟。支持农业产业化龙头企业布局建设加工链、配套供应链、拓展销售链，增强产业带动能力。推广土地流转、股份合作、托管服务等多种形式的适度规模经营。引导小农户通过联户经营、联耕联种等方式实现规模生产，推广“龙头企业+合作社+家庭农场+农户”等模式。增强供销合作社为农服务功能，加强农业社会化服务主体能力建设，推动服务范围由产中环节向产前生产资料供应、产后储运加工销售等全过程延伸。</w:t>
      </w:r>
    </w:p>
    <w:p w14:paraId="7801342B">
      <w:pPr>
        <w:pStyle w:val="2"/>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left="0" w:leftChars="0" w:firstLine="0" w:firstLineChars="0"/>
        <w:jc w:val="center"/>
        <w:textAlignment w:val="auto"/>
        <w:rPr>
          <w:rFonts w:hint="eastAsia" w:ascii="方正黑体_GBK" w:hAnsi="方正黑体_GBK" w:eastAsia="方正黑体_GBK" w:cs="方正黑体_GBK"/>
          <w:color w:val="auto"/>
          <w:sz w:val="32"/>
          <w:szCs w:val="32"/>
          <w:lang w:eastAsia="zh-CN"/>
        </w:rPr>
      </w:pPr>
      <w:r>
        <w:rPr>
          <w:rFonts w:hint="eastAsia" w:ascii="方正黑体_GBK" w:hAnsi="方正黑体_GBK" w:eastAsia="方正黑体_GBK" w:cs="方正黑体_GBK"/>
          <w:color w:val="auto"/>
          <w:sz w:val="32"/>
          <w:szCs w:val="32"/>
          <w:lang w:eastAsia="zh-CN"/>
        </w:rPr>
        <w:t>第三节  做优做大农产品加工和食品工业</w:t>
      </w:r>
    </w:p>
    <w:p w14:paraId="42C36AB3">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方正仿宋_GBK" w:hAnsi="方正仿宋_GBK" w:eastAsia="方正仿宋_GBK" w:cs="方正仿宋_GBK"/>
          <w:color w:val="auto"/>
          <w:sz w:val="32"/>
          <w:szCs w:val="32"/>
          <w:lang w:eastAsia="zh-CN"/>
        </w:rPr>
      </w:pPr>
      <w:r>
        <w:rPr>
          <w:rFonts w:hint="eastAsia" w:ascii="方正楷体_GBK" w:hAnsi="方正楷体_GBK" w:eastAsia="方正楷体_GBK" w:cs="方正楷体_GBK"/>
          <w:color w:val="auto"/>
          <w:sz w:val="32"/>
          <w:szCs w:val="32"/>
          <w:lang w:eastAsia="zh-CN"/>
        </w:rPr>
        <w:t>品牌发展梅花鹿产业。</w:t>
      </w:r>
      <w:r>
        <w:rPr>
          <w:rFonts w:hint="eastAsia" w:ascii="方正仿宋_GBK" w:hAnsi="方正仿宋_GBK" w:eastAsia="方正仿宋_GBK" w:cs="方正仿宋_GBK"/>
          <w:color w:val="auto"/>
          <w:sz w:val="32"/>
          <w:szCs w:val="32"/>
          <w:lang w:eastAsia="zh-CN"/>
        </w:rPr>
        <w:t>深入实施梅花鹿产业振兴工程，推动产业全链条升级。加强纯种梅花鹿种质资源保护与系统性开发利用，扩大标准化、规模化养殖，推广“一鹿一码”溯源体系。鼓励“皇家围场1619”“马记鹿茸”等梅花鹿品牌提升知名度、影响力，壮大梅花鹿产业集群，夯实产业核心基础。深化产学研合作，共建种源保护、产品研发等创新平台。着力开发鹿茸蜡片、鹿胶膏、鹿茸滴丸、鹿胎素化妆品等高附加值医药与健康产品，推动产业价值向精深加工环节延伸。统筹推进良种繁育、生态养殖、精深加工、文化旅游与品牌营销，推动梅花鹿产业与健康、文旅、康养等产业深度融合，拓展体验、观光、科普等新业态，构建“种、养、加、销、游”一体化发展格局。到2030年，打造一二三产业深度融合的</w:t>
      </w:r>
      <w:r>
        <w:rPr>
          <w:rFonts w:hint="eastAsia" w:ascii="方正仿宋_GBK" w:hAnsi="方正仿宋_GBK" w:eastAsia="方正仿宋_GBK" w:cs="方正仿宋_GBK"/>
          <w:color w:val="auto"/>
          <w:sz w:val="32"/>
          <w:szCs w:val="32"/>
          <w:lang w:val="en-US" w:eastAsia="zh-CN"/>
        </w:rPr>
        <w:t>100</w:t>
      </w:r>
      <w:r>
        <w:rPr>
          <w:rFonts w:hint="eastAsia" w:ascii="方正仿宋_GBK" w:hAnsi="方正仿宋_GBK" w:eastAsia="方正仿宋_GBK" w:cs="方正仿宋_GBK"/>
          <w:color w:val="auto"/>
          <w:sz w:val="32"/>
          <w:szCs w:val="32"/>
          <w:lang w:eastAsia="zh-CN"/>
        </w:rPr>
        <w:t>亿级梅花鹿产业集群。</w:t>
      </w:r>
    </w:p>
    <w:p w14:paraId="2416C73A">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方正仿宋_GBK" w:hAnsi="方正仿宋_GBK" w:eastAsia="方正仿宋_GBK" w:cs="方正仿宋_GBK"/>
          <w:color w:val="auto"/>
          <w:sz w:val="32"/>
          <w:szCs w:val="32"/>
          <w:lang w:eastAsia="zh-CN"/>
        </w:rPr>
      </w:pPr>
      <w:r>
        <w:rPr>
          <w:rFonts w:hint="eastAsia" w:ascii="方正楷体_GBK" w:hAnsi="方正楷体_GBK" w:eastAsia="方正楷体_GBK" w:cs="方正楷体_GBK"/>
          <w:color w:val="auto"/>
          <w:sz w:val="32"/>
          <w:szCs w:val="32"/>
          <w:lang w:eastAsia="zh-CN"/>
        </w:rPr>
        <w:t>全链条发展蛋鸡产业</w:t>
      </w:r>
      <w:r>
        <w:rPr>
          <w:rFonts w:hint="eastAsia" w:ascii="方正仿宋_GBK" w:hAnsi="方正仿宋_GBK" w:eastAsia="方正仿宋_GBK" w:cs="方正仿宋_GBK"/>
          <w:color w:val="auto"/>
          <w:sz w:val="32"/>
          <w:szCs w:val="32"/>
          <w:lang w:eastAsia="zh-CN"/>
        </w:rPr>
        <w:t>。实施蛋鸡全产业链提升工程，加快推动产业向标准化、智能化、融合化方向升级。鼓励以金翼食品为代表的龙头企业，建设高标准规模化养殖基地。加快推动“灯塔工厂”“黑灯车间”等智能化改造和数字化转型项目建设，构建覆盖良种繁育、绿色养殖、智能加工的数字化管理体系，夯实产业核心竞争优势。规划建设智能化蛋品精深加工中心，拓展烘焙预混料、功能性蛋粉、生物活性肽、即食蛋制品及蛋类预制菜等高附加值产品系列，推动从初级加工向生物科技、健康食品领域延伸。协同发展专用饲料、环保包装、冷链物流等配套产业。推动一二三产业融合，探索建设集生产示范、科普教育、工业旅游于一体的产业综合体，建设全国重要的蛋品生产加工基地和具有行业影响力的“中国蛋谷”。</w:t>
      </w:r>
    </w:p>
    <w:p w14:paraId="4CAC51A1">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方正仿宋_GBK" w:hAnsi="方正仿宋_GBK" w:eastAsia="方正仿宋_GBK" w:cs="方正仿宋_GBK"/>
          <w:color w:val="auto"/>
          <w:sz w:val="32"/>
          <w:szCs w:val="32"/>
          <w:lang w:eastAsia="zh-CN"/>
        </w:rPr>
      </w:pPr>
      <w:r>
        <w:rPr>
          <w:rFonts w:hint="eastAsia" w:ascii="方正楷体_GBK" w:hAnsi="方正楷体_GBK" w:eastAsia="方正楷体_GBK" w:cs="方正楷体_GBK"/>
          <w:color w:val="auto"/>
          <w:sz w:val="32"/>
          <w:szCs w:val="32"/>
          <w:lang w:eastAsia="zh-CN"/>
        </w:rPr>
        <w:t>精品发展毛驴产业</w:t>
      </w:r>
      <w:r>
        <w:rPr>
          <w:rFonts w:hint="eastAsia" w:ascii="方正仿宋_GBK" w:hAnsi="方正仿宋_GBK" w:eastAsia="方正仿宋_GBK" w:cs="方正仿宋_GBK"/>
          <w:color w:val="auto"/>
          <w:sz w:val="32"/>
          <w:szCs w:val="32"/>
          <w:lang w:eastAsia="zh-CN"/>
        </w:rPr>
        <w:t>。紧抓与华润东阿阿胶等龙头企业战略合作机遇，以种源为基础、养殖为支撑、加工为核心、品牌为引领，推动毛驴产业特色化、精品化、融合化发展，培育特色现代农业新增长点和促农增收重要支柱。开展优良驴种选育、健康养殖与疫病防控等关键技术攻关，以毛驴生态涵养基地为载体，推动标准化、规模化养殖基地建设。在东辽县等重点区域，深化并推广“国企+龙头企业+村集体+农户”组织化养殖模式，有效带动农户参与，扩大养殖规模，巩固产业联农带农基础。规划建设驴产品精深加工集中区，重点开发冷冻分割驴肉、休闲熟食、阿胶制品、驴奶功能食品等高附加值系列产品。加强区域公用品牌与企业品牌协同塑造，拓展线上线下营销渠道，提升“辽源驴产品”市场知名度和附加值。推动毛驴产业与生态养殖、康养旅游、餐饮文化等业态深度融合，探索发展观光牧场、主题餐饮等场景，打造精品产业链，提升产业综合效益。</w:t>
      </w:r>
    </w:p>
    <w:p w14:paraId="5119A4C1">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方正仿宋_GBK" w:hAnsi="方正仿宋_GBK" w:eastAsia="方正仿宋_GBK" w:cs="方正仿宋_GBK"/>
          <w:color w:val="auto"/>
          <w:sz w:val="32"/>
          <w:szCs w:val="32"/>
          <w:lang w:eastAsia="zh-CN"/>
        </w:rPr>
      </w:pPr>
      <w:r>
        <w:rPr>
          <w:rFonts w:hint="eastAsia" w:ascii="方正楷体_GBK" w:hAnsi="方正楷体_GBK" w:eastAsia="方正楷体_GBK" w:cs="方正楷体_GBK"/>
          <w:color w:val="auto"/>
          <w:sz w:val="32"/>
          <w:szCs w:val="32"/>
          <w:lang w:eastAsia="zh-CN"/>
        </w:rPr>
        <w:t>集聚发展松籽产业</w:t>
      </w:r>
      <w:r>
        <w:rPr>
          <w:rFonts w:hint="eastAsia" w:ascii="方正仿宋_GBK" w:hAnsi="方正仿宋_GBK" w:eastAsia="方正仿宋_GBK" w:cs="方正仿宋_GBK"/>
          <w:color w:val="auto"/>
          <w:sz w:val="32"/>
          <w:szCs w:val="32"/>
          <w:lang w:eastAsia="zh-CN"/>
        </w:rPr>
        <w:t>。以标准化种植为基础、产业园区为载体、精深加工为核心、品牌市场为导向，推动松籽产业全链条集聚发展。推广优良品种和生态种植模式，建设标准化、规模化的红松果林生产基地，从源头夯实原料品质与稳定供应基础。以东丰松籽产业园为核心载体，加快推动“三只松鼠”开口松籽与榛子超级联盟工厂等重点项目建设，吸引上下游配套企业入园集聚发展，构建集标准化种植、规模化加工、技术研发、仓储物流与交易销售于一体的现代化全产业链体系。加大新产品研发力度，大力发展以松籽、榛子为原料的休闲食品、健康零食、高端食用油等终端产品。加强“东丰松籽”区域公用品牌的运营、管理与保护，提升品牌价值和市场公信力。积极开拓国内高端消费市场，稳步拓展欧美等国际市场，推动从原料供给地向标准制定者和品牌输出地转型，建设全国领先的松籽加工基地和贸易集散中心。</w:t>
      </w:r>
    </w:p>
    <w:p w14:paraId="1BEC9D80">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方正仿宋_GBK" w:hAnsi="方正仿宋_GBK" w:eastAsia="方正仿宋_GBK" w:cs="方正仿宋_GBK"/>
          <w:color w:val="auto"/>
          <w:sz w:val="32"/>
          <w:szCs w:val="32"/>
          <w:lang w:eastAsia="zh-CN"/>
        </w:rPr>
      </w:pPr>
      <w:r>
        <w:rPr>
          <w:rFonts w:hint="eastAsia" w:ascii="方正楷体_GBK" w:hAnsi="方正楷体_GBK" w:eastAsia="方正楷体_GBK" w:cs="方正楷体_GBK"/>
          <w:color w:val="auto"/>
          <w:sz w:val="32"/>
          <w:szCs w:val="32"/>
          <w:lang w:eastAsia="zh-CN"/>
        </w:rPr>
        <w:t>融合发展食用菌产业。</w:t>
      </w:r>
      <w:r>
        <w:rPr>
          <w:rFonts w:hint="eastAsia" w:ascii="方正仿宋_GBK" w:hAnsi="方正仿宋_GBK" w:eastAsia="方正仿宋_GBK" w:cs="方正仿宋_GBK"/>
          <w:color w:val="auto"/>
          <w:sz w:val="32"/>
          <w:szCs w:val="32"/>
          <w:lang w:eastAsia="zh-CN"/>
        </w:rPr>
        <w:t>以科技赋能为驱动，以产业融合为路径，做优做精食用菌特色产业，推动形成集技术研发、绿色种植、精深加工与品牌营销于一体的现代食用菌产业集群。加强与李玉院士团队、吉林农业大学等高校院所对接合作，依托东丰县食用菌三产融合产业园，建立产学研用协同创新平台。重点开展优良菌种选育、绿色高效栽培、病虫害绿色防控等关键技术研发与转化应用。重点开发以双孢菇、羊肚菌、黑木耳等为主要原料的功能性食品、保健产品、即食休闲食品及生物提取物等高附加值产品，提升食用菌加工工艺水平，延伸产业链条，推动产业从初级产品向健康消费品升级。推动种植基地标准化、景观化建设，发展集菌菇采摘、农事体验、科普研学于一体的新业态。构建线上线下相结合的营销网络，利用电商平台、新媒体推广等方式拓展市场渠道，提升“辽源菌菇”的知名度和市场竞争力。</w:t>
      </w:r>
    </w:p>
    <w:p w14:paraId="43C37860">
      <w:pPr>
        <w:pStyle w:val="2"/>
        <w:keepNext w:val="0"/>
        <w:keepLines w:val="0"/>
        <w:pageBreakBefore w:val="0"/>
        <w:widowControl w:val="0"/>
        <w:kinsoku/>
        <w:wordWrap/>
        <w:overflowPunct/>
        <w:topLinePunct w:val="0"/>
        <w:autoSpaceDE/>
        <w:autoSpaceDN/>
        <w:bidi w:val="0"/>
        <w:adjustRightInd/>
        <w:snapToGrid/>
        <w:spacing w:after="0" w:line="200" w:lineRule="exact"/>
        <w:ind w:firstLine="640" w:firstLineChars="200"/>
        <w:textAlignment w:val="auto"/>
        <w:rPr>
          <w:rFonts w:hint="eastAsia" w:ascii="方正仿宋_GBK" w:hAnsi="方正仿宋_GBK" w:eastAsia="方正仿宋_GBK" w:cs="方正仿宋_GBK"/>
          <w:color w:val="auto"/>
          <w:sz w:val="32"/>
          <w:szCs w:val="32"/>
          <w:lang w:eastAsia="zh-CN"/>
        </w:rPr>
      </w:pP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5A7BF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2" w:hRule="atLeast"/>
          <w:jc w:val="center"/>
        </w:trPr>
        <w:tc>
          <w:tcPr>
            <w:tcW w:w="8834" w:type="dxa"/>
            <w:noWrap w:val="0"/>
            <w:vAlign w:val="top"/>
          </w:tcPr>
          <w:p w14:paraId="3D3FF222">
            <w:pPr>
              <w:keepNext w:val="0"/>
              <w:keepLines w:val="0"/>
              <w:pageBreakBefore w:val="0"/>
              <w:widowControl w:val="0"/>
              <w:kinsoku/>
              <w:wordWrap/>
              <w:overflowPunct w:val="0"/>
              <w:topLinePunct/>
              <w:autoSpaceDE/>
              <w:autoSpaceDN/>
              <w:bidi w:val="0"/>
              <w:adjustRightInd/>
              <w:snapToGrid/>
              <w:spacing w:before="156" w:beforeLines="50" w:after="156" w:afterLines="50" w:line="340" w:lineRule="exact"/>
              <w:ind w:firstLine="0" w:firstLineChars="0"/>
              <w:jc w:val="center"/>
              <w:textAlignment w:val="auto"/>
              <w:rPr>
                <w:rFonts w:hint="eastAsia" w:ascii="方正黑体_GBK" w:hAnsi="方正黑体_GBK" w:eastAsia="方正黑体_GBK" w:cs="方正黑体_GBK"/>
                <w:b w:val="0"/>
                <w:bCs w:val="0"/>
                <w:color w:val="auto"/>
                <w:sz w:val="28"/>
                <w:szCs w:val="28"/>
              </w:rPr>
            </w:pPr>
            <w:r>
              <w:rPr>
                <w:rFonts w:hint="eastAsia" w:ascii="方正黑体_GBK" w:hAnsi="方正黑体_GBK" w:eastAsia="方正黑体_GBK" w:cs="方正黑体_GBK"/>
                <w:b w:val="0"/>
                <w:bCs w:val="0"/>
                <w:color w:val="auto"/>
                <w:sz w:val="28"/>
                <w:szCs w:val="28"/>
              </w:rPr>
              <w:t>专栏</w:t>
            </w:r>
            <w:r>
              <w:rPr>
                <w:rFonts w:hint="eastAsia" w:ascii="方正黑体_GBK" w:hAnsi="方正黑体_GBK" w:eastAsia="方正黑体_GBK" w:cs="方正黑体_GBK"/>
                <w:b w:val="0"/>
                <w:bCs w:val="0"/>
                <w:color w:val="auto"/>
                <w:sz w:val="28"/>
                <w:szCs w:val="28"/>
                <w:lang w:val="en-US" w:eastAsia="zh-CN"/>
              </w:rPr>
              <w:t>9</w:t>
            </w:r>
            <w:r>
              <w:rPr>
                <w:rFonts w:hint="eastAsia" w:ascii="方正黑体_GBK" w:hAnsi="方正黑体_GBK" w:eastAsia="方正黑体_GBK" w:cs="方正黑体_GBK"/>
                <w:b w:val="0"/>
                <w:bCs w:val="0"/>
                <w:color w:val="auto"/>
                <w:sz w:val="28"/>
                <w:szCs w:val="28"/>
              </w:rPr>
              <w:t xml:space="preserve">  </w:t>
            </w:r>
            <w:r>
              <w:rPr>
                <w:rFonts w:hint="eastAsia" w:ascii="方正黑体_GBK" w:hAnsi="方正黑体_GBK" w:eastAsia="方正黑体_GBK" w:cs="方正黑体_GBK"/>
                <w:b w:val="0"/>
                <w:bCs w:val="0"/>
                <w:color w:val="auto"/>
                <w:sz w:val="28"/>
                <w:szCs w:val="28"/>
                <w:lang w:val="en-US" w:eastAsia="zh-CN"/>
              </w:rPr>
              <w:t>畜牧业及农特产业提升工程</w:t>
            </w:r>
          </w:p>
          <w:p w14:paraId="6744222E">
            <w:pPr>
              <w:keepNext w:val="0"/>
              <w:keepLines w:val="0"/>
              <w:pageBreakBefore w:val="0"/>
              <w:widowControl w:val="0"/>
              <w:kinsoku/>
              <w:wordWrap/>
              <w:overflowPunct w:val="0"/>
              <w:topLinePunct/>
              <w:autoSpaceDE/>
              <w:autoSpaceDN/>
              <w:bidi w:val="0"/>
              <w:adjustRightInd/>
              <w:snapToGrid/>
              <w:spacing w:line="340" w:lineRule="exact"/>
              <w:ind w:firstLine="422"/>
              <w:textAlignment w:val="auto"/>
              <w:rPr>
                <w:rFonts w:hint="default"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1. 畜牧业提质发展工程</w:t>
            </w:r>
          </w:p>
          <w:p w14:paraId="1DDFE3C0">
            <w:pPr>
              <w:keepNext w:val="0"/>
              <w:keepLines w:val="0"/>
              <w:pageBreakBefore w:val="0"/>
              <w:widowControl w:val="0"/>
              <w:kinsoku/>
              <w:wordWrap/>
              <w:overflowPunct w:val="0"/>
              <w:topLinePunct/>
              <w:autoSpaceDE/>
              <w:autoSpaceDN/>
              <w:bidi w:val="0"/>
              <w:adjustRightInd/>
              <w:snapToGrid/>
              <w:spacing w:line="340" w:lineRule="exact"/>
              <w:ind w:firstLine="422"/>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构建安全高效、绿色循环的现代畜牧业体系，推动产业规模化、标准化、链条化发展。以金翼食品等龙头骨干企业为依托，实现蛋鸡产业融合发展。发挥东丰、东辽两县肉牛养殖、加工、交易完整的产业链条基础，实施肉牛产业融合发展项目，利用“种养结合+生态循环”模式，发展屠宰分割、冷链物流、品牌营销及副产品精深加工。壮大特色养殖规模，发展黑驴、黑猪等特色优质畜种，建设标准化、生态化特色养殖基地，深度开发高附加值产品，培育具有地理标志性的区域公共品牌与中高端市场品牌，建设省内优质畜产品生产与供应基地。</w:t>
            </w:r>
          </w:p>
          <w:p w14:paraId="202C4051">
            <w:pPr>
              <w:keepNext w:val="0"/>
              <w:keepLines w:val="0"/>
              <w:pageBreakBefore w:val="0"/>
              <w:widowControl w:val="0"/>
              <w:kinsoku/>
              <w:wordWrap/>
              <w:overflowPunct w:val="0"/>
              <w:topLinePunct/>
              <w:autoSpaceDE/>
              <w:autoSpaceDN/>
              <w:bidi w:val="0"/>
              <w:adjustRightInd/>
              <w:snapToGrid/>
              <w:spacing w:line="340" w:lineRule="exact"/>
              <w:ind w:firstLine="422"/>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2. 农特产业振兴发展工程</w:t>
            </w:r>
          </w:p>
          <w:p w14:paraId="6852D969">
            <w:pPr>
              <w:keepNext w:val="0"/>
              <w:keepLines w:val="0"/>
              <w:pageBreakBefore w:val="0"/>
              <w:widowControl w:val="0"/>
              <w:kinsoku/>
              <w:wordWrap/>
              <w:overflowPunct w:val="0"/>
              <w:topLinePunct/>
              <w:autoSpaceDE/>
              <w:autoSpaceDN/>
              <w:bidi w:val="0"/>
              <w:adjustRightInd/>
              <w:snapToGrid/>
              <w:spacing w:line="340" w:lineRule="exact"/>
              <w:ind w:firstLine="422"/>
              <w:textAlignment w:val="auto"/>
              <w:rPr>
                <w:rFonts w:ascii="Calibri" w:hAnsi="Calibri" w:cs="Times New Roman"/>
                <w:color w:val="auto"/>
                <w:szCs w:val="24"/>
              </w:rPr>
            </w:pPr>
            <w:r>
              <w:rPr>
                <w:rFonts w:hint="eastAsia" w:ascii="宋体" w:hAnsi="宋体" w:eastAsia="宋体" w:cs="宋体"/>
                <w:b w:val="0"/>
                <w:bCs w:val="0"/>
                <w:color w:val="auto"/>
                <w:sz w:val="21"/>
                <w:szCs w:val="21"/>
              </w:rPr>
              <w:t>以生态、特色、优质、高效为导向，推动特色种养、林下经济、农产品精深加工与品牌营销、文旅融合全链条升级</w:t>
            </w: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rPr>
              <w:t>实施东丰梅花鹿全产业链振兴工程，</w:t>
            </w:r>
            <w:r>
              <w:rPr>
                <w:rFonts w:hint="eastAsia" w:ascii="宋体" w:hAnsi="宋体" w:eastAsia="宋体" w:cs="宋体"/>
                <w:b w:val="0"/>
                <w:bCs w:val="0"/>
                <w:color w:val="auto"/>
                <w:sz w:val="21"/>
                <w:szCs w:val="21"/>
                <w:lang w:val="en-US" w:eastAsia="zh-CN"/>
              </w:rPr>
              <w:t>建设</w:t>
            </w:r>
            <w:r>
              <w:rPr>
                <w:rFonts w:hint="eastAsia" w:ascii="宋体" w:hAnsi="宋体" w:eastAsia="宋体" w:cs="宋体"/>
                <w:b w:val="0"/>
                <w:bCs w:val="0"/>
                <w:color w:val="auto"/>
                <w:sz w:val="21"/>
                <w:szCs w:val="21"/>
              </w:rPr>
              <w:t>梅花鹿养殖繁育与生产加工中心，</w:t>
            </w:r>
            <w:r>
              <w:rPr>
                <w:rFonts w:hint="eastAsia" w:ascii="宋体" w:hAnsi="宋体" w:eastAsia="宋体" w:cs="宋体"/>
                <w:b w:val="0"/>
                <w:bCs w:val="0"/>
                <w:color w:val="auto"/>
                <w:sz w:val="21"/>
                <w:szCs w:val="21"/>
                <w:lang w:val="en-US" w:eastAsia="zh-CN"/>
              </w:rPr>
              <w:t>推动</w:t>
            </w:r>
            <w:r>
              <w:rPr>
                <w:rFonts w:hint="eastAsia" w:ascii="宋体" w:hAnsi="宋体" w:eastAsia="宋体" w:cs="宋体"/>
                <w:b w:val="0"/>
                <w:bCs w:val="0"/>
                <w:color w:val="auto"/>
                <w:sz w:val="21"/>
                <w:szCs w:val="21"/>
              </w:rPr>
              <w:t>医药链、食品链、文旅链“三链”融合，力争到2030年鹿茸产量达</w:t>
            </w:r>
            <w:r>
              <w:rPr>
                <w:rFonts w:hint="eastAsia" w:ascii="宋体" w:hAnsi="宋体" w:eastAsia="宋体" w:cs="宋体"/>
                <w:b w:val="0"/>
                <w:bCs w:val="0"/>
                <w:color w:val="auto"/>
                <w:sz w:val="21"/>
                <w:szCs w:val="21"/>
                <w:lang w:val="en-US" w:eastAsia="zh-CN"/>
              </w:rPr>
              <w:t>到</w:t>
            </w:r>
            <w:r>
              <w:rPr>
                <w:rFonts w:hint="eastAsia" w:ascii="宋体" w:hAnsi="宋体" w:eastAsia="宋体" w:cs="宋体"/>
                <w:b w:val="0"/>
                <w:bCs w:val="0"/>
                <w:color w:val="auto"/>
                <w:sz w:val="21"/>
                <w:szCs w:val="21"/>
              </w:rPr>
              <w:t>600吨。壮大林下经济与特色种植规模，</w:t>
            </w:r>
            <w:r>
              <w:rPr>
                <w:rFonts w:hint="eastAsia" w:ascii="宋体" w:hAnsi="宋体" w:eastAsia="宋体" w:cs="宋体"/>
                <w:b w:val="0"/>
                <w:bCs w:val="0"/>
                <w:color w:val="auto"/>
                <w:sz w:val="21"/>
                <w:szCs w:val="21"/>
                <w:lang w:val="en-US" w:eastAsia="zh-CN"/>
              </w:rPr>
              <w:t>建成</w:t>
            </w:r>
            <w:r>
              <w:rPr>
                <w:rFonts w:hint="eastAsia" w:ascii="宋体" w:hAnsi="宋体" w:eastAsia="宋体" w:cs="宋体"/>
                <w:b w:val="0"/>
                <w:bCs w:val="0"/>
                <w:color w:val="auto"/>
                <w:sz w:val="21"/>
                <w:szCs w:val="21"/>
              </w:rPr>
              <w:t>东丰松籽产业园全产业链提升</w:t>
            </w: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rPr>
              <w:t>鲜食玉米深加工</w:t>
            </w: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rPr>
              <w:t>中草药种植全产业链</w:t>
            </w:r>
            <w:r>
              <w:rPr>
                <w:rFonts w:hint="eastAsia" w:ascii="宋体" w:hAnsi="宋体" w:eastAsia="宋体" w:cs="宋体"/>
                <w:b w:val="0"/>
                <w:bCs w:val="0"/>
                <w:color w:val="auto"/>
                <w:sz w:val="21"/>
                <w:szCs w:val="21"/>
                <w:lang w:val="en-US" w:eastAsia="zh-CN"/>
              </w:rPr>
              <w:t>等</w:t>
            </w:r>
            <w:r>
              <w:rPr>
                <w:rFonts w:hint="eastAsia" w:ascii="宋体" w:hAnsi="宋体" w:eastAsia="宋体" w:cs="宋体"/>
                <w:b w:val="0"/>
                <w:bCs w:val="0"/>
                <w:color w:val="auto"/>
                <w:sz w:val="21"/>
                <w:szCs w:val="21"/>
              </w:rPr>
              <w:t>项目</w:t>
            </w: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lang w:val="en-US" w:eastAsia="zh-CN"/>
              </w:rPr>
              <w:t>加快发展</w:t>
            </w:r>
            <w:r>
              <w:rPr>
                <w:rFonts w:hint="eastAsia" w:ascii="宋体" w:hAnsi="宋体" w:eastAsia="宋体" w:cs="宋体"/>
                <w:b w:val="0"/>
                <w:bCs w:val="0"/>
                <w:color w:val="auto"/>
                <w:sz w:val="21"/>
                <w:szCs w:val="21"/>
              </w:rPr>
              <w:t>人参</w:t>
            </w: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rPr>
              <w:t>食用菌、特色果蔬等精深加工</w:t>
            </w:r>
            <w:r>
              <w:rPr>
                <w:rFonts w:hint="eastAsia" w:ascii="宋体" w:hAnsi="宋体" w:eastAsia="宋体" w:cs="宋体"/>
                <w:b w:val="0"/>
                <w:bCs w:val="0"/>
                <w:color w:val="auto"/>
                <w:sz w:val="21"/>
                <w:szCs w:val="21"/>
                <w:lang w:val="en-US" w:eastAsia="zh-CN"/>
              </w:rPr>
              <w:t>产业</w:t>
            </w:r>
            <w:r>
              <w:rPr>
                <w:rFonts w:hint="eastAsia" w:ascii="宋体" w:hAnsi="宋体" w:eastAsia="宋体" w:cs="宋体"/>
                <w:b w:val="0"/>
                <w:bCs w:val="0"/>
                <w:color w:val="auto"/>
                <w:sz w:val="21"/>
                <w:szCs w:val="21"/>
                <w:lang w:eastAsia="zh-CN"/>
              </w:rPr>
              <w:t>。</w:t>
            </w:r>
          </w:p>
        </w:tc>
      </w:tr>
    </w:tbl>
    <w:p w14:paraId="53D01762">
      <w:pPr>
        <w:pStyle w:val="2"/>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left="0" w:leftChars="0" w:firstLine="0" w:firstLineChars="0"/>
        <w:jc w:val="center"/>
        <w:textAlignment w:val="auto"/>
        <w:rPr>
          <w:rFonts w:hint="eastAsia" w:ascii="方正黑体_GBK" w:hAnsi="方正黑体_GBK" w:eastAsia="方正黑体_GBK" w:cs="方正黑体_GBK"/>
          <w:color w:val="auto"/>
          <w:sz w:val="32"/>
          <w:szCs w:val="32"/>
          <w:lang w:eastAsia="zh-CN"/>
        </w:rPr>
      </w:pPr>
      <w:r>
        <w:rPr>
          <w:rFonts w:hint="eastAsia" w:ascii="方正黑体_GBK" w:hAnsi="方正黑体_GBK" w:eastAsia="方正黑体_GBK" w:cs="方正黑体_GBK"/>
          <w:color w:val="auto"/>
          <w:sz w:val="32"/>
          <w:szCs w:val="32"/>
          <w:lang w:eastAsia="zh-CN"/>
        </w:rPr>
        <w:t>第四节  推进宜居宜业和美乡村建设</w:t>
      </w:r>
    </w:p>
    <w:p w14:paraId="5CF2EFD5">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方正仿宋_GBK" w:hAnsi="方正仿宋_GBK" w:eastAsia="方正仿宋_GBK" w:cs="方正仿宋_GBK"/>
          <w:color w:val="auto"/>
          <w:sz w:val="32"/>
          <w:szCs w:val="32"/>
          <w:lang w:eastAsia="zh-CN"/>
        </w:rPr>
      </w:pPr>
      <w:r>
        <w:rPr>
          <w:rFonts w:hint="eastAsia" w:ascii="方正仿宋_GBK" w:hAnsi="方正仿宋_GBK" w:eastAsia="方正仿宋_GBK" w:cs="方正仿宋_GBK"/>
          <w:color w:val="auto"/>
          <w:sz w:val="32"/>
          <w:szCs w:val="32"/>
          <w:lang w:eastAsia="zh-CN"/>
        </w:rPr>
        <w:t>学习运用“千万工程”经验，以提升农村基础设施完备度、公共服务便利度、人居环境舒适度为核心，扎实推进宜居宜业和美乡村建设。扎实开展农村人居环境整治提升行动，统筹推进农村改厕、生活污水治理与生活垃圾治理协同增效。推进村容村貌整体改善，完善畜禽粪污收储运体系与资源化利用机制。加快推进“四好农村路”建设，畅通城乡交通微循环。“十五五”期间，实施农村公路安防工程700公里以上，完成“畅返不畅”路面养护工程1600公里以上。持续提升农村供水保障水平，强化农村电网巩固升级工程。有序推动5G网络、数字乡村、县乡村三级物流配送体系等新型基础设施建设，推动城镇供水、供气、通信等基础设施向乡村延伸覆盖。稳步推进农村危房改造和“宜居农房”建设。优化县域内教育、医疗、养老、文化等公共资源均衡配置，推动城市优质公共服务资源向乡村延伸。完善农村养老服务体系，发展互助性养老。提升乡镇综合服务中心和村级党群服务中心功能，拓展便民服务、文体活动、社会事务等综合服务功能。提升农村基层党组织的政治功能和组织功能，健全自治、法治、德治相结合的乡村治理体系。深入推进农村精神文明建设，推动形成文明乡风、良好家风、淳朴民风。完善网格化管理、精细化服务、信息化支撑的基层治理平台，夯实乡村社会长治久安与可持续发展基础。</w:t>
      </w:r>
    </w:p>
    <w:p w14:paraId="19B29BF9">
      <w:pPr>
        <w:pStyle w:val="2"/>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left="0" w:leftChars="0" w:firstLine="0" w:firstLineChars="0"/>
        <w:jc w:val="center"/>
        <w:textAlignment w:val="auto"/>
        <w:rPr>
          <w:rFonts w:hint="eastAsia" w:ascii="方正仿宋_GBK" w:hAnsi="方正仿宋_GBK" w:eastAsia="方正仿宋_GBK" w:cs="方正仿宋_GBK"/>
          <w:color w:val="auto"/>
          <w:sz w:val="32"/>
          <w:szCs w:val="32"/>
          <w:lang w:eastAsia="zh-CN"/>
        </w:rPr>
      </w:pPr>
      <w:r>
        <w:rPr>
          <w:rFonts w:hint="eastAsia" w:ascii="方正黑体_GBK" w:hAnsi="方正黑体_GBK" w:eastAsia="方正黑体_GBK" w:cs="方正黑体_GBK"/>
          <w:color w:val="auto"/>
          <w:sz w:val="32"/>
          <w:szCs w:val="32"/>
          <w:lang w:eastAsia="zh-CN"/>
        </w:rPr>
        <w:t>第五节  完善强农惠农富农支持制度</w:t>
      </w:r>
    </w:p>
    <w:p w14:paraId="71A93000">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方正仿宋_GBK" w:hAnsi="方正仿宋_GBK" w:eastAsia="方正仿宋_GBK" w:cs="方正仿宋_GBK"/>
          <w:color w:val="auto"/>
          <w:sz w:val="32"/>
          <w:szCs w:val="32"/>
          <w:lang w:eastAsia="zh-CN"/>
        </w:rPr>
      </w:pPr>
      <w:r>
        <w:rPr>
          <w:rFonts w:hint="eastAsia" w:ascii="方正仿宋_GBK" w:hAnsi="方正仿宋_GBK" w:eastAsia="方正仿宋_GBK" w:cs="方正仿宋_GBK"/>
          <w:color w:val="auto"/>
          <w:sz w:val="32"/>
          <w:szCs w:val="32"/>
          <w:lang w:eastAsia="zh-CN"/>
        </w:rPr>
        <w:t>围绕促进农民农村共同富裕，加快构建责任清晰、投入有力、机制有效的强农惠农富农政策支持体系。健全乡村振兴财政投入稳定增长机制，形成财政优先保障、金融重点倾斜、社会资本积极参与的多元投入格局。严格落实各项惠农政策，完善以价格支持、直接补贴、农业保险为核心的“三位一体”种粮农民收益保障机制，切实保护和调动农民务农种粮积极性。拓宽农民经营性、工资性、财产性、转移性收入渠道。实施乡村振兴人才支持计划，落实“雨露计划+”、乡村工匠“双百双千”培育工程等措施，加强高素质农民、产业带头人和农村实用人才队伍建设。开展职业技能培训，促进农村劳动力就地就近就业和有序外出转移，引导高校毕业生、退役军人、科技人员等各类人才入乡返乡就业创业。健全完善常态化防止返贫动态监测和帮扶机制，强化开发式帮扶措施，增强脱贫地区和群众内生发展动力。加强农村低收入人口常态化帮扶，牢牢守住不发生规模性返贫底线，推动巩固拓展脱贫攻坚成果同乡村振兴有效衔接。</w:t>
      </w:r>
    </w:p>
    <w:p w14:paraId="58755EA5">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方正仿宋_GBK" w:hAnsi="方正仿宋_GBK" w:eastAsia="方正仿宋_GBK" w:cs="方正仿宋_GBK"/>
          <w:color w:val="auto"/>
          <w:sz w:val="32"/>
          <w:szCs w:val="32"/>
          <w:lang w:eastAsia="zh-CN"/>
        </w:rPr>
      </w:pPr>
    </w:p>
    <w:p w14:paraId="73A7BAE5">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方正仿宋_GBK" w:hAnsi="方正仿宋_GBK" w:eastAsia="方正仿宋_GBK" w:cs="方正仿宋_GBK"/>
          <w:color w:val="auto"/>
          <w:sz w:val="32"/>
          <w:szCs w:val="32"/>
          <w:lang w:eastAsia="zh-CN"/>
        </w:rPr>
      </w:pPr>
    </w:p>
    <w:p w14:paraId="5D357E14">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方正仿宋_GBK" w:hAnsi="方正仿宋_GBK" w:eastAsia="方正仿宋_GBK" w:cs="方正仿宋_GBK"/>
          <w:color w:val="auto"/>
          <w:sz w:val="32"/>
          <w:szCs w:val="32"/>
          <w:lang w:eastAsia="zh-CN"/>
        </w:rPr>
      </w:pPr>
    </w:p>
    <w:p w14:paraId="572BF6FC">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方正仿宋_GBK" w:hAnsi="方正仿宋_GBK" w:eastAsia="方正仿宋_GBK" w:cs="方正仿宋_GBK"/>
          <w:color w:val="auto"/>
          <w:sz w:val="32"/>
          <w:szCs w:val="32"/>
          <w:lang w:eastAsia="zh-CN"/>
        </w:rPr>
      </w:pPr>
    </w:p>
    <w:p w14:paraId="062A2605">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方正仿宋_GBK" w:hAnsi="方正仿宋_GBK" w:eastAsia="方正仿宋_GBK" w:cs="方正仿宋_GBK"/>
          <w:color w:val="auto"/>
          <w:sz w:val="32"/>
          <w:szCs w:val="32"/>
          <w:lang w:eastAsia="zh-CN"/>
        </w:rPr>
      </w:pPr>
    </w:p>
    <w:p w14:paraId="5BB45EEA">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方正仿宋_GBK" w:hAnsi="方正仿宋_GBK" w:eastAsia="方正仿宋_GBK" w:cs="方正仿宋_GBK"/>
          <w:color w:val="auto"/>
          <w:sz w:val="32"/>
          <w:szCs w:val="32"/>
          <w:lang w:eastAsia="zh-CN"/>
        </w:rPr>
      </w:pPr>
    </w:p>
    <w:p w14:paraId="7BF1D3B4">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方正仿宋_GBK" w:hAnsi="方正仿宋_GBK" w:eastAsia="方正仿宋_GBK" w:cs="方正仿宋_GBK"/>
          <w:color w:val="auto"/>
          <w:sz w:val="32"/>
          <w:szCs w:val="32"/>
          <w:lang w:eastAsia="zh-CN"/>
        </w:rPr>
      </w:pPr>
    </w:p>
    <w:p w14:paraId="5D02D60F">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方正仿宋_GBK" w:hAnsi="方正仿宋_GBK" w:eastAsia="方正仿宋_GBK" w:cs="方正仿宋_GBK"/>
          <w:color w:val="auto"/>
          <w:sz w:val="32"/>
          <w:szCs w:val="32"/>
          <w:lang w:eastAsia="zh-CN"/>
        </w:rPr>
      </w:pPr>
    </w:p>
    <w:p w14:paraId="7C556CA5">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方正仿宋_GBK" w:hAnsi="方正仿宋_GBK" w:eastAsia="方正仿宋_GBK" w:cs="方正仿宋_GBK"/>
          <w:color w:val="auto"/>
          <w:sz w:val="32"/>
          <w:szCs w:val="32"/>
          <w:lang w:eastAsia="zh-CN"/>
        </w:rPr>
      </w:pPr>
    </w:p>
    <w:p w14:paraId="28E5DDEF">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方正仿宋_GBK" w:hAnsi="方正仿宋_GBK" w:eastAsia="方正仿宋_GBK" w:cs="方正仿宋_GBK"/>
          <w:color w:val="auto"/>
          <w:sz w:val="32"/>
          <w:szCs w:val="32"/>
          <w:lang w:eastAsia="zh-CN"/>
        </w:rPr>
      </w:pPr>
    </w:p>
    <w:p w14:paraId="36E0DB1B">
      <w:pPr>
        <w:pStyle w:val="2"/>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left="0" w:leftChars="0" w:firstLine="0" w:firstLineChars="0"/>
        <w:jc w:val="center"/>
        <w:textAlignment w:val="auto"/>
        <w:rPr>
          <w:rFonts w:hint="eastAsia" w:ascii="方正小标宋_GBK" w:hAnsi="方正小标宋_GBK" w:eastAsia="方正小标宋_GBK" w:cs="方正小标宋_GBK"/>
          <w:color w:val="auto"/>
          <w:sz w:val="36"/>
          <w:szCs w:val="36"/>
          <w:lang w:eastAsia="zh-CN"/>
        </w:rPr>
      </w:pPr>
      <w:r>
        <w:rPr>
          <w:rFonts w:hint="eastAsia" w:ascii="方正小标宋_GBK" w:hAnsi="方正小标宋_GBK" w:eastAsia="方正小标宋_GBK" w:cs="方正小标宋_GBK"/>
          <w:color w:val="auto"/>
          <w:sz w:val="36"/>
          <w:szCs w:val="36"/>
          <w:lang w:eastAsia="zh-CN"/>
        </w:rPr>
        <w:t>第八章  优化区域功能布局</w:t>
      </w:r>
      <w:r>
        <w:rPr>
          <w:rFonts w:hint="eastAsia" w:ascii="方正小标宋_GBK" w:hAnsi="方正小标宋_GBK" w:eastAsia="方正小标宋_GBK" w:cs="方正小标宋_GBK"/>
          <w:color w:val="auto"/>
          <w:sz w:val="36"/>
          <w:szCs w:val="36"/>
          <w:lang w:val="en-US" w:eastAsia="zh-CN"/>
        </w:rPr>
        <w:t xml:space="preserve"> </w:t>
      </w:r>
      <w:r>
        <w:rPr>
          <w:rFonts w:hint="eastAsia" w:ascii="方正小标宋_GBK" w:hAnsi="方正小标宋_GBK" w:eastAsia="方正小标宋_GBK" w:cs="方正小标宋_GBK"/>
          <w:color w:val="auto"/>
          <w:sz w:val="36"/>
          <w:szCs w:val="36"/>
          <w:lang w:eastAsia="zh-CN"/>
        </w:rPr>
        <w:t>建设宜居韧性智慧城市</w:t>
      </w:r>
    </w:p>
    <w:p w14:paraId="785D0970">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方正仿宋_GBK" w:hAnsi="方正仿宋_GBK" w:eastAsia="方正仿宋_GBK" w:cs="方正仿宋_GBK"/>
          <w:color w:val="auto"/>
          <w:sz w:val="32"/>
          <w:szCs w:val="32"/>
          <w:lang w:eastAsia="zh-CN"/>
        </w:rPr>
      </w:pPr>
      <w:r>
        <w:rPr>
          <w:rFonts w:hint="eastAsia" w:ascii="方正仿宋_GBK" w:hAnsi="方正仿宋_GBK" w:eastAsia="方正仿宋_GBK" w:cs="方正仿宋_GBK"/>
          <w:color w:val="auto"/>
          <w:sz w:val="32"/>
          <w:szCs w:val="32"/>
          <w:lang w:eastAsia="zh-CN"/>
        </w:rPr>
        <w:t>以推动城市高质量发展为主题，以坚持城市内涵式发展为主线，以推进城市更新为重要抓手，优化城市开发格局和功能，增强城市辐射能力和承载能力，加快建设创新、宜居、美丽、韧性、文明、智慧的现代化人民城市。</w:t>
      </w:r>
    </w:p>
    <w:p w14:paraId="5060B2E0">
      <w:pPr>
        <w:pStyle w:val="2"/>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left="0" w:leftChars="0" w:firstLine="0" w:firstLineChars="0"/>
        <w:jc w:val="center"/>
        <w:textAlignment w:val="auto"/>
        <w:rPr>
          <w:rFonts w:hint="eastAsia" w:ascii="方正黑体_GBK" w:hAnsi="方正黑体_GBK" w:eastAsia="方正黑体_GBK" w:cs="方正黑体_GBK"/>
          <w:color w:val="auto"/>
          <w:sz w:val="32"/>
          <w:szCs w:val="32"/>
          <w:lang w:eastAsia="zh-CN"/>
        </w:rPr>
      </w:pPr>
      <w:r>
        <w:rPr>
          <w:rFonts w:hint="eastAsia" w:ascii="方正黑体_GBK" w:hAnsi="方正黑体_GBK" w:eastAsia="方正黑体_GBK" w:cs="方正黑体_GBK"/>
          <w:color w:val="auto"/>
          <w:sz w:val="32"/>
          <w:szCs w:val="32"/>
          <w:lang w:eastAsia="zh-CN"/>
        </w:rPr>
        <w:t>第一节  优化国土空间发展格局</w:t>
      </w:r>
    </w:p>
    <w:p w14:paraId="34D098BB">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方正仿宋_GBK" w:hAnsi="方正仿宋_GBK" w:eastAsia="方正仿宋_GBK" w:cs="方正仿宋_GBK"/>
          <w:color w:val="auto"/>
          <w:sz w:val="32"/>
          <w:szCs w:val="32"/>
          <w:lang w:eastAsia="zh-CN"/>
        </w:rPr>
      </w:pPr>
      <w:r>
        <w:rPr>
          <w:rFonts w:hint="eastAsia" w:ascii="方正仿宋_GBK" w:hAnsi="方正仿宋_GBK" w:eastAsia="方正仿宋_GBK" w:cs="方正仿宋_GBK"/>
          <w:color w:val="auto"/>
          <w:sz w:val="32"/>
          <w:szCs w:val="32"/>
          <w:lang w:eastAsia="zh-CN"/>
        </w:rPr>
        <w:t>立足辽源“五山一水四分田”的自然基底，严守“三区三线”，强化国土空间规划的引领和约束作用，实施分区分类、精细化用途管制，统筹优化空间结构与功能布局。实行建设用地总量管控和存量增量综合供地政策，依托“六山环抱、四河贯通”的山水格局，结合发展实际塑造空间新格局。将市域划分为四类重点功能区，实施差异化引导。</w:t>
      </w:r>
      <w:r>
        <w:rPr>
          <w:rFonts w:hint="eastAsia" w:ascii="方正楷体_GBK" w:hAnsi="方正楷体_GBK" w:eastAsia="方正楷体_GBK" w:cs="方正楷体_GBK"/>
          <w:color w:val="auto"/>
          <w:sz w:val="32"/>
          <w:szCs w:val="32"/>
          <w:lang w:eastAsia="zh-CN"/>
        </w:rPr>
        <w:t>老城更新片区：</w:t>
      </w:r>
      <w:r>
        <w:rPr>
          <w:rFonts w:hint="eastAsia" w:ascii="方正仿宋_GBK" w:hAnsi="方正仿宋_GBK" w:eastAsia="方正仿宋_GBK" w:cs="方正仿宋_GBK"/>
          <w:color w:val="auto"/>
          <w:sz w:val="32"/>
          <w:szCs w:val="32"/>
          <w:lang w:eastAsia="zh-CN"/>
        </w:rPr>
        <w:t>以东吉、西宁、南康、北寿等老城区域为重点，推进功能修补与品质提升。重点补齐教育、医疗、养老、停车等公共服务设施短板，延续城市历史文脉与记忆，塑造富有温度的魅力老城。</w:t>
      </w:r>
      <w:r>
        <w:rPr>
          <w:rFonts w:hint="eastAsia" w:ascii="方正楷体_GBK" w:hAnsi="方正楷体_GBK" w:eastAsia="方正楷体_GBK" w:cs="方正楷体_GBK"/>
          <w:color w:val="auto"/>
          <w:sz w:val="32"/>
          <w:szCs w:val="32"/>
          <w:lang w:eastAsia="zh-CN"/>
        </w:rPr>
        <w:t>产业创新集聚区</w:t>
      </w:r>
      <w:r>
        <w:rPr>
          <w:rFonts w:hint="eastAsia" w:ascii="方正仿宋_GBK" w:hAnsi="方正仿宋_GBK" w:eastAsia="方正仿宋_GBK" w:cs="方正仿宋_GBK"/>
          <w:color w:val="auto"/>
          <w:sz w:val="32"/>
          <w:szCs w:val="32"/>
          <w:lang w:eastAsia="zh-CN"/>
        </w:rPr>
        <w:t>：以各类园区平台等为载体，布局“氢能+”、新能源汽车零部件、袜业智能制造、梅花鹿生物科技、绿色食品加工等特色产业链，打造支撑发展的核心产业走廊与创新创业高地。</w:t>
      </w:r>
      <w:r>
        <w:rPr>
          <w:rFonts w:hint="eastAsia" w:ascii="方正楷体_GBK" w:hAnsi="方正楷体_GBK" w:eastAsia="方正楷体_GBK" w:cs="方正楷体_GBK"/>
          <w:color w:val="auto"/>
          <w:sz w:val="32"/>
          <w:szCs w:val="32"/>
          <w:lang w:eastAsia="zh-CN"/>
        </w:rPr>
        <w:t>综合服务核心区</w:t>
      </w:r>
      <w:r>
        <w:rPr>
          <w:rFonts w:hint="eastAsia" w:ascii="方正仿宋_GBK" w:hAnsi="方正仿宋_GBK" w:eastAsia="方正仿宋_GBK" w:cs="方正仿宋_GBK"/>
          <w:color w:val="auto"/>
          <w:sz w:val="32"/>
          <w:szCs w:val="32"/>
          <w:lang w:eastAsia="zh-CN"/>
        </w:rPr>
        <w:t>：以中心城区人民广场、南部新城等核心板块，以及东丰、东辽县城中心区为重点，推动商业、文化、政务、金融等功能集聚，建设功能完善、便捷舒适、活力集聚的现代化城市服务中心。</w:t>
      </w:r>
      <w:r>
        <w:rPr>
          <w:rFonts w:hint="eastAsia" w:ascii="方正楷体_GBK" w:hAnsi="方正楷体_GBK" w:eastAsia="方正楷体_GBK" w:cs="方正楷体_GBK"/>
          <w:color w:val="auto"/>
          <w:sz w:val="32"/>
          <w:szCs w:val="32"/>
          <w:lang w:eastAsia="zh-CN"/>
        </w:rPr>
        <w:t>山水休闲生态区</w:t>
      </w:r>
      <w:r>
        <w:rPr>
          <w:rFonts w:hint="eastAsia" w:ascii="方正仿宋_GBK" w:hAnsi="方正仿宋_GBK" w:eastAsia="方正仿宋_GBK" w:cs="方正仿宋_GBK"/>
          <w:color w:val="auto"/>
          <w:sz w:val="32"/>
          <w:szCs w:val="32"/>
          <w:lang w:eastAsia="zh-CN"/>
        </w:rPr>
        <w:t>：依托优质生态资源，统筹推进生态保育与适度利用，植入山水观光、度假康养、乡村旅游、冰雪运动等业态，建设连接城乡、服务区域的绿色休闲廊道与生态文旅休闲区。</w:t>
      </w:r>
    </w:p>
    <w:p w14:paraId="53F275CE">
      <w:pPr>
        <w:pStyle w:val="2"/>
        <w:keepNext w:val="0"/>
        <w:keepLines w:val="0"/>
        <w:pageBreakBefore w:val="0"/>
        <w:widowControl w:val="0"/>
        <w:kinsoku/>
        <w:wordWrap/>
        <w:overflowPunct/>
        <w:topLinePunct w:val="0"/>
        <w:autoSpaceDE/>
        <w:autoSpaceDN/>
        <w:bidi w:val="0"/>
        <w:adjustRightInd/>
        <w:snapToGrid/>
        <w:spacing w:after="0" w:line="200" w:lineRule="exact"/>
        <w:ind w:firstLine="640" w:firstLineChars="200"/>
        <w:textAlignment w:val="auto"/>
        <w:rPr>
          <w:rFonts w:hint="eastAsia" w:ascii="方正仿宋_GBK" w:hAnsi="方正仿宋_GBK" w:eastAsia="方正仿宋_GBK" w:cs="方正仿宋_GBK"/>
          <w:color w:val="auto"/>
          <w:sz w:val="32"/>
          <w:szCs w:val="32"/>
          <w:lang w:eastAsia="zh-CN"/>
        </w:rPr>
      </w:pP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4E8E7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97" w:hRule="atLeast"/>
          <w:jc w:val="center"/>
        </w:trPr>
        <w:tc>
          <w:tcPr>
            <w:tcW w:w="8834" w:type="dxa"/>
            <w:noWrap w:val="0"/>
            <w:vAlign w:val="top"/>
          </w:tcPr>
          <w:p w14:paraId="5C0F51C3">
            <w:pPr>
              <w:keepNext w:val="0"/>
              <w:keepLines w:val="0"/>
              <w:pageBreakBefore w:val="0"/>
              <w:widowControl w:val="0"/>
              <w:kinsoku/>
              <w:wordWrap/>
              <w:overflowPunct w:val="0"/>
              <w:topLinePunct/>
              <w:autoSpaceDE/>
              <w:autoSpaceDN/>
              <w:bidi w:val="0"/>
              <w:adjustRightInd/>
              <w:snapToGrid/>
              <w:spacing w:before="156" w:beforeLines="50" w:after="156" w:afterLines="50" w:line="340" w:lineRule="exact"/>
              <w:ind w:firstLine="0" w:firstLineChars="0"/>
              <w:jc w:val="center"/>
              <w:textAlignment w:val="auto"/>
              <w:rPr>
                <w:rFonts w:hint="eastAsia" w:ascii="方正黑体_GBK" w:hAnsi="方正黑体_GBK" w:eastAsia="方正黑体_GBK" w:cs="方正黑体_GBK"/>
                <w:b w:val="0"/>
                <w:bCs w:val="0"/>
                <w:color w:val="auto"/>
                <w:sz w:val="32"/>
                <w:szCs w:val="32"/>
              </w:rPr>
            </w:pPr>
            <w:r>
              <w:rPr>
                <w:rFonts w:hint="eastAsia" w:ascii="方正黑体_GBK" w:hAnsi="方正黑体_GBK" w:eastAsia="方正黑体_GBK" w:cs="方正黑体_GBK"/>
                <w:b w:val="0"/>
                <w:bCs w:val="0"/>
                <w:color w:val="auto"/>
                <w:sz w:val="32"/>
                <w:szCs w:val="32"/>
              </w:rPr>
              <w:t>专栏</w:t>
            </w:r>
            <w:r>
              <w:rPr>
                <w:rFonts w:hint="eastAsia" w:ascii="方正黑体_GBK" w:hAnsi="方正黑体_GBK" w:eastAsia="方正黑体_GBK" w:cs="方正黑体_GBK"/>
                <w:b w:val="0"/>
                <w:bCs w:val="0"/>
                <w:color w:val="auto"/>
                <w:sz w:val="32"/>
                <w:szCs w:val="32"/>
                <w:lang w:val="en-US" w:eastAsia="zh-CN"/>
              </w:rPr>
              <w:t>10</w:t>
            </w:r>
            <w:r>
              <w:rPr>
                <w:rFonts w:hint="eastAsia" w:ascii="方正黑体_GBK" w:hAnsi="方正黑体_GBK" w:eastAsia="方正黑体_GBK" w:cs="方正黑体_GBK"/>
                <w:b w:val="0"/>
                <w:bCs w:val="0"/>
                <w:color w:val="auto"/>
                <w:sz w:val="32"/>
                <w:szCs w:val="32"/>
              </w:rPr>
              <w:t xml:space="preserve">  各县区</w:t>
            </w:r>
            <w:r>
              <w:rPr>
                <w:rFonts w:hint="eastAsia" w:ascii="方正黑体_GBK" w:hAnsi="方正黑体_GBK" w:eastAsia="方正黑体_GBK" w:cs="方正黑体_GBK"/>
                <w:b w:val="0"/>
                <w:bCs w:val="0"/>
                <w:color w:val="auto"/>
                <w:sz w:val="32"/>
                <w:szCs w:val="32"/>
                <w:lang w:val="en-US" w:eastAsia="zh-CN"/>
              </w:rPr>
              <w:t>城市空间布局</w:t>
            </w:r>
          </w:p>
          <w:p w14:paraId="0E070EC0">
            <w:pPr>
              <w:keepNext w:val="0"/>
              <w:keepLines w:val="0"/>
              <w:pageBreakBefore w:val="0"/>
              <w:widowControl w:val="0"/>
              <w:kinsoku/>
              <w:wordWrap/>
              <w:overflowPunct w:val="0"/>
              <w:topLinePunct/>
              <w:autoSpaceDE/>
              <w:autoSpaceDN/>
              <w:bidi w:val="0"/>
              <w:adjustRightInd/>
              <w:snapToGrid/>
              <w:spacing w:line="340" w:lineRule="exact"/>
              <w:ind w:firstLine="422"/>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1.“两县”发展方向：</w:t>
            </w:r>
          </w:p>
          <w:p w14:paraId="2649D03D">
            <w:pPr>
              <w:keepNext w:val="0"/>
              <w:keepLines w:val="0"/>
              <w:pageBreakBefore w:val="0"/>
              <w:widowControl w:val="0"/>
              <w:kinsoku/>
              <w:wordWrap/>
              <w:overflowPunct w:val="0"/>
              <w:topLinePunct/>
              <w:autoSpaceDE/>
              <w:autoSpaceDN/>
              <w:bidi w:val="0"/>
              <w:adjustRightInd/>
              <w:snapToGrid/>
              <w:spacing w:line="340" w:lineRule="exact"/>
              <w:ind w:firstLine="422"/>
              <w:textAlignment w:val="auto"/>
              <w:rPr>
                <w:rFonts w:hint="eastAsia" w:ascii="宋体" w:hAnsi="宋体" w:eastAsia="宋体" w:cs="宋体"/>
                <w:b w:val="0"/>
                <w:bCs w:val="0"/>
                <w:color w:val="auto"/>
                <w:sz w:val="21"/>
                <w:szCs w:val="21"/>
                <w:lang w:eastAsia="zh-CN"/>
              </w:rPr>
            </w:pPr>
            <w:r>
              <w:rPr>
                <w:rFonts w:hint="eastAsia" w:ascii="宋体" w:hAnsi="宋体" w:eastAsia="宋体" w:cs="宋体"/>
                <w:b w:val="0"/>
                <w:bCs w:val="0"/>
                <w:color w:val="auto"/>
                <w:sz w:val="21"/>
                <w:szCs w:val="21"/>
              </w:rPr>
              <w:t>东丰县。以建设“精致东丰”为目标，着力构建“一城引领、两区发力、多点支撑、产城融合”的城镇空间格局。提升县城经济、文化综合服务功能。推进东部老城区城市更新，完善西城区功能配置，推动南部城区高铁站配套建设。突出东丰经济开发区承载力</w:t>
            </w: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rPr>
              <w:t>强化冶金循环经济产业园集聚</w:t>
            </w:r>
            <w:r>
              <w:rPr>
                <w:rFonts w:hint="eastAsia" w:ascii="宋体" w:hAnsi="宋体" w:eastAsia="宋体" w:cs="宋体"/>
                <w:b w:val="0"/>
                <w:bCs w:val="0"/>
                <w:color w:val="auto"/>
                <w:sz w:val="21"/>
                <w:szCs w:val="21"/>
                <w:lang w:val="en-US" w:eastAsia="zh-CN"/>
              </w:rPr>
              <w:t>效应</w:t>
            </w:r>
            <w:r>
              <w:rPr>
                <w:rFonts w:hint="eastAsia" w:ascii="宋体" w:hAnsi="宋体" w:eastAsia="宋体" w:cs="宋体"/>
                <w:b w:val="0"/>
                <w:bCs w:val="0"/>
                <w:color w:val="auto"/>
                <w:sz w:val="21"/>
                <w:szCs w:val="21"/>
              </w:rPr>
              <w:t>。依据现有产业基础，重点发展那丹伯黄牛产业、沙河镇农文旅产业、三合乡松籽产业、小四平金红苹果产业、横道河钢铁产业，形成功能互补、协调联动的发展态势，以重点突破带动整体提升。</w:t>
            </w:r>
          </w:p>
          <w:p w14:paraId="6720E7B9">
            <w:pPr>
              <w:keepNext w:val="0"/>
              <w:keepLines w:val="0"/>
              <w:pageBreakBefore w:val="0"/>
              <w:widowControl w:val="0"/>
              <w:kinsoku/>
              <w:wordWrap/>
              <w:overflowPunct w:val="0"/>
              <w:topLinePunct/>
              <w:autoSpaceDE/>
              <w:autoSpaceDN/>
              <w:bidi w:val="0"/>
              <w:adjustRightInd/>
              <w:snapToGrid/>
              <w:spacing w:line="340" w:lineRule="exact"/>
              <w:ind w:firstLine="422"/>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东辽县。以深度融入长春现代化都市圈为战略导向，构建中心城区辐射引领、重点乡镇特色发展的功能格局。提升中心城区产业承接与综合服务能级，打造县域发展主引擎。推动重点乡镇错位发展</w:t>
            </w: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rPr>
              <w:t>建安、足民、甲山等乡镇建设绿色农业基地，打造都市圈“米袋子”“菜篮子”</w:t>
            </w: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rPr>
              <w:t>白泉、安恕、渭津等</w:t>
            </w:r>
            <w:r>
              <w:rPr>
                <w:rFonts w:hint="eastAsia" w:ascii="宋体" w:hAnsi="宋体" w:eastAsia="宋体" w:cs="宋体"/>
                <w:b w:val="0"/>
                <w:bCs w:val="0"/>
                <w:color w:val="auto"/>
                <w:sz w:val="21"/>
                <w:szCs w:val="21"/>
                <w:lang w:val="en-US" w:eastAsia="zh-CN"/>
              </w:rPr>
              <w:t>乡</w:t>
            </w:r>
            <w:r>
              <w:rPr>
                <w:rFonts w:hint="eastAsia" w:ascii="宋体" w:hAnsi="宋体" w:eastAsia="宋体" w:cs="宋体"/>
                <w:b w:val="0"/>
                <w:bCs w:val="0"/>
                <w:color w:val="auto"/>
                <w:sz w:val="21"/>
                <w:szCs w:val="21"/>
              </w:rPr>
              <w:t>镇做强工业配套集群</w:t>
            </w: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rPr>
              <w:t>金州、安石、辽河源等乡镇发展康养文旅，建设都市圈“后花园”和“康养地”，全面提升对都市圈的服务支撑能力。</w:t>
            </w:r>
          </w:p>
          <w:p w14:paraId="33A580E6">
            <w:pPr>
              <w:keepNext w:val="0"/>
              <w:keepLines w:val="0"/>
              <w:pageBreakBefore w:val="0"/>
              <w:widowControl w:val="0"/>
              <w:kinsoku/>
              <w:wordWrap/>
              <w:overflowPunct w:val="0"/>
              <w:topLinePunct/>
              <w:autoSpaceDE/>
              <w:autoSpaceDN/>
              <w:bidi w:val="0"/>
              <w:adjustRightInd/>
              <w:snapToGrid/>
              <w:spacing w:line="340" w:lineRule="exact"/>
              <w:ind w:firstLine="422"/>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2.“两区”发展方向：</w:t>
            </w:r>
          </w:p>
          <w:p w14:paraId="27EEEBA6">
            <w:pPr>
              <w:ind w:firstLine="420" w:firstLineChars="200"/>
              <w:rPr>
                <w:color w:val="auto"/>
              </w:rPr>
            </w:pPr>
            <w:r>
              <w:rPr>
                <w:rFonts w:hint="eastAsia"/>
                <w:color w:val="auto"/>
              </w:rPr>
              <w:t>龙山区。以城市更新与产城深度融合为主线，着力打造产城融合发展新样板。纵深推进“辽河南北岸”、“银基东”和“渭津河南北岸”三大片区联动开发，统筹城市功能完善、产业优化与商业提升，差异化布局住宅并配套公共服务。系统实施老旧小区、厂区、街区改造，完善新型基础设施，保护利用工业遗存。推动寿山镇、工农乡与主城区产城功能互补，聚焦装备制造、袜业纺织、医药健康等产业集群，构建“以产兴城、以城促产”的高质量发展格局。</w:t>
            </w:r>
          </w:p>
          <w:p w14:paraId="6EAF9AAA">
            <w:pPr>
              <w:keepNext w:val="0"/>
              <w:keepLines w:val="0"/>
              <w:pageBreakBefore w:val="0"/>
              <w:widowControl w:val="0"/>
              <w:kinsoku/>
              <w:wordWrap/>
              <w:overflowPunct w:val="0"/>
              <w:topLinePunct/>
              <w:autoSpaceDE/>
              <w:autoSpaceDN/>
              <w:bidi w:val="0"/>
              <w:adjustRightInd/>
              <w:snapToGrid/>
              <w:spacing w:line="340" w:lineRule="exact"/>
              <w:ind w:firstLine="422"/>
              <w:textAlignment w:val="auto"/>
              <w:rPr>
                <w:rFonts w:hint="eastAsia" w:ascii="Times New Roman" w:hAnsi="Times New Roman" w:eastAsia="宋体" w:cs="Times New Roman"/>
                <w:color w:val="auto"/>
                <w:sz w:val="21"/>
                <w:szCs w:val="21"/>
              </w:rPr>
            </w:pPr>
            <w:r>
              <w:rPr>
                <w:rFonts w:hint="eastAsia" w:ascii="宋体" w:hAnsi="宋体" w:eastAsia="宋体" w:cs="宋体"/>
                <w:b w:val="0"/>
                <w:bCs w:val="0"/>
                <w:color w:val="auto"/>
                <w:sz w:val="21"/>
                <w:szCs w:val="21"/>
              </w:rPr>
              <w:t>西安区。围绕“两环三轴”国土空间总体格局，统筹城镇、农业、生态空间协调发展。“都市服务环”与“生态农业环”联动，促进城乡产业衔接；“文旅</w:t>
            </w: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rPr>
              <w:t>南北城区</w:t>
            </w: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rPr>
              <w:t>城乡融合”三条发展轴协同，引导功能集聚。农业上构建“一心双核多基地”体系，打造特色品牌；生态上筑牢五湖四片多节点安全屏障。城镇发展强化中心城区核心功能，推动灯塔镇等城镇节点因地制宜发展，形成“中心城区辐射带动、重点城镇协同支撑”的城镇化发展格局。</w:t>
            </w:r>
          </w:p>
        </w:tc>
      </w:tr>
    </w:tbl>
    <w:p w14:paraId="57210CB6">
      <w:pPr>
        <w:pStyle w:val="2"/>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left="0" w:leftChars="0" w:firstLine="0" w:firstLineChars="0"/>
        <w:jc w:val="center"/>
        <w:textAlignment w:val="auto"/>
        <w:rPr>
          <w:rFonts w:hint="eastAsia" w:ascii="方正黑体_GBK" w:hAnsi="方正黑体_GBK" w:eastAsia="方正黑体_GBK" w:cs="方正黑体_GBK"/>
          <w:color w:val="auto"/>
          <w:sz w:val="32"/>
          <w:szCs w:val="32"/>
          <w:lang w:eastAsia="zh-CN"/>
        </w:rPr>
      </w:pPr>
      <w:r>
        <w:rPr>
          <w:rFonts w:hint="eastAsia" w:ascii="方正黑体_GBK" w:hAnsi="方正黑体_GBK" w:eastAsia="方正黑体_GBK" w:cs="方正黑体_GBK"/>
          <w:color w:val="auto"/>
          <w:sz w:val="32"/>
          <w:szCs w:val="32"/>
          <w:lang w:eastAsia="zh-CN"/>
        </w:rPr>
        <w:t>第二节  持续提升城市承载能力</w:t>
      </w:r>
    </w:p>
    <w:p w14:paraId="34F67421">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方正仿宋_GBK" w:hAnsi="方正仿宋_GBK" w:eastAsia="方正仿宋_GBK" w:cs="方正仿宋_GBK"/>
          <w:color w:val="auto"/>
          <w:sz w:val="32"/>
          <w:szCs w:val="32"/>
          <w:lang w:eastAsia="zh-CN"/>
        </w:rPr>
      </w:pPr>
      <w:r>
        <w:rPr>
          <w:rFonts w:hint="eastAsia" w:ascii="方正楷体_GBK" w:hAnsi="方正楷体_GBK" w:eastAsia="方正楷体_GBK" w:cs="方正楷体_GBK"/>
          <w:color w:val="auto"/>
          <w:sz w:val="32"/>
          <w:szCs w:val="32"/>
          <w:lang w:eastAsia="zh-CN"/>
        </w:rPr>
        <w:t>建设舒适便利的宜居城市</w:t>
      </w:r>
      <w:r>
        <w:rPr>
          <w:rFonts w:hint="eastAsia" w:ascii="方正仿宋_GBK" w:hAnsi="方正仿宋_GBK" w:eastAsia="方正仿宋_GBK" w:cs="方正仿宋_GBK"/>
          <w:color w:val="auto"/>
          <w:sz w:val="32"/>
          <w:szCs w:val="32"/>
          <w:lang w:eastAsia="zh-CN"/>
        </w:rPr>
        <w:t>。坚持以人民为中心的发展思想，高质量实施城市更新行动，系统性提升居住品质、交通效率与公共服务水平，建设全龄友好、舒适便利的现代化宜居城市。以城市危旧房改造、采煤沉陷区避险搬迁为重点，切实保障居民住房安全。持续推进老旧小区改造，完善加装电梯、适老化改造、停车充电等配套设施。通过“拆墙并院、成片开发”“空间腾退、存量盘活”“政企协同、联合开发”等模式，统筹推进居住区、产业、生态、公共服务与基础设施更新，推动低效空间资源再开发与高效利用，更好满足群众刚性及多样化改善性住房需求。加快实施人民大街、辽河大路等城市主干道升级改造，优化公交线网，提高公共交通分担率。完善无障碍环境建设，优化盲道系统，增设无障碍通道与停车位。加快公共停车场、智慧停车平台及充（换）电设施建设。持续开展围挡治理，释放空间用于补充公共停车与早市、夜市等便民服务设施。合理布局并提升教育、医疗、养老、文化、体育等公共服务设施配置水平，营造对儿童友好、青年友善、老年康乐的全龄友好城市环境。</w:t>
      </w:r>
    </w:p>
    <w:p w14:paraId="5DC0BFF7">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方正仿宋_GBK" w:hAnsi="方正仿宋_GBK" w:eastAsia="方正仿宋_GBK" w:cs="方正仿宋_GBK"/>
          <w:color w:val="auto"/>
          <w:sz w:val="32"/>
          <w:szCs w:val="32"/>
          <w:lang w:eastAsia="zh-CN"/>
        </w:rPr>
      </w:pPr>
      <w:r>
        <w:rPr>
          <w:rFonts w:hint="eastAsia" w:ascii="方正楷体_GBK" w:hAnsi="方正楷体_GBK" w:eastAsia="方正楷体_GBK" w:cs="方正楷体_GBK"/>
          <w:color w:val="auto"/>
          <w:sz w:val="32"/>
          <w:szCs w:val="32"/>
          <w:lang w:eastAsia="zh-CN"/>
        </w:rPr>
        <w:t>建设安全可靠的韧性城市</w:t>
      </w:r>
      <w:r>
        <w:rPr>
          <w:rFonts w:hint="eastAsia" w:ascii="方正仿宋_GBK" w:hAnsi="方正仿宋_GBK" w:eastAsia="方正仿宋_GBK" w:cs="方正仿宋_GBK"/>
          <w:color w:val="auto"/>
          <w:sz w:val="32"/>
          <w:szCs w:val="32"/>
          <w:lang w:eastAsia="zh-CN"/>
        </w:rPr>
        <w:t>。以保障城市运行安全为核心，系统推进基础设施韧性提升、灾害防御能力强化和环境治理体系建设，构建全方位、多层次的城市安全发展格局。推进燃气、供水、排水、供热、桥梁等城市生命线工程的智能化监测和建设，推动重要能源设施、水源系统等分布式布局。健全城市防洪排涝体系，实施地下管网精细化更新改造与互联互通工程。扎实推进生活垃圾分类收运处置体系全覆盖，在城市建成区实现分类设施全面配套。统筹规划建设中转站，提高垃圾转运效率与末端资源化、无害化处置能力。完善“源头—管网—处理厂—河流”一体化污水收集处理机制，确保稳定达标排放。持续推进海绵城市建设，推广海绵社区、海绵道路等模式，增强雨水渗透、蓄滞与资源化利用能力。结合“东辽河、仙人河、渭津河、梨树河”四河水系治理及城区绿地系统建设、市政设施更新，提升城市在面对内涝、干旱等气候风险时自适应与恢复能力，逐步构建生态本底健康、系统运行韧性的城市循环体系。</w:t>
      </w:r>
    </w:p>
    <w:p w14:paraId="0F1FA5F4">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方正仿宋_GBK" w:hAnsi="方正仿宋_GBK" w:eastAsia="方正仿宋_GBK" w:cs="方正仿宋_GBK"/>
          <w:color w:val="auto"/>
          <w:sz w:val="32"/>
          <w:szCs w:val="32"/>
          <w:lang w:eastAsia="zh-CN"/>
        </w:rPr>
      </w:pPr>
      <w:r>
        <w:rPr>
          <w:rFonts w:hint="eastAsia" w:ascii="方正楷体_GBK" w:hAnsi="方正楷体_GBK" w:eastAsia="方正楷体_GBK" w:cs="方正楷体_GBK"/>
          <w:color w:val="auto"/>
          <w:sz w:val="32"/>
          <w:szCs w:val="32"/>
          <w:lang w:eastAsia="zh-CN"/>
        </w:rPr>
        <w:t>建设生态人文的美丽城市</w:t>
      </w:r>
      <w:r>
        <w:rPr>
          <w:rFonts w:hint="eastAsia" w:ascii="方正仿宋_GBK" w:hAnsi="方正仿宋_GBK" w:eastAsia="方正仿宋_GBK" w:cs="方正仿宋_GBK"/>
          <w:color w:val="auto"/>
          <w:sz w:val="32"/>
          <w:szCs w:val="32"/>
          <w:lang w:eastAsia="zh-CN"/>
        </w:rPr>
        <w:t>。坚持人与自然和谐共生，将生态修复、文脉传承与空间营造相结合，系统塑造彰显山水底蕴与工业历史的独特城市风貌，建设景城相融、文脉延续、宜居宜游的美丽城市。加强东辽河等重点流域生态保护与综合治理，持续推进历史遗留废弃矿山生态修复。系统构建串联城乡的绿道网络，因地制宜增加口袋公园、街角广场等小微绿地和开放空间，全面提升城市生态环境品质与生态服务功能。深入挖掘并系统保护百年矿山工业遗产、历史建筑、古树名木等历史资源。实施西安煤矿老旧厂区等工业遗址转型提质工程，推动工业遗产与文创、旅游、体育等产业融合，建设具有辨识度的特色文化场景。强化对山体水系、眺望视廊、景观风貌的规划引导与控制，彰显“山水林城”交融的辽源独特品格，建设景城一体、文城相融、肌理交织、记忆绵延的美丽城市。</w:t>
      </w:r>
    </w:p>
    <w:p w14:paraId="27913743">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方正仿宋_GBK" w:hAnsi="方正仿宋_GBK" w:eastAsia="方正仿宋_GBK" w:cs="方正仿宋_GBK"/>
          <w:color w:val="auto"/>
          <w:sz w:val="32"/>
          <w:szCs w:val="32"/>
          <w:lang w:eastAsia="zh-CN"/>
        </w:rPr>
      </w:pPr>
    </w:p>
    <w:p w14:paraId="660B816D">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方正仿宋_GBK" w:hAnsi="方正仿宋_GBK" w:eastAsia="方正仿宋_GBK" w:cs="方正仿宋_GBK"/>
          <w:color w:val="auto"/>
          <w:sz w:val="32"/>
          <w:szCs w:val="32"/>
          <w:lang w:eastAsia="zh-CN"/>
        </w:rPr>
      </w:pP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73F15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00" w:hRule="atLeast"/>
          <w:jc w:val="center"/>
        </w:trPr>
        <w:tc>
          <w:tcPr>
            <w:tcW w:w="8834" w:type="dxa"/>
            <w:noWrap w:val="0"/>
            <w:vAlign w:val="top"/>
          </w:tcPr>
          <w:p w14:paraId="511D8998">
            <w:pPr>
              <w:keepNext w:val="0"/>
              <w:keepLines w:val="0"/>
              <w:pageBreakBefore w:val="0"/>
              <w:widowControl w:val="0"/>
              <w:kinsoku/>
              <w:wordWrap/>
              <w:overflowPunct w:val="0"/>
              <w:topLinePunct/>
              <w:autoSpaceDE/>
              <w:autoSpaceDN/>
              <w:bidi w:val="0"/>
              <w:adjustRightInd/>
              <w:snapToGrid/>
              <w:spacing w:before="157" w:beforeLines="50" w:after="157" w:afterLines="50" w:line="340" w:lineRule="exact"/>
              <w:ind w:firstLine="0" w:firstLineChars="0"/>
              <w:jc w:val="center"/>
              <w:textAlignment w:val="auto"/>
              <w:rPr>
                <w:rFonts w:hint="eastAsia" w:ascii="方正黑体_GBK" w:hAnsi="方正黑体_GBK" w:eastAsia="方正黑体_GBK" w:cs="方正黑体_GBK"/>
                <w:b w:val="0"/>
                <w:bCs w:val="0"/>
                <w:color w:val="auto"/>
                <w:sz w:val="28"/>
                <w:szCs w:val="28"/>
                <w:highlight w:val="none"/>
              </w:rPr>
            </w:pPr>
            <w:r>
              <w:rPr>
                <w:rFonts w:hint="eastAsia" w:ascii="方正黑体_GBK" w:hAnsi="方正黑体_GBK" w:eastAsia="方正黑体_GBK" w:cs="方正黑体_GBK"/>
                <w:b w:val="0"/>
                <w:bCs w:val="0"/>
                <w:color w:val="auto"/>
                <w:sz w:val="28"/>
                <w:szCs w:val="28"/>
                <w:highlight w:val="none"/>
              </w:rPr>
              <w:t>专栏1</w:t>
            </w:r>
            <w:r>
              <w:rPr>
                <w:rFonts w:hint="eastAsia" w:ascii="方正黑体_GBK" w:hAnsi="方正黑体_GBK" w:eastAsia="方正黑体_GBK" w:cs="方正黑体_GBK"/>
                <w:b w:val="0"/>
                <w:bCs w:val="0"/>
                <w:color w:val="auto"/>
                <w:sz w:val="28"/>
                <w:szCs w:val="28"/>
                <w:highlight w:val="none"/>
                <w:lang w:val="en-US" w:eastAsia="zh-CN"/>
              </w:rPr>
              <w:t>1</w:t>
            </w:r>
            <w:r>
              <w:rPr>
                <w:rFonts w:hint="eastAsia" w:ascii="方正黑体_GBK" w:hAnsi="方正黑体_GBK" w:eastAsia="方正黑体_GBK" w:cs="方正黑体_GBK"/>
                <w:b w:val="0"/>
                <w:bCs w:val="0"/>
                <w:color w:val="auto"/>
                <w:sz w:val="28"/>
                <w:szCs w:val="28"/>
                <w:highlight w:val="none"/>
              </w:rPr>
              <w:t xml:space="preserve">  城市更新</w:t>
            </w:r>
            <w:r>
              <w:rPr>
                <w:rFonts w:hint="eastAsia" w:ascii="方正黑体_GBK" w:hAnsi="方正黑体_GBK" w:eastAsia="方正黑体_GBK" w:cs="方正黑体_GBK"/>
                <w:b w:val="0"/>
                <w:bCs w:val="0"/>
                <w:color w:val="auto"/>
                <w:sz w:val="28"/>
                <w:szCs w:val="28"/>
                <w:highlight w:val="none"/>
                <w:lang w:val="en-US" w:eastAsia="zh-CN"/>
              </w:rPr>
              <w:t>专项</w:t>
            </w:r>
            <w:r>
              <w:rPr>
                <w:rFonts w:hint="eastAsia" w:ascii="方正黑体_GBK" w:hAnsi="方正黑体_GBK" w:eastAsia="方正黑体_GBK" w:cs="方正黑体_GBK"/>
                <w:b w:val="0"/>
                <w:bCs w:val="0"/>
                <w:color w:val="auto"/>
                <w:sz w:val="28"/>
                <w:szCs w:val="28"/>
                <w:highlight w:val="none"/>
              </w:rPr>
              <w:t>行动</w:t>
            </w:r>
          </w:p>
          <w:p w14:paraId="303948FF">
            <w:pPr>
              <w:keepNext w:val="0"/>
              <w:keepLines w:val="0"/>
              <w:pageBreakBefore w:val="0"/>
              <w:widowControl w:val="0"/>
              <w:kinsoku/>
              <w:wordWrap/>
              <w:overflowPunct w:val="0"/>
              <w:topLinePunct/>
              <w:autoSpaceDE/>
              <w:autoSpaceDN/>
              <w:bidi w:val="0"/>
              <w:adjustRightInd/>
              <w:snapToGrid/>
              <w:spacing w:line="340" w:lineRule="exact"/>
              <w:ind w:firstLine="422"/>
              <w:textAlignment w:val="auto"/>
              <w:rPr>
                <w:rFonts w:hint="default"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1. 人居环境改善与居住条件提升行动</w:t>
            </w:r>
          </w:p>
          <w:p w14:paraId="702A2A5A">
            <w:pPr>
              <w:keepNext w:val="0"/>
              <w:keepLines w:val="0"/>
              <w:pageBreakBefore w:val="0"/>
              <w:widowControl w:val="0"/>
              <w:kinsoku/>
              <w:wordWrap/>
              <w:overflowPunct w:val="0"/>
              <w:topLinePunct/>
              <w:autoSpaceDE/>
              <w:autoSpaceDN/>
              <w:bidi w:val="0"/>
              <w:adjustRightInd/>
              <w:snapToGrid/>
              <w:spacing w:line="340" w:lineRule="exact"/>
              <w:ind w:firstLine="422"/>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全面推进城镇老旧小区和C级、D级危房改造，重点实施既有住宅加装电梯、适老化设施改造、公共设施补短板等工程。完善社区养老、托育、医疗、文体等公共服务设施配套，推动物业服务标准化、专业化全覆盖，建设一批安全健康、设施完善、管理有序的宜居社区。到2030年，完成2005年以前建成的老旧小区改造，加装电梯800部左右。</w:t>
            </w:r>
          </w:p>
          <w:p w14:paraId="4161E852">
            <w:pPr>
              <w:keepNext w:val="0"/>
              <w:keepLines w:val="0"/>
              <w:pageBreakBefore w:val="0"/>
              <w:widowControl w:val="0"/>
              <w:kinsoku/>
              <w:wordWrap/>
              <w:overflowPunct w:val="0"/>
              <w:topLinePunct/>
              <w:autoSpaceDE/>
              <w:autoSpaceDN/>
              <w:bidi w:val="0"/>
              <w:adjustRightInd/>
              <w:snapToGrid/>
              <w:spacing w:line="340" w:lineRule="exact"/>
              <w:ind w:firstLine="422"/>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2. 城市功能完善与空间优化行动</w:t>
            </w:r>
          </w:p>
          <w:p w14:paraId="5F89B72A">
            <w:pPr>
              <w:keepNext w:val="0"/>
              <w:keepLines w:val="0"/>
              <w:pageBreakBefore w:val="0"/>
              <w:widowControl w:val="0"/>
              <w:kinsoku/>
              <w:wordWrap/>
              <w:overflowPunct w:val="0"/>
              <w:topLinePunct/>
              <w:autoSpaceDE/>
              <w:autoSpaceDN/>
              <w:bidi w:val="0"/>
              <w:adjustRightInd/>
              <w:snapToGrid/>
              <w:spacing w:line="340" w:lineRule="exact"/>
              <w:ind w:firstLine="422"/>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以低效用地再开发为抓手，推动存量空间功能置换与品质提升。补齐公共设施短板，统筹布局公共停车场、街头绿地与休闲广场等，优化商业网点、文旅服务设施布局。利用城市“边角地”“闲置地”，建设一批“口袋公园”及小微公共空间。优化商业、文旅等服务设施布局，构建“宜居、宜业、宜游”的高效城市空间。</w:t>
            </w:r>
          </w:p>
          <w:p w14:paraId="4B6B362B">
            <w:pPr>
              <w:keepNext w:val="0"/>
              <w:keepLines w:val="0"/>
              <w:pageBreakBefore w:val="0"/>
              <w:widowControl w:val="0"/>
              <w:kinsoku/>
              <w:wordWrap/>
              <w:overflowPunct w:val="0"/>
              <w:topLinePunct/>
              <w:autoSpaceDE/>
              <w:autoSpaceDN/>
              <w:bidi w:val="0"/>
              <w:adjustRightInd/>
              <w:snapToGrid/>
              <w:spacing w:line="340" w:lineRule="exact"/>
              <w:ind w:firstLine="422"/>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3. 历史风貌保护与活化利用行动</w:t>
            </w:r>
          </w:p>
          <w:p w14:paraId="3122AB0F">
            <w:pPr>
              <w:keepNext w:val="0"/>
              <w:keepLines w:val="0"/>
              <w:pageBreakBefore w:val="0"/>
              <w:widowControl w:val="0"/>
              <w:kinsoku/>
              <w:wordWrap/>
              <w:overflowPunct w:val="0"/>
              <w:topLinePunct/>
              <w:autoSpaceDE/>
              <w:autoSpaceDN/>
              <w:bidi w:val="0"/>
              <w:adjustRightInd/>
              <w:snapToGrid/>
              <w:spacing w:line="340" w:lineRule="exact"/>
              <w:ind w:firstLine="422"/>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以推动老旧厂区、闲置校区、传统街区转型为重点，引导其向创新孵化园区、文化创意工坊、特色消费商圈、共享办公空间等功能转换。抓好西安煤矿老旧厂区工业遗址利用，建设矿区文化服务区、科普教育服务区、文化交流服务区和生态涵养区，塑造“矿工精神、时代新生”的城市文化品牌。</w:t>
            </w:r>
            <w:r>
              <w:rPr>
                <w:rFonts w:hint="eastAsia" w:ascii="宋体" w:hAnsi="宋体" w:eastAsia="宋体" w:cs="宋体"/>
                <w:b w:val="0"/>
                <w:bCs w:val="0"/>
                <w:color w:val="auto"/>
                <w:sz w:val="21"/>
                <w:szCs w:val="21"/>
                <w:highlight w:val="none"/>
              </w:rPr>
              <w:t>谋划实施辽源市铁路（白泉站</w:t>
            </w:r>
            <w:r>
              <w:rPr>
                <w:rFonts w:hint="eastAsia" w:ascii="宋体" w:hAnsi="宋体" w:eastAsia="宋体" w:cs="宋体"/>
                <w:b w:val="0"/>
                <w:bCs w:val="0"/>
                <w:color w:val="auto"/>
                <w:sz w:val="21"/>
                <w:szCs w:val="21"/>
                <w:highlight w:val="none"/>
                <w:lang w:val="en-US" w:eastAsia="zh-CN"/>
              </w:rPr>
              <w:t>—</w:t>
            </w:r>
            <w:r>
              <w:rPr>
                <w:rFonts w:hint="eastAsia" w:ascii="宋体" w:hAnsi="宋体" w:eastAsia="宋体" w:cs="宋体"/>
                <w:b w:val="0"/>
                <w:bCs w:val="0"/>
                <w:color w:val="auto"/>
                <w:sz w:val="21"/>
                <w:szCs w:val="21"/>
                <w:highlight w:val="none"/>
              </w:rPr>
              <w:t>辽源东站）工业遗产改造更新项目，</w:t>
            </w:r>
            <w:r>
              <w:rPr>
                <w:rFonts w:hint="eastAsia" w:ascii="宋体" w:hAnsi="宋体" w:eastAsia="宋体" w:cs="宋体"/>
                <w:b w:val="0"/>
                <w:bCs w:val="0"/>
                <w:color w:val="auto"/>
                <w:sz w:val="21"/>
                <w:szCs w:val="21"/>
                <w:highlight w:val="none"/>
                <w:lang w:val="en-US" w:eastAsia="zh-CN"/>
              </w:rPr>
              <w:t>利用好既有</w:t>
            </w:r>
            <w:r>
              <w:rPr>
                <w:rFonts w:hint="eastAsia" w:ascii="宋体" w:hAnsi="宋体" w:eastAsia="宋体" w:cs="宋体"/>
                <w:b w:val="0"/>
                <w:bCs w:val="0"/>
                <w:color w:val="auto"/>
                <w:sz w:val="21"/>
                <w:szCs w:val="21"/>
                <w:highlight w:val="none"/>
              </w:rPr>
              <w:t>铁路工业遗存，植入文化、商业、游憩等新功能，打造城市文化新地标</w:t>
            </w:r>
            <w:r>
              <w:rPr>
                <w:rFonts w:hint="eastAsia" w:ascii="宋体" w:hAnsi="宋体" w:eastAsia="宋体" w:cs="宋体"/>
                <w:b w:val="0"/>
                <w:bCs w:val="0"/>
                <w:color w:val="auto"/>
                <w:sz w:val="21"/>
                <w:szCs w:val="21"/>
                <w:highlight w:val="none"/>
                <w:lang w:val="en-US" w:eastAsia="zh-CN"/>
              </w:rPr>
              <w:t>。</w:t>
            </w:r>
          </w:p>
          <w:p w14:paraId="4044BB83">
            <w:pPr>
              <w:keepNext w:val="0"/>
              <w:keepLines w:val="0"/>
              <w:pageBreakBefore w:val="0"/>
              <w:widowControl w:val="0"/>
              <w:kinsoku/>
              <w:wordWrap/>
              <w:overflowPunct w:val="0"/>
              <w:topLinePunct/>
              <w:autoSpaceDE/>
              <w:autoSpaceDN/>
              <w:bidi w:val="0"/>
              <w:adjustRightInd/>
              <w:snapToGrid/>
              <w:spacing w:line="340" w:lineRule="exact"/>
              <w:ind w:firstLine="422"/>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4. 基础设施更新与韧性增强行动</w:t>
            </w:r>
          </w:p>
          <w:p w14:paraId="43CCF600">
            <w:pPr>
              <w:keepNext w:val="0"/>
              <w:keepLines w:val="0"/>
              <w:pageBreakBefore w:val="0"/>
              <w:widowControl w:val="0"/>
              <w:kinsoku/>
              <w:wordWrap/>
              <w:overflowPunct w:val="0"/>
              <w:topLinePunct/>
              <w:autoSpaceDE/>
              <w:autoSpaceDN/>
              <w:bidi w:val="0"/>
              <w:adjustRightInd/>
              <w:snapToGrid/>
              <w:spacing w:line="340" w:lineRule="exact"/>
              <w:ind w:firstLine="422"/>
              <w:textAlignment w:val="auto"/>
              <w:rPr>
                <w:color w:val="auto"/>
                <w:kern w:val="21"/>
                <w:shd w:val="clear" w:color="auto" w:fill="FFFFFF"/>
              </w:rPr>
            </w:pPr>
            <w:r>
              <w:rPr>
                <w:rFonts w:hint="eastAsia" w:ascii="宋体" w:hAnsi="宋体" w:eastAsia="宋体" w:cs="宋体"/>
                <w:b w:val="0"/>
                <w:bCs w:val="0"/>
                <w:color w:val="auto"/>
                <w:sz w:val="21"/>
                <w:szCs w:val="21"/>
                <w:highlight w:val="none"/>
                <w:lang w:val="en-US" w:eastAsia="zh-CN"/>
              </w:rPr>
              <w:t>推动</w:t>
            </w:r>
            <w:r>
              <w:rPr>
                <w:rFonts w:hint="eastAsia" w:ascii="宋体" w:hAnsi="宋体" w:eastAsia="宋体" w:cs="宋体"/>
                <w:b w:val="0"/>
                <w:bCs w:val="0"/>
                <w:color w:val="auto"/>
                <w:sz w:val="21"/>
                <w:szCs w:val="21"/>
                <w:highlight w:val="none"/>
              </w:rPr>
              <w:t>市政基础设施迭代升级</w:t>
            </w: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rPr>
              <w:t>增强城市承载与运行保障能力</w:t>
            </w: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lang w:val="en-US" w:eastAsia="zh-CN"/>
              </w:rPr>
              <w:t>实施城市更新改造提升、城市地下管网更新改造提升等重大工程，系统推进老旧供排水、供热、燃气等地下管网改造升级。探索建设城市基础设施安全运行监测及智能中枢等平台，实现对管网运行、城市积水点的实时监测与智能调度，全面提升城市安全韧性。</w:t>
            </w:r>
          </w:p>
        </w:tc>
      </w:tr>
    </w:tbl>
    <w:p w14:paraId="4F5AC262">
      <w:pPr>
        <w:pStyle w:val="2"/>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left="0" w:leftChars="0" w:firstLine="0" w:firstLineChars="0"/>
        <w:jc w:val="center"/>
        <w:textAlignment w:val="auto"/>
        <w:rPr>
          <w:rFonts w:hint="eastAsia" w:ascii="方正黑体_GBK" w:hAnsi="方正黑体_GBK" w:eastAsia="方正黑体_GBK" w:cs="方正黑体_GBK"/>
          <w:color w:val="auto"/>
          <w:sz w:val="32"/>
          <w:szCs w:val="32"/>
          <w:lang w:eastAsia="zh-CN"/>
        </w:rPr>
      </w:pPr>
      <w:r>
        <w:rPr>
          <w:rFonts w:hint="eastAsia" w:ascii="方正黑体_GBK" w:hAnsi="方正黑体_GBK" w:eastAsia="方正黑体_GBK" w:cs="方正黑体_GBK"/>
          <w:color w:val="auto"/>
          <w:sz w:val="32"/>
          <w:szCs w:val="32"/>
          <w:lang w:eastAsia="zh-CN"/>
        </w:rPr>
        <w:t>第三节  推进城市全域数字化转型</w:t>
      </w:r>
    </w:p>
    <w:p w14:paraId="628439AC">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方正仿宋_GBK" w:hAnsi="方正仿宋_GBK" w:eastAsia="方正仿宋_GBK" w:cs="方正仿宋_GBK"/>
          <w:color w:val="auto"/>
          <w:sz w:val="32"/>
          <w:szCs w:val="32"/>
          <w:lang w:eastAsia="zh-CN"/>
        </w:rPr>
      </w:pPr>
      <w:r>
        <w:rPr>
          <w:rFonts w:hint="eastAsia" w:ascii="方正仿宋_GBK" w:hAnsi="方正仿宋_GBK" w:eastAsia="方正仿宋_GBK" w:cs="方正仿宋_GBK"/>
          <w:color w:val="auto"/>
          <w:sz w:val="32"/>
          <w:szCs w:val="32"/>
          <w:lang w:eastAsia="zh-CN"/>
        </w:rPr>
        <w:t>围绕建设高水平数字辽源目标，全面推动数字技术与城市治理、公共服务、产业发展深度融合，构建全域协同、智慧高效、安全可靠的城市数字化发展新格局。系统布局信息基础设施，持续推进5G网络和千兆光网深度覆盖与融合应用。积极融入全省算力网络体系，适度超前部署智能算力资源，打造支撑城市智慧化运行的统一“数字底座”，赋能各行业数字化转型。完善城市运行管理服务平台，推动城市规划、建设、管理、运维全流程数据融通与业务协同。强化对城市生命体征的智能感知、动态监测与协同处置，提升在应急指挥、交通治理、市政管理、生态环境等领域的数字化、精细化治理水平。深化数字技术在教育、医疗、养老、文旅等公共服务领域的融合应用，促进优质资源数字化供给。加快发展智慧餐饮、智能出行、数字家庭、即时零售等便民数字生活场景。协同推进数字乡村建设，完善农村数字基础设施与服务体系，促进城乡数字化均衡发展。健全数据基础制度，在依法加强安全和隐私保护的前提下，有序推动公共数据分级分类开放、共享与社会化开发利用。</w:t>
      </w:r>
    </w:p>
    <w:p w14:paraId="33C040BF">
      <w:pPr>
        <w:pStyle w:val="2"/>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left="0" w:leftChars="0" w:firstLine="0" w:firstLineChars="0"/>
        <w:jc w:val="center"/>
        <w:textAlignment w:val="auto"/>
        <w:rPr>
          <w:rFonts w:hint="eastAsia" w:ascii="方正黑体_GBK" w:hAnsi="方正黑体_GBK" w:eastAsia="方正黑体_GBK" w:cs="方正黑体_GBK"/>
          <w:color w:val="auto"/>
          <w:sz w:val="32"/>
          <w:szCs w:val="32"/>
          <w:lang w:eastAsia="zh-CN"/>
        </w:rPr>
      </w:pPr>
      <w:r>
        <w:rPr>
          <w:rFonts w:hint="eastAsia" w:ascii="方正黑体_GBK" w:hAnsi="方正黑体_GBK" w:eastAsia="方正黑体_GBK" w:cs="方正黑体_GBK"/>
          <w:color w:val="auto"/>
          <w:sz w:val="32"/>
          <w:szCs w:val="32"/>
          <w:lang w:eastAsia="zh-CN"/>
        </w:rPr>
        <w:t>第四节  加快推动以人为本新型城镇化</w:t>
      </w:r>
    </w:p>
    <w:p w14:paraId="2CEC8CDA">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方正仿宋_GBK" w:hAnsi="方正仿宋_GBK" w:eastAsia="方正仿宋_GBK" w:cs="方正仿宋_GBK"/>
          <w:color w:val="auto"/>
          <w:sz w:val="32"/>
          <w:szCs w:val="32"/>
          <w:lang w:eastAsia="zh-CN"/>
        </w:rPr>
      </w:pPr>
      <w:r>
        <w:rPr>
          <w:rFonts w:hint="eastAsia" w:ascii="方正仿宋_GBK" w:hAnsi="方正仿宋_GBK" w:eastAsia="方正仿宋_GBK" w:cs="方正仿宋_GBK"/>
          <w:color w:val="auto"/>
          <w:sz w:val="32"/>
          <w:szCs w:val="32"/>
          <w:lang w:eastAsia="zh-CN"/>
        </w:rPr>
        <w:t>坚持以提升农业转移人口市民化质量为核心，以县城为重要载体，着力促进城乡要素双向流动、公共服务均衡配置和功能互补协同，推动城镇化高质量发展。深化户籍制度改革，进一步放宽落户条件。健全覆盖城乡、均等可及的就业、养老、教育、住房等公共服务体系。加快完善以公租房、保障性租赁住房为主体，实物配租与租赁补贴相结合的住房保障体系，着力建设一批安全舒适、绿色智慧、价格合理的“好房子”，切实满足新市民、青年人等群体的住房需求。实施农民工素质提升工程，增强其就业创业和城市融入能力。分类引导县城差异化特色化发展，加快补齐县城在医疗卫生、义务教育、养老托育及市政公用设施等方面的短板。推动城乡医疗卫生共同体建设，提升县级医院诊疗服务能力。持续完善城乡路网、公共交通、停车设施、燃气供热、老旧管网等基础设施，全面提升县城综合承载能力和服务功能。完善城乡融合发展体制机制，促进人才、资金、技术等要素在城乡间平等交换、双向流动。构建畅通高效的县乡村三级物流配送网络，提升城乡商品与资源流通效率。依托节点乡镇和特色村庄，积极培育生态农庄、康养民宿、休闲采摘、非遗工坊等新业态，促进乡村多元价值实现和农民增收。到“十五五”末期，力争全市常住人口城镇化率提升至65.5%，形成以城带乡、协调发展、富有韧性的新型城镇化格局。</w:t>
      </w:r>
    </w:p>
    <w:p w14:paraId="13006AD7">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方正仿宋_GBK" w:hAnsi="方正仿宋_GBK" w:eastAsia="方正仿宋_GBK" w:cs="方正仿宋_GBK"/>
          <w:color w:val="auto"/>
          <w:sz w:val="32"/>
          <w:szCs w:val="32"/>
          <w:lang w:eastAsia="zh-CN"/>
        </w:rPr>
      </w:pPr>
    </w:p>
    <w:p w14:paraId="5E8EAC32">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方正仿宋_GBK" w:hAnsi="方正仿宋_GBK" w:eastAsia="方正仿宋_GBK" w:cs="方正仿宋_GBK"/>
          <w:color w:val="auto"/>
          <w:sz w:val="32"/>
          <w:szCs w:val="32"/>
          <w:lang w:eastAsia="zh-CN"/>
        </w:rPr>
      </w:pPr>
    </w:p>
    <w:p w14:paraId="5CB55D3B">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方正仿宋_GBK" w:hAnsi="方正仿宋_GBK" w:eastAsia="方正仿宋_GBK" w:cs="方正仿宋_GBK"/>
          <w:color w:val="auto"/>
          <w:sz w:val="32"/>
          <w:szCs w:val="32"/>
          <w:lang w:eastAsia="zh-CN"/>
        </w:rPr>
      </w:pPr>
    </w:p>
    <w:p w14:paraId="539EC871">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方正仿宋_GBK" w:hAnsi="方正仿宋_GBK" w:eastAsia="方正仿宋_GBK" w:cs="方正仿宋_GBK"/>
          <w:color w:val="auto"/>
          <w:sz w:val="32"/>
          <w:szCs w:val="32"/>
          <w:lang w:eastAsia="zh-CN"/>
        </w:rPr>
      </w:pPr>
    </w:p>
    <w:p w14:paraId="13AF701C">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方正仿宋_GBK" w:hAnsi="方正仿宋_GBK" w:eastAsia="方正仿宋_GBK" w:cs="方正仿宋_GBK"/>
          <w:color w:val="auto"/>
          <w:sz w:val="32"/>
          <w:szCs w:val="32"/>
          <w:lang w:eastAsia="zh-CN"/>
        </w:rPr>
      </w:pPr>
    </w:p>
    <w:p w14:paraId="30015DDD">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方正仿宋_GBK" w:hAnsi="方正仿宋_GBK" w:eastAsia="方正仿宋_GBK" w:cs="方正仿宋_GBK"/>
          <w:color w:val="auto"/>
          <w:sz w:val="32"/>
          <w:szCs w:val="32"/>
          <w:lang w:eastAsia="zh-CN"/>
        </w:rPr>
      </w:pPr>
    </w:p>
    <w:p w14:paraId="7507BA9B">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方正仿宋_GBK" w:hAnsi="方正仿宋_GBK" w:eastAsia="方正仿宋_GBK" w:cs="方正仿宋_GBK"/>
          <w:color w:val="auto"/>
          <w:sz w:val="32"/>
          <w:szCs w:val="32"/>
          <w:lang w:eastAsia="zh-CN"/>
        </w:rPr>
      </w:pPr>
    </w:p>
    <w:p w14:paraId="46907A1D">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方正仿宋_GBK" w:hAnsi="方正仿宋_GBK" w:eastAsia="方正仿宋_GBK" w:cs="方正仿宋_GBK"/>
          <w:color w:val="auto"/>
          <w:sz w:val="32"/>
          <w:szCs w:val="32"/>
          <w:lang w:eastAsia="zh-CN"/>
        </w:rPr>
      </w:pPr>
    </w:p>
    <w:p w14:paraId="2609FD25">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方正仿宋_GBK" w:hAnsi="方正仿宋_GBK" w:eastAsia="方正仿宋_GBK" w:cs="方正仿宋_GBK"/>
          <w:color w:val="auto"/>
          <w:sz w:val="32"/>
          <w:szCs w:val="32"/>
          <w:lang w:eastAsia="zh-CN"/>
        </w:rPr>
      </w:pPr>
    </w:p>
    <w:p w14:paraId="30C256C3">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方正仿宋_GBK" w:hAnsi="方正仿宋_GBK" w:eastAsia="方正仿宋_GBK" w:cs="方正仿宋_GBK"/>
          <w:color w:val="auto"/>
          <w:sz w:val="32"/>
          <w:szCs w:val="32"/>
          <w:lang w:eastAsia="zh-CN"/>
        </w:rPr>
      </w:pPr>
    </w:p>
    <w:p w14:paraId="10ABE366">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方正仿宋_GBK" w:hAnsi="方正仿宋_GBK" w:eastAsia="方正仿宋_GBK" w:cs="方正仿宋_GBK"/>
          <w:color w:val="auto"/>
          <w:sz w:val="32"/>
          <w:szCs w:val="32"/>
          <w:lang w:eastAsia="zh-CN"/>
        </w:rPr>
      </w:pPr>
    </w:p>
    <w:p w14:paraId="318230EE">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方正仿宋_GBK" w:hAnsi="方正仿宋_GBK" w:eastAsia="方正仿宋_GBK" w:cs="方正仿宋_GBK"/>
          <w:color w:val="auto"/>
          <w:sz w:val="32"/>
          <w:szCs w:val="32"/>
          <w:lang w:eastAsia="zh-CN"/>
        </w:rPr>
      </w:pPr>
    </w:p>
    <w:p w14:paraId="42C94E3A">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方正仿宋_GBK" w:hAnsi="方正仿宋_GBK" w:eastAsia="方正仿宋_GBK" w:cs="方正仿宋_GBK"/>
          <w:color w:val="auto"/>
          <w:sz w:val="32"/>
          <w:szCs w:val="32"/>
          <w:lang w:eastAsia="zh-CN"/>
        </w:rPr>
      </w:pPr>
    </w:p>
    <w:p w14:paraId="01F94E65">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方正仿宋_GBK" w:hAnsi="方正仿宋_GBK" w:eastAsia="方正仿宋_GBK" w:cs="方正仿宋_GBK"/>
          <w:color w:val="auto"/>
          <w:sz w:val="32"/>
          <w:szCs w:val="32"/>
          <w:lang w:eastAsia="zh-CN"/>
        </w:rPr>
      </w:pPr>
    </w:p>
    <w:p w14:paraId="48E6C248">
      <w:pPr>
        <w:pStyle w:val="2"/>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jc w:val="center"/>
        <w:textAlignment w:val="auto"/>
        <w:rPr>
          <w:rFonts w:hint="eastAsia" w:ascii="方正小标宋_GBK" w:hAnsi="方正小标宋_GBK" w:eastAsia="方正小标宋_GBK" w:cs="方正小标宋_GBK"/>
          <w:color w:val="auto"/>
          <w:sz w:val="36"/>
          <w:szCs w:val="36"/>
          <w:lang w:eastAsia="zh-CN"/>
        </w:rPr>
      </w:pPr>
      <w:r>
        <w:rPr>
          <w:rFonts w:hint="eastAsia" w:ascii="方正小标宋_GBK" w:hAnsi="方正小标宋_GBK" w:eastAsia="方正小标宋_GBK" w:cs="方正小标宋_GBK"/>
          <w:color w:val="auto"/>
          <w:sz w:val="36"/>
          <w:szCs w:val="36"/>
          <w:lang w:eastAsia="zh-CN"/>
        </w:rPr>
        <w:t>第九章  激发文化创新创造活力</w:t>
      </w:r>
    </w:p>
    <w:p w14:paraId="34BE11C4">
      <w:pPr>
        <w:pStyle w:val="2"/>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firstLine="720" w:firstLineChars="200"/>
        <w:jc w:val="center"/>
        <w:textAlignment w:val="auto"/>
        <w:rPr>
          <w:rFonts w:hint="eastAsia" w:ascii="方正小标宋_GBK" w:hAnsi="方正小标宋_GBK" w:eastAsia="方正小标宋_GBK" w:cs="方正小标宋_GBK"/>
          <w:color w:val="auto"/>
          <w:sz w:val="36"/>
          <w:szCs w:val="36"/>
          <w:lang w:eastAsia="zh-CN"/>
        </w:rPr>
      </w:pPr>
      <w:r>
        <w:rPr>
          <w:rFonts w:hint="eastAsia" w:ascii="方正小标宋_GBK" w:hAnsi="方正小标宋_GBK" w:eastAsia="方正小标宋_GBK" w:cs="方正小标宋_GBK"/>
          <w:color w:val="auto"/>
          <w:sz w:val="36"/>
          <w:szCs w:val="36"/>
          <w:lang w:eastAsia="zh-CN"/>
        </w:rPr>
        <w:t>实现文体旅深度融合发展</w:t>
      </w:r>
    </w:p>
    <w:p w14:paraId="0FA00844">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方正仿宋_GBK" w:hAnsi="方正仿宋_GBK" w:eastAsia="方正仿宋_GBK" w:cs="方正仿宋_GBK"/>
          <w:color w:val="auto"/>
          <w:sz w:val="32"/>
          <w:szCs w:val="32"/>
          <w:lang w:eastAsia="zh-CN"/>
        </w:rPr>
      </w:pPr>
      <w:r>
        <w:rPr>
          <w:rFonts w:hint="eastAsia" w:ascii="方正仿宋_GBK" w:hAnsi="方正仿宋_GBK" w:eastAsia="方正仿宋_GBK" w:cs="方正仿宋_GBK"/>
          <w:color w:val="auto"/>
          <w:sz w:val="32"/>
          <w:szCs w:val="32"/>
          <w:lang w:eastAsia="zh-CN"/>
        </w:rPr>
        <w:t>以社会主义核心价值观为引领，加强社会主义精神文明建设，挖掘保护辽源历史文化资源，推动优秀传统文化创造性转化、创新性发展。坚持推动“文化+科技、旅游、体育、民生”融合发展，构建“全域联动、全季畅游、全民共享”文体旅发展新格局。</w:t>
      </w:r>
    </w:p>
    <w:p w14:paraId="4C9EAB86">
      <w:pPr>
        <w:pStyle w:val="2"/>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left="0" w:leftChars="0" w:firstLine="0" w:firstLineChars="0"/>
        <w:jc w:val="center"/>
        <w:textAlignment w:val="auto"/>
        <w:rPr>
          <w:rFonts w:hint="eastAsia" w:ascii="方正黑体_GBK" w:hAnsi="方正黑体_GBK" w:eastAsia="方正黑体_GBK" w:cs="方正黑体_GBK"/>
          <w:color w:val="auto"/>
          <w:sz w:val="32"/>
          <w:szCs w:val="32"/>
          <w:lang w:eastAsia="zh-CN"/>
        </w:rPr>
      </w:pPr>
      <w:r>
        <w:rPr>
          <w:rFonts w:hint="eastAsia" w:ascii="方正黑体_GBK" w:hAnsi="方正黑体_GBK" w:eastAsia="方正黑体_GBK" w:cs="方正黑体_GBK"/>
          <w:color w:val="auto"/>
          <w:sz w:val="32"/>
          <w:szCs w:val="32"/>
          <w:lang w:eastAsia="zh-CN"/>
        </w:rPr>
        <w:t>第一节  弘扬和践行社会主义核心价值观</w:t>
      </w:r>
    </w:p>
    <w:p w14:paraId="539F5568">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方正仿宋_GBK" w:hAnsi="方正仿宋_GBK" w:eastAsia="方正仿宋_GBK" w:cs="方正仿宋_GBK"/>
          <w:color w:val="auto"/>
          <w:sz w:val="32"/>
          <w:szCs w:val="32"/>
          <w:lang w:eastAsia="zh-CN"/>
        </w:rPr>
      </w:pPr>
      <w:r>
        <w:rPr>
          <w:rFonts w:hint="eastAsia" w:ascii="方正仿宋_GBK" w:hAnsi="方正仿宋_GBK" w:eastAsia="方正仿宋_GBK" w:cs="方正仿宋_GBK"/>
          <w:color w:val="auto"/>
          <w:sz w:val="32"/>
          <w:szCs w:val="32"/>
          <w:lang w:eastAsia="zh-CN"/>
        </w:rPr>
        <w:t>坚持用党的创新理论武装全党、教育人民，将社会主义核心价值观融入社会发展各方面，为辽源全面振兴凝聚强大精神力量。持续深化党的创新理论学习、研究、宣传与阐释，坚持不懈用习近平新时代中国特色社会主义思想凝心铸魂。加强和改进新时代思想政治工作，常态化开展党史、新中国史、改革开放史、社会主义发展史、中华民族发展史宣传教育，深入挖掘和传承辽源红色文化基因，引导全市人民坚定历史自信、筑牢精神之基。深化拓展新时代文明实践中心（所、站）建设，推动新时代文明实践工作提质增效。深入开展文明城市、文明村镇、文明单位、文明家庭、文明校园等群众性精神文明创建活动，提升城市文明程度和公民文明素养，建设更高水平的文明辽源。推进社会主义核心价值观入法入规，完善市民公约、村规民约、行业规范、学生守则等社会规范。大力弘扬诚信文化、廉洁文化，加强社会信用体系建设。健全网络综合治理体系，加强网络文明建设，营造清朗网络空间。</w:t>
      </w:r>
    </w:p>
    <w:p w14:paraId="3E3B9502">
      <w:pPr>
        <w:pStyle w:val="2"/>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left="0" w:leftChars="0" w:firstLine="0" w:firstLineChars="0"/>
        <w:jc w:val="center"/>
        <w:textAlignment w:val="auto"/>
        <w:rPr>
          <w:rFonts w:hint="eastAsia" w:ascii="方正黑体_GBK" w:hAnsi="方正黑体_GBK" w:eastAsia="方正黑体_GBK" w:cs="方正黑体_GBK"/>
          <w:color w:val="auto"/>
          <w:sz w:val="32"/>
          <w:szCs w:val="32"/>
          <w:lang w:eastAsia="zh-CN"/>
        </w:rPr>
      </w:pPr>
      <w:r>
        <w:rPr>
          <w:rFonts w:hint="eastAsia" w:ascii="方正黑体_GBK" w:hAnsi="方正黑体_GBK" w:eastAsia="方正黑体_GBK" w:cs="方正黑体_GBK"/>
          <w:color w:val="auto"/>
          <w:sz w:val="32"/>
          <w:szCs w:val="32"/>
          <w:lang w:eastAsia="zh-CN"/>
        </w:rPr>
        <w:t>第二节  加强历史文化保护传承利用</w:t>
      </w:r>
    </w:p>
    <w:p w14:paraId="6282410F">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方正仿宋_GBK" w:hAnsi="方正仿宋_GBK" w:eastAsia="方正仿宋_GBK" w:cs="方正仿宋_GBK"/>
          <w:color w:val="auto"/>
          <w:sz w:val="32"/>
          <w:szCs w:val="32"/>
          <w:lang w:eastAsia="zh-CN"/>
        </w:rPr>
      </w:pPr>
      <w:r>
        <w:rPr>
          <w:rFonts w:hint="eastAsia" w:ascii="方正仿宋_GBK" w:hAnsi="方正仿宋_GBK" w:eastAsia="方正仿宋_GBK" w:cs="方正仿宋_GBK"/>
          <w:color w:val="auto"/>
          <w:sz w:val="32"/>
          <w:szCs w:val="32"/>
          <w:lang w:eastAsia="zh-CN"/>
        </w:rPr>
        <w:t>坚持保护第一、合理利用、最小干预原则，系统推进历史文化遗产保护利用与优秀传统文化传承发展，促进文化保护与文旅融合互促共进，彰显辽源历史底蕴与文化特色。加强对青铜时代、高句丽、辽金时期等历史遗址的考古调查与安全监管，重点保护龙首山城址、七一城址、工农山城址、高古村古城等历史遗迹。深入挖掘整合矿工纪念馆、东城采炭所旧址、二战盟军高级战俘营等近现代红色资源，加强辽宁二地委等红色遗址保护修缮。弘扬东北抗联精神，系统梳理与展示辽源因煤而立、因煤而兴的民族工业发展史与百年煤城变迁史，讲好辽源历史名人故事。建设北部煤炭历史文化传承区，推进西安煤矿六区矿井保护利用与天眼科普基地等项目建设，打造具有辨识度的红色研学基地和爱国主义教育基地。推动红色文化、工业遗产与旅游体验深度融合，开发遗址参观、情景体验、专题展览等文旅产品，培育具有辽源特色的红色文旅品牌。深化文博单位体制机制创新，提升管理效能和服务水平，加强专业人才队伍建设，提升文物保护管理水平。创新文化传播方式，推进文物数字化保护与展示，推动文物资源“活”起来，实现文化保护传承与经济社会发展的良性互动。</w:t>
      </w:r>
    </w:p>
    <w:p w14:paraId="4A617E84">
      <w:pPr>
        <w:pStyle w:val="2"/>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left="0" w:leftChars="0" w:firstLine="0" w:firstLineChars="0"/>
        <w:jc w:val="center"/>
        <w:textAlignment w:val="auto"/>
        <w:rPr>
          <w:rFonts w:hint="eastAsia" w:ascii="方正黑体_GBK" w:hAnsi="方正黑体_GBK" w:eastAsia="方正黑体_GBK" w:cs="方正黑体_GBK"/>
          <w:color w:val="auto"/>
          <w:sz w:val="32"/>
          <w:szCs w:val="32"/>
          <w:lang w:eastAsia="zh-CN"/>
        </w:rPr>
      </w:pPr>
    </w:p>
    <w:p w14:paraId="1584C7D0">
      <w:pPr>
        <w:pStyle w:val="2"/>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left="0" w:leftChars="0" w:firstLine="0" w:firstLineChars="0"/>
        <w:jc w:val="center"/>
        <w:textAlignment w:val="auto"/>
        <w:rPr>
          <w:rFonts w:hint="eastAsia" w:ascii="方正黑体_GBK" w:hAnsi="方正黑体_GBK" w:eastAsia="方正黑体_GBK" w:cs="方正黑体_GBK"/>
          <w:color w:val="auto"/>
          <w:sz w:val="32"/>
          <w:szCs w:val="32"/>
          <w:lang w:eastAsia="zh-CN"/>
        </w:rPr>
      </w:pPr>
      <w:r>
        <w:rPr>
          <w:rFonts w:hint="eastAsia" w:ascii="方正黑体_GBK" w:hAnsi="方正黑体_GBK" w:eastAsia="方正黑体_GBK" w:cs="方正黑体_GBK"/>
          <w:color w:val="auto"/>
          <w:sz w:val="32"/>
          <w:szCs w:val="32"/>
          <w:lang w:eastAsia="zh-CN"/>
        </w:rPr>
        <w:t>第三节  推动文化事业和文化产业发展</w:t>
      </w:r>
    </w:p>
    <w:p w14:paraId="723E116A">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方正仿宋_GBK" w:hAnsi="方正仿宋_GBK" w:eastAsia="方正仿宋_GBK" w:cs="方正仿宋_GBK"/>
          <w:color w:val="auto"/>
          <w:sz w:val="32"/>
          <w:szCs w:val="32"/>
          <w:lang w:eastAsia="zh-CN"/>
        </w:rPr>
      </w:pPr>
      <w:r>
        <w:rPr>
          <w:rFonts w:hint="eastAsia" w:ascii="方正楷体_GBK" w:hAnsi="方正楷体_GBK" w:eastAsia="方正楷体_GBK" w:cs="方正楷体_GBK"/>
          <w:color w:val="auto"/>
          <w:sz w:val="32"/>
          <w:szCs w:val="32"/>
          <w:lang w:eastAsia="zh-CN"/>
        </w:rPr>
        <w:t>大力繁荣文化事业。</w:t>
      </w:r>
      <w:r>
        <w:rPr>
          <w:rFonts w:hint="eastAsia" w:ascii="方正仿宋_GBK" w:hAnsi="方正仿宋_GBK" w:eastAsia="方正仿宋_GBK" w:cs="方正仿宋_GBK"/>
          <w:color w:val="auto"/>
          <w:sz w:val="32"/>
          <w:szCs w:val="32"/>
          <w:lang w:eastAsia="zh-CN"/>
        </w:rPr>
        <w:t>坚持满足人民文化需求与增强精神力量相统一，深入挖掘本土优秀文化资源，完善现代公共文化服务体系，推动文化惠民提质扩容，营造充满活力、富有底蕴的城市文化生态。优化公共文化设施布局，提升图书馆、博物馆等南部新城“四馆”服务效能与运营水平。鼓励利用工业遗址、闲置建筑等资源，推动公共文化设施与旅游休闲功能融合，增强服务的覆盖面、便捷性和体验性。探索运用VR/AR等技术建设云上展览馆、数字博物馆，拓展公共文化服务时空边界。推进主流媒体系统性改革，加快媒体深度融合发展，构建一体化的新闻宣传和网络舆论管理机制，提升传播力、引导力、影响力、公信力，巩固壮大主流思想舆论阵地。创新实施文化惠民工程，持续开展“送演出下基层”等群众性文化活动，打造具有辽源特色的公共文化产品，丰富人民群众精神文化生活。大力推动全民阅读，倡导亲子阅读、家庭伴读等阅读风尚。建强用好“农家书屋”，提升拓展“城市书房”功能，建设“书香辽源”。</w:t>
      </w:r>
    </w:p>
    <w:p w14:paraId="4700D818">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方正仿宋_GBK" w:hAnsi="方正仿宋_GBK" w:eastAsia="方正仿宋_GBK" w:cs="方正仿宋_GBK"/>
          <w:color w:val="auto"/>
          <w:sz w:val="32"/>
          <w:szCs w:val="32"/>
          <w:lang w:eastAsia="zh-CN"/>
        </w:rPr>
      </w:pPr>
      <w:r>
        <w:rPr>
          <w:rFonts w:hint="eastAsia" w:ascii="方正楷体_GBK" w:hAnsi="方正楷体_GBK" w:eastAsia="方正楷体_GBK" w:cs="方正楷体_GBK"/>
          <w:color w:val="auto"/>
          <w:sz w:val="32"/>
          <w:szCs w:val="32"/>
          <w:lang w:eastAsia="zh-CN"/>
        </w:rPr>
        <w:t>提升文化产业竞争力</w:t>
      </w:r>
      <w:r>
        <w:rPr>
          <w:rFonts w:hint="eastAsia" w:ascii="方正仿宋_GBK" w:hAnsi="方正仿宋_GBK" w:eastAsia="方正仿宋_GBK" w:cs="方正仿宋_GBK"/>
          <w:color w:val="auto"/>
          <w:sz w:val="32"/>
          <w:szCs w:val="32"/>
          <w:lang w:eastAsia="zh-CN"/>
        </w:rPr>
        <w:t>。深化文化体制改革，推动文化产业规模化、特色化、融合化发展，增强城市文化软实力与产业竞争力。着力培育一批具有核心竞争力的骨干文化企业和特色文化品牌，激发各类文化市场主体活力。提速发展数字创意、文旅演艺、沉浸式体验等文化新业态，拓展文化消费新场景。推动优秀文化IP的产品开发、品牌塑造与市场推广，高水平规划建设一批业态融合、特色鲜明的文化产业集聚区，持续擦亮“皇家鹿苑”“辽源琵琶”“东丰农民画”“东辽剪纸”等特色文化名片。加强对网络文学、网络游戏、网络视听等领域的引导与管理，强化内容审核与监管，落实未成年人保护措施，提升文化领域治理能力，营造清朗网络空间。繁荣文化艺术创作，鼓励创作一批反映时代气象、彰显辽源历史文脉的文艺精品，促进文化资源向创意产品、旅游体验、版权开发等产业领域高效转化，延伸文化价值链。</w:t>
      </w:r>
    </w:p>
    <w:p w14:paraId="6FBBF7B2">
      <w:pPr>
        <w:pStyle w:val="2"/>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left="0" w:leftChars="0" w:firstLine="0" w:firstLineChars="0"/>
        <w:jc w:val="center"/>
        <w:textAlignment w:val="auto"/>
        <w:rPr>
          <w:rFonts w:hint="eastAsia" w:ascii="方正黑体_GBK" w:hAnsi="方正黑体_GBK" w:eastAsia="方正黑体_GBK" w:cs="方正黑体_GBK"/>
          <w:color w:val="auto"/>
          <w:sz w:val="32"/>
          <w:szCs w:val="32"/>
          <w:lang w:eastAsia="zh-CN"/>
        </w:rPr>
      </w:pPr>
      <w:r>
        <w:rPr>
          <w:rFonts w:hint="eastAsia" w:ascii="方正黑体_GBK" w:hAnsi="方正黑体_GBK" w:eastAsia="方正黑体_GBK" w:cs="方正黑体_GBK"/>
          <w:color w:val="auto"/>
          <w:sz w:val="32"/>
          <w:szCs w:val="32"/>
          <w:lang w:eastAsia="zh-CN"/>
        </w:rPr>
        <w:t>第四节  建设全域文旅城市</w:t>
      </w:r>
    </w:p>
    <w:p w14:paraId="2CF6B9E7">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方正仿宋_GBK" w:hAnsi="方正仿宋_GBK" w:eastAsia="方正仿宋_GBK" w:cs="方正仿宋_GBK"/>
          <w:color w:val="auto"/>
          <w:sz w:val="32"/>
          <w:szCs w:val="32"/>
          <w:lang w:eastAsia="zh-CN"/>
        </w:rPr>
      </w:pPr>
      <w:r>
        <w:rPr>
          <w:rFonts w:hint="eastAsia" w:ascii="方正楷体_GBK" w:hAnsi="方正楷体_GBK" w:eastAsia="方正楷体_GBK" w:cs="方正楷体_GBK"/>
          <w:color w:val="auto"/>
          <w:sz w:val="32"/>
          <w:szCs w:val="32"/>
          <w:lang w:eastAsia="zh-CN"/>
        </w:rPr>
        <w:t>优化全域旅游格局</w:t>
      </w:r>
      <w:r>
        <w:rPr>
          <w:rFonts w:hint="eastAsia" w:ascii="方正仿宋_GBK" w:hAnsi="方正仿宋_GBK" w:eastAsia="方正仿宋_GBK" w:cs="方正仿宋_GBK"/>
          <w:color w:val="auto"/>
          <w:sz w:val="32"/>
          <w:szCs w:val="32"/>
          <w:lang w:eastAsia="zh-CN"/>
        </w:rPr>
        <w:t>。充分发挥生态、文化、体育等资源优势，深化文商旅体融合发展，着力构建“五区联动、特色突出、全域贯通”的文旅发展新格局，加快建设具有区域影响力的全域旅游目的地。“十五五”时期，力争全市旅游总收入突破200亿元。</w:t>
      </w:r>
      <w:r>
        <w:rPr>
          <w:rFonts w:hint="eastAsia" w:ascii="方正楷体_GBK" w:hAnsi="方正楷体_GBK" w:eastAsia="方正楷体_GBK" w:cs="方正楷体_GBK"/>
          <w:color w:val="auto"/>
          <w:sz w:val="32"/>
          <w:szCs w:val="32"/>
          <w:lang w:eastAsia="zh-CN"/>
        </w:rPr>
        <w:t>环东山城市运动休闲集聚区</w:t>
      </w:r>
      <w:r>
        <w:rPr>
          <w:rFonts w:hint="eastAsia" w:ascii="方正仿宋_GBK" w:hAnsi="方正仿宋_GBK" w:eastAsia="方正仿宋_GBK" w:cs="方正仿宋_GBK"/>
          <w:color w:val="auto"/>
          <w:sz w:val="32"/>
          <w:szCs w:val="32"/>
          <w:lang w:eastAsia="zh-CN"/>
        </w:rPr>
        <w:t>。以体育旅游为核心，依托超级ONE篮球公园、悦动辽源欢乐荟等载体，持续做强篮球赛事品牌。提升天陆山滑雪场设施与服务能级，推动天成山地运动公园建设，拓展四季运营项目，打造集专业训练、大众健身、休闲娱乐于一体的城市运动休闲集聚区。</w:t>
      </w:r>
      <w:r>
        <w:rPr>
          <w:rFonts w:hint="eastAsia" w:ascii="方正楷体_GBK" w:hAnsi="方正楷体_GBK" w:eastAsia="方正楷体_GBK" w:cs="方正楷体_GBK"/>
          <w:color w:val="auto"/>
          <w:sz w:val="32"/>
          <w:szCs w:val="32"/>
          <w:lang w:eastAsia="zh-CN"/>
        </w:rPr>
        <w:t>采煤沉陷区文旅融合示范区</w:t>
      </w:r>
      <w:r>
        <w:rPr>
          <w:rFonts w:hint="eastAsia" w:ascii="方正仿宋_GBK" w:hAnsi="方正仿宋_GBK" w:eastAsia="方正仿宋_GBK" w:cs="方正仿宋_GBK"/>
          <w:color w:val="auto"/>
          <w:sz w:val="32"/>
          <w:szCs w:val="32"/>
          <w:lang w:eastAsia="zh-CN"/>
        </w:rPr>
        <w:t>。聚焦工业文明传承与生态再生，推进煤炭历史街区改造、重力储能科普基地等重点项目建设。整合乐兔乐园、黑金小镇等资源，打造集工业记忆展示、红色主题教育、生态休闲体验于一体的文旅融合示范区。</w:t>
      </w:r>
      <w:r>
        <w:rPr>
          <w:rFonts w:hint="eastAsia" w:ascii="方正楷体_GBK" w:hAnsi="方正楷体_GBK" w:eastAsia="方正楷体_GBK" w:cs="方正楷体_GBK"/>
          <w:color w:val="auto"/>
          <w:sz w:val="32"/>
          <w:szCs w:val="32"/>
          <w:lang w:eastAsia="zh-CN"/>
        </w:rPr>
        <w:t>龙首山周边城市休闲活力区</w:t>
      </w:r>
      <w:r>
        <w:rPr>
          <w:rFonts w:hint="eastAsia" w:ascii="方正仿宋_GBK" w:hAnsi="方正仿宋_GBK" w:eastAsia="方正仿宋_GBK" w:cs="方正仿宋_GBK"/>
          <w:color w:val="auto"/>
          <w:sz w:val="32"/>
          <w:szCs w:val="32"/>
          <w:lang w:eastAsia="zh-CN"/>
        </w:rPr>
        <w:t>。重点推动龙首山、小什街等区域业态升级，实施龙山公园景观改造。打造月亮广场、腰岭网红墙等新型城市休闲空间，塑造兼具历史韵味与现代气息的城市会客厅。</w:t>
      </w:r>
      <w:r>
        <w:rPr>
          <w:rFonts w:hint="eastAsia" w:ascii="方正楷体_GBK" w:hAnsi="方正楷体_GBK" w:eastAsia="方正楷体_GBK" w:cs="方正楷体_GBK"/>
          <w:color w:val="auto"/>
          <w:sz w:val="32"/>
          <w:szCs w:val="32"/>
          <w:lang w:eastAsia="zh-CN"/>
        </w:rPr>
        <w:t>东辽河源头生态文化目的地</w:t>
      </w:r>
      <w:r>
        <w:rPr>
          <w:rFonts w:hint="eastAsia" w:ascii="方正仿宋_GBK" w:hAnsi="方正仿宋_GBK" w:eastAsia="方正仿宋_GBK" w:cs="方正仿宋_GBK"/>
          <w:color w:val="auto"/>
          <w:sz w:val="32"/>
          <w:szCs w:val="32"/>
          <w:lang w:eastAsia="zh-CN"/>
        </w:rPr>
        <w:t>。依托东辽河源头生态屏障工程，串联安北村、田雨旅游度假区等节点，培育“吉D田园”品牌。推动中草药种植与自然教育、生态研学深度融合，建设集文化寻根、生态观光、休闲度假于一体的辽河流域特色目的地。</w:t>
      </w:r>
      <w:r>
        <w:rPr>
          <w:rFonts w:hint="eastAsia" w:ascii="方正楷体_GBK" w:hAnsi="方正楷体_GBK" w:eastAsia="方正楷体_GBK" w:cs="方正楷体_GBK"/>
          <w:color w:val="auto"/>
          <w:sz w:val="32"/>
          <w:szCs w:val="32"/>
          <w:lang w:eastAsia="zh-CN"/>
        </w:rPr>
        <w:t>东丰南山全龄段度假胜地。</w:t>
      </w:r>
      <w:r>
        <w:rPr>
          <w:rFonts w:hint="eastAsia" w:ascii="方正仿宋_GBK" w:hAnsi="方正仿宋_GBK" w:eastAsia="方正仿宋_GBK" w:cs="方正仿宋_GBK"/>
          <w:color w:val="auto"/>
          <w:sz w:val="32"/>
          <w:szCs w:val="32"/>
          <w:lang w:eastAsia="zh-CN"/>
        </w:rPr>
        <w:t>整合南照山森林公园、皇家鹿苑文旅产业园、南山南露营地等资源。谋划建设梅花鹿主题儿童乐园、冬季冰雪、南山花海等项目，完善旅游服务设施，打造服务全龄段的一站式休闲度假胜地。</w:t>
      </w:r>
    </w:p>
    <w:p w14:paraId="4450DB73">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方正仿宋_GBK" w:hAnsi="方正仿宋_GBK" w:eastAsia="方正仿宋_GBK" w:cs="方正仿宋_GBK"/>
          <w:color w:val="auto"/>
          <w:sz w:val="32"/>
          <w:szCs w:val="32"/>
          <w:lang w:eastAsia="zh-CN"/>
        </w:rPr>
      </w:pPr>
      <w:r>
        <w:rPr>
          <w:rFonts w:hint="eastAsia" w:ascii="方正楷体_GBK" w:hAnsi="方正楷体_GBK" w:eastAsia="方正楷体_GBK" w:cs="方正楷体_GBK"/>
          <w:color w:val="auto"/>
          <w:sz w:val="32"/>
          <w:szCs w:val="32"/>
          <w:lang w:eastAsia="zh-CN"/>
        </w:rPr>
        <w:t>完善全时域旅游服务体系。</w:t>
      </w:r>
      <w:r>
        <w:rPr>
          <w:rFonts w:hint="eastAsia" w:ascii="方正仿宋_GBK" w:hAnsi="方正仿宋_GBK" w:eastAsia="方正仿宋_GBK" w:cs="方正仿宋_GBK"/>
          <w:color w:val="auto"/>
          <w:sz w:val="32"/>
          <w:szCs w:val="32"/>
          <w:lang w:eastAsia="zh-CN"/>
        </w:rPr>
        <w:t>围绕“全域全季”发展目标，以产品创新为引领、以服务提升为支撑、以品牌塑造为驱动，系统优化四季旅游产品供给与服务体系，将辽源建设成为东北地区重要的四季旅游目的地。“十五五”时期，全市接待游客达到2000万人次。优化四季产品布局，形成差异化、互补性的全季旅游供给。春季主推非遗体验、乡村休闲与踏青赏花；夏季着力丰富早餐早市、夜游夜购等“白+黑”消费场景，繁荣城市夜间经济；秋季拓展生态徒步、丰收节庆、摄影写生等业态；冬季深化“冰雪+”融合，培育滑雪赛事品牌，开发“城市中的滑雪场”特色IP，推动冰雪与康养结合，办好冰雪文化节，构建“滑冰雪、泡温泉、赏民俗”冬季旅游体系。实施精品旅游线路体系建设工程，打造一批主题鲜明、体验丰富的旅游线路。完善旅游集散中心、旅游标识系统、旅游厕所、生态停车场等公共服务设施。推动智慧旅游平台建设，提升景区预约、导览、服务、管理的智能化水平。整合线上线下营销渠道，开展精准化、立体化旅游宣传推广。深度挖掘并传播辽源四季旅游特色，打响“有一种生活叫辽源”的城市文旅品牌，持续提升我市旅游的知名度、美誉度和影响力。</w:t>
      </w:r>
    </w:p>
    <w:p w14:paraId="312BD9E3">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方正仿宋_GBK" w:hAnsi="方正仿宋_GBK" w:eastAsia="方正仿宋_GBK" w:cs="方正仿宋_GBK"/>
          <w:color w:val="auto"/>
          <w:sz w:val="32"/>
          <w:szCs w:val="32"/>
          <w:lang w:eastAsia="zh-CN"/>
        </w:rPr>
      </w:pPr>
      <w:r>
        <w:rPr>
          <w:rFonts w:hint="eastAsia" w:ascii="方正楷体_GBK" w:hAnsi="方正楷体_GBK" w:eastAsia="方正楷体_GBK" w:cs="方正楷体_GBK"/>
          <w:color w:val="auto"/>
          <w:sz w:val="32"/>
          <w:szCs w:val="32"/>
          <w:lang w:eastAsia="zh-CN"/>
        </w:rPr>
        <w:t>深入推进“旅游+”融合发展</w:t>
      </w:r>
      <w:r>
        <w:rPr>
          <w:rFonts w:hint="eastAsia" w:ascii="方正仿宋_GBK" w:hAnsi="方正仿宋_GBK" w:eastAsia="方正仿宋_GBK" w:cs="方正仿宋_GBK"/>
          <w:color w:val="auto"/>
          <w:sz w:val="32"/>
          <w:szCs w:val="32"/>
          <w:lang w:eastAsia="zh-CN"/>
        </w:rPr>
        <w:t>。坚持以业态融合为路径，以场景创新为驱动，推动旅游业与关联产业深度互动、协同发展，拓展产业链、创造新价值，构建多元化、高品质的现代化文旅产品体系。发展四季采摘、农事体验、乡村民宿、田园综合体等农旅融合业态，打造一批近郊微度假与乡村旅游目的地，推动乡村生态价值向旅游经济高效转化。依托优质生态与温泉资源，谋划实施温泉康养、森林疗养、生态度假等项目，推动形成具有区域辨识度和吸引力的康养休闲产品体系。依托辽源袜业、东丰农民画、东辽剪纸等特色产业资源，开发系列化、品牌化文创商品与旅游手信。建设工业旅游示范点、文创主题街区，促进商贸消费与旅游体验良性互动。结合辽源琵琶、满族剪纸、谭氏面塑等非遗项目，打造非遗工坊、手工艺市集、艺术研学基地等体验场景。积极引进高水平艺术展览、专题博物展陈，提升旅游的文化内涵与艺术吸引力。</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474EB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2" w:hRule="atLeast"/>
          <w:jc w:val="center"/>
        </w:trPr>
        <w:tc>
          <w:tcPr>
            <w:tcW w:w="8834" w:type="dxa"/>
            <w:noWrap w:val="0"/>
            <w:vAlign w:val="top"/>
          </w:tcPr>
          <w:p w14:paraId="49D6B194">
            <w:pPr>
              <w:keepNext w:val="0"/>
              <w:keepLines w:val="0"/>
              <w:pageBreakBefore w:val="0"/>
              <w:widowControl w:val="0"/>
              <w:kinsoku/>
              <w:wordWrap/>
              <w:overflowPunct w:val="0"/>
              <w:topLinePunct/>
              <w:autoSpaceDE/>
              <w:autoSpaceDN/>
              <w:bidi w:val="0"/>
              <w:adjustRightInd/>
              <w:snapToGrid/>
              <w:spacing w:before="156" w:beforeLines="50" w:after="156" w:afterLines="50" w:line="340" w:lineRule="exact"/>
              <w:ind w:firstLine="0" w:firstLineChars="0"/>
              <w:jc w:val="center"/>
              <w:textAlignment w:val="auto"/>
              <w:rPr>
                <w:rFonts w:hint="eastAsia" w:ascii="方正黑体_GBK" w:hAnsi="方正黑体_GBK" w:eastAsia="方正黑体_GBK" w:cs="方正黑体_GBK"/>
                <w:b w:val="0"/>
                <w:bCs w:val="0"/>
                <w:color w:val="auto"/>
                <w:sz w:val="28"/>
                <w:szCs w:val="28"/>
              </w:rPr>
            </w:pPr>
            <w:r>
              <w:rPr>
                <w:rFonts w:hint="eastAsia" w:ascii="方正黑体_GBK" w:hAnsi="方正黑体_GBK" w:eastAsia="方正黑体_GBK" w:cs="方正黑体_GBK"/>
                <w:b w:val="0"/>
                <w:bCs w:val="0"/>
                <w:color w:val="auto"/>
                <w:sz w:val="28"/>
                <w:szCs w:val="28"/>
              </w:rPr>
              <w:t>专栏</w:t>
            </w:r>
            <w:r>
              <w:rPr>
                <w:rFonts w:hint="eastAsia" w:ascii="方正黑体_GBK" w:hAnsi="方正黑体_GBK" w:eastAsia="方正黑体_GBK" w:cs="方正黑体_GBK"/>
                <w:b w:val="0"/>
                <w:bCs w:val="0"/>
                <w:color w:val="auto"/>
                <w:sz w:val="28"/>
                <w:szCs w:val="28"/>
                <w:lang w:val="en-US" w:eastAsia="zh-CN"/>
              </w:rPr>
              <w:t>12</w:t>
            </w:r>
            <w:r>
              <w:rPr>
                <w:rFonts w:hint="eastAsia" w:ascii="方正黑体_GBK" w:hAnsi="方正黑体_GBK" w:eastAsia="方正黑体_GBK" w:cs="方正黑体_GBK"/>
                <w:b w:val="0"/>
                <w:bCs w:val="0"/>
                <w:color w:val="auto"/>
                <w:sz w:val="28"/>
                <w:szCs w:val="28"/>
              </w:rPr>
              <w:t xml:space="preserve">  </w:t>
            </w:r>
            <w:r>
              <w:rPr>
                <w:rFonts w:hint="eastAsia" w:ascii="方正黑体_GBK" w:hAnsi="方正黑体_GBK" w:eastAsia="方正黑体_GBK" w:cs="方正黑体_GBK"/>
                <w:b w:val="0"/>
                <w:bCs w:val="0"/>
                <w:color w:val="auto"/>
                <w:sz w:val="28"/>
                <w:szCs w:val="28"/>
                <w:lang w:val="en-US" w:eastAsia="zh-CN"/>
              </w:rPr>
              <w:t>旅游提升</w:t>
            </w:r>
            <w:r>
              <w:rPr>
                <w:rFonts w:hint="eastAsia" w:ascii="方正黑体_GBK" w:hAnsi="方正黑体_GBK" w:eastAsia="方正黑体_GBK" w:cs="方正黑体_GBK"/>
                <w:b w:val="0"/>
                <w:bCs w:val="0"/>
                <w:color w:val="auto"/>
                <w:sz w:val="28"/>
                <w:szCs w:val="28"/>
              </w:rPr>
              <w:t>工程</w:t>
            </w:r>
          </w:p>
          <w:p w14:paraId="7DDCDF53">
            <w:pPr>
              <w:keepNext w:val="0"/>
              <w:keepLines w:val="0"/>
              <w:pageBreakBefore w:val="0"/>
              <w:widowControl w:val="0"/>
              <w:kinsoku/>
              <w:wordWrap/>
              <w:overflowPunct w:val="0"/>
              <w:topLinePunct/>
              <w:autoSpaceDE/>
              <w:autoSpaceDN/>
              <w:bidi w:val="0"/>
              <w:adjustRightInd/>
              <w:snapToGrid/>
              <w:spacing w:line="340" w:lineRule="exact"/>
              <w:ind w:firstLine="422"/>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1. 旅游景区提升</w:t>
            </w:r>
          </w:p>
          <w:p w14:paraId="17670936">
            <w:pPr>
              <w:keepNext w:val="0"/>
              <w:keepLines w:val="0"/>
              <w:pageBreakBefore w:val="0"/>
              <w:widowControl w:val="0"/>
              <w:kinsoku/>
              <w:wordWrap/>
              <w:overflowPunct w:val="0"/>
              <w:topLinePunct/>
              <w:autoSpaceDE/>
              <w:autoSpaceDN/>
              <w:bidi w:val="0"/>
              <w:adjustRightInd/>
              <w:snapToGrid/>
              <w:spacing w:line="340" w:lineRule="exact"/>
              <w:ind w:firstLine="422"/>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围绕生态修复与资源转化，打造具有区域影响力的特色旅游景区集群。全面提升现有21家A级以上旅游景区品质，推进乐兔乐园、关药博物馆、黑金小镇创建国家4A级旅游景区，田雨旅游度假区申报5A级乡村旅游经营单位，推动5家以上宾馆、酒店成为“吉星住”住宿门店。</w:t>
            </w:r>
          </w:p>
          <w:p w14:paraId="6FC9A8E0">
            <w:pPr>
              <w:keepNext w:val="0"/>
              <w:keepLines w:val="0"/>
              <w:pageBreakBefore w:val="0"/>
              <w:widowControl w:val="0"/>
              <w:kinsoku/>
              <w:wordWrap/>
              <w:overflowPunct w:val="0"/>
              <w:topLinePunct/>
              <w:autoSpaceDE/>
              <w:autoSpaceDN/>
              <w:bidi w:val="0"/>
              <w:adjustRightInd/>
              <w:snapToGrid/>
              <w:spacing w:line="340" w:lineRule="exact"/>
              <w:ind w:firstLine="402"/>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2. 旅游产品提升</w:t>
            </w:r>
          </w:p>
          <w:p w14:paraId="7B2CA5EF">
            <w:pPr>
              <w:keepNext w:val="0"/>
              <w:keepLines w:val="0"/>
              <w:pageBreakBefore w:val="0"/>
              <w:widowControl w:val="0"/>
              <w:kinsoku/>
              <w:wordWrap/>
              <w:overflowPunct w:val="0"/>
              <w:topLinePunct/>
              <w:autoSpaceDE/>
              <w:autoSpaceDN/>
              <w:bidi w:val="0"/>
              <w:adjustRightInd/>
              <w:snapToGrid/>
              <w:spacing w:line="340" w:lineRule="exact"/>
              <w:ind w:firstLine="402"/>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着力丰富优质旅游产品体系，推动向全时、全季、全域、多元拓展。开发鹿文化主题演艺、鹿文化特色餐饮民宿等深度体验产品，丰富亲子娱乐、水上运动等休闲产品供给，探索发展温泉疗养、康养旅居等业态。开发地方特色文创商品，提升旅游购物体验。</w:t>
            </w:r>
          </w:p>
          <w:p w14:paraId="74D41275">
            <w:pPr>
              <w:keepNext w:val="0"/>
              <w:keepLines w:val="0"/>
              <w:pageBreakBefore w:val="0"/>
              <w:widowControl w:val="0"/>
              <w:kinsoku/>
              <w:wordWrap/>
              <w:overflowPunct w:val="0"/>
              <w:topLinePunct/>
              <w:autoSpaceDE/>
              <w:autoSpaceDN/>
              <w:bidi w:val="0"/>
              <w:adjustRightInd/>
              <w:snapToGrid/>
              <w:spacing w:line="340" w:lineRule="exact"/>
              <w:ind w:firstLine="402"/>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3. 旅游线路提升</w:t>
            </w:r>
          </w:p>
          <w:p w14:paraId="5E6C7317">
            <w:pPr>
              <w:keepNext w:val="0"/>
              <w:keepLines w:val="0"/>
              <w:pageBreakBefore w:val="0"/>
              <w:widowControl w:val="0"/>
              <w:kinsoku/>
              <w:wordWrap/>
              <w:overflowPunct w:val="0"/>
              <w:topLinePunct/>
              <w:autoSpaceDE/>
              <w:autoSpaceDN/>
              <w:bidi w:val="0"/>
              <w:adjustRightInd/>
              <w:snapToGrid/>
              <w:spacing w:line="340" w:lineRule="exact"/>
              <w:ind w:firstLine="402"/>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城市潮玩休闲游。龙首山天桥→月亮广场→东方广场→天陆山欢乐荟→超级ONE篮球主题公园→悦动辽源欢乐荟。</w:t>
            </w:r>
          </w:p>
          <w:p w14:paraId="059FFD44">
            <w:pPr>
              <w:keepNext w:val="0"/>
              <w:keepLines w:val="0"/>
              <w:pageBreakBefore w:val="0"/>
              <w:widowControl w:val="0"/>
              <w:kinsoku/>
              <w:wordWrap/>
              <w:overflowPunct w:val="0"/>
              <w:topLinePunct/>
              <w:autoSpaceDE/>
              <w:autoSpaceDN/>
              <w:bidi w:val="0"/>
              <w:adjustRightInd/>
              <w:snapToGrid/>
              <w:spacing w:line="340" w:lineRule="exact"/>
              <w:ind w:firstLine="402"/>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历史文化研学游。关药博物馆→市博物馆→辽源市二战盟军高级战俘营旧址展览馆→黑金探矿科普体验馆→矿工纪念馆。</w:t>
            </w:r>
          </w:p>
          <w:p w14:paraId="01BD0B05">
            <w:pPr>
              <w:keepNext w:val="0"/>
              <w:keepLines w:val="0"/>
              <w:pageBreakBefore w:val="0"/>
              <w:widowControl w:val="0"/>
              <w:kinsoku/>
              <w:wordWrap/>
              <w:overflowPunct w:val="0"/>
              <w:topLinePunct/>
              <w:autoSpaceDE/>
              <w:autoSpaceDN/>
              <w:bidi w:val="0"/>
              <w:adjustRightInd/>
              <w:snapToGrid/>
              <w:spacing w:line="340" w:lineRule="exact"/>
              <w:ind w:firstLine="402"/>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亲子拓展欢乐游。养鹿官山园→东丰·中国农民画馆→马鞭草花海→乐兔乐园→黑金小镇→动植物园。</w:t>
            </w:r>
          </w:p>
          <w:p w14:paraId="57459888">
            <w:pPr>
              <w:keepNext w:val="0"/>
              <w:keepLines w:val="0"/>
              <w:pageBreakBefore w:val="0"/>
              <w:widowControl w:val="0"/>
              <w:kinsoku/>
              <w:wordWrap/>
              <w:overflowPunct w:val="0"/>
              <w:topLinePunct/>
              <w:autoSpaceDE/>
              <w:autoSpaceDN/>
              <w:bidi w:val="0"/>
              <w:adjustRightInd/>
              <w:snapToGrid/>
              <w:spacing w:line="340" w:lineRule="exact"/>
              <w:ind w:firstLine="402"/>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田园乡韵栖居游。朝阳村→关药博物馆→田雨旅游度假区→东辽河源头。</w:t>
            </w:r>
          </w:p>
          <w:p w14:paraId="78910F6E">
            <w:pPr>
              <w:keepNext w:val="0"/>
              <w:keepLines w:val="0"/>
              <w:pageBreakBefore w:val="0"/>
              <w:widowControl w:val="0"/>
              <w:kinsoku/>
              <w:wordWrap/>
              <w:overflowPunct w:val="0"/>
              <w:topLinePunct/>
              <w:autoSpaceDE/>
              <w:autoSpaceDN/>
              <w:bidi w:val="0"/>
              <w:adjustRightInd/>
              <w:snapToGrid/>
              <w:spacing w:line="340" w:lineRule="exact"/>
              <w:ind w:firstLine="402"/>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lang w:val="en-US" w:eastAsia="zh-CN"/>
              </w:rPr>
              <w:t>4. 服务设施提升</w:t>
            </w:r>
          </w:p>
          <w:p w14:paraId="25A91CEC">
            <w:pPr>
              <w:keepNext w:val="0"/>
              <w:keepLines w:val="0"/>
              <w:pageBreakBefore w:val="0"/>
              <w:widowControl w:val="0"/>
              <w:kinsoku/>
              <w:wordWrap/>
              <w:overflowPunct w:val="0"/>
              <w:topLinePunct/>
              <w:autoSpaceDE/>
              <w:autoSpaceDN/>
              <w:bidi w:val="0"/>
              <w:adjustRightInd/>
              <w:snapToGrid/>
              <w:spacing w:line="340" w:lineRule="exact"/>
              <w:ind w:firstLine="402"/>
              <w:textAlignment w:val="auto"/>
              <w:rPr>
                <w:rFonts w:hint="default" w:ascii="Times New Roman" w:hAnsi="Times New Roman" w:eastAsia="宋体" w:cs="Times New Roman"/>
                <w:b w:val="0"/>
                <w:bCs w:val="0"/>
                <w:color w:val="auto"/>
                <w:sz w:val="21"/>
                <w:szCs w:val="21"/>
              </w:rPr>
            </w:pPr>
            <w:r>
              <w:rPr>
                <w:rFonts w:hint="eastAsia" w:ascii="宋体" w:hAnsi="宋体" w:eastAsia="宋体" w:cs="宋体"/>
                <w:b w:val="0"/>
                <w:bCs w:val="0"/>
                <w:color w:val="auto"/>
                <w:sz w:val="21"/>
                <w:szCs w:val="21"/>
                <w:lang w:val="en-US" w:eastAsia="zh-CN"/>
              </w:rPr>
              <w:t>聚焦补齐短板与智慧升级，构建高效便捷、舒适安全的文旅公共服务网络。推进公路与重点景区的联通建设。完善旅游咨询中心、游客集散中心、驿站、停车场、充电桩等设施。配套完善重点景区内部道路、给排水、电力通信、环卫、安防消防、应急救援等基础设施。推动智慧管理设施、导览标识系统全面升级。</w:t>
            </w:r>
          </w:p>
        </w:tc>
      </w:tr>
    </w:tbl>
    <w:p w14:paraId="2484509C">
      <w:pPr>
        <w:pStyle w:val="2"/>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left="0" w:leftChars="0" w:firstLine="0" w:firstLineChars="0"/>
        <w:jc w:val="center"/>
        <w:textAlignment w:val="auto"/>
        <w:rPr>
          <w:rFonts w:hint="eastAsia" w:ascii="方正黑体_GBK" w:hAnsi="方正黑体_GBK" w:eastAsia="方正黑体_GBK" w:cs="方正黑体_GBK"/>
          <w:color w:val="auto"/>
          <w:sz w:val="32"/>
          <w:szCs w:val="32"/>
          <w:lang w:eastAsia="zh-CN"/>
        </w:rPr>
      </w:pPr>
      <w:r>
        <w:rPr>
          <w:rFonts w:hint="eastAsia" w:ascii="方正黑体_GBK" w:hAnsi="方正黑体_GBK" w:eastAsia="方正黑体_GBK" w:cs="方正黑体_GBK"/>
          <w:color w:val="auto"/>
          <w:sz w:val="32"/>
          <w:szCs w:val="32"/>
          <w:lang w:eastAsia="zh-CN"/>
        </w:rPr>
        <w:t>第五节  大力发展体育事业</w:t>
      </w:r>
    </w:p>
    <w:p w14:paraId="6498819C">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方正仿宋_GBK" w:hAnsi="方正仿宋_GBK" w:eastAsia="方正仿宋_GBK" w:cs="方正仿宋_GBK"/>
          <w:color w:val="auto"/>
          <w:sz w:val="32"/>
          <w:szCs w:val="32"/>
          <w:lang w:eastAsia="zh-CN"/>
        </w:rPr>
      </w:pPr>
      <w:r>
        <w:rPr>
          <w:rFonts w:hint="eastAsia" w:ascii="方正楷体_GBK" w:hAnsi="方正楷体_GBK" w:eastAsia="方正楷体_GBK" w:cs="方正楷体_GBK"/>
          <w:color w:val="auto"/>
          <w:sz w:val="32"/>
          <w:szCs w:val="32"/>
          <w:lang w:eastAsia="zh-CN"/>
        </w:rPr>
        <w:t>优化体育设施供给体系</w:t>
      </w:r>
      <w:r>
        <w:rPr>
          <w:rFonts w:hint="eastAsia" w:ascii="方正仿宋_GBK" w:hAnsi="方正仿宋_GBK" w:eastAsia="方正仿宋_GBK" w:cs="方正仿宋_GBK"/>
          <w:color w:val="auto"/>
          <w:sz w:val="32"/>
          <w:szCs w:val="32"/>
          <w:lang w:eastAsia="zh-CN"/>
        </w:rPr>
        <w:t>。围绕建设“运动之城、赛事之城、健康之城、活力之城”总体目标，推动群众体育、竞技体育、体育产业协调发展，加快构建布局均衡、结构合理、功能完善、智慧高效、开放融合的现代化体育设施网络，全面提升体育公共服务可及性与便捷性。全力做好吉林省第二十届运动会承办工作，加快推进辽源市体育中心等体育设施项目建设，持续完善场馆运营及周边综合配套，提升大型体育赛事、全民健身活动及文体展演的承载、服务与保障能力，塑造城市体育新地标。积极盘活城市闲置土地、存量建筑、街头绿地、滨水空间、立交桥下等“金角银边”，因地制宜建设举步可及的便民化、智能化健身设施。推动“家门口”健身场所全覆盖，加快形成覆盖城区的“10分钟健身圈”，有效满足群众日常健身需求。推动公共体育场馆与市民休闲、商业服务、文化娱乐等功能深度融合，拓展多元化、复合型服务场景。整合基层综合性文化服务中心、社区活动场所等资源，促进基层文体设施共建共享，打造集体育健身、文化展示、科普教育等功能于一体的公共服务节点。</w:t>
      </w:r>
    </w:p>
    <w:p w14:paraId="09DCE83F">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方正仿宋_GBK" w:hAnsi="方正仿宋_GBK" w:eastAsia="方正仿宋_GBK" w:cs="方正仿宋_GBK"/>
          <w:color w:val="auto"/>
          <w:sz w:val="32"/>
          <w:szCs w:val="32"/>
          <w:lang w:eastAsia="zh-CN"/>
        </w:rPr>
      </w:pPr>
      <w:r>
        <w:rPr>
          <w:rFonts w:hint="eastAsia" w:ascii="方正楷体_GBK" w:hAnsi="方正楷体_GBK" w:eastAsia="方正楷体_GBK" w:cs="方正楷体_GBK"/>
          <w:color w:val="auto"/>
          <w:sz w:val="32"/>
          <w:szCs w:val="32"/>
          <w:lang w:eastAsia="zh-CN"/>
        </w:rPr>
        <w:t>培育特色体育产业集群</w:t>
      </w:r>
      <w:r>
        <w:rPr>
          <w:rFonts w:hint="eastAsia" w:ascii="方正仿宋_GBK" w:hAnsi="方正仿宋_GBK" w:eastAsia="方正仿宋_GBK" w:cs="方正仿宋_GBK"/>
          <w:color w:val="auto"/>
          <w:sz w:val="32"/>
          <w:szCs w:val="32"/>
          <w:lang w:eastAsia="zh-CN"/>
        </w:rPr>
        <w:t>。围绕构建“多点支撑、多业融合、全域联动”的现代体育产业体系，推动体育产业规模化、专业化、品牌化发展。支持有条件的县区打造特色体育产业集聚区，推动形成特色鲜明、优势互补、协同联动的产业发展格局。聚焦重点领域，巩固和拓展冰雪装备产业基础优势，积极引进和培育乒乓球、自行车、健身器材等细分领域制造企业。推进公共体育场馆所有权与经营权分离改革，引入专业化、社会化运营机构。鼓励运营机构在保障公益性的前提下，开展“以体为主、多元经营”，提升场馆综合利用效益、服务水平和可持续发展能力。推动体育产业与文化、旅游、康养、会展、教育等产业深度融合。积极培育体育培训、体育赛事运营、体育传媒、体育经纪等新业态。支持举办具有影响力的品牌赛事和节庆活动，形成产业链条完整、融合特征鲜明、消费带动力强的体育产业发展新格局。</w:t>
      </w:r>
    </w:p>
    <w:p w14:paraId="0DFACD2B">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方正仿宋_GBK" w:hAnsi="方正仿宋_GBK" w:eastAsia="方正仿宋_GBK" w:cs="方正仿宋_GBK"/>
          <w:color w:val="auto"/>
          <w:sz w:val="32"/>
          <w:szCs w:val="32"/>
          <w:lang w:eastAsia="zh-CN"/>
        </w:rPr>
      </w:pPr>
      <w:r>
        <w:rPr>
          <w:rFonts w:hint="eastAsia" w:ascii="方正楷体_GBK" w:hAnsi="方正楷体_GBK" w:eastAsia="方正楷体_GBK" w:cs="方正楷体_GBK"/>
          <w:color w:val="auto"/>
          <w:sz w:val="32"/>
          <w:szCs w:val="32"/>
          <w:lang w:eastAsia="zh-CN"/>
        </w:rPr>
        <w:t>构建多层次赛事体系。</w:t>
      </w:r>
      <w:r>
        <w:rPr>
          <w:rFonts w:hint="eastAsia" w:ascii="方正仿宋_GBK" w:hAnsi="方正仿宋_GBK" w:eastAsia="方正仿宋_GBK" w:cs="方正仿宋_GBK"/>
          <w:color w:val="auto"/>
          <w:sz w:val="32"/>
          <w:szCs w:val="32"/>
          <w:lang w:eastAsia="zh-CN"/>
        </w:rPr>
        <w:t>打造“群众体育广泛开展、专业赛事提级赋能、新兴业态特色鲜明”的多层次赛事活动体系，以赛兴业、以赛惠民、以赛营城，逐步提升城市体育活力与影响力。依托天陆山滑雪场、超级ONE篮球公园等特色载体，持续培育和升级“源BA”篮球赛、辽源排球联赛等具有广泛群众基础和区域影响力的自主品牌赛事IP。提升场馆设施、竞赛组织、接待服务等专业能级，围绕篮球、排球、乒乓球等优势项目，积极申办、承办国家级、省级高水平单项体育赛事和综合性运动会部分项目。大力发展冰雪运动，利用山体、水域等自然资源，培育山地自行车、户外越野跑、水上运动等时尚运动项目。推动群众性体育赛事活动常态化、生活化、便利化，广泛开展社区运动会、职工体育节、农民丰收节等体育比赛以及青少年体育活动等，营造“人人参与、人人健身”的浓厚社会氛围。到2030年，力争累计举办各类各级体育赛事活动500项以上、总场次超过5000场，带动篮球、排球、乒乓球及冰雪运动等项目参与人口达到20万人，将辽源建设成为全省知名的赛事目的地城市和户外运动中心。</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1AD36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6" w:hRule="atLeast"/>
          <w:jc w:val="center"/>
        </w:trPr>
        <w:tc>
          <w:tcPr>
            <w:tcW w:w="8834" w:type="dxa"/>
            <w:noWrap w:val="0"/>
            <w:vAlign w:val="top"/>
          </w:tcPr>
          <w:p w14:paraId="0128E6E0">
            <w:pPr>
              <w:keepNext w:val="0"/>
              <w:keepLines w:val="0"/>
              <w:pageBreakBefore w:val="0"/>
              <w:widowControl w:val="0"/>
              <w:kinsoku/>
              <w:wordWrap/>
              <w:overflowPunct w:val="0"/>
              <w:topLinePunct/>
              <w:autoSpaceDE/>
              <w:autoSpaceDN/>
              <w:bidi w:val="0"/>
              <w:adjustRightInd/>
              <w:snapToGrid/>
              <w:spacing w:before="156" w:beforeLines="50" w:after="156" w:afterLines="50" w:line="340" w:lineRule="exact"/>
              <w:ind w:firstLine="0" w:firstLineChars="0"/>
              <w:jc w:val="center"/>
              <w:textAlignment w:val="auto"/>
              <w:rPr>
                <w:rFonts w:hint="eastAsia" w:ascii="方正黑体_GBK" w:hAnsi="方正黑体_GBK" w:eastAsia="方正黑体_GBK" w:cs="方正黑体_GBK"/>
                <w:b w:val="0"/>
                <w:bCs w:val="0"/>
                <w:color w:val="auto"/>
                <w:sz w:val="32"/>
                <w:szCs w:val="32"/>
              </w:rPr>
            </w:pPr>
            <w:r>
              <w:rPr>
                <w:rFonts w:hint="eastAsia" w:ascii="方正黑体_GBK" w:hAnsi="方正黑体_GBK" w:eastAsia="方正黑体_GBK" w:cs="方正黑体_GBK"/>
                <w:b w:val="0"/>
                <w:bCs w:val="0"/>
                <w:color w:val="auto"/>
                <w:sz w:val="32"/>
                <w:szCs w:val="32"/>
              </w:rPr>
              <w:t>专栏</w:t>
            </w:r>
            <w:r>
              <w:rPr>
                <w:rFonts w:hint="eastAsia" w:ascii="方正黑体_GBK" w:hAnsi="方正黑体_GBK" w:eastAsia="方正黑体_GBK" w:cs="方正黑体_GBK"/>
                <w:b w:val="0"/>
                <w:bCs w:val="0"/>
                <w:color w:val="auto"/>
                <w:sz w:val="32"/>
                <w:szCs w:val="32"/>
                <w:lang w:val="en-US" w:eastAsia="zh-CN"/>
              </w:rPr>
              <w:t>13</w:t>
            </w:r>
            <w:r>
              <w:rPr>
                <w:rFonts w:hint="eastAsia" w:ascii="方正黑体_GBK" w:hAnsi="方正黑体_GBK" w:eastAsia="方正黑体_GBK" w:cs="方正黑体_GBK"/>
                <w:b w:val="0"/>
                <w:bCs w:val="0"/>
                <w:color w:val="auto"/>
                <w:sz w:val="32"/>
                <w:szCs w:val="32"/>
              </w:rPr>
              <w:t xml:space="preserve">  体育事业与产业高质量发展工程</w:t>
            </w:r>
          </w:p>
          <w:p w14:paraId="48F0EB4D">
            <w:pPr>
              <w:keepNext w:val="0"/>
              <w:keepLines w:val="0"/>
              <w:pageBreakBefore w:val="0"/>
              <w:widowControl w:val="0"/>
              <w:kinsoku/>
              <w:wordWrap/>
              <w:overflowPunct w:val="0"/>
              <w:topLinePunct/>
              <w:autoSpaceDE/>
              <w:autoSpaceDN/>
              <w:bidi w:val="0"/>
              <w:adjustRightInd/>
              <w:snapToGrid/>
              <w:spacing w:line="340" w:lineRule="exact"/>
              <w:ind w:firstLine="422"/>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 xml:space="preserve">1. </w:t>
            </w:r>
            <w:r>
              <w:rPr>
                <w:rFonts w:hint="eastAsia" w:ascii="宋体" w:hAnsi="宋体" w:eastAsia="宋体" w:cs="宋体"/>
                <w:b w:val="0"/>
                <w:bCs w:val="0"/>
                <w:color w:val="auto"/>
                <w:sz w:val="21"/>
                <w:szCs w:val="21"/>
              </w:rPr>
              <w:t>全民健身普惠工程</w:t>
            </w:r>
          </w:p>
          <w:p w14:paraId="6808C905">
            <w:pPr>
              <w:keepNext w:val="0"/>
              <w:keepLines w:val="0"/>
              <w:pageBreakBefore w:val="0"/>
              <w:widowControl w:val="0"/>
              <w:kinsoku/>
              <w:wordWrap/>
              <w:overflowPunct w:val="0"/>
              <w:topLinePunct/>
              <w:autoSpaceDE/>
              <w:autoSpaceDN/>
              <w:bidi w:val="0"/>
              <w:adjustRightInd/>
              <w:snapToGrid/>
              <w:spacing w:line="340" w:lineRule="exact"/>
              <w:ind w:firstLine="422"/>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lang w:val="en-US" w:eastAsia="zh-CN"/>
              </w:rPr>
              <w:t>以构建高水平全民健身公共服务体系为核心，实施“全民健身设施补短板行动”，规划建设体育中心、健身步道、口袋体育公园及一批附属场馆，</w:t>
            </w:r>
            <w:r>
              <w:rPr>
                <w:rFonts w:hint="eastAsia" w:ascii="宋体" w:hAnsi="宋体" w:eastAsia="宋体" w:cs="宋体"/>
                <w:b w:val="0"/>
                <w:bCs w:val="0"/>
                <w:color w:val="auto"/>
                <w:sz w:val="21"/>
                <w:szCs w:val="21"/>
              </w:rPr>
              <w:t>夯实全民健身硬件基础与活动载体</w:t>
            </w:r>
            <w:r>
              <w:rPr>
                <w:rFonts w:hint="eastAsia" w:ascii="宋体" w:hAnsi="宋体" w:eastAsia="宋体" w:cs="宋体"/>
                <w:b w:val="0"/>
                <w:bCs w:val="0"/>
                <w:color w:val="auto"/>
                <w:sz w:val="21"/>
                <w:szCs w:val="21"/>
                <w:lang w:val="en-US" w:eastAsia="zh-CN"/>
              </w:rPr>
              <w:t>。广泛开展全民健身赛事活动，打造“一县（区）一品”特色品牌，推广半程马拉松、健步走等群众性体育活动，鼓励社会力量参与健身指导与服务，</w:t>
            </w:r>
            <w:r>
              <w:rPr>
                <w:rFonts w:hint="eastAsia" w:ascii="宋体" w:hAnsi="宋体" w:eastAsia="宋体" w:cs="宋体"/>
                <w:b w:val="0"/>
                <w:bCs w:val="0"/>
                <w:color w:val="auto"/>
                <w:sz w:val="21"/>
                <w:szCs w:val="21"/>
              </w:rPr>
              <w:t>构建覆盖城乡、便捷可及的</w:t>
            </w:r>
            <w:r>
              <w:rPr>
                <w:rFonts w:hint="eastAsia" w:ascii="宋体" w:hAnsi="宋体" w:eastAsia="宋体" w:cs="宋体"/>
                <w:b w:val="0"/>
                <w:bCs w:val="0"/>
                <w:color w:val="auto"/>
                <w:sz w:val="21"/>
                <w:szCs w:val="21"/>
                <w:lang w:eastAsia="zh-CN"/>
              </w:rPr>
              <w:t>全民健身公共服务体系</w:t>
            </w:r>
            <w:r>
              <w:rPr>
                <w:rFonts w:hint="eastAsia" w:ascii="宋体" w:hAnsi="宋体" w:eastAsia="宋体" w:cs="宋体"/>
                <w:b w:val="0"/>
                <w:bCs w:val="0"/>
                <w:color w:val="auto"/>
                <w:sz w:val="21"/>
                <w:szCs w:val="21"/>
              </w:rPr>
              <w:t>。</w:t>
            </w:r>
          </w:p>
          <w:p w14:paraId="59C76B53">
            <w:pPr>
              <w:keepNext w:val="0"/>
              <w:keepLines w:val="0"/>
              <w:pageBreakBefore w:val="0"/>
              <w:widowControl w:val="0"/>
              <w:kinsoku/>
              <w:wordWrap/>
              <w:overflowPunct w:val="0"/>
              <w:topLinePunct/>
              <w:autoSpaceDE/>
              <w:autoSpaceDN/>
              <w:bidi w:val="0"/>
              <w:adjustRightInd/>
              <w:snapToGrid/>
              <w:spacing w:line="340" w:lineRule="exact"/>
              <w:ind w:firstLine="402"/>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lang w:val="en-US" w:eastAsia="zh-CN"/>
              </w:rPr>
              <w:t xml:space="preserve">2. </w:t>
            </w:r>
            <w:r>
              <w:rPr>
                <w:rFonts w:hint="eastAsia" w:ascii="宋体" w:hAnsi="宋体" w:eastAsia="宋体" w:cs="宋体"/>
                <w:b w:val="0"/>
                <w:bCs w:val="0"/>
                <w:color w:val="auto"/>
                <w:sz w:val="21"/>
                <w:szCs w:val="21"/>
              </w:rPr>
              <w:t>青少年体育发展工程</w:t>
            </w:r>
          </w:p>
          <w:p w14:paraId="2DC2FF65">
            <w:pPr>
              <w:keepNext w:val="0"/>
              <w:keepLines w:val="0"/>
              <w:pageBreakBefore w:val="0"/>
              <w:widowControl w:val="0"/>
              <w:kinsoku/>
              <w:wordWrap/>
              <w:overflowPunct w:val="0"/>
              <w:topLinePunct/>
              <w:autoSpaceDE/>
              <w:autoSpaceDN/>
              <w:bidi w:val="0"/>
              <w:adjustRightInd/>
              <w:snapToGrid/>
              <w:spacing w:line="340" w:lineRule="exact"/>
              <w:ind w:firstLine="402"/>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lang w:val="en-US" w:eastAsia="zh-CN"/>
              </w:rPr>
              <w:t>深化体教融合，实施</w:t>
            </w:r>
            <w:r>
              <w:rPr>
                <w:rFonts w:hint="eastAsia" w:ascii="宋体" w:hAnsi="宋体" w:eastAsia="宋体" w:cs="宋体"/>
                <w:b w:val="0"/>
                <w:bCs w:val="0"/>
                <w:color w:val="auto"/>
                <w:sz w:val="21"/>
                <w:szCs w:val="21"/>
              </w:rPr>
              <w:t>青少年体育社会组织培育</w:t>
            </w:r>
            <w:r>
              <w:rPr>
                <w:rFonts w:hint="eastAsia" w:ascii="宋体" w:hAnsi="宋体" w:eastAsia="宋体" w:cs="宋体"/>
                <w:b w:val="0"/>
                <w:bCs w:val="0"/>
                <w:color w:val="auto"/>
                <w:sz w:val="21"/>
                <w:szCs w:val="21"/>
                <w:lang w:val="en-US" w:eastAsia="zh-CN"/>
              </w:rPr>
              <w:t>工程，加强各级各类体校、体育传统特色学校和青少年体育俱乐部建设。推动体育活动进校园，保障学生校内每天体育锻炼时间不少于1小时，力争我市每名青少年都能熟练掌握篮球、排球、乒乓球、滑冰、滑雪5项特色体育运动技能，促进青少年全面发展。加快推动青少年体育后备人才建设，</w:t>
            </w:r>
            <w:r>
              <w:rPr>
                <w:rFonts w:hint="eastAsia" w:ascii="宋体" w:hAnsi="宋体" w:eastAsia="宋体" w:cs="宋体"/>
                <w:b w:val="0"/>
                <w:bCs w:val="0"/>
                <w:color w:val="auto"/>
                <w:sz w:val="21"/>
                <w:szCs w:val="21"/>
              </w:rPr>
              <w:t>完善青少年体育人才培养与运动普及链条，</w:t>
            </w:r>
            <w:r>
              <w:rPr>
                <w:rFonts w:hint="eastAsia" w:ascii="宋体" w:hAnsi="宋体" w:eastAsia="宋体" w:cs="宋体"/>
                <w:b w:val="0"/>
                <w:bCs w:val="0"/>
                <w:color w:val="auto"/>
                <w:sz w:val="21"/>
                <w:szCs w:val="21"/>
                <w:lang w:val="en-US" w:eastAsia="zh-CN"/>
              </w:rPr>
              <w:t>为竞技体育可持续发展奠定坚实基础。</w:t>
            </w:r>
            <w:r>
              <w:rPr>
                <w:rFonts w:hint="eastAsia" w:ascii="宋体" w:hAnsi="宋体" w:eastAsia="宋体" w:cs="宋体"/>
                <w:b w:val="0"/>
                <w:bCs w:val="0"/>
                <w:color w:val="auto"/>
                <w:sz w:val="21"/>
                <w:szCs w:val="21"/>
              </w:rPr>
              <w:t>到2030年，省级优势项目达到10个。</w:t>
            </w:r>
          </w:p>
          <w:p w14:paraId="019D85C6">
            <w:pPr>
              <w:keepNext w:val="0"/>
              <w:keepLines w:val="0"/>
              <w:pageBreakBefore w:val="0"/>
              <w:widowControl w:val="0"/>
              <w:kinsoku/>
              <w:wordWrap/>
              <w:overflowPunct w:val="0"/>
              <w:topLinePunct/>
              <w:autoSpaceDE/>
              <w:autoSpaceDN/>
              <w:bidi w:val="0"/>
              <w:adjustRightInd/>
              <w:snapToGrid/>
              <w:spacing w:line="340" w:lineRule="exact"/>
              <w:ind w:firstLine="402"/>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lang w:val="en-US" w:eastAsia="zh-CN"/>
              </w:rPr>
              <w:t xml:space="preserve">3. </w:t>
            </w:r>
            <w:r>
              <w:rPr>
                <w:rFonts w:hint="eastAsia" w:ascii="宋体" w:hAnsi="宋体" w:eastAsia="宋体" w:cs="宋体"/>
                <w:b w:val="0"/>
                <w:bCs w:val="0"/>
                <w:color w:val="auto"/>
                <w:sz w:val="21"/>
                <w:szCs w:val="21"/>
              </w:rPr>
              <w:t>体育消费提振工程</w:t>
            </w:r>
          </w:p>
          <w:p w14:paraId="554E59BD">
            <w:pPr>
              <w:keepNext w:val="0"/>
              <w:keepLines w:val="0"/>
              <w:pageBreakBefore w:val="0"/>
              <w:widowControl w:val="0"/>
              <w:kinsoku/>
              <w:wordWrap/>
              <w:overflowPunct w:val="0"/>
              <w:topLinePunct/>
              <w:autoSpaceDE/>
              <w:autoSpaceDN/>
              <w:bidi w:val="0"/>
              <w:adjustRightInd/>
              <w:snapToGrid/>
              <w:spacing w:line="340" w:lineRule="exact"/>
              <w:ind w:firstLine="402"/>
              <w:textAlignment w:val="auto"/>
              <w:rPr>
                <w:rFonts w:hint="default" w:ascii="Times New Roman" w:hAnsi="Times New Roman" w:eastAsia="宋体" w:cs="Times New Roman"/>
                <w:b w:val="0"/>
                <w:bCs w:val="0"/>
                <w:color w:val="auto"/>
                <w:sz w:val="21"/>
                <w:szCs w:val="21"/>
              </w:rPr>
            </w:pPr>
            <w:r>
              <w:rPr>
                <w:rFonts w:hint="eastAsia" w:ascii="宋体" w:hAnsi="宋体" w:eastAsia="宋体" w:cs="宋体"/>
                <w:b w:val="0"/>
                <w:bCs w:val="0"/>
                <w:color w:val="auto"/>
                <w:sz w:val="21"/>
                <w:szCs w:val="21"/>
                <w:lang w:val="en-US" w:eastAsia="zh-CN"/>
              </w:rPr>
              <w:t>实施体育消费场景培育与产业深度融合行动，拓展“体育+”新业态。加快完善超级ONE篮球公园和环东山户外运动设施，</w:t>
            </w:r>
            <w:r>
              <w:rPr>
                <w:rFonts w:hint="eastAsia" w:ascii="宋体" w:hAnsi="宋体" w:eastAsia="宋体" w:cs="宋体"/>
                <w:b w:val="0"/>
                <w:bCs w:val="0"/>
                <w:color w:val="auto"/>
                <w:sz w:val="21"/>
                <w:szCs w:val="21"/>
                <w:highlight w:val="none"/>
                <w:lang w:val="en-US" w:eastAsia="zh-CN"/>
              </w:rPr>
              <w:t>开展老道山运动公园建设项目前期工作。</w:t>
            </w:r>
            <w:r>
              <w:rPr>
                <w:rFonts w:hint="eastAsia" w:ascii="宋体" w:hAnsi="宋体" w:eastAsia="宋体" w:cs="宋体"/>
                <w:b w:val="0"/>
                <w:bCs w:val="0"/>
                <w:color w:val="auto"/>
                <w:sz w:val="21"/>
                <w:szCs w:val="21"/>
                <w:lang w:val="en-US" w:eastAsia="zh-CN"/>
              </w:rPr>
              <w:t>发展体育培训、健身休闲、智能体育等服务业态，推动体育用品制造与销售提质升级，优化体育消费环境，释放体育消费潜力，构建“专业赛事+生态旅游+商业服务”三位一体发展格局，培育经济发展增长点。</w:t>
            </w:r>
          </w:p>
        </w:tc>
      </w:tr>
    </w:tbl>
    <w:p w14:paraId="14564C1B">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0" w:firstLineChars="0"/>
        <w:jc w:val="center"/>
        <w:textAlignment w:val="auto"/>
        <w:rPr>
          <w:rFonts w:hint="eastAsia" w:ascii="方正黑体_GBK" w:hAnsi="方正黑体_GBK" w:eastAsia="方正黑体_GBK" w:cs="方正黑体_GBK"/>
          <w:color w:val="auto"/>
          <w:sz w:val="32"/>
          <w:szCs w:val="32"/>
          <w:lang w:eastAsia="zh-CN"/>
        </w:rPr>
      </w:pPr>
    </w:p>
    <w:p w14:paraId="61251827">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0" w:firstLineChars="0"/>
        <w:jc w:val="center"/>
        <w:textAlignment w:val="auto"/>
        <w:rPr>
          <w:rFonts w:hint="eastAsia" w:ascii="方正黑体_GBK" w:hAnsi="方正黑体_GBK" w:eastAsia="方正黑体_GBK" w:cs="方正黑体_GBK"/>
          <w:color w:val="auto"/>
          <w:sz w:val="32"/>
          <w:szCs w:val="32"/>
          <w:lang w:eastAsia="zh-CN"/>
        </w:rPr>
      </w:pPr>
    </w:p>
    <w:p w14:paraId="418028BA">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0" w:firstLineChars="0"/>
        <w:jc w:val="center"/>
        <w:textAlignment w:val="auto"/>
        <w:rPr>
          <w:rFonts w:hint="eastAsia" w:ascii="方正黑体_GBK" w:hAnsi="方正黑体_GBK" w:eastAsia="方正黑体_GBK" w:cs="方正黑体_GBK"/>
          <w:color w:val="auto"/>
          <w:sz w:val="32"/>
          <w:szCs w:val="32"/>
          <w:lang w:eastAsia="zh-CN"/>
        </w:rPr>
      </w:pPr>
    </w:p>
    <w:p w14:paraId="6FA9329B">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0" w:firstLineChars="0"/>
        <w:jc w:val="center"/>
        <w:textAlignment w:val="auto"/>
        <w:rPr>
          <w:rFonts w:hint="eastAsia" w:ascii="方正黑体_GBK" w:hAnsi="方正黑体_GBK" w:eastAsia="方正黑体_GBK" w:cs="方正黑体_GBK"/>
          <w:color w:val="auto"/>
          <w:sz w:val="32"/>
          <w:szCs w:val="32"/>
          <w:lang w:eastAsia="zh-CN"/>
        </w:rPr>
      </w:pPr>
    </w:p>
    <w:p w14:paraId="6E2715B7">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0" w:firstLineChars="0"/>
        <w:jc w:val="center"/>
        <w:textAlignment w:val="auto"/>
        <w:rPr>
          <w:rFonts w:hint="eastAsia" w:ascii="方正黑体_GBK" w:hAnsi="方正黑体_GBK" w:eastAsia="方正黑体_GBK" w:cs="方正黑体_GBK"/>
          <w:color w:val="auto"/>
          <w:sz w:val="32"/>
          <w:szCs w:val="32"/>
          <w:lang w:eastAsia="zh-CN"/>
        </w:rPr>
      </w:pPr>
    </w:p>
    <w:p w14:paraId="442A0283">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0" w:firstLineChars="0"/>
        <w:jc w:val="center"/>
        <w:textAlignment w:val="auto"/>
        <w:rPr>
          <w:rFonts w:hint="eastAsia" w:ascii="方正黑体_GBK" w:hAnsi="方正黑体_GBK" w:eastAsia="方正黑体_GBK" w:cs="方正黑体_GBK"/>
          <w:color w:val="auto"/>
          <w:sz w:val="32"/>
          <w:szCs w:val="32"/>
          <w:lang w:eastAsia="zh-CN"/>
        </w:rPr>
      </w:pPr>
    </w:p>
    <w:p w14:paraId="01FB146F">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0" w:firstLineChars="0"/>
        <w:jc w:val="center"/>
        <w:textAlignment w:val="auto"/>
        <w:rPr>
          <w:rFonts w:hint="eastAsia" w:ascii="方正黑体_GBK" w:hAnsi="方正黑体_GBK" w:eastAsia="方正黑体_GBK" w:cs="方正黑体_GBK"/>
          <w:color w:val="auto"/>
          <w:sz w:val="32"/>
          <w:szCs w:val="32"/>
          <w:lang w:eastAsia="zh-CN"/>
        </w:rPr>
      </w:pPr>
    </w:p>
    <w:p w14:paraId="33F7B3BA">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0" w:firstLineChars="0"/>
        <w:jc w:val="center"/>
        <w:textAlignment w:val="auto"/>
        <w:rPr>
          <w:rFonts w:hint="eastAsia" w:ascii="方正黑体_GBK" w:hAnsi="方正黑体_GBK" w:eastAsia="方正黑体_GBK" w:cs="方正黑体_GBK"/>
          <w:color w:val="auto"/>
          <w:sz w:val="32"/>
          <w:szCs w:val="32"/>
          <w:lang w:eastAsia="zh-CN"/>
        </w:rPr>
      </w:pPr>
    </w:p>
    <w:p w14:paraId="6BCE5FF1">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0" w:firstLineChars="0"/>
        <w:jc w:val="center"/>
        <w:textAlignment w:val="auto"/>
        <w:rPr>
          <w:rFonts w:hint="eastAsia" w:ascii="方正黑体_GBK" w:hAnsi="方正黑体_GBK" w:eastAsia="方正黑体_GBK" w:cs="方正黑体_GBK"/>
          <w:color w:val="auto"/>
          <w:sz w:val="32"/>
          <w:szCs w:val="32"/>
          <w:lang w:eastAsia="zh-CN"/>
        </w:rPr>
      </w:pPr>
    </w:p>
    <w:p w14:paraId="376A4E5F">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0" w:firstLineChars="0"/>
        <w:jc w:val="center"/>
        <w:textAlignment w:val="auto"/>
        <w:rPr>
          <w:rFonts w:hint="eastAsia" w:ascii="方正黑体_GBK" w:hAnsi="方正黑体_GBK" w:eastAsia="方正黑体_GBK" w:cs="方正黑体_GBK"/>
          <w:color w:val="auto"/>
          <w:sz w:val="32"/>
          <w:szCs w:val="32"/>
          <w:lang w:eastAsia="zh-CN"/>
        </w:rPr>
      </w:pPr>
    </w:p>
    <w:p w14:paraId="23F36CDC">
      <w:pPr>
        <w:pStyle w:val="2"/>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left="0" w:leftChars="0" w:firstLine="0" w:firstLineChars="0"/>
        <w:jc w:val="center"/>
        <w:textAlignment w:val="auto"/>
        <w:rPr>
          <w:rFonts w:hint="eastAsia" w:ascii="方正小标宋_GBK" w:hAnsi="方正小标宋_GBK" w:eastAsia="方正小标宋_GBK" w:cs="方正小标宋_GBK"/>
          <w:color w:val="auto"/>
          <w:sz w:val="36"/>
          <w:szCs w:val="36"/>
          <w:lang w:eastAsia="zh-CN"/>
        </w:rPr>
      </w:pPr>
      <w:r>
        <w:rPr>
          <w:rFonts w:hint="eastAsia" w:ascii="方正小标宋_GBK" w:hAnsi="方正小标宋_GBK" w:eastAsia="方正小标宋_GBK" w:cs="方正小标宋_GBK"/>
          <w:color w:val="auto"/>
          <w:sz w:val="36"/>
          <w:szCs w:val="36"/>
          <w:lang w:eastAsia="zh-CN"/>
        </w:rPr>
        <w:t>第十章  着力保障和改善民生</w:t>
      </w:r>
    </w:p>
    <w:p w14:paraId="371A22D7">
      <w:pPr>
        <w:pStyle w:val="2"/>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firstLine="720" w:firstLineChars="200"/>
        <w:jc w:val="center"/>
        <w:textAlignment w:val="auto"/>
        <w:rPr>
          <w:rFonts w:hint="eastAsia" w:ascii="方正小标宋_GBK" w:hAnsi="方正小标宋_GBK" w:eastAsia="方正小标宋_GBK" w:cs="方正小标宋_GBK"/>
          <w:color w:val="auto"/>
          <w:sz w:val="36"/>
          <w:szCs w:val="36"/>
          <w:lang w:eastAsia="zh-CN"/>
        </w:rPr>
      </w:pPr>
      <w:r>
        <w:rPr>
          <w:rFonts w:hint="eastAsia" w:ascii="方正小标宋_GBK" w:hAnsi="方正小标宋_GBK" w:eastAsia="方正小标宋_GBK" w:cs="方正小标宋_GBK"/>
          <w:color w:val="auto"/>
          <w:sz w:val="36"/>
          <w:szCs w:val="36"/>
          <w:lang w:eastAsia="zh-CN"/>
        </w:rPr>
        <w:t>提高人民生活品质</w:t>
      </w:r>
    </w:p>
    <w:p w14:paraId="7690D363">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方正仿宋_GBK" w:hAnsi="方正仿宋_GBK" w:eastAsia="方正仿宋_GBK" w:cs="方正仿宋_GBK"/>
          <w:color w:val="auto"/>
          <w:sz w:val="32"/>
          <w:szCs w:val="32"/>
          <w:lang w:eastAsia="zh-CN"/>
        </w:rPr>
      </w:pPr>
      <w:r>
        <w:rPr>
          <w:rFonts w:hint="eastAsia" w:ascii="方正仿宋_GBK" w:hAnsi="方正仿宋_GBK" w:eastAsia="方正仿宋_GBK" w:cs="方正仿宋_GBK"/>
          <w:color w:val="auto"/>
          <w:sz w:val="32"/>
          <w:szCs w:val="32"/>
          <w:lang w:eastAsia="zh-CN"/>
        </w:rPr>
        <w:t>坚持以人民为中心的发展思想，加强普惠性、基础性、兜底性民生建设，办好民生关键小事，稳步提升城乡居民获得感、幸福感、安全感，营造全龄友好、和谐包容的社会发展新生态。</w:t>
      </w:r>
    </w:p>
    <w:p w14:paraId="57F947D6">
      <w:pPr>
        <w:pStyle w:val="2"/>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left="0" w:leftChars="0" w:firstLine="0" w:firstLineChars="0"/>
        <w:jc w:val="center"/>
        <w:textAlignment w:val="auto"/>
        <w:rPr>
          <w:rFonts w:hint="eastAsia" w:ascii="方正黑体_GBK" w:hAnsi="方正黑体_GBK" w:eastAsia="方正黑体_GBK" w:cs="方正黑体_GBK"/>
          <w:color w:val="auto"/>
          <w:sz w:val="32"/>
          <w:szCs w:val="32"/>
          <w:lang w:eastAsia="zh-CN"/>
        </w:rPr>
      </w:pPr>
      <w:r>
        <w:rPr>
          <w:rFonts w:hint="eastAsia" w:ascii="方正黑体_GBK" w:hAnsi="方正黑体_GBK" w:eastAsia="方正黑体_GBK" w:cs="方正黑体_GBK"/>
          <w:color w:val="auto"/>
          <w:sz w:val="32"/>
          <w:szCs w:val="32"/>
          <w:lang w:eastAsia="zh-CN"/>
        </w:rPr>
        <w:t>第一节  促进高质量充分就业</w:t>
      </w:r>
    </w:p>
    <w:p w14:paraId="7723562D">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方正仿宋_GBK" w:hAnsi="方正仿宋_GBK" w:eastAsia="方正仿宋_GBK" w:cs="方正仿宋_GBK"/>
          <w:color w:val="auto"/>
          <w:sz w:val="32"/>
          <w:szCs w:val="32"/>
          <w:lang w:eastAsia="zh-CN"/>
        </w:rPr>
      </w:pPr>
      <w:r>
        <w:rPr>
          <w:rFonts w:hint="eastAsia" w:ascii="方正楷体_GBK" w:hAnsi="方正楷体_GBK" w:eastAsia="方正楷体_GBK" w:cs="方正楷体_GBK"/>
          <w:color w:val="auto"/>
          <w:sz w:val="32"/>
          <w:szCs w:val="32"/>
          <w:lang w:eastAsia="zh-CN"/>
        </w:rPr>
        <w:t>实施就业优先与促进重点群体就业行动</w:t>
      </w:r>
      <w:r>
        <w:rPr>
          <w:rFonts w:hint="eastAsia" w:ascii="方正仿宋_GBK" w:hAnsi="方正仿宋_GBK" w:eastAsia="方正仿宋_GBK" w:cs="方正仿宋_GBK"/>
          <w:color w:val="auto"/>
          <w:sz w:val="32"/>
          <w:szCs w:val="32"/>
          <w:lang w:eastAsia="zh-CN"/>
        </w:rPr>
        <w:t>。健全就业促进机制，加强财政、金融、产业、投资等政策与就业政策的协同联动与优化组合，构建经济增长与就业扩容提质相互促进的良性循环。落实落细各项稳岗扩岗扶持政策，切实降低企业用工成本，稳定和扩大市场主体吸纳就业能力。着力拓宽高校毕业生市场化社会化就业渠道，鼓励引导基层就业，强化就业创业支持。健全农民工就业服务机制，加强跨区域劳务协作，促进转移就业稳定增收。高质量做好退役军人就业安置和创业扶持工作。完善对长期失业人员、残疾人等困难群体的就业援助机制，实行“一人一策”精准帮扶，确保零就业家庭动态清零。深化“96885吉人在线”等平台应用，运用大数据、人工智能等手段提升人岗匹配、政策推送、服务对接的精准度与便捷性。加快完善适应新就业形态的劳动用工、社会保障等政策制度体系。加强新就业形态劳动者权益保障，全力稳定就业基本盘。</w:t>
      </w:r>
    </w:p>
    <w:p w14:paraId="6B674A8B">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方正仿宋_GBK" w:hAnsi="方正仿宋_GBK" w:eastAsia="方正仿宋_GBK" w:cs="方正仿宋_GBK"/>
          <w:color w:val="auto"/>
          <w:sz w:val="32"/>
          <w:szCs w:val="32"/>
          <w:lang w:eastAsia="zh-CN"/>
        </w:rPr>
      </w:pPr>
      <w:r>
        <w:rPr>
          <w:rFonts w:hint="eastAsia" w:ascii="方正楷体_GBK" w:hAnsi="方正楷体_GBK" w:eastAsia="方正楷体_GBK" w:cs="方正楷体_GBK"/>
          <w:color w:val="auto"/>
          <w:sz w:val="32"/>
          <w:szCs w:val="32"/>
          <w:lang w:eastAsia="zh-CN"/>
        </w:rPr>
        <w:t>优化创业生态增强带动效应。</w:t>
      </w:r>
      <w:r>
        <w:rPr>
          <w:rFonts w:hint="eastAsia" w:ascii="方正仿宋_GBK" w:hAnsi="方正仿宋_GBK" w:eastAsia="方正仿宋_GBK" w:cs="方正仿宋_GBK"/>
          <w:color w:val="auto"/>
          <w:sz w:val="32"/>
          <w:szCs w:val="32"/>
          <w:lang w:eastAsia="zh-CN"/>
        </w:rPr>
        <w:t>持续优化创业政策环境和制度体系，着力构建覆盖“培训指导、创业服务、孵化扶持、融资对接、活动赋能”的“五位一体”全链条创业支持生态。实施创业主体培育行动，发挥个体工商户在吸纳就业、活跃市场中的基础作用，积极扶持科技型创业企业、创新型中小微企业健康发展。鼓励创业者在现代服务业、农产品精深加工、民生服务等领域开拓发展。引导和支持创业力量向数字经济、绿色经济、平台经济等新兴领域集聚，培育发展新业态新模式。加强创业培训与指导服务体系建设，提升创业者能力素质。优化创业融资服务，拓宽股权、债权等融资渠道，发挥政府性融资担保和创业担保贷款作用。常态化举办创业大赛、项目路演、资源对接等活动。强化创业孵化基地、返乡创业园、众创空间、大学生创业园等载体专业化、精细化服务能力建设。到2030年，力争全市建成各级各类就业创业基地35个以上。</w:t>
      </w:r>
    </w:p>
    <w:p w14:paraId="4A54E587">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方正仿宋_GBK" w:hAnsi="方正仿宋_GBK" w:eastAsia="方正仿宋_GBK" w:cs="方正仿宋_GBK"/>
          <w:color w:val="auto"/>
          <w:sz w:val="32"/>
          <w:szCs w:val="32"/>
          <w:lang w:eastAsia="zh-CN"/>
        </w:rPr>
      </w:pPr>
      <w:r>
        <w:rPr>
          <w:rFonts w:hint="eastAsia" w:ascii="方正楷体_GBK" w:hAnsi="方正楷体_GBK" w:eastAsia="方正楷体_GBK" w:cs="方正楷体_GBK"/>
          <w:color w:val="auto"/>
          <w:sz w:val="32"/>
          <w:szCs w:val="32"/>
          <w:lang w:eastAsia="zh-CN"/>
        </w:rPr>
        <w:t>持续提高居民收入水平。</w:t>
      </w:r>
      <w:r>
        <w:rPr>
          <w:rFonts w:hint="eastAsia" w:ascii="方正仿宋_GBK" w:hAnsi="方正仿宋_GBK" w:eastAsia="方正仿宋_GBK" w:cs="方正仿宋_GBK"/>
          <w:color w:val="auto"/>
          <w:sz w:val="32"/>
          <w:szCs w:val="32"/>
          <w:lang w:eastAsia="zh-CN"/>
        </w:rPr>
        <w:t>坚持按劳分配为主体、多种分配方式并存，着力构建体现效率、促进公平的收入分配体系，推动居民收入增长与经济增长基本同步。健全与经济发展相适应的工资合理增长机制，适时调整最低工资标准。实施重点群体激励计划，稳步提高科研人员、技能人才、新型职业农民等重点群体收入，有效扩大中等收入群体规模。探索通过盘活农村资源资产等方式，拓宽农民财产性收入渠道。健全保障农民工工资支付长效机制，有效增加低收入者收入。优化财政支出结构，持续加大民生领域投入，推动公共资源向基层延伸、向民生覆盖。切实减轻居民在子女教育、医疗卫生、养老托育、住房保障等方面的支出负担。健全社会救助和社会福利制度，保障困难群众基本生活。</w:t>
      </w:r>
    </w:p>
    <w:p w14:paraId="24C51D0A">
      <w:pPr>
        <w:pStyle w:val="2"/>
        <w:keepNext w:val="0"/>
        <w:keepLines w:val="0"/>
        <w:pageBreakBefore w:val="0"/>
        <w:widowControl w:val="0"/>
        <w:kinsoku/>
        <w:wordWrap/>
        <w:overflowPunct/>
        <w:topLinePunct w:val="0"/>
        <w:autoSpaceDE/>
        <w:autoSpaceDN/>
        <w:bidi w:val="0"/>
        <w:adjustRightInd/>
        <w:snapToGrid/>
        <w:spacing w:after="0" w:line="200" w:lineRule="exact"/>
        <w:ind w:firstLine="640" w:firstLineChars="200"/>
        <w:textAlignment w:val="auto"/>
        <w:rPr>
          <w:rFonts w:hint="eastAsia" w:ascii="方正仿宋_GBK" w:hAnsi="方正仿宋_GBK" w:eastAsia="方正仿宋_GBK" w:cs="方正仿宋_GBK"/>
          <w:color w:val="auto"/>
          <w:sz w:val="32"/>
          <w:szCs w:val="32"/>
          <w:lang w:eastAsia="zh-CN"/>
        </w:rPr>
      </w:pP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6992A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7" w:hRule="atLeast"/>
          <w:jc w:val="center"/>
        </w:trPr>
        <w:tc>
          <w:tcPr>
            <w:tcW w:w="8834" w:type="dxa"/>
            <w:noWrap w:val="0"/>
            <w:vAlign w:val="top"/>
          </w:tcPr>
          <w:p w14:paraId="7FA04076">
            <w:pPr>
              <w:keepNext w:val="0"/>
              <w:keepLines w:val="0"/>
              <w:pageBreakBefore w:val="0"/>
              <w:widowControl w:val="0"/>
              <w:kinsoku/>
              <w:wordWrap/>
              <w:overflowPunct w:val="0"/>
              <w:topLinePunct/>
              <w:autoSpaceDE/>
              <w:autoSpaceDN/>
              <w:bidi w:val="0"/>
              <w:adjustRightInd/>
              <w:snapToGrid/>
              <w:spacing w:before="156" w:beforeLines="50" w:after="156" w:afterLines="50" w:line="340" w:lineRule="exact"/>
              <w:ind w:firstLine="0" w:firstLineChars="0"/>
              <w:jc w:val="center"/>
              <w:textAlignment w:val="auto"/>
              <w:rPr>
                <w:rFonts w:hint="eastAsia" w:ascii="方正黑体_GBK" w:hAnsi="方正黑体_GBK" w:eastAsia="方正黑体_GBK" w:cs="方正黑体_GBK"/>
                <w:b w:val="0"/>
                <w:bCs w:val="0"/>
                <w:color w:val="auto"/>
                <w:sz w:val="28"/>
                <w:szCs w:val="28"/>
              </w:rPr>
            </w:pPr>
            <w:r>
              <w:rPr>
                <w:rFonts w:hint="eastAsia" w:ascii="方正黑体_GBK" w:hAnsi="方正黑体_GBK" w:eastAsia="方正黑体_GBK" w:cs="方正黑体_GBK"/>
                <w:b w:val="0"/>
                <w:bCs w:val="0"/>
                <w:color w:val="auto"/>
                <w:sz w:val="28"/>
                <w:szCs w:val="28"/>
              </w:rPr>
              <w:t>专栏</w:t>
            </w:r>
            <w:r>
              <w:rPr>
                <w:rFonts w:hint="eastAsia" w:ascii="方正黑体_GBK" w:hAnsi="方正黑体_GBK" w:eastAsia="方正黑体_GBK" w:cs="方正黑体_GBK"/>
                <w:b w:val="0"/>
                <w:bCs w:val="0"/>
                <w:color w:val="auto"/>
                <w:sz w:val="28"/>
                <w:szCs w:val="28"/>
                <w:lang w:val="en-US" w:eastAsia="zh-CN"/>
              </w:rPr>
              <w:t>14</w:t>
            </w:r>
            <w:r>
              <w:rPr>
                <w:rFonts w:hint="eastAsia" w:ascii="方正黑体_GBK" w:hAnsi="方正黑体_GBK" w:eastAsia="方正黑体_GBK" w:cs="方正黑体_GBK"/>
                <w:b w:val="0"/>
                <w:bCs w:val="0"/>
                <w:color w:val="auto"/>
                <w:sz w:val="28"/>
                <w:szCs w:val="28"/>
              </w:rPr>
              <w:t xml:space="preserve">  就业质量提升专项行动</w:t>
            </w:r>
          </w:p>
          <w:p w14:paraId="191F999A">
            <w:pPr>
              <w:keepNext w:val="0"/>
              <w:keepLines w:val="0"/>
              <w:pageBreakBefore w:val="0"/>
              <w:widowControl w:val="0"/>
              <w:kinsoku/>
              <w:wordWrap/>
              <w:overflowPunct w:val="0"/>
              <w:topLinePunct/>
              <w:autoSpaceDE/>
              <w:autoSpaceDN/>
              <w:bidi w:val="0"/>
              <w:adjustRightInd/>
              <w:snapToGrid/>
              <w:spacing w:line="340" w:lineRule="exact"/>
              <w:ind w:firstLine="422"/>
              <w:textAlignment w:val="auto"/>
              <w:rPr>
                <w:rFonts w:hint="eastAsia" w:ascii="宋体" w:hAnsi="宋体" w:eastAsia="宋体" w:cs="宋体"/>
                <w:b w:val="0"/>
                <w:bCs w:val="0"/>
                <w:color w:val="auto"/>
                <w:sz w:val="21"/>
                <w:szCs w:val="21"/>
                <w:lang w:eastAsia="zh-CN"/>
              </w:rPr>
            </w:pPr>
            <w:r>
              <w:rPr>
                <w:rFonts w:hint="eastAsia" w:ascii="宋体" w:hAnsi="宋体" w:eastAsia="宋体" w:cs="宋体"/>
                <w:b w:val="0"/>
                <w:bCs w:val="0"/>
                <w:color w:val="auto"/>
                <w:sz w:val="21"/>
                <w:szCs w:val="21"/>
                <w:lang w:val="en-US" w:eastAsia="zh-CN"/>
              </w:rPr>
              <w:t xml:space="preserve">1. </w:t>
            </w:r>
            <w:r>
              <w:rPr>
                <w:rFonts w:hint="eastAsia" w:ascii="宋体" w:hAnsi="宋体" w:eastAsia="宋体" w:cs="宋体"/>
                <w:b w:val="0"/>
                <w:bCs w:val="0"/>
                <w:color w:val="auto"/>
                <w:sz w:val="21"/>
                <w:szCs w:val="21"/>
              </w:rPr>
              <w:t>便捷就业服务圈建设行动</w:t>
            </w:r>
          </w:p>
          <w:p w14:paraId="2F8DE566">
            <w:pPr>
              <w:keepNext w:val="0"/>
              <w:keepLines w:val="0"/>
              <w:pageBreakBefore w:val="0"/>
              <w:widowControl w:val="0"/>
              <w:kinsoku/>
              <w:wordWrap/>
              <w:overflowPunct w:val="0"/>
              <w:topLinePunct/>
              <w:autoSpaceDE/>
              <w:autoSpaceDN/>
              <w:bidi w:val="0"/>
              <w:adjustRightInd/>
              <w:snapToGrid/>
              <w:spacing w:line="340" w:lineRule="exact"/>
              <w:ind w:firstLine="422"/>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推动公共就业服务提质增效，强化</w:t>
            </w:r>
            <w:r>
              <w:rPr>
                <w:rFonts w:hint="eastAsia" w:ascii="宋体" w:hAnsi="宋体" w:eastAsia="宋体" w:cs="宋体"/>
                <w:b w:val="0"/>
                <w:bCs w:val="0"/>
                <w:color w:val="auto"/>
                <w:sz w:val="21"/>
                <w:szCs w:val="21"/>
              </w:rPr>
              <w:t>“15分钟就业服务圈”建设，实现重点街道（乡镇）、社区全覆盖</w:t>
            </w: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lang w:val="en-US" w:eastAsia="zh-CN"/>
              </w:rPr>
              <w:t>提供一站式就业服务，运用信息化平台实现岗位精准推送。</w:t>
            </w:r>
            <w:r>
              <w:rPr>
                <w:rFonts w:hint="eastAsia" w:ascii="宋体" w:hAnsi="宋体" w:eastAsia="宋体" w:cs="宋体"/>
                <w:b w:val="0"/>
                <w:bCs w:val="0"/>
                <w:color w:val="auto"/>
                <w:sz w:val="21"/>
                <w:szCs w:val="21"/>
              </w:rPr>
              <w:t>到2030年，年均服务企业400家次，劳动者8000人次。</w:t>
            </w:r>
          </w:p>
          <w:p w14:paraId="32A7866C">
            <w:pPr>
              <w:keepNext w:val="0"/>
              <w:keepLines w:val="0"/>
              <w:pageBreakBefore w:val="0"/>
              <w:widowControl w:val="0"/>
              <w:kinsoku/>
              <w:wordWrap/>
              <w:overflowPunct w:val="0"/>
              <w:topLinePunct/>
              <w:autoSpaceDE/>
              <w:autoSpaceDN/>
              <w:bidi w:val="0"/>
              <w:adjustRightInd/>
              <w:snapToGrid/>
              <w:spacing w:line="340" w:lineRule="exact"/>
              <w:ind w:firstLine="422"/>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lang w:val="en-US" w:eastAsia="zh-CN"/>
              </w:rPr>
              <w:t xml:space="preserve">2. </w:t>
            </w:r>
            <w:r>
              <w:rPr>
                <w:rFonts w:hint="eastAsia" w:ascii="宋体" w:hAnsi="宋体" w:eastAsia="宋体" w:cs="宋体"/>
                <w:b w:val="0"/>
                <w:bCs w:val="0"/>
                <w:color w:val="auto"/>
                <w:sz w:val="21"/>
                <w:szCs w:val="21"/>
              </w:rPr>
              <w:t>产业技能人才培育行动</w:t>
            </w:r>
          </w:p>
          <w:p w14:paraId="39C1B03A">
            <w:pPr>
              <w:keepNext w:val="0"/>
              <w:keepLines w:val="0"/>
              <w:pageBreakBefore w:val="0"/>
              <w:widowControl w:val="0"/>
              <w:kinsoku/>
              <w:wordWrap/>
              <w:overflowPunct w:val="0"/>
              <w:topLinePunct/>
              <w:autoSpaceDE/>
              <w:autoSpaceDN/>
              <w:bidi w:val="0"/>
              <w:adjustRightInd/>
              <w:snapToGrid/>
              <w:spacing w:line="340" w:lineRule="exact"/>
              <w:ind w:firstLine="422"/>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紧密对接袜业纺织、农产品加工、新能源等重点产业需求，构建“政企校”协同培养体系。鼓励各县区升级改造一批职业技能实训中心，依托各级职业技术院校、公共实训基地、企业培训中心等，开展急需紧缺工种培训、新型学徒制培训及新业态技能提升培训，加强高技能人才培养。</w:t>
            </w:r>
          </w:p>
          <w:p w14:paraId="4B147C78">
            <w:pPr>
              <w:keepNext w:val="0"/>
              <w:keepLines w:val="0"/>
              <w:pageBreakBefore w:val="0"/>
              <w:widowControl w:val="0"/>
              <w:kinsoku/>
              <w:wordWrap/>
              <w:overflowPunct w:val="0"/>
              <w:topLinePunct/>
              <w:autoSpaceDE/>
              <w:autoSpaceDN/>
              <w:bidi w:val="0"/>
              <w:adjustRightInd/>
              <w:snapToGrid/>
              <w:spacing w:line="340" w:lineRule="exact"/>
              <w:ind w:firstLine="422"/>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lang w:val="en-US" w:eastAsia="zh-CN"/>
              </w:rPr>
              <w:t xml:space="preserve">3. </w:t>
            </w:r>
            <w:r>
              <w:rPr>
                <w:rFonts w:hint="eastAsia" w:ascii="宋体" w:hAnsi="宋体" w:eastAsia="宋体" w:cs="宋体"/>
                <w:b w:val="0"/>
                <w:bCs w:val="0"/>
                <w:color w:val="auto"/>
                <w:sz w:val="21"/>
                <w:szCs w:val="21"/>
              </w:rPr>
              <w:t>重点群体就业帮扶行动</w:t>
            </w:r>
          </w:p>
          <w:p w14:paraId="13ECFB84">
            <w:pPr>
              <w:keepNext w:val="0"/>
              <w:keepLines w:val="0"/>
              <w:pageBreakBefore w:val="0"/>
              <w:widowControl w:val="0"/>
              <w:kinsoku/>
              <w:wordWrap/>
              <w:overflowPunct w:val="0"/>
              <w:topLinePunct/>
              <w:autoSpaceDE/>
              <w:autoSpaceDN/>
              <w:bidi w:val="0"/>
              <w:adjustRightInd/>
              <w:snapToGrid/>
              <w:spacing w:line="340" w:lineRule="exact"/>
              <w:ind w:firstLine="422"/>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实施高校毕业生“留辽来辽”就业促进计划，健全完善本地生源高校毕业生信息库，精准提供就业见习、岗位推荐和创业辅导。强化农民工就业服务与职业转换能力培训，设立退役军人就业创业服务中心，提供“一对一”服务。完善就业困难人员动态管理与分类帮扶机制，落实托底安置、社保补贴、企业吸纳奖补等政策。</w:t>
            </w:r>
          </w:p>
          <w:p w14:paraId="6FB9A468">
            <w:pPr>
              <w:keepNext w:val="0"/>
              <w:keepLines w:val="0"/>
              <w:pageBreakBefore w:val="0"/>
              <w:widowControl w:val="0"/>
              <w:kinsoku/>
              <w:wordWrap/>
              <w:overflowPunct w:val="0"/>
              <w:topLinePunct/>
              <w:autoSpaceDE/>
              <w:autoSpaceDN/>
              <w:bidi w:val="0"/>
              <w:adjustRightInd/>
              <w:snapToGrid/>
              <w:spacing w:line="340" w:lineRule="exact"/>
              <w:ind w:firstLine="422"/>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lang w:val="en-US" w:eastAsia="zh-CN"/>
              </w:rPr>
              <w:t xml:space="preserve">4. </w:t>
            </w:r>
            <w:r>
              <w:rPr>
                <w:rFonts w:hint="eastAsia" w:ascii="宋体" w:hAnsi="宋体" w:eastAsia="宋体" w:cs="宋体"/>
                <w:b w:val="0"/>
                <w:bCs w:val="0"/>
                <w:color w:val="auto"/>
                <w:sz w:val="21"/>
                <w:szCs w:val="21"/>
              </w:rPr>
              <w:t>创业载体升级带动行动</w:t>
            </w:r>
          </w:p>
          <w:p w14:paraId="1F90DA30">
            <w:pPr>
              <w:keepNext w:val="0"/>
              <w:keepLines w:val="0"/>
              <w:pageBreakBefore w:val="0"/>
              <w:widowControl w:val="0"/>
              <w:kinsoku/>
              <w:wordWrap/>
              <w:overflowPunct w:val="0"/>
              <w:topLinePunct/>
              <w:autoSpaceDE/>
              <w:autoSpaceDN/>
              <w:bidi w:val="0"/>
              <w:adjustRightInd/>
              <w:snapToGrid/>
              <w:spacing w:line="340" w:lineRule="exact"/>
              <w:ind w:firstLine="422"/>
              <w:textAlignment w:val="auto"/>
              <w:rPr>
                <w:rFonts w:hint="eastAsia" w:ascii="Times New Roman" w:hAnsi="Times New Roman" w:eastAsia="宋体" w:cs="Times New Roman"/>
                <w:color w:val="auto"/>
                <w:sz w:val="21"/>
                <w:szCs w:val="21"/>
                <w:lang w:eastAsia="zh-CN"/>
              </w:rPr>
            </w:pPr>
            <w:r>
              <w:rPr>
                <w:rFonts w:hint="eastAsia" w:ascii="宋体" w:hAnsi="宋体" w:eastAsia="宋体" w:cs="宋体"/>
                <w:b w:val="0"/>
                <w:bCs w:val="0"/>
                <w:color w:val="auto"/>
                <w:sz w:val="21"/>
                <w:szCs w:val="21"/>
                <w:lang w:eastAsia="zh-CN"/>
              </w:rPr>
              <w:t>实施创业孵化基地（园区）提质扩容计划，支持现有载体升级功能，建设一批专业化、特色化的返乡入乡创业园、大学生创业园，</w:t>
            </w:r>
            <w:r>
              <w:rPr>
                <w:rFonts w:hint="eastAsia" w:ascii="宋体" w:hAnsi="宋体" w:eastAsia="宋体" w:cs="宋体"/>
                <w:b w:val="0"/>
                <w:bCs w:val="0"/>
                <w:color w:val="auto"/>
                <w:sz w:val="21"/>
                <w:szCs w:val="21"/>
                <w:lang w:val="en-US" w:eastAsia="zh-CN"/>
              </w:rPr>
              <w:t>推动</w:t>
            </w:r>
            <w:r>
              <w:rPr>
                <w:rFonts w:hint="eastAsia" w:ascii="宋体" w:hAnsi="宋体" w:eastAsia="宋体" w:cs="宋体"/>
                <w:b w:val="0"/>
                <w:bCs w:val="0"/>
                <w:color w:val="auto"/>
                <w:sz w:val="21"/>
                <w:szCs w:val="21"/>
              </w:rPr>
              <w:t>基础好、潜力大的</w:t>
            </w:r>
            <w:r>
              <w:rPr>
                <w:rFonts w:hint="eastAsia" w:ascii="宋体" w:hAnsi="宋体" w:eastAsia="宋体" w:cs="宋体"/>
                <w:b w:val="0"/>
                <w:bCs w:val="0"/>
                <w:color w:val="auto"/>
                <w:sz w:val="21"/>
                <w:szCs w:val="21"/>
                <w:lang w:val="en-US" w:eastAsia="zh-CN"/>
              </w:rPr>
              <w:t>载体</w:t>
            </w:r>
            <w:r>
              <w:rPr>
                <w:rFonts w:hint="eastAsia" w:ascii="宋体" w:hAnsi="宋体" w:eastAsia="宋体" w:cs="宋体"/>
                <w:b w:val="0"/>
                <w:bCs w:val="0"/>
                <w:color w:val="auto"/>
                <w:sz w:val="21"/>
                <w:szCs w:val="21"/>
              </w:rPr>
              <w:t>升级为省级</w:t>
            </w: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rPr>
              <w:t>国家级平台</w:t>
            </w:r>
            <w:r>
              <w:rPr>
                <w:rFonts w:hint="eastAsia" w:ascii="宋体" w:hAnsi="宋体" w:eastAsia="宋体" w:cs="宋体"/>
                <w:b w:val="0"/>
                <w:bCs w:val="0"/>
                <w:color w:val="auto"/>
                <w:sz w:val="21"/>
                <w:szCs w:val="21"/>
                <w:lang w:eastAsia="zh-CN"/>
              </w:rPr>
              <w:t>，完善创业培训、融资对接、政策落实等全链条服务。</w:t>
            </w:r>
            <w:r>
              <w:rPr>
                <w:rFonts w:hint="eastAsia" w:ascii="宋体" w:hAnsi="宋体" w:eastAsia="宋体" w:cs="宋体"/>
                <w:b w:val="0"/>
                <w:bCs w:val="0"/>
                <w:color w:val="auto"/>
                <w:sz w:val="21"/>
                <w:szCs w:val="21"/>
              </w:rPr>
              <w:t>到2030年，</w:t>
            </w:r>
            <w:r>
              <w:rPr>
                <w:rFonts w:hint="eastAsia" w:ascii="宋体" w:hAnsi="宋体" w:eastAsia="宋体" w:cs="宋体"/>
                <w:b w:val="0"/>
                <w:bCs w:val="0"/>
                <w:color w:val="auto"/>
                <w:sz w:val="21"/>
                <w:szCs w:val="21"/>
                <w:lang w:val="en-US" w:eastAsia="zh-CN"/>
              </w:rPr>
              <w:t>力争</w:t>
            </w:r>
            <w:r>
              <w:rPr>
                <w:rFonts w:hint="eastAsia" w:ascii="宋体" w:hAnsi="宋体" w:eastAsia="宋体" w:cs="宋体"/>
                <w:b w:val="0"/>
                <w:bCs w:val="0"/>
                <w:color w:val="auto"/>
                <w:sz w:val="21"/>
                <w:szCs w:val="21"/>
              </w:rPr>
              <w:t>打造省级以上创业孵化平台</w:t>
            </w:r>
            <w:r>
              <w:rPr>
                <w:rFonts w:hint="eastAsia" w:ascii="宋体" w:hAnsi="宋体" w:eastAsia="宋体" w:cs="宋体"/>
                <w:b w:val="0"/>
                <w:bCs w:val="0"/>
                <w:color w:val="auto"/>
                <w:sz w:val="21"/>
                <w:szCs w:val="21"/>
                <w:lang w:val="en-US" w:eastAsia="zh-CN"/>
              </w:rPr>
              <w:t>2—3</w:t>
            </w:r>
            <w:r>
              <w:rPr>
                <w:rFonts w:hint="eastAsia" w:ascii="宋体" w:hAnsi="宋体" w:eastAsia="宋体" w:cs="宋体"/>
                <w:b w:val="0"/>
                <w:bCs w:val="0"/>
                <w:color w:val="auto"/>
                <w:sz w:val="21"/>
                <w:szCs w:val="21"/>
              </w:rPr>
              <w:t>家，市级创业载体达到35家以上</w:t>
            </w:r>
            <w:r>
              <w:rPr>
                <w:rFonts w:hint="eastAsia" w:ascii="宋体" w:hAnsi="宋体" w:eastAsia="宋体" w:cs="宋体"/>
                <w:b w:val="0"/>
                <w:bCs w:val="0"/>
                <w:color w:val="auto"/>
                <w:sz w:val="21"/>
                <w:szCs w:val="21"/>
                <w:lang w:eastAsia="zh-CN"/>
              </w:rPr>
              <w:t>。</w:t>
            </w:r>
          </w:p>
        </w:tc>
      </w:tr>
    </w:tbl>
    <w:p w14:paraId="0F93F826">
      <w:pPr>
        <w:pStyle w:val="2"/>
        <w:keepNext w:val="0"/>
        <w:keepLines w:val="0"/>
        <w:pageBreakBefore w:val="0"/>
        <w:widowControl w:val="0"/>
        <w:kinsoku/>
        <w:wordWrap/>
        <w:overflowPunct/>
        <w:topLinePunct w:val="0"/>
        <w:autoSpaceDE/>
        <w:autoSpaceDN/>
        <w:bidi w:val="0"/>
        <w:adjustRightInd/>
        <w:snapToGrid/>
        <w:spacing w:before="157" w:beforeLines="50" w:after="157" w:afterLines="50"/>
        <w:ind w:left="0" w:leftChars="0" w:firstLine="0" w:firstLineChars="0"/>
        <w:jc w:val="center"/>
        <w:textAlignment w:val="auto"/>
        <w:rPr>
          <w:rFonts w:hint="eastAsia" w:ascii="方正黑体_GBK" w:hAnsi="方正黑体_GBK" w:eastAsia="方正黑体_GBK" w:cs="方正黑体_GBK"/>
          <w:color w:val="auto"/>
          <w:sz w:val="32"/>
          <w:szCs w:val="32"/>
          <w:lang w:eastAsia="zh-CN"/>
        </w:rPr>
      </w:pPr>
      <w:r>
        <w:rPr>
          <w:rFonts w:hint="eastAsia" w:ascii="方正黑体_GBK" w:hAnsi="方正黑体_GBK" w:eastAsia="方正黑体_GBK" w:cs="方正黑体_GBK"/>
          <w:color w:val="auto"/>
          <w:sz w:val="32"/>
          <w:szCs w:val="32"/>
          <w:lang w:eastAsia="zh-CN"/>
        </w:rPr>
        <w:t>第二节  建设高质量教育体系</w:t>
      </w:r>
    </w:p>
    <w:p w14:paraId="67C77851">
      <w:pPr>
        <w:pStyle w:val="2"/>
        <w:keepNext w:val="0"/>
        <w:keepLines w:val="0"/>
        <w:pageBreakBefore w:val="0"/>
        <w:widowControl w:val="0"/>
        <w:kinsoku/>
        <w:wordWrap/>
        <w:overflowPunct/>
        <w:topLinePunct w:val="0"/>
        <w:autoSpaceDE/>
        <w:autoSpaceDN/>
        <w:bidi w:val="0"/>
        <w:adjustRightInd/>
        <w:snapToGrid/>
        <w:spacing w:after="0" w:line="540" w:lineRule="exact"/>
        <w:ind w:firstLine="640" w:firstLineChars="200"/>
        <w:textAlignment w:val="auto"/>
        <w:rPr>
          <w:rFonts w:hint="eastAsia" w:ascii="方正仿宋_GBK" w:hAnsi="方正仿宋_GBK" w:eastAsia="方正仿宋_GBK" w:cs="方正仿宋_GBK"/>
          <w:color w:val="auto"/>
          <w:sz w:val="32"/>
          <w:szCs w:val="32"/>
          <w:lang w:eastAsia="zh-CN"/>
        </w:rPr>
      </w:pPr>
      <w:r>
        <w:rPr>
          <w:rFonts w:hint="eastAsia" w:ascii="方正楷体_GBK" w:hAnsi="方正楷体_GBK" w:eastAsia="方正楷体_GBK" w:cs="方正楷体_GBK"/>
          <w:color w:val="auto"/>
          <w:sz w:val="32"/>
          <w:szCs w:val="32"/>
          <w:lang w:eastAsia="zh-CN"/>
        </w:rPr>
        <w:t>推进基础教育普惠优质均衡发展</w:t>
      </w:r>
      <w:r>
        <w:rPr>
          <w:rFonts w:hint="eastAsia" w:ascii="方正仿宋_GBK" w:hAnsi="方正仿宋_GBK" w:eastAsia="方正仿宋_GBK" w:cs="方正仿宋_GBK"/>
          <w:color w:val="auto"/>
          <w:sz w:val="32"/>
          <w:szCs w:val="32"/>
          <w:lang w:eastAsia="zh-CN"/>
        </w:rPr>
        <w:t>。健全与人口变化相适应的基础教育资源统筹调配机制，深入实施基础教育扩优提质工程，合理调整、优化中小学和幼儿园布局。不断加大公办幼儿园建设力度，完善普惠性民办幼儿园扶持政策，全面落实免费学前教育制度，提高公办幼儿园在园幼儿占比和普惠率。补足城区内基础教育布局短板，实施小班化教学改革。优化农村小规模学校布局，在保障学生就近入学的前提下，稳妥推进资源整合。积极稳妥推进乡镇九年一贯制学校建设，全域通过县域义务教育优质均衡发展和县域学前教育普及普惠国家督导评估认定。加快推动城乡普通高中教育协调发展，促进县中振兴，统筹推进全市普通高中学校特色化、多样化发展。全面构建适宜融合的特殊教育体系，加强专门学校建设和专门教育工作。</w:t>
      </w:r>
    </w:p>
    <w:p w14:paraId="11F559BE">
      <w:pPr>
        <w:pStyle w:val="2"/>
        <w:keepNext w:val="0"/>
        <w:keepLines w:val="0"/>
        <w:pageBreakBefore w:val="0"/>
        <w:widowControl w:val="0"/>
        <w:kinsoku/>
        <w:wordWrap/>
        <w:overflowPunct/>
        <w:topLinePunct w:val="0"/>
        <w:autoSpaceDE/>
        <w:autoSpaceDN/>
        <w:bidi w:val="0"/>
        <w:adjustRightInd/>
        <w:snapToGrid/>
        <w:spacing w:after="0" w:line="540" w:lineRule="exact"/>
        <w:ind w:firstLine="640" w:firstLineChars="200"/>
        <w:textAlignment w:val="auto"/>
        <w:rPr>
          <w:rFonts w:hint="eastAsia" w:ascii="方正仿宋_GBK" w:hAnsi="方正仿宋_GBK" w:eastAsia="方正仿宋_GBK" w:cs="方正仿宋_GBK"/>
          <w:color w:val="auto"/>
          <w:sz w:val="32"/>
          <w:szCs w:val="32"/>
          <w:lang w:eastAsia="zh-CN"/>
        </w:rPr>
      </w:pPr>
      <w:r>
        <w:rPr>
          <w:rFonts w:hint="eastAsia" w:ascii="方正楷体_GBK" w:hAnsi="方正楷体_GBK" w:eastAsia="方正楷体_GBK" w:cs="方正楷体_GBK"/>
          <w:color w:val="auto"/>
          <w:sz w:val="32"/>
          <w:szCs w:val="32"/>
          <w:lang w:eastAsia="zh-CN"/>
        </w:rPr>
        <w:t>深化职业教育产教融合。</w:t>
      </w:r>
      <w:r>
        <w:rPr>
          <w:rFonts w:hint="eastAsia" w:ascii="方正仿宋_GBK" w:hAnsi="方正仿宋_GBK" w:eastAsia="方正仿宋_GBK" w:cs="方正仿宋_GBK"/>
          <w:color w:val="auto"/>
          <w:sz w:val="32"/>
          <w:szCs w:val="32"/>
          <w:lang w:eastAsia="zh-CN"/>
        </w:rPr>
        <w:t>支持辽源职业技术学院提质培优，夯实办学基础，积极推动升格为本科层次职业技术大学。支持辽源职业技术学院申报定向培养军士任务，加强国防军事特色院校建设，加大急需军事人才培养力度。推动吉林师范大学辽源分院明确办学定位，调整优化专业方向和人才培养模式。全面推行校企协同育人机制，深化产教融合、校企合作，积极探索校企联合招生、委托培养、订单培养和定向培养。推动职业教育与军民融合深度发展，支持校企共建产业学院、生产性实训基地和高水平专业化实训中心。做大做强社会培训和继续教育，面向重点群体、重点领域开展高质量职业技能培训。构建“人才供给—技术赋能</w:t>
      </w:r>
    </w:p>
    <w:p w14:paraId="7B2437B5">
      <w:pPr>
        <w:pStyle w:val="2"/>
        <w:keepNext w:val="0"/>
        <w:keepLines w:val="0"/>
        <w:pageBreakBefore w:val="0"/>
        <w:widowControl w:val="0"/>
        <w:kinsoku/>
        <w:wordWrap/>
        <w:overflowPunct/>
        <w:topLinePunct w:val="0"/>
        <w:autoSpaceDE/>
        <w:autoSpaceDN/>
        <w:bidi w:val="0"/>
        <w:adjustRightInd/>
        <w:snapToGrid/>
        <w:spacing w:after="0" w:line="540" w:lineRule="exact"/>
        <w:textAlignment w:val="auto"/>
        <w:rPr>
          <w:rFonts w:hint="eastAsia" w:ascii="方正仿宋_GBK" w:hAnsi="方正仿宋_GBK" w:eastAsia="方正仿宋_GBK" w:cs="方正仿宋_GBK"/>
          <w:color w:val="auto"/>
          <w:sz w:val="32"/>
          <w:szCs w:val="32"/>
          <w:lang w:eastAsia="zh-CN"/>
        </w:rPr>
      </w:pPr>
      <w:r>
        <w:rPr>
          <w:rFonts w:hint="eastAsia" w:ascii="方正仿宋_GBK" w:hAnsi="方正仿宋_GBK" w:eastAsia="方正仿宋_GBK" w:cs="方正仿宋_GBK"/>
          <w:color w:val="auto"/>
          <w:sz w:val="32"/>
          <w:szCs w:val="32"/>
          <w:lang w:eastAsia="zh-CN"/>
        </w:rPr>
        <w:t>—标准输出”全链条服务体系，提升职业教育对产业升级的综合支撑能力。到2030年，建成全省重要的支撑工业转型升级和现代服务业发展的技术技能人才供应基地。</w:t>
      </w:r>
    </w:p>
    <w:p w14:paraId="05D5FADC">
      <w:pPr>
        <w:pStyle w:val="2"/>
        <w:keepNext w:val="0"/>
        <w:keepLines w:val="0"/>
        <w:pageBreakBefore w:val="0"/>
        <w:widowControl w:val="0"/>
        <w:kinsoku/>
        <w:wordWrap/>
        <w:overflowPunct/>
        <w:topLinePunct w:val="0"/>
        <w:autoSpaceDE/>
        <w:autoSpaceDN/>
        <w:bidi w:val="0"/>
        <w:adjustRightInd/>
        <w:snapToGrid/>
        <w:spacing w:after="0" w:line="540" w:lineRule="exact"/>
        <w:ind w:firstLine="640" w:firstLineChars="200"/>
        <w:textAlignment w:val="auto"/>
        <w:rPr>
          <w:rFonts w:hint="eastAsia" w:ascii="方正仿宋_GBK" w:hAnsi="方正仿宋_GBK" w:eastAsia="方正仿宋_GBK" w:cs="方正仿宋_GBK"/>
          <w:color w:val="auto"/>
          <w:sz w:val="32"/>
          <w:szCs w:val="32"/>
          <w:lang w:eastAsia="zh-CN"/>
        </w:rPr>
      </w:pPr>
      <w:r>
        <w:rPr>
          <w:rFonts w:hint="eastAsia" w:ascii="方正楷体_GBK" w:hAnsi="方正楷体_GBK" w:eastAsia="方正楷体_GBK" w:cs="方正楷体_GBK"/>
          <w:color w:val="auto"/>
          <w:sz w:val="32"/>
          <w:szCs w:val="32"/>
          <w:lang w:eastAsia="zh-CN"/>
        </w:rPr>
        <w:t>建设高素质专业化教师队伍</w:t>
      </w:r>
      <w:r>
        <w:rPr>
          <w:rFonts w:hint="eastAsia" w:ascii="方正仿宋_GBK" w:hAnsi="方正仿宋_GBK" w:eastAsia="方正仿宋_GBK" w:cs="方正仿宋_GBK"/>
          <w:color w:val="auto"/>
          <w:sz w:val="32"/>
          <w:szCs w:val="32"/>
          <w:lang w:eastAsia="zh-CN"/>
        </w:rPr>
        <w:t>。把教师队伍建设作为教育发展的基础性、战略性工程，着力构建师德高尚、业务精湛、结构合理、充满活力的新时代教师发展体系。健全师德师风建设长效机制，选树和宣传优秀教师典型，营造尊师重教的社会风尚。完善教师常态化补充和动态调整机制，优化教师队伍的学科、学历、年龄结构。实施教师学历与能力“双提升”计划，健全教师全员、分层、分类培训体系。深入推进义务教育教师“县管校聘”管理改革，强化县域内教师资源的统筹配置和管理。完善义务教育校长、教师交流轮岗制度，重点引导优秀教师向薄弱学校、乡村学校流动。优化教师岗位结构比例，科学核定中小学教职工编制。全面落实各类教师待遇政策，依法保障教师合法权益。切实减轻教师非教学负担，营造安心从教、静心育人的良好环境。</w:t>
      </w:r>
    </w:p>
    <w:p w14:paraId="130F23F9">
      <w:pPr>
        <w:pStyle w:val="2"/>
        <w:keepNext w:val="0"/>
        <w:keepLines w:val="0"/>
        <w:pageBreakBefore w:val="0"/>
        <w:widowControl w:val="0"/>
        <w:kinsoku/>
        <w:wordWrap/>
        <w:overflowPunct/>
        <w:topLinePunct w:val="0"/>
        <w:autoSpaceDE/>
        <w:autoSpaceDN/>
        <w:bidi w:val="0"/>
        <w:adjustRightInd/>
        <w:snapToGrid/>
        <w:spacing w:after="0" w:line="200" w:lineRule="exact"/>
        <w:ind w:firstLine="640" w:firstLineChars="200"/>
        <w:textAlignment w:val="auto"/>
        <w:rPr>
          <w:rFonts w:hint="eastAsia" w:ascii="方正仿宋_GBK" w:hAnsi="方正仿宋_GBK" w:eastAsia="方正仿宋_GBK" w:cs="方正仿宋_GBK"/>
          <w:color w:val="auto"/>
          <w:sz w:val="32"/>
          <w:szCs w:val="32"/>
          <w:lang w:eastAsia="zh-CN"/>
        </w:rPr>
      </w:pP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1B5C7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62" w:hRule="atLeast"/>
          <w:jc w:val="center"/>
        </w:trPr>
        <w:tc>
          <w:tcPr>
            <w:tcW w:w="8834" w:type="dxa"/>
            <w:noWrap w:val="0"/>
            <w:vAlign w:val="top"/>
          </w:tcPr>
          <w:p w14:paraId="6609F191">
            <w:pPr>
              <w:keepNext w:val="0"/>
              <w:keepLines w:val="0"/>
              <w:pageBreakBefore w:val="0"/>
              <w:widowControl w:val="0"/>
              <w:kinsoku/>
              <w:wordWrap/>
              <w:overflowPunct w:val="0"/>
              <w:topLinePunct/>
              <w:autoSpaceDE/>
              <w:autoSpaceDN/>
              <w:bidi w:val="0"/>
              <w:adjustRightInd/>
              <w:snapToGrid/>
              <w:spacing w:before="156" w:beforeLines="50" w:after="156" w:afterLines="50" w:line="340" w:lineRule="exact"/>
              <w:ind w:firstLine="0" w:firstLineChars="0"/>
              <w:jc w:val="center"/>
              <w:textAlignment w:val="auto"/>
              <w:rPr>
                <w:rFonts w:hint="eastAsia" w:ascii="方正黑体_GBK" w:hAnsi="方正黑体_GBK" w:eastAsia="方正黑体_GBK" w:cs="方正黑体_GBK"/>
                <w:b w:val="0"/>
                <w:bCs w:val="0"/>
                <w:color w:val="auto"/>
                <w:sz w:val="28"/>
                <w:szCs w:val="28"/>
                <w:lang w:val="en-US" w:eastAsia="zh-CN"/>
              </w:rPr>
            </w:pPr>
            <w:r>
              <w:rPr>
                <w:rFonts w:hint="eastAsia" w:ascii="方正黑体_GBK" w:hAnsi="方正黑体_GBK" w:eastAsia="方正黑体_GBK" w:cs="方正黑体_GBK"/>
                <w:b w:val="0"/>
                <w:bCs w:val="0"/>
                <w:color w:val="auto"/>
                <w:sz w:val="28"/>
                <w:szCs w:val="28"/>
              </w:rPr>
              <w:t>专栏</w:t>
            </w:r>
            <w:r>
              <w:rPr>
                <w:rFonts w:hint="eastAsia" w:ascii="方正黑体_GBK" w:hAnsi="方正黑体_GBK" w:eastAsia="方正黑体_GBK" w:cs="方正黑体_GBK"/>
                <w:b w:val="0"/>
                <w:bCs w:val="0"/>
                <w:color w:val="auto"/>
                <w:sz w:val="28"/>
                <w:szCs w:val="28"/>
                <w:lang w:val="en-US" w:eastAsia="zh-CN"/>
              </w:rPr>
              <w:t>15</w:t>
            </w:r>
            <w:r>
              <w:rPr>
                <w:rFonts w:hint="eastAsia" w:ascii="方正黑体_GBK" w:hAnsi="方正黑体_GBK" w:eastAsia="方正黑体_GBK" w:cs="方正黑体_GBK"/>
                <w:b w:val="0"/>
                <w:bCs w:val="0"/>
                <w:color w:val="auto"/>
                <w:sz w:val="28"/>
                <w:szCs w:val="28"/>
              </w:rPr>
              <w:t xml:space="preserve">  高质量教育</w:t>
            </w:r>
            <w:r>
              <w:rPr>
                <w:rFonts w:hint="eastAsia" w:ascii="方正黑体_GBK" w:hAnsi="方正黑体_GBK" w:eastAsia="方正黑体_GBK" w:cs="方正黑体_GBK"/>
                <w:b w:val="0"/>
                <w:bCs w:val="0"/>
                <w:color w:val="auto"/>
                <w:sz w:val="28"/>
                <w:szCs w:val="28"/>
                <w:lang w:val="en-US" w:eastAsia="zh-CN"/>
              </w:rPr>
              <w:t>体系建设工程</w:t>
            </w:r>
          </w:p>
          <w:p w14:paraId="73DEDCC8">
            <w:pPr>
              <w:keepNext w:val="0"/>
              <w:keepLines w:val="0"/>
              <w:pageBreakBefore w:val="0"/>
              <w:widowControl w:val="0"/>
              <w:kinsoku/>
              <w:wordWrap/>
              <w:overflowPunct w:val="0"/>
              <w:topLinePunct/>
              <w:autoSpaceDE/>
              <w:autoSpaceDN/>
              <w:bidi w:val="0"/>
              <w:adjustRightInd/>
              <w:snapToGrid/>
              <w:spacing w:line="340" w:lineRule="exact"/>
              <w:ind w:firstLine="422"/>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 xml:space="preserve">1. </w:t>
            </w:r>
            <w:r>
              <w:rPr>
                <w:rFonts w:hint="eastAsia" w:ascii="宋体" w:hAnsi="宋体" w:eastAsia="宋体" w:cs="宋体"/>
                <w:b w:val="0"/>
                <w:bCs w:val="0"/>
                <w:color w:val="auto"/>
                <w:sz w:val="21"/>
                <w:szCs w:val="21"/>
              </w:rPr>
              <w:t>基础教育优质均衡工程</w:t>
            </w:r>
            <w:r>
              <w:rPr>
                <w:rFonts w:hint="eastAsia" w:ascii="宋体" w:hAnsi="宋体" w:eastAsia="宋体" w:cs="宋体"/>
                <w:b w:val="0"/>
                <w:bCs w:val="0"/>
                <w:color w:val="auto"/>
                <w:sz w:val="21"/>
                <w:szCs w:val="21"/>
                <w:lang w:val="en-US" w:eastAsia="zh-CN"/>
              </w:rPr>
              <w:t xml:space="preserve"> </w:t>
            </w:r>
          </w:p>
          <w:p w14:paraId="7CCC5989">
            <w:pPr>
              <w:keepNext w:val="0"/>
              <w:keepLines w:val="0"/>
              <w:pageBreakBefore w:val="0"/>
              <w:widowControl w:val="0"/>
              <w:kinsoku/>
              <w:wordWrap/>
              <w:overflowPunct w:val="0"/>
              <w:topLinePunct/>
              <w:autoSpaceDE/>
              <w:autoSpaceDN/>
              <w:bidi w:val="0"/>
              <w:adjustRightInd/>
              <w:snapToGrid/>
              <w:spacing w:line="340" w:lineRule="exact"/>
              <w:ind w:firstLine="422"/>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深入推进义务教育“双减”和强校提质，扩大优质教育资源覆盖面。在学龄人口集中流入区域，新建、改扩建一批公办幼儿园和义务教育学校，</w:t>
            </w:r>
            <w:r>
              <w:rPr>
                <w:rFonts w:hint="eastAsia" w:ascii="宋体" w:hAnsi="宋体" w:eastAsia="宋体" w:cs="宋体"/>
                <w:b w:val="0"/>
                <w:bCs w:val="0"/>
                <w:color w:val="auto"/>
                <w:sz w:val="21"/>
                <w:szCs w:val="21"/>
                <w:lang w:val="en-US" w:eastAsia="zh-CN"/>
              </w:rPr>
              <w:t>谋划推进教育办学水平提升工程</w:t>
            </w: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lang w:val="en-US" w:eastAsia="zh-CN"/>
              </w:rPr>
              <w:t>改造提升各中学、小学、幼儿园等办学条件和水平</w:t>
            </w:r>
            <w:r>
              <w:rPr>
                <w:rFonts w:hint="eastAsia" w:ascii="宋体" w:hAnsi="宋体" w:eastAsia="宋体" w:cs="宋体"/>
                <w:b w:val="0"/>
                <w:bCs w:val="0"/>
                <w:color w:val="auto"/>
                <w:sz w:val="21"/>
                <w:szCs w:val="21"/>
              </w:rPr>
              <w:t>。到20</w:t>
            </w:r>
            <w:r>
              <w:rPr>
                <w:rFonts w:hint="eastAsia" w:ascii="宋体" w:hAnsi="宋体" w:eastAsia="宋体" w:cs="宋体"/>
                <w:b w:val="0"/>
                <w:bCs w:val="0"/>
                <w:color w:val="auto"/>
                <w:sz w:val="21"/>
                <w:szCs w:val="21"/>
                <w:lang w:val="en-US" w:eastAsia="zh-CN"/>
              </w:rPr>
              <w:t>30</w:t>
            </w:r>
            <w:r>
              <w:rPr>
                <w:rFonts w:hint="eastAsia" w:ascii="宋体" w:hAnsi="宋体" w:eastAsia="宋体" w:cs="宋体"/>
                <w:b w:val="0"/>
                <w:bCs w:val="0"/>
                <w:color w:val="auto"/>
                <w:sz w:val="21"/>
                <w:szCs w:val="21"/>
              </w:rPr>
              <w:t>年，力争实现义务教育优质均衡县（区）创建取得突破，学前教育公办园在园幼儿占比和普惠性覆盖率持续巩固。</w:t>
            </w:r>
          </w:p>
          <w:p w14:paraId="13A76D87">
            <w:pPr>
              <w:keepNext w:val="0"/>
              <w:keepLines w:val="0"/>
              <w:pageBreakBefore w:val="0"/>
              <w:widowControl w:val="0"/>
              <w:kinsoku/>
              <w:wordWrap/>
              <w:overflowPunct w:val="0"/>
              <w:topLinePunct/>
              <w:autoSpaceDE/>
              <w:autoSpaceDN/>
              <w:bidi w:val="0"/>
              <w:adjustRightInd/>
              <w:snapToGrid/>
              <w:spacing w:line="340" w:lineRule="exact"/>
              <w:ind w:firstLine="422"/>
              <w:textAlignment w:val="auto"/>
              <w:rPr>
                <w:rFonts w:hint="eastAsia" w:ascii="宋体" w:hAnsi="宋体" w:eastAsia="宋体" w:cs="宋体"/>
                <w:b w:val="0"/>
                <w:bCs w:val="0"/>
                <w:color w:val="auto"/>
                <w:sz w:val="21"/>
                <w:szCs w:val="21"/>
                <w:lang w:eastAsia="zh-CN"/>
              </w:rPr>
            </w:pPr>
            <w:r>
              <w:rPr>
                <w:rFonts w:hint="eastAsia" w:ascii="宋体" w:hAnsi="宋体" w:eastAsia="宋体" w:cs="宋体"/>
                <w:b w:val="0"/>
                <w:bCs w:val="0"/>
                <w:color w:val="auto"/>
                <w:sz w:val="21"/>
                <w:szCs w:val="21"/>
                <w:lang w:val="en-US" w:eastAsia="zh-CN"/>
              </w:rPr>
              <w:t xml:space="preserve">2. </w:t>
            </w:r>
            <w:r>
              <w:rPr>
                <w:rFonts w:hint="eastAsia" w:ascii="宋体" w:hAnsi="宋体" w:eastAsia="宋体" w:cs="宋体"/>
                <w:b w:val="0"/>
                <w:bCs w:val="0"/>
                <w:color w:val="auto"/>
                <w:sz w:val="21"/>
                <w:szCs w:val="21"/>
              </w:rPr>
              <w:t>职业教育</w:t>
            </w:r>
            <w:r>
              <w:rPr>
                <w:rFonts w:hint="eastAsia" w:ascii="宋体" w:hAnsi="宋体" w:eastAsia="宋体" w:cs="宋体"/>
                <w:b w:val="0"/>
                <w:bCs w:val="0"/>
                <w:strike w:val="0"/>
                <w:dstrike w:val="0"/>
                <w:color w:val="auto"/>
                <w:sz w:val="21"/>
                <w:szCs w:val="21"/>
                <w:highlight w:val="none"/>
                <w:lang w:val="en-US" w:eastAsia="zh-CN"/>
              </w:rPr>
              <w:t>提质增效</w:t>
            </w:r>
            <w:r>
              <w:rPr>
                <w:rFonts w:hint="eastAsia" w:ascii="宋体" w:hAnsi="宋体" w:eastAsia="宋体" w:cs="宋体"/>
                <w:b w:val="0"/>
                <w:bCs w:val="0"/>
                <w:color w:val="auto"/>
                <w:sz w:val="21"/>
                <w:szCs w:val="21"/>
              </w:rPr>
              <w:t>工程</w:t>
            </w:r>
          </w:p>
          <w:p w14:paraId="609C1E29">
            <w:pPr>
              <w:keepNext w:val="0"/>
              <w:keepLines w:val="0"/>
              <w:pageBreakBefore w:val="0"/>
              <w:widowControl w:val="0"/>
              <w:kinsoku/>
              <w:wordWrap/>
              <w:overflowPunct w:val="0"/>
              <w:topLinePunct/>
              <w:autoSpaceDE/>
              <w:autoSpaceDN/>
              <w:bidi w:val="0"/>
              <w:adjustRightInd/>
              <w:snapToGrid/>
              <w:spacing w:line="340" w:lineRule="exact"/>
              <w:ind w:firstLine="422"/>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rPr>
              <w:t>优化职业院校和专业布局，深化校企协同育人，全面推广“订单培养</w:t>
            </w: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strike w:val="0"/>
                <w:dstrike w:val="0"/>
                <w:color w:val="auto"/>
                <w:sz w:val="21"/>
                <w:szCs w:val="21"/>
                <w:highlight w:val="none"/>
                <w:lang w:val="en-US" w:eastAsia="zh-CN"/>
              </w:rPr>
              <w:t>定向培养</w:t>
            </w:r>
            <w:r>
              <w:rPr>
                <w:rFonts w:hint="eastAsia" w:ascii="宋体" w:hAnsi="宋体" w:eastAsia="宋体" w:cs="宋体"/>
                <w:b w:val="0"/>
                <w:bCs w:val="0"/>
                <w:strike w:val="0"/>
                <w:dstrike w:val="0"/>
                <w:color w:val="auto"/>
                <w:sz w:val="21"/>
                <w:szCs w:val="21"/>
                <w:highlight w:val="none"/>
                <w:lang w:eastAsia="zh-CN"/>
              </w:rPr>
              <w:t>”</w:t>
            </w:r>
            <w:r>
              <w:rPr>
                <w:rFonts w:hint="eastAsia" w:ascii="宋体" w:hAnsi="宋体" w:eastAsia="宋体" w:cs="宋体"/>
                <w:b w:val="0"/>
                <w:bCs w:val="0"/>
                <w:color w:val="auto"/>
                <w:sz w:val="21"/>
                <w:szCs w:val="21"/>
              </w:rPr>
              <w:t>等培养模式</w:t>
            </w: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rPr>
              <w:t>推动“双师型”教师队伍建设。推进辽源职业技术学院高技能人才培养和军民融合办学，建设军民无人机、应急救援、抢修抢建等新域新质国防动员力量（专业性）联合演训基地，探索低空经济与国防军事人才融合培养模式，逐步推动辽源职业技术学院升格本科和2027年教育部高等职业技术学校办学能力评价验收工作。</w:t>
            </w:r>
          </w:p>
          <w:p w14:paraId="48A9AED7">
            <w:pPr>
              <w:keepNext w:val="0"/>
              <w:keepLines w:val="0"/>
              <w:pageBreakBefore w:val="0"/>
              <w:widowControl w:val="0"/>
              <w:kinsoku/>
              <w:wordWrap/>
              <w:overflowPunct w:val="0"/>
              <w:topLinePunct/>
              <w:autoSpaceDE/>
              <w:autoSpaceDN/>
              <w:bidi w:val="0"/>
              <w:adjustRightInd/>
              <w:snapToGrid/>
              <w:spacing w:line="340" w:lineRule="exact"/>
              <w:ind w:firstLine="422"/>
              <w:textAlignment w:val="auto"/>
              <w:rPr>
                <w:rFonts w:hint="eastAsia" w:ascii="宋体" w:hAnsi="宋体" w:eastAsia="宋体" w:cs="宋体"/>
                <w:b w:val="0"/>
                <w:bCs w:val="0"/>
                <w:color w:val="auto"/>
                <w:sz w:val="21"/>
                <w:szCs w:val="21"/>
                <w:lang w:eastAsia="zh-CN"/>
              </w:rPr>
            </w:pPr>
            <w:r>
              <w:rPr>
                <w:rFonts w:hint="eastAsia" w:ascii="宋体" w:hAnsi="宋体" w:eastAsia="宋体" w:cs="宋体"/>
                <w:b w:val="0"/>
                <w:bCs w:val="0"/>
                <w:color w:val="auto"/>
                <w:sz w:val="21"/>
                <w:szCs w:val="21"/>
                <w:lang w:val="en-US" w:eastAsia="zh-CN"/>
              </w:rPr>
              <w:t xml:space="preserve">3. </w:t>
            </w:r>
            <w:r>
              <w:rPr>
                <w:rFonts w:hint="eastAsia" w:ascii="宋体" w:hAnsi="宋体" w:eastAsia="宋体" w:cs="宋体"/>
                <w:b w:val="0"/>
                <w:bCs w:val="0"/>
                <w:color w:val="auto"/>
                <w:sz w:val="21"/>
                <w:szCs w:val="21"/>
              </w:rPr>
              <w:t>智慧教育赋能</w:t>
            </w:r>
            <w:r>
              <w:rPr>
                <w:rFonts w:hint="eastAsia" w:ascii="宋体" w:hAnsi="宋体" w:eastAsia="宋体" w:cs="宋体"/>
                <w:b w:val="0"/>
                <w:bCs w:val="0"/>
                <w:color w:val="auto"/>
                <w:sz w:val="21"/>
                <w:szCs w:val="21"/>
                <w:lang w:val="en-US" w:eastAsia="zh-CN"/>
              </w:rPr>
              <w:t>升级</w:t>
            </w:r>
            <w:r>
              <w:rPr>
                <w:rFonts w:hint="eastAsia" w:ascii="宋体" w:hAnsi="宋体" w:eastAsia="宋体" w:cs="宋体"/>
                <w:b w:val="0"/>
                <w:bCs w:val="0"/>
                <w:color w:val="auto"/>
                <w:sz w:val="21"/>
                <w:szCs w:val="21"/>
              </w:rPr>
              <w:t>工程</w:t>
            </w:r>
          </w:p>
          <w:p w14:paraId="7C20A2A2">
            <w:pPr>
              <w:keepNext w:val="0"/>
              <w:keepLines w:val="0"/>
              <w:pageBreakBefore w:val="0"/>
              <w:widowControl w:val="0"/>
              <w:kinsoku/>
              <w:wordWrap/>
              <w:overflowPunct w:val="0"/>
              <w:topLinePunct/>
              <w:autoSpaceDE/>
              <w:autoSpaceDN/>
              <w:bidi w:val="0"/>
              <w:adjustRightInd/>
              <w:snapToGrid/>
              <w:spacing w:line="340" w:lineRule="exact"/>
              <w:ind w:firstLine="422"/>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以教育数字化转型驱动教育教学变革，整合汇聚优质数字教育资源，推动网络教研、在线课堂、个性化学习等深度应用</w:t>
            </w: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rPr>
              <w:t>实现教学、管理、评价等核心业务的数字化转型</w:t>
            </w: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rPr>
              <w:t>常态化开展数字化教学能力培训</w:t>
            </w: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rPr>
              <w:t>全面提升教育教学质量</w:t>
            </w:r>
            <w:r>
              <w:rPr>
                <w:rFonts w:hint="eastAsia" w:ascii="宋体" w:hAnsi="宋体" w:eastAsia="宋体" w:cs="宋体"/>
                <w:b w:val="0"/>
                <w:bCs w:val="0"/>
                <w:color w:val="auto"/>
                <w:sz w:val="21"/>
                <w:szCs w:val="21"/>
                <w:lang w:eastAsia="zh-CN"/>
              </w:rPr>
              <w:t>，稳步推进智慧校园建设</w:t>
            </w:r>
            <w:r>
              <w:rPr>
                <w:rFonts w:hint="eastAsia" w:ascii="宋体" w:hAnsi="宋体" w:eastAsia="宋体" w:cs="宋体"/>
                <w:b w:val="0"/>
                <w:bCs w:val="0"/>
                <w:color w:val="auto"/>
                <w:sz w:val="21"/>
                <w:szCs w:val="21"/>
              </w:rPr>
              <w:t>。</w:t>
            </w:r>
          </w:p>
          <w:p w14:paraId="6587FF08">
            <w:pPr>
              <w:keepNext w:val="0"/>
              <w:keepLines w:val="0"/>
              <w:pageBreakBefore w:val="0"/>
              <w:widowControl w:val="0"/>
              <w:kinsoku/>
              <w:wordWrap/>
              <w:overflowPunct w:val="0"/>
              <w:topLinePunct/>
              <w:autoSpaceDE/>
              <w:autoSpaceDN/>
              <w:bidi w:val="0"/>
              <w:adjustRightInd/>
              <w:snapToGrid/>
              <w:spacing w:line="340" w:lineRule="exact"/>
              <w:ind w:firstLine="422"/>
              <w:textAlignment w:val="auto"/>
              <w:rPr>
                <w:rFonts w:hint="eastAsia" w:ascii="宋体" w:hAnsi="宋体" w:eastAsia="宋体" w:cs="宋体"/>
                <w:b w:val="0"/>
                <w:bCs w:val="0"/>
                <w:color w:val="auto"/>
                <w:sz w:val="21"/>
                <w:szCs w:val="21"/>
                <w:lang w:eastAsia="zh-CN"/>
              </w:rPr>
            </w:pPr>
            <w:r>
              <w:rPr>
                <w:rFonts w:hint="eastAsia" w:ascii="宋体" w:hAnsi="宋体" w:eastAsia="宋体" w:cs="宋体"/>
                <w:b w:val="0"/>
                <w:bCs w:val="0"/>
                <w:color w:val="auto"/>
                <w:sz w:val="21"/>
                <w:szCs w:val="21"/>
                <w:lang w:val="en-US" w:eastAsia="zh-CN"/>
              </w:rPr>
              <w:t xml:space="preserve">4. </w:t>
            </w:r>
            <w:r>
              <w:rPr>
                <w:rFonts w:hint="eastAsia" w:ascii="宋体" w:hAnsi="宋体" w:eastAsia="宋体" w:cs="宋体"/>
                <w:b w:val="0"/>
                <w:bCs w:val="0"/>
                <w:color w:val="auto"/>
                <w:sz w:val="21"/>
                <w:szCs w:val="21"/>
              </w:rPr>
              <w:t>特殊教育融合发展工程</w:t>
            </w:r>
          </w:p>
          <w:p w14:paraId="4DE54996">
            <w:pPr>
              <w:keepNext w:val="0"/>
              <w:keepLines w:val="0"/>
              <w:pageBreakBefore w:val="0"/>
              <w:widowControl w:val="0"/>
              <w:kinsoku/>
              <w:wordWrap/>
              <w:overflowPunct w:val="0"/>
              <w:topLinePunct/>
              <w:autoSpaceDE/>
              <w:autoSpaceDN/>
              <w:bidi w:val="0"/>
              <w:adjustRightInd/>
              <w:snapToGrid/>
              <w:spacing w:line="340" w:lineRule="exact"/>
              <w:ind w:firstLine="422"/>
              <w:textAlignment w:val="auto"/>
              <w:rPr>
                <w:rFonts w:hint="default" w:ascii="Times New Roman" w:hAnsi="Times New Roman" w:eastAsia="宋体" w:cs="Times New Roman"/>
                <w:color w:val="auto"/>
                <w:sz w:val="21"/>
                <w:szCs w:val="21"/>
              </w:rPr>
            </w:pPr>
            <w:r>
              <w:rPr>
                <w:rFonts w:hint="eastAsia" w:ascii="宋体" w:hAnsi="宋体" w:eastAsia="宋体" w:cs="宋体"/>
                <w:b w:val="0"/>
                <w:bCs w:val="0"/>
                <w:color w:val="auto"/>
                <w:sz w:val="21"/>
                <w:szCs w:val="21"/>
              </w:rPr>
              <w:t>加强市、县特殊教育资源和普通学校</w:t>
            </w:r>
            <w:r>
              <w:rPr>
                <w:rFonts w:hint="eastAsia" w:ascii="宋体" w:hAnsi="宋体" w:eastAsia="宋体" w:cs="宋体"/>
                <w:b w:val="0"/>
                <w:bCs w:val="0"/>
                <w:color w:val="auto"/>
                <w:sz w:val="21"/>
                <w:szCs w:val="21"/>
                <w:lang w:val="en-US" w:eastAsia="zh-CN"/>
              </w:rPr>
              <w:t>教育</w:t>
            </w:r>
            <w:r>
              <w:rPr>
                <w:rFonts w:hint="eastAsia" w:ascii="宋体" w:hAnsi="宋体" w:eastAsia="宋体" w:cs="宋体"/>
                <w:b w:val="0"/>
                <w:bCs w:val="0"/>
                <w:color w:val="auto"/>
                <w:sz w:val="21"/>
                <w:szCs w:val="21"/>
              </w:rPr>
              <w:t>资源建设</w:t>
            </w: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rPr>
              <w:t>推进普通教育与特殊教育课程教学深度融合</w:t>
            </w: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lang w:val="en-US" w:eastAsia="zh-CN"/>
              </w:rPr>
              <w:t>优化提升市本级特殊教育学校教学能力和配套设施水平，研究论证在东丰县、东辽县建设特殊学校建设可行性</w:t>
            </w:r>
            <w:r>
              <w:rPr>
                <w:rFonts w:hint="eastAsia" w:ascii="宋体" w:hAnsi="宋体" w:eastAsia="宋体" w:cs="宋体"/>
                <w:b w:val="0"/>
                <w:bCs w:val="0"/>
                <w:color w:val="auto"/>
                <w:sz w:val="21"/>
                <w:szCs w:val="21"/>
              </w:rPr>
              <w:t>，探索适合残疾学生发展的职业教育路径</w:t>
            </w: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rPr>
              <w:t>到20</w:t>
            </w:r>
            <w:r>
              <w:rPr>
                <w:rFonts w:hint="eastAsia" w:ascii="宋体" w:hAnsi="宋体" w:eastAsia="宋体" w:cs="宋体"/>
                <w:b w:val="0"/>
                <w:bCs w:val="0"/>
                <w:color w:val="auto"/>
                <w:sz w:val="21"/>
                <w:szCs w:val="21"/>
                <w:lang w:val="en-US" w:eastAsia="zh-CN"/>
              </w:rPr>
              <w:t>30</w:t>
            </w:r>
            <w:r>
              <w:rPr>
                <w:rFonts w:hint="eastAsia" w:ascii="宋体" w:hAnsi="宋体" w:eastAsia="宋体" w:cs="宋体"/>
                <w:b w:val="0"/>
                <w:bCs w:val="0"/>
                <w:color w:val="auto"/>
                <w:sz w:val="21"/>
                <w:szCs w:val="21"/>
              </w:rPr>
              <w:t>年，全市适龄残疾儿童少年义务教育入学率</w:t>
            </w:r>
            <w:r>
              <w:rPr>
                <w:rFonts w:hint="eastAsia" w:ascii="宋体" w:hAnsi="宋体" w:eastAsia="宋体" w:cs="宋体"/>
                <w:b w:val="0"/>
                <w:bCs w:val="0"/>
                <w:color w:val="auto"/>
                <w:sz w:val="21"/>
                <w:szCs w:val="21"/>
                <w:lang w:val="en-US" w:eastAsia="zh-CN"/>
              </w:rPr>
              <w:t>达到</w:t>
            </w:r>
            <w:r>
              <w:rPr>
                <w:rFonts w:hint="eastAsia" w:ascii="宋体" w:hAnsi="宋体" w:eastAsia="宋体" w:cs="宋体"/>
                <w:b w:val="0"/>
                <w:bCs w:val="0"/>
                <w:color w:val="auto"/>
                <w:sz w:val="21"/>
                <w:szCs w:val="21"/>
              </w:rPr>
              <w:t>9</w:t>
            </w:r>
            <w:r>
              <w:rPr>
                <w:rFonts w:hint="eastAsia" w:ascii="宋体" w:hAnsi="宋体" w:eastAsia="宋体" w:cs="宋体"/>
                <w:b w:val="0"/>
                <w:bCs w:val="0"/>
                <w:color w:val="auto"/>
                <w:sz w:val="21"/>
                <w:szCs w:val="21"/>
                <w:lang w:val="en-US" w:eastAsia="zh-CN"/>
              </w:rPr>
              <w:t>7</w:t>
            </w:r>
            <w:r>
              <w:rPr>
                <w:rFonts w:hint="eastAsia" w:ascii="宋体" w:hAnsi="宋体" w:eastAsia="宋体" w:cs="宋体"/>
                <w:b w:val="0"/>
                <w:bCs w:val="0"/>
                <w:color w:val="auto"/>
                <w:sz w:val="21"/>
                <w:szCs w:val="21"/>
              </w:rPr>
              <w:t>%以上</w:t>
            </w:r>
            <w:r>
              <w:rPr>
                <w:rFonts w:hint="eastAsia" w:ascii="宋体" w:hAnsi="宋体" w:eastAsia="宋体" w:cs="宋体"/>
                <w:b w:val="0"/>
                <w:bCs w:val="0"/>
                <w:color w:val="auto"/>
                <w:sz w:val="21"/>
                <w:szCs w:val="21"/>
                <w:lang w:eastAsia="zh-CN"/>
              </w:rPr>
              <w:t>。</w:t>
            </w:r>
          </w:p>
        </w:tc>
      </w:tr>
    </w:tbl>
    <w:p w14:paraId="0B07CF12">
      <w:pPr>
        <w:pStyle w:val="2"/>
        <w:keepNext w:val="0"/>
        <w:keepLines w:val="0"/>
        <w:pageBreakBefore w:val="0"/>
        <w:widowControl w:val="0"/>
        <w:kinsoku/>
        <w:wordWrap/>
        <w:overflowPunct/>
        <w:topLinePunct w:val="0"/>
        <w:autoSpaceDE/>
        <w:autoSpaceDN/>
        <w:bidi w:val="0"/>
        <w:adjustRightInd/>
        <w:snapToGrid/>
        <w:spacing w:before="157" w:beforeLines="50" w:after="157" w:afterLines="50"/>
        <w:ind w:left="0" w:leftChars="0" w:firstLine="0" w:firstLineChars="0"/>
        <w:jc w:val="center"/>
        <w:textAlignment w:val="auto"/>
        <w:rPr>
          <w:rFonts w:hint="eastAsia" w:ascii="方正黑体_GBK" w:hAnsi="方正黑体_GBK" w:eastAsia="方正黑体_GBK" w:cs="方正黑体_GBK"/>
          <w:color w:val="auto"/>
          <w:sz w:val="32"/>
          <w:szCs w:val="32"/>
          <w:lang w:eastAsia="zh-CN"/>
        </w:rPr>
      </w:pPr>
      <w:r>
        <w:rPr>
          <w:rFonts w:hint="eastAsia" w:ascii="方正黑体_GBK" w:hAnsi="方正黑体_GBK" w:eastAsia="方正黑体_GBK" w:cs="方正黑体_GBK"/>
          <w:color w:val="auto"/>
          <w:sz w:val="32"/>
          <w:szCs w:val="32"/>
          <w:lang w:eastAsia="zh-CN"/>
        </w:rPr>
        <w:t>第三节  健全完善社会保障体系</w:t>
      </w:r>
    </w:p>
    <w:p w14:paraId="602DC38F">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方正仿宋_GBK" w:hAnsi="方正仿宋_GBK" w:eastAsia="方正仿宋_GBK" w:cs="方正仿宋_GBK"/>
          <w:color w:val="auto"/>
          <w:sz w:val="32"/>
          <w:szCs w:val="32"/>
          <w:lang w:eastAsia="zh-CN"/>
        </w:rPr>
      </w:pPr>
      <w:r>
        <w:rPr>
          <w:rFonts w:hint="eastAsia" w:ascii="方正楷体_GBK" w:hAnsi="方正楷体_GBK" w:eastAsia="方正楷体_GBK" w:cs="方正楷体_GBK"/>
          <w:color w:val="auto"/>
          <w:sz w:val="32"/>
          <w:szCs w:val="32"/>
          <w:lang w:eastAsia="zh-CN"/>
        </w:rPr>
        <w:t>完善社会保险与社会救助体系</w:t>
      </w:r>
      <w:r>
        <w:rPr>
          <w:rFonts w:hint="eastAsia" w:ascii="方正仿宋_GBK" w:hAnsi="方正仿宋_GBK" w:eastAsia="方正仿宋_GBK" w:cs="方正仿宋_GBK"/>
          <w:color w:val="auto"/>
          <w:sz w:val="32"/>
          <w:szCs w:val="32"/>
          <w:lang w:eastAsia="zh-CN"/>
        </w:rPr>
        <w:t>。落实企业职工基本养老保险全国统筹制度，持续推进机关事业单位养老保险制度改革。着力发展多层次多支柱养老保险体系，落实个人养老金制度。落实社会保险筹资和待遇合理调整机制，逐步提高城乡居民基础养老金。落实工伤保险省级统筹制度和新就业形态人员职业伤害保障制度。落实失业保险稳岗惠民政策。强化社保基金安全监管机制，确保各项社会保险待遇按时足额发放。优化社会保险经办管理服务体系。构建以基本医疗保险为主体、医疗救助为托底、大病保险与长期护理保险为补充的多层次医疗保障制度，推动医保服务向基层延伸。健全分层分类社会救助体系，合理调整低保标准，拓展基本生活救助与专项救助范围，加强对城乡低收入人口动态监测与常态化帮扶，推进“物质+服务”综合救助模式，强化对残疾人、下岗职工、失地农民等困难群体的基本生活保障。发挥商业保险补充作用，推进养老、健康等领域商业保险发展。</w:t>
      </w:r>
    </w:p>
    <w:p w14:paraId="51742A28">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方正仿宋_GBK" w:hAnsi="方正仿宋_GBK" w:eastAsia="方正仿宋_GBK" w:cs="方正仿宋_GBK"/>
          <w:color w:val="auto"/>
          <w:sz w:val="32"/>
          <w:szCs w:val="32"/>
          <w:lang w:eastAsia="zh-CN"/>
        </w:rPr>
      </w:pPr>
      <w:r>
        <w:rPr>
          <w:rFonts w:hint="eastAsia" w:ascii="方正楷体_GBK" w:hAnsi="方正楷体_GBK" w:eastAsia="方正楷体_GBK" w:cs="方正楷体_GBK"/>
          <w:color w:val="auto"/>
          <w:sz w:val="32"/>
          <w:szCs w:val="32"/>
          <w:lang w:eastAsia="zh-CN"/>
        </w:rPr>
        <w:t>加强重点群体服务保障与福利配套</w:t>
      </w:r>
      <w:r>
        <w:rPr>
          <w:rFonts w:hint="eastAsia" w:ascii="方正仿宋_GBK" w:hAnsi="方正仿宋_GBK" w:eastAsia="方正仿宋_GBK" w:cs="方正仿宋_GBK"/>
          <w:color w:val="auto"/>
          <w:sz w:val="32"/>
          <w:szCs w:val="32"/>
          <w:lang w:eastAsia="zh-CN"/>
        </w:rPr>
        <w:t>。健全退役军人服务保障制度，落实“阳光安置”机制，加强优抚对象待遇落实与关怀帮扶，维护军人军属合法权益。完善妇女儿童、空巢老人、困境儿童、残疾人等重点群体保障体系，提高孤儿、事实无人抚养儿童保障标准，加强儿童福利机构与关爱服务建设。健全残疾人关爱服务体系，推进康复、托养、就业服务和无障碍环境建设。完善公共法律服务体系，推动法律服务资源向基层延伸，拓展法律援助、调解咨询等公共服务。深化殡葬改革，推进殡葬服务公益化，加强公益性安葬设施建设。支持慈善事业与志愿服务健康发展，鼓励社会力量参与社会互助与公益服务。</w:t>
      </w:r>
    </w:p>
    <w:p w14:paraId="143711BA">
      <w:pPr>
        <w:pStyle w:val="2"/>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left="0" w:leftChars="0" w:firstLine="0" w:firstLineChars="0"/>
        <w:jc w:val="center"/>
        <w:textAlignment w:val="auto"/>
        <w:rPr>
          <w:rFonts w:hint="eastAsia" w:ascii="方正黑体_GBK" w:hAnsi="方正黑体_GBK" w:eastAsia="方正黑体_GBK" w:cs="方正黑体_GBK"/>
          <w:color w:val="auto"/>
          <w:sz w:val="32"/>
          <w:szCs w:val="32"/>
          <w:lang w:eastAsia="zh-CN"/>
        </w:rPr>
      </w:pPr>
      <w:r>
        <w:rPr>
          <w:rFonts w:hint="eastAsia" w:ascii="方正黑体_GBK" w:hAnsi="方正黑体_GBK" w:eastAsia="方正黑体_GBK" w:cs="方正黑体_GBK"/>
          <w:color w:val="auto"/>
          <w:sz w:val="32"/>
          <w:szCs w:val="32"/>
          <w:lang w:eastAsia="zh-CN"/>
        </w:rPr>
        <w:t>第四节  全面推进健康辽源建设</w:t>
      </w:r>
    </w:p>
    <w:p w14:paraId="26504ECD">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方正仿宋_GBK" w:hAnsi="方正仿宋_GBK" w:eastAsia="方正仿宋_GBK" w:cs="方正仿宋_GBK"/>
          <w:color w:val="auto"/>
          <w:sz w:val="32"/>
          <w:szCs w:val="32"/>
          <w:lang w:eastAsia="zh-CN"/>
        </w:rPr>
      </w:pPr>
      <w:r>
        <w:rPr>
          <w:rFonts w:hint="eastAsia" w:ascii="方正楷体_GBK" w:hAnsi="方正楷体_GBK" w:eastAsia="方正楷体_GBK" w:cs="方正楷体_GBK"/>
          <w:color w:val="auto"/>
          <w:sz w:val="32"/>
          <w:szCs w:val="32"/>
          <w:lang w:eastAsia="zh-CN"/>
        </w:rPr>
        <w:t>筑牢公共卫生防护体系</w:t>
      </w:r>
      <w:r>
        <w:rPr>
          <w:rFonts w:hint="eastAsia" w:ascii="方正仿宋_GBK" w:hAnsi="方正仿宋_GBK" w:eastAsia="方正仿宋_GBK" w:cs="方正仿宋_GBK"/>
          <w:color w:val="auto"/>
          <w:sz w:val="32"/>
          <w:szCs w:val="32"/>
          <w:lang w:eastAsia="zh-CN"/>
        </w:rPr>
        <w:t>。坚持预防为主、平战结合，全面构建体系健全、响应迅速、防控有力的现代化公共卫生安全网络。加快推进疾病预防控制体系现代化，规划布局市公共卫生中心，强化市、县（区）疾控机构能力建设。提升传染病疫情和突发公共卫生事件监测预警、风险评估、流行病学调查、检验检测和应急处置等核心能力。加强慢性病、职业病、地方病的综合防控和患者健康管理。完善精神卫生和心理健康服务体系，加强社会心理服务疏导和危机干预。健全基层公共卫生治理机制，全面落实乡镇（街道）、村（社区）公共卫生委员会职责。完善公共卫生医师制度，加强专业人才培养和配备。深入开展爱国卫生运动，完善健康促进政策与环境支持体系。推进全民健康信息平台建设，推广“互联网+医疗健康”便民服务，稳步推进居民电子健康档案规范应用与安全有序开放。</w:t>
      </w:r>
    </w:p>
    <w:p w14:paraId="6E63930A">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方正仿宋_GBK" w:hAnsi="方正仿宋_GBK" w:eastAsia="方正仿宋_GBK" w:cs="方正仿宋_GBK"/>
          <w:color w:val="auto"/>
          <w:sz w:val="32"/>
          <w:szCs w:val="32"/>
          <w:lang w:eastAsia="zh-CN"/>
        </w:rPr>
      </w:pPr>
      <w:r>
        <w:rPr>
          <w:rFonts w:hint="eastAsia" w:ascii="方正楷体_GBK" w:hAnsi="方正楷体_GBK" w:eastAsia="方正楷体_GBK" w:cs="方正楷体_GBK"/>
          <w:color w:val="auto"/>
          <w:sz w:val="32"/>
          <w:szCs w:val="32"/>
          <w:lang w:eastAsia="zh-CN"/>
        </w:rPr>
        <w:t>优化医疗服务资源布局与能力</w:t>
      </w:r>
      <w:r>
        <w:rPr>
          <w:rFonts w:hint="eastAsia" w:ascii="方正仿宋_GBK" w:hAnsi="方正仿宋_GBK" w:eastAsia="方正仿宋_GBK" w:cs="方正仿宋_GBK"/>
          <w:color w:val="auto"/>
          <w:sz w:val="32"/>
          <w:szCs w:val="32"/>
          <w:lang w:eastAsia="zh-CN"/>
        </w:rPr>
        <w:t>。优化区域医疗机构功能定位，推动市中心医院提质升级，创建三级甲等综合医院，打造区域医疗中心。推动辽源市人民医院等机构加强省级临床重点专科建设，提升疑难危重症诊疗、医学科技创新与人才培养能力。深化公立医院综合改革，加强临床专科能力、医疗质量安全、运营管理、信息化建设，健全以质量和效率为核心的现代医院管理制度与运行机制。加强社区卫生服务中心和乡镇卫生院的标准化、规范化建设。创新基层服务模式，推广实施“行走的医院”等项目，推动基本医疗、公共卫生和健康管理服务进村入户。实施医疗卫生强基工程，深化紧密型县域医共体建设，全面改善县（区）级医院基础设施和装备条件，推广实施卫生专业技术人员“县聘乡用、乡聘村用”，全面提升基层防病治病和健康管理能力。</w:t>
      </w:r>
    </w:p>
    <w:p w14:paraId="65082414">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方正仿宋_GBK" w:hAnsi="方正仿宋_GBK" w:eastAsia="方正仿宋_GBK" w:cs="方正仿宋_GBK"/>
          <w:color w:val="auto"/>
          <w:sz w:val="32"/>
          <w:szCs w:val="32"/>
          <w:lang w:eastAsia="zh-CN"/>
        </w:rPr>
      </w:pPr>
      <w:r>
        <w:rPr>
          <w:rFonts w:hint="eastAsia" w:ascii="方正楷体_GBK" w:hAnsi="方正楷体_GBK" w:eastAsia="方正楷体_GBK" w:cs="方正楷体_GBK"/>
          <w:color w:val="auto"/>
          <w:sz w:val="32"/>
          <w:szCs w:val="32"/>
          <w:lang w:eastAsia="zh-CN"/>
        </w:rPr>
        <w:t>深化医药卫生体制机制改革</w:t>
      </w:r>
      <w:r>
        <w:rPr>
          <w:rFonts w:hint="eastAsia" w:ascii="方正仿宋_GBK" w:hAnsi="方正仿宋_GBK" w:eastAsia="方正仿宋_GBK" w:cs="方正仿宋_GBK"/>
          <w:color w:val="auto"/>
          <w:sz w:val="32"/>
          <w:szCs w:val="32"/>
          <w:lang w:eastAsia="zh-CN"/>
        </w:rPr>
        <w:t>。深入学习推广“三明医改”经验，统筹推进医疗服务体系、医疗保障制度、药品供应保障综合改革。持续推进医保支付方式改革，全面推行以按病种付费为主的多元复合式医保支付方式，引导医疗机构规范诊疗行为、控制医疗成本。健全医保目录动态调整机制。推动医保经办服务下沉，加强乡镇（街道）、村（社区）医保服务站（点）建设。全面落实国家、省级药品和医用耗材集中带量采购政策，加强集采药品、耗材精细化管理与临床合理使用监测。健全药品临床综合评价机制，促进优先使用仿制药和优质低价药。推动辽源市中医医院建设中医特色重点医院，健全覆盖城乡的中医药服务体系，强化社区卫生服务中心和乡镇卫生院中医馆服务能力。大力推广中医药适宜技术，加强中西医临床协作，促进中西医优势互补、协同发展。</w:t>
      </w:r>
    </w:p>
    <w:p w14:paraId="0139431E">
      <w:pPr>
        <w:pStyle w:val="2"/>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left="0" w:leftChars="0" w:firstLine="0" w:firstLineChars="0"/>
        <w:jc w:val="center"/>
        <w:textAlignment w:val="auto"/>
        <w:rPr>
          <w:rFonts w:hint="eastAsia" w:ascii="方正黑体_GBK" w:hAnsi="方正黑体_GBK" w:eastAsia="方正黑体_GBK" w:cs="方正黑体_GBK"/>
          <w:color w:val="auto"/>
          <w:sz w:val="32"/>
          <w:szCs w:val="32"/>
          <w:lang w:eastAsia="zh-CN"/>
        </w:rPr>
      </w:pPr>
      <w:r>
        <w:rPr>
          <w:rFonts w:hint="eastAsia" w:ascii="方正黑体_GBK" w:hAnsi="方正黑体_GBK" w:eastAsia="方正黑体_GBK" w:cs="方正黑体_GBK"/>
          <w:color w:val="auto"/>
          <w:sz w:val="32"/>
          <w:szCs w:val="32"/>
          <w:lang w:eastAsia="zh-CN"/>
        </w:rPr>
        <w:t>第五节  促进人口高质量发展</w:t>
      </w:r>
    </w:p>
    <w:p w14:paraId="7737ABA4">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方正仿宋_GBK" w:hAnsi="方正仿宋_GBK" w:eastAsia="方正仿宋_GBK" w:cs="方正仿宋_GBK"/>
          <w:color w:val="auto"/>
          <w:sz w:val="32"/>
          <w:szCs w:val="32"/>
          <w:lang w:eastAsia="zh-CN"/>
        </w:rPr>
      </w:pPr>
      <w:r>
        <w:rPr>
          <w:rFonts w:hint="eastAsia" w:ascii="方正楷体_GBK" w:hAnsi="方正楷体_GBK" w:eastAsia="方正楷体_GBK" w:cs="方正楷体_GBK"/>
          <w:color w:val="auto"/>
          <w:sz w:val="32"/>
          <w:szCs w:val="32"/>
          <w:lang w:eastAsia="zh-CN"/>
        </w:rPr>
        <w:t>提高人口生育水平</w:t>
      </w:r>
      <w:r>
        <w:rPr>
          <w:rFonts w:hint="eastAsia" w:ascii="方正仿宋_GBK" w:hAnsi="方正仿宋_GBK" w:eastAsia="方正仿宋_GBK" w:cs="方正仿宋_GBK"/>
          <w:color w:val="auto"/>
          <w:sz w:val="32"/>
          <w:szCs w:val="32"/>
          <w:lang w:eastAsia="zh-CN"/>
        </w:rPr>
        <w:t>。实施积极生育支持政策体系，着力降低生育、养育、教育成本，营造婚育友好社会氛围，促进人口长期均衡发展。落实并完善生育补贴、个人所得税专项附加扣除、普惠托育服务补助等制度。优化生育休假制度，保障职工生育休假权益。推动住房、教育、社保等政策与生育政策配套衔接。深入实施母婴安全行动提升计划，为妇女儿童提供系统、规范的婚前、孕前、孕期、产后和儿童期健康管理服务。加强出生缺陷综合防治，提高出生人口素质。大力发展普惠托育服务，鼓励发展社区嵌入式、单位福利性、幼儿园延伸式、居家照护式等多种模式托育服务。加快推进托幼一体化布局，支持有条件的幼儿园开设托班。健全基层儿童保护工作网络，完善困境儿童分类保障和关爱服务机制。规范收养登记管理。</w:t>
      </w:r>
    </w:p>
    <w:p w14:paraId="09F87FCE">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方正仿宋_GBK" w:hAnsi="方正仿宋_GBK" w:eastAsia="方正仿宋_GBK" w:cs="方正仿宋_GBK"/>
          <w:color w:val="auto"/>
          <w:sz w:val="32"/>
          <w:szCs w:val="32"/>
          <w:lang w:eastAsia="zh-CN"/>
        </w:rPr>
      </w:pPr>
      <w:r>
        <w:rPr>
          <w:rFonts w:hint="eastAsia" w:ascii="方正楷体_GBK" w:hAnsi="方正楷体_GBK" w:eastAsia="方正楷体_GBK" w:cs="方正楷体_GBK"/>
          <w:color w:val="auto"/>
          <w:sz w:val="32"/>
          <w:szCs w:val="32"/>
          <w:lang w:eastAsia="zh-CN"/>
        </w:rPr>
        <w:t>完善普惠养老体系。</w:t>
      </w:r>
      <w:r>
        <w:rPr>
          <w:rFonts w:hint="eastAsia" w:ascii="方正仿宋_GBK" w:hAnsi="方正仿宋_GBK" w:eastAsia="方正仿宋_GBK" w:cs="方正仿宋_GBK"/>
          <w:color w:val="auto"/>
          <w:sz w:val="32"/>
          <w:szCs w:val="32"/>
          <w:lang w:eastAsia="zh-CN"/>
        </w:rPr>
        <w:t>积极应对人口老龄化，加快构建覆盖城乡、分布均衡、功能完善、普惠可及、医养康养相结合的养老服务体系。优化市、县（区）、乡镇（街道）、村（社区）四级养老服务设施布局。在城市，建设15分钟养老服务圈，推进街道综合养老服务中心、社区养老服务站全覆盖，发展社区嵌入式养老服务机构。在农村，健全以乡镇区域性养老服务中心、村级互助养老服务设施为主体的服务网络。持续推进公共基础设施、老年人家庭适老化与无障碍改造。推动医疗卫生服务与养老服务资源有效整合、服务有序衔接。支持养老机构与医疗卫生机构开展多种形式合作，提升护理型床位占比和服务能力。稳步扩大家庭病床、安宁疗护服务覆盖面。推动养老事业与养老产业协同发展，激发老年产品和服务市场活力。培育康复辅助器具、智慧健康养老、老年休闲旅游、适老化产品制造等新业态。鼓励社会力量参与养老服务供给，支持品牌化、连锁化发展。按照国家统一部署，稳步实施渐进式延迟法定退休年龄政策。</w:t>
      </w:r>
    </w:p>
    <w:p w14:paraId="57FFDB91">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方正仿宋_GBK" w:hAnsi="方正仿宋_GBK" w:eastAsia="方正仿宋_GBK" w:cs="方正仿宋_GBK"/>
          <w:color w:val="auto"/>
          <w:sz w:val="32"/>
          <w:szCs w:val="32"/>
          <w:lang w:eastAsia="zh-CN"/>
        </w:rPr>
      </w:pPr>
      <w:r>
        <w:rPr>
          <w:rFonts w:hint="eastAsia" w:ascii="方正楷体_GBK" w:hAnsi="方正楷体_GBK" w:eastAsia="方正楷体_GBK" w:cs="方正楷体_GBK"/>
          <w:color w:val="auto"/>
          <w:sz w:val="32"/>
          <w:szCs w:val="32"/>
          <w:lang w:eastAsia="zh-CN"/>
        </w:rPr>
        <w:t>强化人口导入与全龄友好服务保障</w:t>
      </w:r>
      <w:r>
        <w:rPr>
          <w:rFonts w:hint="eastAsia" w:ascii="方正仿宋_GBK" w:hAnsi="方正仿宋_GBK" w:eastAsia="方正仿宋_GBK" w:cs="方正仿宋_GBK"/>
          <w:color w:val="auto"/>
          <w:sz w:val="32"/>
          <w:szCs w:val="32"/>
          <w:lang w:eastAsia="zh-CN"/>
        </w:rPr>
        <w:t>。优化人口发展政策环境，强化教育、住房、就业、社保等配套政策的系统集成与有效衔接。深化户籍制度改革，健全以居住证为载体、与居住年限等条件挂钩的基本公共服务提供机制。贯彻落实男女平等基本国策，健全法规政策性别平等评估机制，保障妇女平等获得就业、教育、医疗等权益。逐步提高公共场所、用人单位母婴设施覆盖率，严厉打击侵害妇女儿童合法权益的违法犯罪行为。完善未成年人保护工作协调机制，加强青少年心理健康服务、犯罪预防、法治教育和安全教育。围绕青年成长发展需求，在就业支持、创新创业、安居保障、社交婚恋、文化服务等领域构建具有辽源特色的青年发展政策体系和服务体系。优化青年创新创业生态，多渠道增加青年保障性住房供给，丰富青年文化生活，增强城市对青年的吸引力、凝聚力和承载力。推动公共空间、交通设施、社区服务、数字应用、文化环境的全龄友好化改造。加强家庭家教家风建设，鼓励发展代际共融的社会服务与社区互助模式，弘扬尊老爱幼、互助友爱的社会风尚。</w:t>
      </w:r>
    </w:p>
    <w:p w14:paraId="11E7A3A0">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方正仿宋_GBK" w:hAnsi="方正仿宋_GBK" w:eastAsia="方正仿宋_GBK" w:cs="方正仿宋_GBK"/>
          <w:color w:val="auto"/>
          <w:sz w:val="32"/>
          <w:szCs w:val="32"/>
          <w:lang w:eastAsia="zh-CN"/>
        </w:rPr>
      </w:pPr>
    </w:p>
    <w:p w14:paraId="1108CC1A">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方正仿宋_GBK" w:hAnsi="方正仿宋_GBK" w:eastAsia="方正仿宋_GBK" w:cs="方正仿宋_GBK"/>
          <w:color w:val="auto"/>
          <w:sz w:val="32"/>
          <w:szCs w:val="32"/>
          <w:lang w:eastAsia="zh-CN"/>
        </w:rPr>
      </w:pPr>
    </w:p>
    <w:p w14:paraId="38B2726F">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方正仿宋_GBK" w:hAnsi="方正仿宋_GBK" w:eastAsia="方正仿宋_GBK" w:cs="方正仿宋_GBK"/>
          <w:color w:val="auto"/>
          <w:sz w:val="32"/>
          <w:szCs w:val="32"/>
          <w:lang w:eastAsia="zh-CN"/>
        </w:rPr>
      </w:pP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19CC4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32" w:hRule="atLeast"/>
          <w:jc w:val="center"/>
        </w:trPr>
        <w:tc>
          <w:tcPr>
            <w:tcW w:w="8834" w:type="dxa"/>
            <w:noWrap w:val="0"/>
            <w:vAlign w:val="top"/>
          </w:tcPr>
          <w:p w14:paraId="61A3EC55">
            <w:pPr>
              <w:keepNext w:val="0"/>
              <w:keepLines w:val="0"/>
              <w:pageBreakBefore w:val="0"/>
              <w:widowControl w:val="0"/>
              <w:kinsoku/>
              <w:wordWrap/>
              <w:overflowPunct w:val="0"/>
              <w:topLinePunct/>
              <w:autoSpaceDE/>
              <w:autoSpaceDN/>
              <w:bidi w:val="0"/>
              <w:adjustRightInd/>
              <w:snapToGrid/>
              <w:spacing w:before="156" w:beforeLines="50" w:after="156" w:afterLines="50" w:line="340" w:lineRule="exact"/>
              <w:ind w:firstLine="0" w:firstLineChars="0"/>
              <w:jc w:val="center"/>
              <w:textAlignment w:val="auto"/>
              <w:rPr>
                <w:rFonts w:hint="eastAsia" w:ascii="方正黑体_GBK" w:hAnsi="方正黑体_GBK" w:eastAsia="方正黑体_GBK" w:cs="方正黑体_GBK"/>
                <w:b w:val="0"/>
                <w:bCs w:val="0"/>
                <w:color w:val="auto"/>
                <w:sz w:val="28"/>
                <w:szCs w:val="28"/>
              </w:rPr>
            </w:pPr>
            <w:r>
              <w:rPr>
                <w:rFonts w:hint="eastAsia" w:ascii="方正黑体_GBK" w:hAnsi="方正黑体_GBK" w:eastAsia="方正黑体_GBK" w:cs="方正黑体_GBK"/>
                <w:b w:val="0"/>
                <w:bCs w:val="0"/>
                <w:color w:val="auto"/>
                <w:sz w:val="28"/>
                <w:szCs w:val="28"/>
              </w:rPr>
              <w:t>专栏</w:t>
            </w:r>
            <w:r>
              <w:rPr>
                <w:rFonts w:hint="eastAsia" w:ascii="方正黑体_GBK" w:hAnsi="方正黑体_GBK" w:eastAsia="方正黑体_GBK" w:cs="方正黑体_GBK"/>
                <w:b w:val="0"/>
                <w:bCs w:val="0"/>
                <w:color w:val="auto"/>
                <w:sz w:val="28"/>
                <w:szCs w:val="28"/>
                <w:lang w:val="en-US" w:eastAsia="zh-CN"/>
              </w:rPr>
              <w:t>16</w:t>
            </w:r>
            <w:r>
              <w:rPr>
                <w:rFonts w:hint="eastAsia" w:ascii="方正黑体_GBK" w:hAnsi="方正黑体_GBK" w:eastAsia="方正黑体_GBK" w:cs="方正黑体_GBK"/>
                <w:b w:val="0"/>
                <w:bCs w:val="0"/>
                <w:color w:val="auto"/>
                <w:sz w:val="28"/>
                <w:szCs w:val="28"/>
              </w:rPr>
              <w:t xml:space="preserve"> </w:t>
            </w:r>
            <w:r>
              <w:rPr>
                <w:rFonts w:hint="eastAsia" w:ascii="方正黑体_GBK" w:hAnsi="方正黑体_GBK" w:eastAsia="方正黑体_GBK" w:cs="方正黑体_GBK"/>
                <w:b w:val="0"/>
                <w:bCs w:val="0"/>
                <w:color w:val="auto"/>
                <w:sz w:val="28"/>
                <w:szCs w:val="28"/>
                <w:lang w:val="en-US" w:eastAsia="zh-CN"/>
              </w:rPr>
              <w:t xml:space="preserve"> 社会事业发展提升工程</w:t>
            </w:r>
          </w:p>
          <w:p w14:paraId="42F577AC">
            <w:pPr>
              <w:keepNext w:val="0"/>
              <w:keepLines w:val="0"/>
              <w:pageBreakBefore w:val="0"/>
              <w:widowControl w:val="0"/>
              <w:kinsoku/>
              <w:wordWrap/>
              <w:overflowPunct w:val="0"/>
              <w:topLinePunct/>
              <w:autoSpaceDE/>
              <w:autoSpaceDN/>
              <w:bidi w:val="0"/>
              <w:adjustRightInd/>
              <w:snapToGrid/>
              <w:spacing w:line="340" w:lineRule="exact"/>
              <w:ind w:firstLine="422"/>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 xml:space="preserve">1. </w:t>
            </w:r>
            <w:r>
              <w:rPr>
                <w:rFonts w:hint="eastAsia" w:ascii="宋体" w:hAnsi="宋体" w:eastAsia="宋体" w:cs="宋体"/>
                <w:b w:val="0"/>
                <w:bCs w:val="0"/>
                <w:color w:val="auto"/>
                <w:sz w:val="21"/>
                <w:szCs w:val="21"/>
              </w:rPr>
              <w:t>医疗卫生服务能力提升工程</w:t>
            </w:r>
            <w:r>
              <w:rPr>
                <w:rFonts w:hint="eastAsia" w:ascii="宋体" w:hAnsi="宋体" w:eastAsia="宋体" w:cs="宋体"/>
                <w:b w:val="0"/>
                <w:bCs w:val="0"/>
                <w:color w:val="auto"/>
                <w:sz w:val="21"/>
                <w:szCs w:val="21"/>
                <w:lang w:val="en-US" w:eastAsia="zh-CN"/>
              </w:rPr>
              <w:t xml:space="preserve"> </w:t>
            </w:r>
          </w:p>
          <w:p w14:paraId="538DF506">
            <w:pPr>
              <w:keepNext w:val="0"/>
              <w:keepLines w:val="0"/>
              <w:pageBreakBefore w:val="0"/>
              <w:widowControl w:val="0"/>
              <w:kinsoku/>
              <w:wordWrap/>
              <w:overflowPunct w:val="0"/>
              <w:topLinePunct/>
              <w:autoSpaceDE/>
              <w:autoSpaceDN/>
              <w:bidi w:val="0"/>
              <w:adjustRightInd/>
              <w:snapToGrid/>
              <w:spacing w:line="340" w:lineRule="exact"/>
              <w:ind w:firstLine="422"/>
              <w:textAlignment w:val="auto"/>
              <w:rPr>
                <w:rFonts w:hint="eastAsia" w:ascii="宋体" w:hAnsi="宋体" w:eastAsia="宋体" w:cs="宋体"/>
                <w:b w:val="0"/>
                <w:bCs w:val="0"/>
                <w:color w:val="auto"/>
                <w:sz w:val="21"/>
                <w:szCs w:val="21"/>
                <w:lang w:eastAsia="zh-CN"/>
              </w:rPr>
            </w:pPr>
            <w:r>
              <w:rPr>
                <w:rFonts w:hint="eastAsia" w:ascii="宋体" w:hAnsi="宋体" w:eastAsia="宋体" w:cs="宋体"/>
                <w:b w:val="0"/>
                <w:bCs w:val="0"/>
                <w:color w:val="auto"/>
                <w:sz w:val="21"/>
                <w:szCs w:val="21"/>
                <w:lang w:val="en-US" w:eastAsia="zh-CN"/>
              </w:rPr>
              <w:t>加快医疗卫生服务体系强基建设。推动辽源市人民医院、辽源市中心医院、辽源市中医医院加快实施病房改造和设备更新项目，</w:t>
            </w:r>
            <w:r>
              <w:rPr>
                <w:rFonts w:hint="eastAsia" w:ascii="宋体" w:hAnsi="宋体" w:eastAsia="宋体" w:cs="宋体"/>
                <w:b w:val="0"/>
                <w:bCs w:val="0"/>
                <w:color w:val="auto"/>
                <w:sz w:val="21"/>
                <w:szCs w:val="21"/>
              </w:rPr>
              <w:t>规划建设5个省级、</w:t>
            </w:r>
            <w:r>
              <w:rPr>
                <w:rFonts w:hint="eastAsia" w:ascii="宋体" w:hAnsi="宋体" w:eastAsia="宋体" w:cs="宋体"/>
                <w:b w:val="0"/>
                <w:bCs w:val="0"/>
                <w:strike w:val="0"/>
                <w:dstrike w:val="0"/>
                <w:color w:val="auto"/>
                <w:sz w:val="21"/>
                <w:szCs w:val="21"/>
                <w:highlight w:val="none"/>
                <w:lang w:val="en-US" w:eastAsia="zh-CN"/>
              </w:rPr>
              <w:t>20</w:t>
            </w:r>
            <w:r>
              <w:rPr>
                <w:rFonts w:hint="eastAsia" w:ascii="宋体" w:hAnsi="宋体" w:eastAsia="宋体" w:cs="宋体"/>
                <w:b w:val="0"/>
                <w:bCs w:val="0"/>
                <w:color w:val="auto"/>
                <w:sz w:val="21"/>
                <w:szCs w:val="21"/>
              </w:rPr>
              <w:t>个市级临床重点专科，提升</w:t>
            </w:r>
            <w:r>
              <w:rPr>
                <w:rFonts w:hint="eastAsia" w:ascii="宋体" w:hAnsi="宋体" w:eastAsia="宋体" w:cs="宋体"/>
                <w:b w:val="0"/>
                <w:bCs w:val="0"/>
                <w:color w:val="auto"/>
                <w:sz w:val="21"/>
                <w:szCs w:val="21"/>
                <w:lang w:val="en-US" w:eastAsia="zh-CN"/>
              </w:rPr>
              <w:t>市级</w:t>
            </w:r>
            <w:r>
              <w:rPr>
                <w:rFonts w:hint="eastAsia" w:ascii="宋体" w:hAnsi="宋体" w:eastAsia="宋体" w:cs="宋体"/>
                <w:b w:val="0"/>
                <w:bCs w:val="0"/>
                <w:color w:val="auto"/>
                <w:sz w:val="21"/>
                <w:szCs w:val="21"/>
              </w:rPr>
              <w:t>诊疗</w:t>
            </w:r>
            <w:r>
              <w:rPr>
                <w:rFonts w:hint="eastAsia" w:ascii="宋体" w:hAnsi="宋体" w:eastAsia="宋体" w:cs="宋体"/>
                <w:b w:val="0"/>
                <w:bCs w:val="0"/>
                <w:color w:val="auto"/>
                <w:sz w:val="21"/>
                <w:szCs w:val="21"/>
                <w:lang w:val="en-US" w:eastAsia="zh-CN"/>
              </w:rPr>
              <w:t>辐射</w:t>
            </w:r>
            <w:r>
              <w:rPr>
                <w:rFonts w:hint="eastAsia" w:ascii="宋体" w:hAnsi="宋体" w:eastAsia="宋体" w:cs="宋体"/>
                <w:b w:val="0"/>
                <w:bCs w:val="0"/>
                <w:color w:val="auto"/>
                <w:sz w:val="21"/>
                <w:szCs w:val="21"/>
              </w:rPr>
              <w:t>能级。</w:t>
            </w:r>
            <w:r>
              <w:rPr>
                <w:rFonts w:hint="eastAsia" w:ascii="宋体" w:hAnsi="宋体" w:eastAsia="宋体" w:cs="宋体"/>
                <w:b w:val="0"/>
                <w:bCs w:val="0"/>
                <w:color w:val="auto"/>
                <w:sz w:val="21"/>
                <w:szCs w:val="21"/>
                <w:lang w:val="en-US" w:eastAsia="zh-CN"/>
              </w:rPr>
              <w:t>开展西安区人民医院救治能力综合提升项目前期工作</w:t>
            </w:r>
            <w:r>
              <w:rPr>
                <w:rFonts w:hint="eastAsia" w:ascii="宋体" w:hAnsi="宋体" w:eastAsia="宋体" w:cs="宋体"/>
                <w:b w:val="0"/>
                <w:bCs w:val="0"/>
                <w:color w:val="auto"/>
                <w:sz w:val="21"/>
                <w:szCs w:val="21"/>
              </w:rPr>
              <w:t>。</w:t>
            </w:r>
            <w:r>
              <w:rPr>
                <w:rFonts w:hint="eastAsia" w:ascii="宋体" w:hAnsi="宋体" w:eastAsia="宋体" w:cs="宋体"/>
                <w:b w:val="0"/>
                <w:bCs w:val="0"/>
                <w:color w:val="auto"/>
                <w:sz w:val="21"/>
                <w:szCs w:val="21"/>
                <w:lang w:val="en-US" w:eastAsia="zh-CN"/>
              </w:rPr>
              <w:t>推动优质医疗资源下沉，加快乡镇卫生院、社区卫生服务中心和村卫生室标准化建设。探索推动全域医疗机构信息化改造，实现</w:t>
            </w:r>
            <w:r>
              <w:rPr>
                <w:rFonts w:hint="eastAsia" w:ascii="宋体" w:hAnsi="宋体" w:eastAsia="宋体" w:cs="宋体"/>
                <w:b w:val="0"/>
                <w:bCs w:val="0"/>
                <w:color w:val="auto"/>
                <w:sz w:val="21"/>
                <w:szCs w:val="21"/>
              </w:rPr>
              <w:t>电子病历、远程会诊全覆盖</w:t>
            </w:r>
            <w:r>
              <w:rPr>
                <w:rFonts w:hint="eastAsia" w:ascii="宋体" w:hAnsi="宋体" w:eastAsia="宋体" w:cs="宋体"/>
                <w:b w:val="0"/>
                <w:bCs w:val="0"/>
                <w:color w:val="auto"/>
                <w:sz w:val="21"/>
                <w:szCs w:val="21"/>
                <w:lang w:eastAsia="zh-CN"/>
              </w:rPr>
              <w:t>。</w:t>
            </w:r>
          </w:p>
          <w:p w14:paraId="114D061A">
            <w:pPr>
              <w:keepNext w:val="0"/>
              <w:keepLines w:val="0"/>
              <w:pageBreakBefore w:val="0"/>
              <w:widowControl w:val="0"/>
              <w:kinsoku/>
              <w:wordWrap/>
              <w:overflowPunct w:val="0"/>
              <w:topLinePunct/>
              <w:autoSpaceDE/>
              <w:autoSpaceDN/>
              <w:bidi w:val="0"/>
              <w:adjustRightInd/>
              <w:snapToGrid/>
              <w:spacing w:line="340" w:lineRule="exact"/>
              <w:ind w:firstLine="422"/>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lang w:val="en-US" w:eastAsia="zh-CN"/>
              </w:rPr>
              <w:t xml:space="preserve">2. </w:t>
            </w:r>
            <w:r>
              <w:rPr>
                <w:rFonts w:hint="eastAsia" w:ascii="宋体" w:hAnsi="宋体" w:eastAsia="宋体" w:cs="宋体"/>
                <w:b w:val="0"/>
                <w:bCs w:val="0"/>
                <w:color w:val="auto"/>
                <w:sz w:val="21"/>
                <w:szCs w:val="21"/>
              </w:rPr>
              <w:t>“一老一小”服务优化工程</w:t>
            </w:r>
          </w:p>
          <w:p w14:paraId="267AA952">
            <w:pPr>
              <w:keepNext w:val="0"/>
              <w:keepLines w:val="0"/>
              <w:pageBreakBefore w:val="0"/>
              <w:widowControl w:val="0"/>
              <w:kinsoku/>
              <w:wordWrap/>
              <w:overflowPunct w:val="0"/>
              <w:topLinePunct/>
              <w:autoSpaceDE/>
              <w:autoSpaceDN/>
              <w:bidi w:val="0"/>
              <w:adjustRightInd/>
              <w:snapToGrid/>
              <w:spacing w:line="340" w:lineRule="exact"/>
              <w:ind w:firstLine="422"/>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rPr>
              <w:t>加快构建居家社区机构相协调、医养康养相结合的养老服务体系</w:t>
            </w: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lang w:val="en-US" w:eastAsia="zh-CN"/>
              </w:rPr>
              <w:t>建设</w:t>
            </w:r>
            <w:r>
              <w:rPr>
                <w:rFonts w:hint="eastAsia" w:ascii="宋体" w:hAnsi="宋体" w:eastAsia="宋体" w:cs="宋体"/>
                <w:b w:val="0"/>
                <w:bCs w:val="0"/>
                <w:color w:val="auto"/>
                <w:sz w:val="21"/>
                <w:szCs w:val="21"/>
              </w:rPr>
              <w:t>街道（乡镇）区域养老服务中心</w:t>
            </w: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rPr>
              <w:t>发展社区嵌入式养老服务站和日间照料中心，</w:t>
            </w:r>
            <w:r>
              <w:rPr>
                <w:rFonts w:hint="eastAsia" w:ascii="宋体" w:hAnsi="宋体" w:eastAsia="宋体" w:cs="宋体"/>
                <w:b w:val="0"/>
                <w:bCs w:val="0"/>
                <w:color w:val="auto"/>
                <w:sz w:val="21"/>
                <w:szCs w:val="21"/>
                <w:lang w:val="en-US" w:eastAsia="zh-CN"/>
              </w:rPr>
              <w:t>推动</w:t>
            </w:r>
            <w:r>
              <w:rPr>
                <w:rFonts w:hint="eastAsia" w:ascii="宋体" w:hAnsi="宋体" w:eastAsia="宋体" w:cs="宋体"/>
                <w:b w:val="0"/>
                <w:bCs w:val="0"/>
                <w:color w:val="auto"/>
                <w:sz w:val="21"/>
                <w:szCs w:val="21"/>
              </w:rPr>
              <w:t>特殊困难老年人家庭适老化</w:t>
            </w:r>
            <w:r>
              <w:rPr>
                <w:rFonts w:hint="eastAsia" w:ascii="宋体" w:hAnsi="宋体" w:eastAsia="宋体" w:cs="宋体"/>
                <w:b w:val="0"/>
                <w:bCs w:val="0"/>
                <w:color w:val="auto"/>
                <w:sz w:val="21"/>
                <w:szCs w:val="21"/>
                <w:lang w:val="en-US" w:eastAsia="zh-CN"/>
              </w:rPr>
              <w:t>改造。建设</w:t>
            </w:r>
            <w:r>
              <w:rPr>
                <w:rFonts w:hint="eastAsia" w:ascii="宋体" w:hAnsi="宋体" w:eastAsia="宋体" w:cs="宋体"/>
                <w:b w:val="0"/>
                <w:bCs w:val="0"/>
                <w:color w:val="auto"/>
                <w:sz w:val="21"/>
                <w:szCs w:val="21"/>
              </w:rPr>
              <w:t>龙山区社会托养服务中心</w:t>
            </w: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rPr>
              <w:t>西安区老年养护院</w:t>
            </w:r>
            <w:r>
              <w:rPr>
                <w:rFonts w:hint="eastAsia" w:ascii="宋体" w:hAnsi="宋体" w:eastAsia="宋体" w:cs="宋体"/>
                <w:b w:val="0"/>
                <w:bCs w:val="0"/>
                <w:color w:val="auto"/>
                <w:sz w:val="21"/>
                <w:szCs w:val="21"/>
                <w:lang w:val="en-US" w:eastAsia="zh-CN"/>
              </w:rPr>
              <w:t>等养老项目，推动市内养老机构整合及改造升级。</w:t>
            </w:r>
            <w:r>
              <w:rPr>
                <w:rFonts w:hint="eastAsia" w:ascii="宋体" w:hAnsi="宋体" w:eastAsia="宋体" w:cs="宋体"/>
                <w:b w:val="0"/>
                <w:bCs w:val="0"/>
                <w:color w:val="auto"/>
                <w:sz w:val="21"/>
                <w:szCs w:val="21"/>
              </w:rPr>
              <w:t>发展普惠托育服务，</w:t>
            </w:r>
            <w:r>
              <w:rPr>
                <w:rFonts w:hint="eastAsia" w:ascii="宋体" w:hAnsi="宋体" w:eastAsia="宋体" w:cs="宋体"/>
                <w:b w:val="0"/>
                <w:bCs w:val="0"/>
                <w:strike w:val="0"/>
                <w:dstrike w:val="0"/>
                <w:color w:val="auto"/>
                <w:sz w:val="21"/>
                <w:szCs w:val="21"/>
                <w:highlight w:val="none"/>
                <w:lang w:val="en-US" w:eastAsia="zh-CN"/>
              </w:rPr>
              <w:t>支持有条件的乡镇（街道）建设社区托育点，</w:t>
            </w:r>
            <w:r>
              <w:rPr>
                <w:rFonts w:hint="eastAsia" w:ascii="宋体" w:hAnsi="宋体" w:eastAsia="宋体" w:cs="宋体"/>
                <w:b w:val="0"/>
                <w:bCs w:val="0"/>
                <w:color w:val="auto"/>
                <w:sz w:val="21"/>
                <w:szCs w:val="21"/>
                <w:lang w:val="en-US" w:eastAsia="zh-CN"/>
              </w:rPr>
              <w:t>谋划实施市</w:t>
            </w:r>
            <w:r>
              <w:rPr>
                <w:rFonts w:hint="eastAsia" w:ascii="宋体" w:hAnsi="宋体" w:eastAsia="宋体" w:cs="宋体"/>
                <w:b w:val="0"/>
                <w:bCs w:val="0"/>
                <w:color w:val="auto"/>
                <w:sz w:val="21"/>
                <w:szCs w:val="21"/>
              </w:rPr>
              <w:t>儿童福利院</w:t>
            </w:r>
            <w:r>
              <w:rPr>
                <w:rFonts w:hint="eastAsia" w:ascii="宋体" w:hAnsi="宋体" w:eastAsia="宋体" w:cs="宋体"/>
                <w:b w:val="0"/>
                <w:bCs w:val="0"/>
                <w:color w:val="auto"/>
                <w:sz w:val="21"/>
                <w:szCs w:val="21"/>
                <w:lang w:val="en-US" w:eastAsia="zh-CN"/>
              </w:rPr>
              <w:t>、</w:t>
            </w:r>
            <w:r>
              <w:rPr>
                <w:rFonts w:hint="eastAsia" w:ascii="宋体" w:hAnsi="宋体" w:eastAsia="宋体" w:cs="宋体"/>
                <w:b w:val="0"/>
                <w:bCs w:val="0"/>
                <w:color w:val="auto"/>
                <w:sz w:val="21"/>
                <w:szCs w:val="21"/>
              </w:rPr>
              <w:t>市托育综合服务中心</w:t>
            </w:r>
            <w:r>
              <w:rPr>
                <w:rFonts w:hint="eastAsia" w:ascii="宋体" w:hAnsi="宋体" w:eastAsia="宋体" w:cs="宋体"/>
                <w:b w:val="0"/>
                <w:bCs w:val="0"/>
                <w:color w:val="auto"/>
                <w:sz w:val="21"/>
                <w:szCs w:val="21"/>
                <w:lang w:val="en-US" w:eastAsia="zh-CN"/>
              </w:rPr>
              <w:t>等项目。</w:t>
            </w:r>
          </w:p>
          <w:p w14:paraId="74AF46DC">
            <w:pPr>
              <w:keepNext w:val="0"/>
              <w:keepLines w:val="0"/>
              <w:pageBreakBefore w:val="0"/>
              <w:widowControl w:val="0"/>
              <w:kinsoku/>
              <w:wordWrap/>
              <w:overflowPunct w:val="0"/>
              <w:topLinePunct/>
              <w:autoSpaceDE/>
              <w:autoSpaceDN/>
              <w:bidi w:val="0"/>
              <w:adjustRightInd/>
              <w:snapToGrid/>
              <w:spacing w:line="340" w:lineRule="exact"/>
              <w:ind w:firstLine="422"/>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lang w:val="en-US" w:eastAsia="zh-CN"/>
              </w:rPr>
              <w:t xml:space="preserve">3. </w:t>
            </w:r>
            <w:r>
              <w:rPr>
                <w:rFonts w:hint="eastAsia" w:ascii="宋体" w:hAnsi="宋体" w:eastAsia="宋体" w:cs="宋体"/>
                <w:b w:val="0"/>
                <w:bCs w:val="0"/>
                <w:color w:val="auto"/>
                <w:sz w:val="21"/>
                <w:szCs w:val="21"/>
              </w:rPr>
              <w:t>殡葬服务设施升级与惠民工程</w:t>
            </w:r>
          </w:p>
          <w:p w14:paraId="6F71EB40">
            <w:pPr>
              <w:keepNext w:val="0"/>
              <w:keepLines w:val="0"/>
              <w:pageBreakBefore w:val="0"/>
              <w:widowControl w:val="0"/>
              <w:kinsoku/>
              <w:wordWrap/>
              <w:overflowPunct w:val="0"/>
              <w:topLinePunct/>
              <w:autoSpaceDE/>
              <w:autoSpaceDN/>
              <w:bidi w:val="0"/>
              <w:adjustRightInd/>
              <w:snapToGrid/>
              <w:spacing w:line="340" w:lineRule="exact"/>
              <w:ind w:firstLine="422"/>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rPr>
              <w:t>推动殡葬事业回归公益、服务民生。推进市、县殡仪馆环保化改造和设备升级，新建或改扩建城市公益性公墓</w:t>
            </w: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lang w:val="en-US" w:eastAsia="zh-CN"/>
              </w:rPr>
              <w:t>重点实施</w:t>
            </w:r>
            <w:r>
              <w:rPr>
                <w:rFonts w:hint="eastAsia" w:ascii="宋体" w:hAnsi="宋体" w:eastAsia="宋体" w:cs="宋体"/>
                <w:b w:val="0"/>
                <w:bCs w:val="0"/>
                <w:color w:val="auto"/>
                <w:sz w:val="21"/>
                <w:szCs w:val="21"/>
                <w:lang w:eastAsia="zh-CN"/>
              </w:rPr>
              <w:t>东丰县公益性公墓</w:t>
            </w:r>
            <w:r>
              <w:rPr>
                <w:rFonts w:hint="eastAsia" w:ascii="宋体" w:hAnsi="宋体" w:eastAsia="宋体" w:cs="宋体"/>
                <w:b w:val="0"/>
                <w:bCs w:val="0"/>
                <w:color w:val="auto"/>
                <w:sz w:val="21"/>
                <w:szCs w:val="21"/>
                <w:lang w:val="en-US" w:eastAsia="zh-CN"/>
              </w:rPr>
              <w:t>等项目</w:t>
            </w: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lang w:val="en-US" w:eastAsia="zh-CN"/>
              </w:rPr>
              <w:t>建设</w:t>
            </w:r>
            <w:r>
              <w:rPr>
                <w:rFonts w:hint="eastAsia" w:ascii="宋体" w:hAnsi="宋体" w:eastAsia="宋体" w:cs="宋体"/>
                <w:b w:val="0"/>
                <w:bCs w:val="0"/>
                <w:color w:val="auto"/>
                <w:sz w:val="21"/>
                <w:szCs w:val="21"/>
                <w:lang w:eastAsia="zh-CN"/>
              </w:rPr>
              <w:t>仙安人文纪念园。</w:t>
            </w:r>
            <w:r>
              <w:rPr>
                <w:rFonts w:hint="eastAsia" w:ascii="宋体" w:hAnsi="宋体" w:eastAsia="宋体" w:cs="宋体"/>
                <w:b w:val="0"/>
                <w:bCs w:val="0"/>
                <w:color w:val="auto"/>
                <w:sz w:val="21"/>
                <w:szCs w:val="21"/>
              </w:rPr>
              <w:t>严格执行基本服务政府定价，规范延伸服务收费，落实基本殡葬服务费用减免政策，减轻群众丧葬负担。</w:t>
            </w:r>
          </w:p>
          <w:p w14:paraId="174A85A8">
            <w:pPr>
              <w:keepNext w:val="0"/>
              <w:keepLines w:val="0"/>
              <w:pageBreakBefore w:val="0"/>
              <w:widowControl w:val="0"/>
              <w:kinsoku/>
              <w:wordWrap/>
              <w:overflowPunct w:val="0"/>
              <w:topLinePunct/>
              <w:autoSpaceDE/>
              <w:autoSpaceDN/>
              <w:bidi w:val="0"/>
              <w:adjustRightInd/>
              <w:snapToGrid/>
              <w:spacing w:line="340" w:lineRule="exact"/>
              <w:ind w:firstLine="422"/>
              <w:textAlignment w:val="auto"/>
              <w:rPr>
                <w:rFonts w:hint="eastAsia" w:ascii="宋体" w:hAnsi="宋体" w:eastAsia="宋体" w:cs="宋体"/>
                <w:b w:val="0"/>
                <w:bCs w:val="0"/>
                <w:color w:val="auto"/>
                <w:sz w:val="21"/>
                <w:szCs w:val="21"/>
                <w:lang w:eastAsia="zh-CN"/>
              </w:rPr>
            </w:pPr>
            <w:r>
              <w:rPr>
                <w:rFonts w:hint="eastAsia" w:ascii="宋体" w:hAnsi="宋体" w:eastAsia="宋体" w:cs="宋体"/>
                <w:b w:val="0"/>
                <w:bCs w:val="0"/>
                <w:color w:val="auto"/>
                <w:sz w:val="21"/>
                <w:szCs w:val="21"/>
                <w:lang w:val="en-US" w:eastAsia="zh-CN"/>
              </w:rPr>
              <w:t xml:space="preserve">4. </w:t>
            </w:r>
            <w:r>
              <w:rPr>
                <w:rFonts w:hint="eastAsia" w:ascii="宋体" w:hAnsi="宋体" w:eastAsia="宋体" w:cs="宋体"/>
                <w:b w:val="0"/>
                <w:bCs w:val="0"/>
                <w:color w:val="auto"/>
                <w:sz w:val="21"/>
                <w:szCs w:val="21"/>
                <w:lang w:eastAsia="zh-CN"/>
              </w:rPr>
              <w:t>社会保障与救助兜底工程</w:t>
            </w:r>
          </w:p>
          <w:p w14:paraId="00900F45">
            <w:pPr>
              <w:keepNext w:val="0"/>
              <w:keepLines w:val="0"/>
              <w:pageBreakBefore w:val="0"/>
              <w:widowControl w:val="0"/>
              <w:kinsoku/>
              <w:wordWrap/>
              <w:overflowPunct w:val="0"/>
              <w:topLinePunct/>
              <w:autoSpaceDE/>
              <w:autoSpaceDN/>
              <w:bidi w:val="0"/>
              <w:adjustRightInd/>
              <w:snapToGrid/>
              <w:spacing w:line="340" w:lineRule="exact"/>
              <w:ind w:firstLine="422"/>
              <w:textAlignment w:val="auto"/>
              <w:rPr>
                <w:rFonts w:hint="eastAsia" w:ascii="Times New Roman" w:hAnsi="Times New Roman" w:eastAsia="宋体" w:cs="Times New Roman"/>
                <w:b w:val="0"/>
                <w:bCs w:val="0"/>
                <w:color w:val="auto"/>
                <w:sz w:val="21"/>
                <w:szCs w:val="21"/>
                <w:lang w:eastAsia="zh-CN"/>
              </w:rPr>
            </w:pPr>
            <w:r>
              <w:rPr>
                <w:rFonts w:hint="eastAsia" w:ascii="宋体" w:hAnsi="宋体" w:eastAsia="宋体" w:cs="宋体"/>
                <w:b w:val="0"/>
                <w:bCs w:val="0"/>
                <w:color w:val="auto"/>
                <w:sz w:val="21"/>
                <w:szCs w:val="21"/>
              </w:rPr>
              <w:t>推动基本养老保险、医疗保险应保尽保，提高灵活就业人员、新就业形态人员参保率。稳步提高各项社会保险待遇和城乡低保、特困人员供养标准。加强低收入人口动态监测和常态化救助帮扶</w:t>
            </w: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rPr>
              <w:t>完善未成年人保护和留守儿童、困境儿童关爱服务体系</w:t>
            </w:r>
            <w:r>
              <w:rPr>
                <w:rFonts w:hint="eastAsia" w:ascii="宋体" w:hAnsi="宋体" w:eastAsia="宋体" w:cs="宋体"/>
                <w:b w:val="0"/>
                <w:bCs w:val="0"/>
                <w:color w:val="auto"/>
                <w:sz w:val="21"/>
                <w:szCs w:val="21"/>
                <w:lang w:eastAsia="zh-CN"/>
              </w:rPr>
              <w:t>。</w:t>
            </w:r>
          </w:p>
        </w:tc>
      </w:tr>
    </w:tbl>
    <w:p w14:paraId="1914EDAB">
      <w:pPr>
        <w:pStyle w:val="2"/>
        <w:keepNext w:val="0"/>
        <w:keepLines w:val="0"/>
        <w:pageBreakBefore w:val="0"/>
        <w:widowControl w:val="0"/>
        <w:kinsoku/>
        <w:wordWrap/>
        <w:overflowPunct/>
        <w:topLinePunct w:val="0"/>
        <w:autoSpaceDE/>
        <w:autoSpaceDN/>
        <w:bidi w:val="0"/>
        <w:adjustRightInd/>
        <w:snapToGrid/>
        <w:spacing w:after="0"/>
        <w:ind w:firstLine="640" w:firstLineChars="200"/>
        <w:textAlignment w:val="auto"/>
        <w:rPr>
          <w:rFonts w:hint="eastAsia" w:ascii="方正仿宋_GBK" w:hAnsi="方正仿宋_GBK" w:eastAsia="方正仿宋_GBK" w:cs="方正仿宋_GBK"/>
          <w:color w:val="auto"/>
          <w:sz w:val="32"/>
          <w:szCs w:val="32"/>
          <w:lang w:eastAsia="zh-CN"/>
        </w:rPr>
      </w:pPr>
    </w:p>
    <w:p w14:paraId="4F29C020">
      <w:pPr>
        <w:pStyle w:val="2"/>
        <w:keepNext w:val="0"/>
        <w:keepLines w:val="0"/>
        <w:pageBreakBefore w:val="0"/>
        <w:widowControl w:val="0"/>
        <w:kinsoku/>
        <w:wordWrap/>
        <w:overflowPunct/>
        <w:topLinePunct w:val="0"/>
        <w:autoSpaceDE/>
        <w:autoSpaceDN/>
        <w:bidi w:val="0"/>
        <w:adjustRightInd/>
        <w:snapToGrid/>
        <w:spacing w:after="0"/>
        <w:ind w:firstLine="640" w:firstLineChars="200"/>
        <w:textAlignment w:val="auto"/>
        <w:rPr>
          <w:rFonts w:hint="eastAsia" w:ascii="方正仿宋_GBK" w:hAnsi="方正仿宋_GBK" w:eastAsia="方正仿宋_GBK" w:cs="方正仿宋_GBK"/>
          <w:color w:val="auto"/>
          <w:sz w:val="32"/>
          <w:szCs w:val="32"/>
          <w:lang w:eastAsia="zh-CN"/>
        </w:rPr>
      </w:pPr>
    </w:p>
    <w:p w14:paraId="4DCAC341">
      <w:pPr>
        <w:pStyle w:val="2"/>
        <w:keepNext w:val="0"/>
        <w:keepLines w:val="0"/>
        <w:pageBreakBefore w:val="0"/>
        <w:widowControl w:val="0"/>
        <w:kinsoku/>
        <w:wordWrap/>
        <w:overflowPunct/>
        <w:topLinePunct w:val="0"/>
        <w:autoSpaceDE/>
        <w:autoSpaceDN/>
        <w:bidi w:val="0"/>
        <w:adjustRightInd/>
        <w:snapToGrid/>
        <w:spacing w:after="0"/>
        <w:ind w:firstLine="640" w:firstLineChars="200"/>
        <w:textAlignment w:val="auto"/>
        <w:rPr>
          <w:rFonts w:hint="eastAsia" w:ascii="方正仿宋_GBK" w:hAnsi="方正仿宋_GBK" w:eastAsia="方正仿宋_GBK" w:cs="方正仿宋_GBK"/>
          <w:color w:val="auto"/>
          <w:sz w:val="32"/>
          <w:szCs w:val="32"/>
          <w:lang w:eastAsia="zh-CN"/>
        </w:rPr>
      </w:pPr>
    </w:p>
    <w:p w14:paraId="30894379">
      <w:pPr>
        <w:pStyle w:val="2"/>
        <w:keepNext w:val="0"/>
        <w:keepLines w:val="0"/>
        <w:pageBreakBefore w:val="0"/>
        <w:widowControl w:val="0"/>
        <w:kinsoku/>
        <w:wordWrap/>
        <w:overflowPunct/>
        <w:topLinePunct w:val="0"/>
        <w:autoSpaceDE/>
        <w:autoSpaceDN/>
        <w:bidi w:val="0"/>
        <w:adjustRightInd/>
        <w:snapToGrid/>
        <w:spacing w:after="0"/>
        <w:ind w:firstLine="640" w:firstLineChars="200"/>
        <w:textAlignment w:val="auto"/>
        <w:rPr>
          <w:rFonts w:hint="eastAsia" w:ascii="方正仿宋_GBK" w:hAnsi="方正仿宋_GBK" w:eastAsia="方正仿宋_GBK" w:cs="方正仿宋_GBK"/>
          <w:color w:val="auto"/>
          <w:sz w:val="32"/>
          <w:szCs w:val="32"/>
          <w:lang w:eastAsia="zh-CN"/>
        </w:rPr>
      </w:pPr>
    </w:p>
    <w:p w14:paraId="2245D214">
      <w:pPr>
        <w:pStyle w:val="2"/>
        <w:keepNext w:val="0"/>
        <w:keepLines w:val="0"/>
        <w:pageBreakBefore w:val="0"/>
        <w:widowControl w:val="0"/>
        <w:kinsoku/>
        <w:wordWrap/>
        <w:overflowPunct/>
        <w:topLinePunct w:val="0"/>
        <w:autoSpaceDE/>
        <w:autoSpaceDN/>
        <w:bidi w:val="0"/>
        <w:adjustRightInd/>
        <w:snapToGrid/>
        <w:spacing w:after="0"/>
        <w:ind w:firstLine="640" w:firstLineChars="200"/>
        <w:textAlignment w:val="auto"/>
        <w:rPr>
          <w:rFonts w:hint="eastAsia" w:ascii="方正仿宋_GBK" w:hAnsi="方正仿宋_GBK" w:eastAsia="方正仿宋_GBK" w:cs="方正仿宋_GBK"/>
          <w:color w:val="auto"/>
          <w:sz w:val="32"/>
          <w:szCs w:val="32"/>
          <w:lang w:eastAsia="zh-CN"/>
        </w:rPr>
      </w:pPr>
    </w:p>
    <w:p w14:paraId="15E4ED82">
      <w:pPr>
        <w:pStyle w:val="2"/>
        <w:keepNext w:val="0"/>
        <w:keepLines w:val="0"/>
        <w:pageBreakBefore w:val="0"/>
        <w:widowControl w:val="0"/>
        <w:kinsoku/>
        <w:wordWrap/>
        <w:overflowPunct/>
        <w:topLinePunct w:val="0"/>
        <w:autoSpaceDE/>
        <w:autoSpaceDN/>
        <w:bidi w:val="0"/>
        <w:adjustRightInd/>
        <w:snapToGrid/>
        <w:spacing w:after="0"/>
        <w:ind w:firstLine="640" w:firstLineChars="200"/>
        <w:textAlignment w:val="auto"/>
        <w:rPr>
          <w:rFonts w:hint="eastAsia" w:ascii="方正仿宋_GBK" w:hAnsi="方正仿宋_GBK" w:eastAsia="方正仿宋_GBK" w:cs="方正仿宋_GBK"/>
          <w:color w:val="auto"/>
          <w:sz w:val="32"/>
          <w:szCs w:val="32"/>
          <w:lang w:eastAsia="zh-CN"/>
        </w:rPr>
      </w:pPr>
    </w:p>
    <w:p w14:paraId="0C6750C3">
      <w:pPr>
        <w:pStyle w:val="2"/>
        <w:keepNext w:val="0"/>
        <w:keepLines w:val="0"/>
        <w:pageBreakBefore w:val="0"/>
        <w:widowControl w:val="0"/>
        <w:kinsoku/>
        <w:wordWrap/>
        <w:overflowPunct/>
        <w:topLinePunct w:val="0"/>
        <w:autoSpaceDE/>
        <w:autoSpaceDN/>
        <w:bidi w:val="0"/>
        <w:adjustRightInd/>
        <w:snapToGrid/>
        <w:spacing w:before="157" w:beforeLines="50" w:after="157" w:afterLines="50"/>
        <w:ind w:left="0" w:leftChars="0" w:firstLine="0" w:firstLineChars="0"/>
        <w:jc w:val="center"/>
        <w:textAlignment w:val="auto"/>
        <w:rPr>
          <w:rFonts w:hint="eastAsia" w:ascii="方正小标宋_GBK" w:hAnsi="方正小标宋_GBK" w:eastAsia="方正小标宋_GBK" w:cs="方正小标宋_GBK"/>
          <w:color w:val="auto"/>
          <w:sz w:val="36"/>
          <w:szCs w:val="36"/>
          <w:lang w:eastAsia="zh-CN"/>
        </w:rPr>
      </w:pPr>
      <w:r>
        <w:rPr>
          <w:rFonts w:hint="eastAsia" w:ascii="方正小标宋_GBK" w:hAnsi="方正小标宋_GBK" w:eastAsia="方正小标宋_GBK" w:cs="方正小标宋_GBK"/>
          <w:color w:val="auto"/>
          <w:sz w:val="36"/>
          <w:szCs w:val="36"/>
          <w:lang w:eastAsia="zh-CN"/>
        </w:rPr>
        <w:t>第十一章  加快现代化基础设施体系建设</w:t>
      </w:r>
    </w:p>
    <w:p w14:paraId="4C843FBE">
      <w:pPr>
        <w:pStyle w:val="2"/>
        <w:keepNext w:val="0"/>
        <w:keepLines w:val="0"/>
        <w:pageBreakBefore w:val="0"/>
        <w:widowControl w:val="0"/>
        <w:kinsoku/>
        <w:wordWrap/>
        <w:overflowPunct/>
        <w:topLinePunct w:val="0"/>
        <w:autoSpaceDE/>
        <w:autoSpaceDN/>
        <w:bidi w:val="0"/>
        <w:adjustRightInd/>
        <w:snapToGrid/>
        <w:spacing w:before="157" w:beforeLines="50" w:after="157" w:afterLines="50"/>
        <w:ind w:left="0" w:leftChars="0" w:firstLine="0" w:firstLineChars="0"/>
        <w:jc w:val="center"/>
        <w:textAlignment w:val="auto"/>
        <w:rPr>
          <w:rFonts w:hint="eastAsia" w:ascii="方正小标宋_GBK" w:hAnsi="方正小标宋_GBK" w:eastAsia="方正小标宋_GBK" w:cs="方正小标宋_GBK"/>
          <w:color w:val="auto"/>
          <w:sz w:val="36"/>
          <w:szCs w:val="36"/>
          <w:lang w:eastAsia="zh-CN"/>
        </w:rPr>
      </w:pPr>
      <w:r>
        <w:rPr>
          <w:rFonts w:hint="eastAsia" w:ascii="方正小标宋_GBK" w:hAnsi="方正小标宋_GBK" w:eastAsia="方正小标宋_GBK" w:cs="方正小标宋_GBK"/>
          <w:color w:val="auto"/>
          <w:sz w:val="36"/>
          <w:szCs w:val="36"/>
          <w:lang w:eastAsia="zh-CN"/>
        </w:rPr>
        <w:t>夯实高质量发展根基</w:t>
      </w:r>
    </w:p>
    <w:p w14:paraId="1446537A">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方正仿宋_GBK" w:hAnsi="方正仿宋_GBK" w:eastAsia="方正仿宋_GBK" w:cs="方正仿宋_GBK"/>
          <w:color w:val="auto"/>
          <w:sz w:val="32"/>
          <w:szCs w:val="32"/>
          <w:lang w:eastAsia="zh-CN"/>
        </w:rPr>
      </w:pPr>
      <w:r>
        <w:rPr>
          <w:rFonts w:hint="eastAsia" w:ascii="方正仿宋_GBK" w:hAnsi="方正仿宋_GBK" w:eastAsia="方正仿宋_GBK" w:cs="方正仿宋_GBK"/>
          <w:color w:val="auto"/>
          <w:sz w:val="32"/>
          <w:szCs w:val="32"/>
          <w:lang w:eastAsia="zh-CN"/>
        </w:rPr>
        <w:t>加强基础设施统筹规划，优化布局结构，促进集成融合，推动传统基础设施更新和数智化改造，适度超前建设新型基础设施，构建功能完善、高效便捷、安全韧性的现代化综合基础设施体系，进一步提升经济和社会发展的支撑保障能力。</w:t>
      </w:r>
    </w:p>
    <w:p w14:paraId="58EECE5F">
      <w:pPr>
        <w:pStyle w:val="2"/>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left="0" w:leftChars="0" w:firstLine="0" w:firstLineChars="0"/>
        <w:jc w:val="center"/>
        <w:textAlignment w:val="auto"/>
        <w:rPr>
          <w:rFonts w:hint="eastAsia" w:ascii="方正黑体_GBK" w:hAnsi="方正黑体_GBK" w:eastAsia="方正黑体_GBK" w:cs="方正黑体_GBK"/>
          <w:color w:val="auto"/>
          <w:sz w:val="32"/>
          <w:szCs w:val="32"/>
          <w:lang w:eastAsia="zh-CN"/>
        </w:rPr>
      </w:pPr>
      <w:r>
        <w:rPr>
          <w:rFonts w:hint="eastAsia" w:ascii="方正黑体_GBK" w:hAnsi="方正黑体_GBK" w:eastAsia="方正黑体_GBK" w:cs="方正黑体_GBK"/>
          <w:color w:val="auto"/>
          <w:sz w:val="32"/>
          <w:szCs w:val="32"/>
          <w:lang w:eastAsia="zh-CN"/>
        </w:rPr>
        <w:t>第一节  完善现代化综合交通运输体系</w:t>
      </w:r>
    </w:p>
    <w:p w14:paraId="1B4F96C4">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方正仿宋_GBK" w:hAnsi="方正仿宋_GBK" w:eastAsia="方正仿宋_GBK" w:cs="方正仿宋_GBK"/>
          <w:color w:val="auto"/>
          <w:sz w:val="32"/>
          <w:szCs w:val="32"/>
          <w:lang w:eastAsia="zh-CN"/>
        </w:rPr>
      </w:pPr>
      <w:r>
        <w:rPr>
          <w:rFonts w:hint="eastAsia" w:ascii="方正仿宋_GBK" w:hAnsi="方正仿宋_GBK" w:eastAsia="方正仿宋_GBK" w:cs="方正仿宋_GBK"/>
          <w:color w:val="auto"/>
          <w:sz w:val="32"/>
          <w:szCs w:val="32"/>
          <w:lang w:eastAsia="zh-CN"/>
        </w:rPr>
        <w:t>强化与长春、沈阳都市圈交通基础设施互联互通和运行效率提升，注重增量供给质量提升和存量设施更新改造，打造综合立体交通网络。加快推进长春经四平辽源至通化高铁项目建设，建设南部新城高铁客运枢纽中心，力争2026年实现境内开工，2030年实现建成通车。推动实施四梅集铁路等既有线路扩能改造，提高运行速度，提升铁路等级标准。积极开展长春直达辽源市域铁路等项目研究论证。加强与全省“四环十一射”公路骨架网衔接，推进辽源至吉林直达高速公路建设。着力消除区域内国省干线瓶颈路段，实施国道集阿公路（G303）辽源绕越线项目，完成国道饶盖公路（G229）古仙至伊通，省道烟辽线（S208）、省道那小线（S209）大中修养护工程，加快推进辽源机场前期工作与规划建设，科学确定机场定位与建设规模，优化配置客运和货运航空运输资源，打通对外往来的空中通道。</w:t>
      </w:r>
    </w:p>
    <w:p w14:paraId="18F19BD5">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方正仿宋_GBK" w:hAnsi="方正仿宋_GBK" w:eastAsia="方正仿宋_GBK" w:cs="方正仿宋_GBK"/>
          <w:color w:val="auto"/>
          <w:sz w:val="32"/>
          <w:szCs w:val="32"/>
          <w:lang w:eastAsia="zh-CN"/>
        </w:rPr>
      </w:pP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28AE2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7" w:hRule="atLeast"/>
          <w:jc w:val="center"/>
        </w:trPr>
        <w:tc>
          <w:tcPr>
            <w:tcW w:w="8834" w:type="dxa"/>
            <w:noWrap w:val="0"/>
            <w:vAlign w:val="top"/>
          </w:tcPr>
          <w:p w14:paraId="06DAE325">
            <w:pPr>
              <w:keepNext w:val="0"/>
              <w:keepLines w:val="0"/>
              <w:pageBreakBefore w:val="0"/>
              <w:widowControl w:val="0"/>
              <w:kinsoku/>
              <w:wordWrap/>
              <w:overflowPunct w:val="0"/>
              <w:topLinePunct/>
              <w:autoSpaceDE/>
              <w:autoSpaceDN/>
              <w:bidi w:val="0"/>
              <w:adjustRightInd/>
              <w:snapToGrid/>
              <w:spacing w:before="156" w:beforeLines="50" w:after="156" w:afterLines="50" w:line="340" w:lineRule="exact"/>
              <w:ind w:firstLine="0" w:firstLineChars="0"/>
              <w:jc w:val="center"/>
              <w:textAlignment w:val="auto"/>
              <w:rPr>
                <w:rFonts w:hint="eastAsia" w:ascii="方正黑体_GBK" w:hAnsi="方正黑体_GBK" w:eastAsia="方正黑体_GBK" w:cs="方正黑体_GBK"/>
                <w:b w:val="0"/>
                <w:bCs w:val="0"/>
                <w:color w:val="auto"/>
                <w:sz w:val="28"/>
                <w:szCs w:val="28"/>
              </w:rPr>
            </w:pPr>
            <w:r>
              <w:rPr>
                <w:rFonts w:hint="eastAsia" w:ascii="方正黑体_GBK" w:hAnsi="方正黑体_GBK" w:eastAsia="方正黑体_GBK" w:cs="方正黑体_GBK"/>
                <w:b w:val="0"/>
                <w:bCs w:val="0"/>
                <w:color w:val="auto"/>
                <w:sz w:val="28"/>
                <w:szCs w:val="28"/>
              </w:rPr>
              <w:t>专栏</w:t>
            </w:r>
            <w:r>
              <w:rPr>
                <w:rFonts w:hint="eastAsia" w:ascii="方正黑体_GBK" w:hAnsi="方正黑体_GBK" w:eastAsia="方正黑体_GBK" w:cs="方正黑体_GBK"/>
                <w:b w:val="0"/>
                <w:bCs w:val="0"/>
                <w:color w:val="auto"/>
                <w:sz w:val="28"/>
                <w:szCs w:val="28"/>
                <w:lang w:val="en-US" w:eastAsia="zh-CN"/>
              </w:rPr>
              <w:t>17</w:t>
            </w:r>
            <w:r>
              <w:rPr>
                <w:rFonts w:hint="eastAsia" w:ascii="方正黑体_GBK" w:hAnsi="方正黑体_GBK" w:eastAsia="方正黑体_GBK" w:cs="方正黑体_GBK"/>
                <w:b w:val="0"/>
                <w:bCs w:val="0"/>
                <w:color w:val="auto"/>
                <w:sz w:val="28"/>
                <w:szCs w:val="28"/>
              </w:rPr>
              <w:t xml:space="preserve">  现代化综合交通体系建设工程</w:t>
            </w:r>
          </w:p>
          <w:p w14:paraId="41F15C18">
            <w:pPr>
              <w:keepNext w:val="0"/>
              <w:keepLines w:val="0"/>
              <w:pageBreakBefore w:val="0"/>
              <w:widowControl w:val="0"/>
              <w:kinsoku/>
              <w:wordWrap/>
              <w:overflowPunct w:val="0"/>
              <w:topLinePunct/>
              <w:autoSpaceDE/>
              <w:autoSpaceDN/>
              <w:bidi w:val="0"/>
              <w:adjustRightInd/>
              <w:snapToGrid/>
              <w:spacing w:line="340" w:lineRule="exact"/>
              <w:ind w:firstLine="422"/>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 xml:space="preserve">1. </w:t>
            </w:r>
            <w:r>
              <w:rPr>
                <w:rFonts w:hint="eastAsia" w:ascii="宋体" w:hAnsi="宋体" w:eastAsia="宋体" w:cs="宋体"/>
                <w:b w:val="0"/>
                <w:bCs w:val="0"/>
                <w:color w:val="auto"/>
                <w:sz w:val="21"/>
                <w:szCs w:val="21"/>
              </w:rPr>
              <w:t>铁路畅通工程</w:t>
            </w:r>
            <w:r>
              <w:rPr>
                <w:rFonts w:hint="eastAsia" w:ascii="宋体" w:hAnsi="宋体" w:eastAsia="宋体" w:cs="宋体"/>
                <w:b w:val="0"/>
                <w:bCs w:val="0"/>
                <w:color w:val="auto"/>
                <w:sz w:val="21"/>
                <w:szCs w:val="21"/>
                <w:lang w:val="en-US" w:eastAsia="zh-CN"/>
              </w:rPr>
              <w:t xml:space="preserve"> </w:t>
            </w:r>
          </w:p>
          <w:p w14:paraId="4661A893">
            <w:pPr>
              <w:keepNext w:val="0"/>
              <w:keepLines w:val="0"/>
              <w:pageBreakBefore w:val="0"/>
              <w:widowControl w:val="0"/>
              <w:kinsoku/>
              <w:wordWrap/>
              <w:overflowPunct w:val="0"/>
              <w:topLinePunct/>
              <w:autoSpaceDE/>
              <w:autoSpaceDN/>
              <w:bidi w:val="0"/>
              <w:adjustRightInd/>
              <w:snapToGrid/>
              <w:spacing w:line="340" w:lineRule="exact"/>
              <w:ind w:firstLine="422"/>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积极推动融入区域高铁网，实施长春经四平辽源至通化高铁项目，配套建设</w:t>
            </w:r>
            <w:r>
              <w:rPr>
                <w:rFonts w:hint="eastAsia" w:ascii="宋体" w:hAnsi="宋体" w:eastAsia="宋体" w:cs="宋体"/>
                <w:b w:val="0"/>
                <w:bCs w:val="0"/>
                <w:color w:val="auto"/>
                <w:sz w:val="21"/>
                <w:szCs w:val="21"/>
              </w:rPr>
              <w:t>长四辽通高铁辽源市站城一体化项目，建设综合客运枢纽</w:t>
            </w: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lang w:val="en-US" w:eastAsia="zh-CN"/>
              </w:rPr>
              <w:t>开工建设四平至梅河口至集安铁路扩能改造（辽源段）项目，</w:t>
            </w:r>
            <w:r>
              <w:rPr>
                <w:rFonts w:hint="eastAsia" w:ascii="宋体" w:hAnsi="宋体" w:eastAsia="宋体" w:cs="宋体"/>
                <w:b w:val="0"/>
                <w:bCs w:val="0"/>
                <w:color w:val="auto"/>
                <w:sz w:val="21"/>
                <w:szCs w:val="21"/>
              </w:rPr>
              <w:t>打造</w:t>
            </w:r>
            <w:r>
              <w:rPr>
                <w:rFonts w:hint="eastAsia" w:ascii="宋体" w:hAnsi="宋体" w:eastAsia="宋体" w:cs="宋体"/>
                <w:b w:val="0"/>
                <w:bCs w:val="0"/>
                <w:color w:val="auto"/>
                <w:sz w:val="21"/>
                <w:szCs w:val="21"/>
                <w:lang w:val="en-US" w:eastAsia="zh-CN"/>
              </w:rPr>
              <w:t>公铁</w:t>
            </w:r>
            <w:r>
              <w:rPr>
                <w:rFonts w:hint="eastAsia" w:ascii="宋体" w:hAnsi="宋体" w:eastAsia="宋体" w:cs="宋体"/>
                <w:b w:val="0"/>
                <w:bCs w:val="0"/>
                <w:color w:val="auto"/>
                <w:sz w:val="21"/>
                <w:szCs w:val="21"/>
              </w:rPr>
              <w:t>货运枢纽</w:t>
            </w:r>
            <w:r>
              <w:rPr>
                <w:rFonts w:hint="eastAsia" w:ascii="宋体" w:hAnsi="宋体" w:eastAsia="宋体" w:cs="宋体"/>
                <w:b w:val="0"/>
                <w:bCs w:val="0"/>
                <w:color w:val="auto"/>
                <w:sz w:val="21"/>
                <w:szCs w:val="21"/>
                <w:lang w:val="en-US" w:eastAsia="zh-CN"/>
              </w:rPr>
              <w:t>站</w:t>
            </w:r>
            <w:r>
              <w:rPr>
                <w:rFonts w:hint="eastAsia" w:ascii="宋体" w:hAnsi="宋体" w:eastAsia="宋体" w:cs="宋体"/>
                <w:b w:val="0"/>
                <w:bCs w:val="0"/>
                <w:color w:val="auto"/>
                <w:sz w:val="21"/>
                <w:szCs w:val="21"/>
              </w:rPr>
              <w:t>。</w:t>
            </w:r>
            <w:r>
              <w:rPr>
                <w:rFonts w:hint="eastAsia" w:ascii="宋体" w:hAnsi="宋体" w:eastAsia="宋体" w:cs="宋体"/>
                <w:b w:val="0"/>
                <w:bCs w:val="0"/>
                <w:color w:val="auto"/>
                <w:sz w:val="21"/>
                <w:szCs w:val="21"/>
                <w:lang w:val="en-US" w:eastAsia="zh-CN"/>
              </w:rPr>
              <w:t>研究论证长春至辽源市域铁路、长春至辽源至西丰铁路扩能改造项目。</w:t>
            </w:r>
          </w:p>
          <w:p w14:paraId="5D83B9A8">
            <w:pPr>
              <w:keepNext w:val="0"/>
              <w:keepLines w:val="0"/>
              <w:pageBreakBefore w:val="0"/>
              <w:widowControl w:val="0"/>
              <w:kinsoku/>
              <w:wordWrap/>
              <w:overflowPunct w:val="0"/>
              <w:topLinePunct/>
              <w:autoSpaceDE/>
              <w:autoSpaceDN/>
              <w:bidi w:val="0"/>
              <w:adjustRightInd/>
              <w:snapToGrid/>
              <w:spacing w:line="340" w:lineRule="exact"/>
              <w:ind w:firstLine="422"/>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lang w:val="en-US" w:eastAsia="zh-CN"/>
              </w:rPr>
              <w:t xml:space="preserve">2. </w:t>
            </w:r>
            <w:r>
              <w:rPr>
                <w:rFonts w:hint="eastAsia" w:ascii="宋体" w:hAnsi="宋体" w:eastAsia="宋体" w:cs="宋体"/>
                <w:b w:val="0"/>
                <w:bCs w:val="0"/>
                <w:color w:val="auto"/>
                <w:sz w:val="21"/>
                <w:szCs w:val="21"/>
              </w:rPr>
              <w:t>公路提档工程</w:t>
            </w:r>
          </w:p>
          <w:p w14:paraId="5B2B4861">
            <w:pPr>
              <w:keepNext w:val="0"/>
              <w:keepLines w:val="0"/>
              <w:pageBreakBefore w:val="0"/>
              <w:widowControl w:val="0"/>
              <w:kinsoku/>
              <w:wordWrap/>
              <w:overflowPunct w:val="0"/>
              <w:topLinePunct/>
              <w:autoSpaceDE/>
              <w:autoSpaceDN/>
              <w:bidi w:val="0"/>
              <w:adjustRightInd/>
              <w:snapToGrid/>
              <w:spacing w:line="340" w:lineRule="exact"/>
              <w:ind w:firstLine="422"/>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推进普通国省干线升级改造，</w:t>
            </w:r>
            <w:r>
              <w:rPr>
                <w:rFonts w:hint="eastAsia" w:ascii="宋体" w:hAnsi="宋体" w:eastAsia="宋体" w:cs="宋体"/>
                <w:b w:val="0"/>
                <w:bCs w:val="0"/>
                <w:color w:val="auto"/>
                <w:sz w:val="21"/>
                <w:szCs w:val="21"/>
              </w:rPr>
              <w:t>实施国道饶盖公路</w:t>
            </w: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rPr>
              <w:t>G229</w:t>
            </w: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rPr>
              <w:t>古仙至伊通段</w:t>
            </w:r>
            <w:r>
              <w:rPr>
                <w:rFonts w:hint="eastAsia" w:ascii="宋体" w:hAnsi="宋体" w:eastAsia="宋体" w:cs="宋体"/>
                <w:b w:val="0"/>
                <w:bCs w:val="0"/>
                <w:color w:val="auto"/>
                <w:sz w:val="21"/>
                <w:szCs w:val="21"/>
                <w:lang w:val="en-US" w:eastAsia="zh-CN"/>
              </w:rPr>
              <w:t>大中修、</w:t>
            </w:r>
            <w:r>
              <w:rPr>
                <w:rFonts w:hint="eastAsia" w:ascii="宋体" w:hAnsi="宋体" w:eastAsia="宋体" w:cs="宋体"/>
                <w:b w:val="0"/>
                <w:bCs w:val="0"/>
                <w:color w:val="auto"/>
                <w:sz w:val="21"/>
                <w:szCs w:val="21"/>
              </w:rPr>
              <w:t>国道集阿公路（G303）辽源绕越线</w:t>
            </w:r>
            <w:r>
              <w:rPr>
                <w:rFonts w:hint="eastAsia" w:ascii="宋体" w:hAnsi="宋体" w:eastAsia="宋体" w:cs="宋体"/>
                <w:b w:val="0"/>
                <w:bCs w:val="0"/>
                <w:color w:val="auto"/>
                <w:sz w:val="21"/>
                <w:szCs w:val="21"/>
                <w:lang w:val="en-US" w:eastAsia="zh-CN"/>
              </w:rPr>
              <w:t>等项目</w:t>
            </w:r>
            <w:r>
              <w:rPr>
                <w:rFonts w:hint="eastAsia" w:ascii="宋体" w:hAnsi="宋体" w:eastAsia="宋体" w:cs="宋体"/>
                <w:b w:val="0"/>
                <w:bCs w:val="0"/>
                <w:color w:val="auto"/>
                <w:sz w:val="21"/>
                <w:szCs w:val="21"/>
              </w:rPr>
              <w:t>，</w:t>
            </w:r>
            <w:r>
              <w:rPr>
                <w:rFonts w:hint="eastAsia" w:ascii="宋体" w:hAnsi="宋体" w:eastAsia="宋体" w:cs="宋体"/>
                <w:b w:val="0"/>
                <w:bCs w:val="0"/>
                <w:color w:val="auto"/>
                <w:sz w:val="21"/>
                <w:szCs w:val="21"/>
                <w:lang w:val="en-US" w:eastAsia="zh-CN"/>
              </w:rPr>
              <w:t>研究论证辽源至吉林高速公路。推进“四好农村路”建设，实施</w:t>
            </w:r>
            <w:r>
              <w:rPr>
                <w:rFonts w:hint="eastAsia" w:ascii="宋体" w:hAnsi="宋体" w:eastAsia="宋体" w:cs="宋体"/>
                <w:b w:val="0"/>
                <w:bCs w:val="0"/>
                <w:color w:val="auto"/>
                <w:sz w:val="21"/>
                <w:szCs w:val="21"/>
              </w:rPr>
              <w:t>安防工程</w:t>
            </w:r>
            <w:r>
              <w:rPr>
                <w:rFonts w:hint="eastAsia" w:ascii="宋体" w:hAnsi="宋体" w:eastAsia="宋体" w:cs="宋体"/>
                <w:b w:val="0"/>
                <w:bCs w:val="0"/>
                <w:color w:val="auto"/>
                <w:sz w:val="21"/>
                <w:szCs w:val="21"/>
                <w:lang w:val="en-US" w:eastAsia="zh-CN"/>
              </w:rPr>
              <w:t>和“畅返不畅”养护工程。</w:t>
            </w:r>
          </w:p>
          <w:p w14:paraId="72D91E1E">
            <w:pPr>
              <w:keepNext w:val="0"/>
              <w:keepLines w:val="0"/>
              <w:pageBreakBefore w:val="0"/>
              <w:widowControl w:val="0"/>
              <w:kinsoku/>
              <w:wordWrap/>
              <w:overflowPunct w:val="0"/>
              <w:topLinePunct/>
              <w:autoSpaceDE/>
              <w:autoSpaceDN/>
              <w:bidi w:val="0"/>
              <w:adjustRightInd/>
              <w:snapToGrid/>
              <w:spacing w:line="340" w:lineRule="exact"/>
              <w:ind w:firstLine="422"/>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lang w:val="en-US" w:eastAsia="zh-CN"/>
              </w:rPr>
              <w:t>3. 机场建设工程</w:t>
            </w:r>
          </w:p>
          <w:p w14:paraId="26F2C529">
            <w:pPr>
              <w:keepNext w:val="0"/>
              <w:keepLines w:val="0"/>
              <w:pageBreakBefore w:val="0"/>
              <w:widowControl w:val="0"/>
              <w:kinsoku/>
              <w:wordWrap/>
              <w:overflowPunct w:val="0"/>
              <w:topLinePunct/>
              <w:autoSpaceDE/>
              <w:autoSpaceDN/>
              <w:bidi w:val="0"/>
              <w:adjustRightInd/>
              <w:snapToGrid/>
              <w:spacing w:line="340" w:lineRule="exact"/>
              <w:ind w:firstLine="422"/>
              <w:textAlignment w:val="auto"/>
              <w:rPr>
                <w:rFonts w:ascii="Calibri" w:hAnsi="Calibri"/>
                <w:color w:val="auto"/>
                <w:szCs w:val="24"/>
              </w:rPr>
            </w:pPr>
            <w:r>
              <w:rPr>
                <w:rFonts w:hint="eastAsia" w:ascii="宋体" w:hAnsi="宋体" w:eastAsia="宋体" w:cs="宋体"/>
                <w:b w:val="0"/>
                <w:bCs w:val="0"/>
                <w:color w:val="auto"/>
                <w:sz w:val="21"/>
                <w:szCs w:val="21"/>
                <w:lang w:val="en-US" w:eastAsia="zh-CN"/>
              </w:rPr>
              <w:t>开展</w:t>
            </w:r>
            <w:r>
              <w:rPr>
                <w:rFonts w:hint="eastAsia" w:ascii="宋体" w:hAnsi="宋体" w:eastAsia="宋体" w:cs="宋体"/>
                <w:b w:val="0"/>
                <w:bCs w:val="0"/>
                <w:color w:val="auto"/>
                <w:sz w:val="21"/>
                <w:szCs w:val="21"/>
              </w:rPr>
              <w:t>辽源机场</w:t>
            </w:r>
            <w:r>
              <w:rPr>
                <w:rFonts w:hint="eastAsia" w:ascii="宋体" w:hAnsi="宋体" w:eastAsia="宋体" w:cs="宋体"/>
                <w:b w:val="0"/>
                <w:bCs w:val="0"/>
                <w:color w:val="auto"/>
                <w:sz w:val="21"/>
                <w:szCs w:val="21"/>
                <w:lang w:val="en-US" w:eastAsia="zh-CN"/>
              </w:rPr>
              <w:t>项目前期工作，力争“十五五”时期开工建设</w:t>
            </w:r>
            <w:r>
              <w:rPr>
                <w:rFonts w:hint="eastAsia" w:ascii="宋体" w:hAnsi="宋体" w:eastAsia="宋体" w:cs="宋体"/>
                <w:b w:val="0"/>
                <w:bCs w:val="0"/>
                <w:color w:val="auto"/>
                <w:sz w:val="21"/>
                <w:szCs w:val="21"/>
                <w:lang w:eastAsia="zh-CN"/>
              </w:rPr>
              <w:t>。</w:t>
            </w:r>
          </w:p>
        </w:tc>
      </w:tr>
    </w:tbl>
    <w:p w14:paraId="0E95DA7C">
      <w:pPr>
        <w:pStyle w:val="2"/>
        <w:keepNext w:val="0"/>
        <w:keepLines w:val="0"/>
        <w:pageBreakBefore w:val="0"/>
        <w:widowControl w:val="0"/>
        <w:kinsoku/>
        <w:wordWrap/>
        <w:overflowPunct/>
        <w:topLinePunct w:val="0"/>
        <w:autoSpaceDE/>
        <w:autoSpaceDN/>
        <w:bidi w:val="0"/>
        <w:adjustRightInd/>
        <w:snapToGrid/>
        <w:spacing w:before="157" w:beforeLines="50" w:after="0" w:afterLines="0" w:line="560" w:lineRule="exact"/>
        <w:ind w:left="0" w:leftChars="0" w:firstLine="0" w:firstLineChars="0"/>
        <w:jc w:val="center"/>
        <w:textAlignment w:val="auto"/>
        <w:rPr>
          <w:rFonts w:hint="eastAsia" w:ascii="方正黑体_GBK" w:hAnsi="方正黑体_GBK" w:eastAsia="方正黑体_GBK" w:cs="方正黑体_GBK"/>
          <w:color w:val="auto"/>
          <w:sz w:val="32"/>
          <w:szCs w:val="32"/>
          <w:lang w:eastAsia="zh-CN"/>
        </w:rPr>
      </w:pPr>
      <w:r>
        <w:rPr>
          <w:rFonts w:hint="eastAsia" w:ascii="方正黑体_GBK" w:hAnsi="方正黑体_GBK" w:eastAsia="方正黑体_GBK" w:cs="方正黑体_GBK"/>
          <w:color w:val="auto"/>
          <w:sz w:val="32"/>
          <w:szCs w:val="32"/>
          <w:lang w:eastAsia="zh-CN"/>
        </w:rPr>
        <w:t>第二节  构建水安全保障体系</w:t>
      </w:r>
    </w:p>
    <w:p w14:paraId="5B14DFEA">
      <w:pPr>
        <w:pStyle w:val="2"/>
        <w:keepNext w:val="0"/>
        <w:keepLines w:val="0"/>
        <w:pageBreakBefore w:val="0"/>
        <w:widowControl w:val="0"/>
        <w:kinsoku/>
        <w:wordWrap/>
        <w:overflowPunct/>
        <w:topLinePunct w:val="0"/>
        <w:autoSpaceDE/>
        <w:autoSpaceDN/>
        <w:bidi w:val="0"/>
        <w:adjustRightInd/>
        <w:snapToGrid/>
        <w:spacing w:after="0" w:afterLines="0" w:line="560" w:lineRule="exact"/>
        <w:ind w:firstLine="640" w:firstLineChars="200"/>
        <w:textAlignment w:val="auto"/>
        <w:rPr>
          <w:rFonts w:hint="eastAsia" w:ascii="方正仿宋_GBK" w:hAnsi="方正仿宋_GBK" w:eastAsia="方正仿宋_GBK" w:cs="方正仿宋_GBK"/>
          <w:color w:val="auto"/>
          <w:sz w:val="32"/>
          <w:szCs w:val="32"/>
          <w:lang w:eastAsia="zh-CN"/>
        </w:rPr>
      </w:pPr>
      <w:r>
        <w:rPr>
          <w:rFonts w:hint="eastAsia" w:ascii="方正仿宋_GBK" w:hAnsi="方正仿宋_GBK" w:eastAsia="方正仿宋_GBK" w:cs="方正仿宋_GBK"/>
          <w:color w:val="auto"/>
          <w:sz w:val="32"/>
          <w:szCs w:val="32"/>
          <w:lang w:eastAsia="zh-CN"/>
        </w:rPr>
        <w:t>坚持“以水定城、以水定地、以水定人、以水定产”，深度融入国家和省级水网布局，依托中部城市引松供水、中西部供水等重大工程，优化水资源配置格局，系统提升水资源调配、供水保障与战略储备能力。完善防洪减灾体系，加快实施东辽河重点防洪治理工程，到2030年，实现东辽河干流城区段堤防全线闭环。滚动推进安全鉴定和病险水库水闸除险加固。提升城乡供水保障水平，统筹推进城乡供水一体化，加强水源地建设与保护，实施农村供水提升工程。推进重点灌区续建配套与现代化改造，提升农业灌溉用水效率。落实最严格水资源管理制度，严守水资源开发利用上限，推进农业节水增效、工业节水减排、城镇节水降损，全面建设节水型社会。</w:t>
      </w:r>
    </w:p>
    <w:p w14:paraId="7B573C51">
      <w:pPr>
        <w:pStyle w:val="2"/>
        <w:keepNext w:val="0"/>
        <w:keepLines w:val="0"/>
        <w:pageBreakBefore w:val="0"/>
        <w:widowControl w:val="0"/>
        <w:kinsoku/>
        <w:wordWrap/>
        <w:overflowPunct/>
        <w:topLinePunct w:val="0"/>
        <w:autoSpaceDE/>
        <w:autoSpaceDN/>
        <w:bidi w:val="0"/>
        <w:adjustRightInd/>
        <w:snapToGrid/>
        <w:spacing w:after="0" w:afterLines="0" w:line="560" w:lineRule="exact"/>
        <w:ind w:firstLine="640" w:firstLineChars="200"/>
        <w:textAlignment w:val="auto"/>
        <w:rPr>
          <w:rFonts w:hint="eastAsia" w:ascii="方正仿宋_GBK" w:hAnsi="方正仿宋_GBK" w:eastAsia="方正仿宋_GBK" w:cs="方正仿宋_GBK"/>
          <w:color w:val="auto"/>
          <w:sz w:val="32"/>
          <w:szCs w:val="32"/>
          <w:lang w:eastAsia="zh-CN"/>
        </w:rPr>
      </w:pP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6E218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7" w:hRule="atLeast"/>
          <w:jc w:val="center"/>
        </w:trPr>
        <w:tc>
          <w:tcPr>
            <w:tcW w:w="8834" w:type="dxa"/>
            <w:noWrap w:val="0"/>
            <w:vAlign w:val="top"/>
          </w:tcPr>
          <w:p w14:paraId="1BBF2566">
            <w:pPr>
              <w:keepNext w:val="0"/>
              <w:keepLines w:val="0"/>
              <w:pageBreakBefore w:val="0"/>
              <w:widowControl w:val="0"/>
              <w:kinsoku/>
              <w:wordWrap/>
              <w:overflowPunct w:val="0"/>
              <w:topLinePunct/>
              <w:autoSpaceDE/>
              <w:autoSpaceDN/>
              <w:bidi w:val="0"/>
              <w:adjustRightInd/>
              <w:snapToGrid/>
              <w:spacing w:before="156" w:beforeLines="50" w:after="156" w:afterLines="50" w:line="340" w:lineRule="exact"/>
              <w:ind w:firstLine="0" w:firstLineChars="0"/>
              <w:jc w:val="center"/>
              <w:textAlignment w:val="auto"/>
              <w:rPr>
                <w:rFonts w:hint="eastAsia" w:ascii="方正黑体_GBK" w:hAnsi="方正黑体_GBK" w:eastAsia="方正黑体_GBK" w:cs="方正黑体_GBK"/>
                <w:b w:val="0"/>
                <w:bCs w:val="0"/>
                <w:color w:val="auto"/>
                <w:sz w:val="28"/>
                <w:szCs w:val="28"/>
                <w:u w:val="none"/>
              </w:rPr>
            </w:pPr>
            <w:r>
              <w:rPr>
                <w:rFonts w:hint="eastAsia" w:ascii="方正黑体_GBK" w:hAnsi="方正黑体_GBK" w:eastAsia="方正黑体_GBK" w:cs="方正黑体_GBK"/>
                <w:b w:val="0"/>
                <w:bCs w:val="0"/>
                <w:color w:val="auto"/>
                <w:sz w:val="28"/>
                <w:szCs w:val="28"/>
                <w:u w:val="none"/>
              </w:rPr>
              <w:t>专栏</w:t>
            </w:r>
            <w:r>
              <w:rPr>
                <w:rFonts w:hint="eastAsia" w:ascii="方正黑体_GBK" w:hAnsi="方正黑体_GBK" w:eastAsia="方正黑体_GBK" w:cs="方正黑体_GBK"/>
                <w:b w:val="0"/>
                <w:bCs w:val="0"/>
                <w:color w:val="auto"/>
                <w:sz w:val="28"/>
                <w:szCs w:val="28"/>
                <w:u w:val="none"/>
                <w:lang w:val="en-US" w:eastAsia="zh-CN"/>
              </w:rPr>
              <w:t>18</w:t>
            </w:r>
            <w:r>
              <w:rPr>
                <w:rFonts w:hint="eastAsia" w:ascii="方正黑体_GBK" w:hAnsi="方正黑体_GBK" w:eastAsia="方正黑体_GBK" w:cs="方正黑体_GBK"/>
                <w:b w:val="0"/>
                <w:bCs w:val="0"/>
                <w:color w:val="auto"/>
                <w:sz w:val="28"/>
                <w:szCs w:val="28"/>
                <w:u w:val="none"/>
              </w:rPr>
              <w:t xml:space="preserve">  水利基础设施</w:t>
            </w:r>
            <w:r>
              <w:rPr>
                <w:rFonts w:hint="eastAsia" w:ascii="方正黑体_GBK" w:hAnsi="方正黑体_GBK" w:eastAsia="方正黑体_GBK" w:cs="方正黑体_GBK"/>
                <w:b w:val="0"/>
                <w:bCs w:val="0"/>
                <w:color w:val="auto"/>
                <w:sz w:val="28"/>
                <w:szCs w:val="28"/>
                <w:u w:val="none"/>
                <w:lang w:val="en-US" w:eastAsia="zh-CN"/>
              </w:rPr>
              <w:t>建设</w:t>
            </w:r>
            <w:r>
              <w:rPr>
                <w:rFonts w:hint="eastAsia" w:ascii="方正黑体_GBK" w:hAnsi="方正黑体_GBK" w:eastAsia="方正黑体_GBK" w:cs="方正黑体_GBK"/>
                <w:b w:val="0"/>
                <w:bCs w:val="0"/>
                <w:color w:val="auto"/>
                <w:sz w:val="28"/>
                <w:szCs w:val="28"/>
                <w:u w:val="none"/>
              </w:rPr>
              <w:t>工程</w:t>
            </w:r>
          </w:p>
          <w:p w14:paraId="5BA561FE">
            <w:pPr>
              <w:keepNext w:val="0"/>
              <w:keepLines w:val="0"/>
              <w:pageBreakBefore w:val="0"/>
              <w:widowControl w:val="0"/>
              <w:kinsoku/>
              <w:wordWrap/>
              <w:overflowPunct w:val="0"/>
              <w:topLinePunct/>
              <w:autoSpaceDE/>
              <w:autoSpaceDN/>
              <w:bidi w:val="0"/>
              <w:adjustRightInd/>
              <w:snapToGrid/>
              <w:spacing w:line="340" w:lineRule="exact"/>
              <w:ind w:firstLine="422"/>
              <w:textAlignment w:val="auto"/>
              <w:rPr>
                <w:rFonts w:hint="eastAsia" w:ascii="宋体" w:hAnsi="宋体" w:eastAsia="宋体" w:cs="宋体"/>
                <w:b w:val="0"/>
                <w:bCs w:val="0"/>
                <w:color w:val="auto"/>
                <w:sz w:val="21"/>
                <w:szCs w:val="21"/>
                <w:u w:val="none"/>
                <w:lang w:val="en-US" w:eastAsia="zh-CN"/>
              </w:rPr>
            </w:pPr>
            <w:r>
              <w:rPr>
                <w:rFonts w:hint="eastAsia" w:ascii="宋体" w:hAnsi="宋体" w:eastAsia="宋体" w:cs="宋体"/>
                <w:b w:val="0"/>
                <w:bCs w:val="0"/>
                <w:color w:val="auto"/>
                <w:sz w:val="21"/>
                <w:szCs w:val="21"/>
                <w:u w:val="none"/>
                <w:lang w:val="en-US" w:eastAsia="zh-CN"/>
              </w:rPr>
              <w:t xml:space="preserve">1. </w:t>
            </w:r>
            <w:r>
              <w:rPr>
                <w:rFonts w:hint="eastAsia" w:ascii="宋体" w:hAnsi="宋体" w:eastAsia="宋体" w:cs="宋体"/>
                <w:b w:val="0"/>
                <w:bCs w:val="0"/>
                <w:color w:val="auto"/>
                <w:sz w:val="21"/>
                <w:szCs w:val="21"/>
                <w:u w:val="none"/>
              </w:rPr>
              <w:t>防洪减灾与安全保障</w:t>
            </w:r>
            <w:r>
              <w:rPr>
                <w:rFonts w:hint="eastAsia" w:ascii="宋体" w:hAnsi="宋体" w:eastAsia="宋体" w:cs="宋体"/>
                <w:b w:val="0"/>
                <w:bCs w:val="0"/>
                <w:color w:val="auto"/>
                <w:sz w:val="21"/>
                <w:szCs w:val="21"/>
                <w:u w:val="none"/>
                <w:lang w:val="en-US" w:eastAsia="zh-CN"/>
              </w:rPr>
              <w:t xml:space="preserve"> </w:t>
            </w:r>
          </w:p>
          <w:p w14:paraId="5E199BBC">
            <w:pPr>
              <w:keepNext w:val="0"/>
              <w:keepLines w:val="0"/>
              <w:pageBreakBefore w:val="0"/>
              <w:widowControl w:val="0"/>
              <w:kinsoku/>
              <w:wordWrap/>
              <w:overflowPunct w:val="0"/>
              <w:topLinePunct/>
              <w:autoSpaceDE/>
              <w:autoSpaceDN/>
              <w:bidi w:val="0"/>
              <w:adjustRightInd/>
              <w:snapToGrid/>
              <w:spacing w:line="340" w:lineRule="exact"/>
              <w:ind w:firstLine="422"/>
              <w:textAlignment w:val="auto"/>
              <w:rPr>
                <w:rFonts w:hint="eastAsia" w:ascii="宋体" w:hAnsi="宋体" w:eastAsia="宋体" w:cs="宋体"/>
                <w:b w:val="0"/>
                <w:bCs w:val="0"/>
                <w:color w:val="auto"/>
                <w:sz w:val="21"/>
                <w:szCs w:val="21"/>
                <w:u w:val="none"/>
                <w:lang w:eastAsia="zh-CN"/>
              </w:rPr>
            </w:pPr>
            <w:r>
              <w:rPr>
                <w:rFonts w:hint="eastAsia" w:ascii="宋体" w:hAnsi="宋体" w:eastAsia="宋体" w:cs="宋体"/>
                <w:b w:val="0"/>
                <w:bCs w:val="0"/>
                <w:color w:val="auto"/>
                <w:sz w:val="21"/>
                <w:szCs w:val="21"/>
                <w:u w:val="none"/>
              </w:rPr>
              <w:t>着力提升应对极端天气和洪涝灾害能力。系统推进主要支流和中小河流治理，谋划实施重点山洪沟防洪治理，建成投用东辽河重点段回水堤（大梨树河、小仙人河和太平河）治理工程，探索开展200平方公里以下河流治理，重点提升城市段、人口密集区防洪标准至50年一遇；探索推进涝区治理、新建小型水库和水库清淤试点项目，对全市现有130座大中小型水库适时进行安全鉴定与除险加固，全面消除水库防灾减灾薄弱环节和安全隐患。</w:t>
            </w:r>
          </w:p>
          <w:p w14:paraId="6A7AF263">
            <w:pPr>
              <w:keepNext w:val="0"/>
              <w:keepLines w:val="0"/>
              <w:pageBreakBefore w:val="0"/>
              <w:widowControl w:val="0"/>
              <w:kinsoku/>
              <w:wordWrap/>
              <w:overflowPunct w:val="0"/>
              <w:topLinePunct/>
              <w:autoSpaceDE/>
              <w:autoSpaceDN/>
              <w:bidi w:val="0"/>
              <w:adjustRightInd/>
              <w:snapToGrid/>
              <w:spacing w:line="340" w:lineRule="exact"/>
              <w:ind w:firstLine="422"/>
              <w:textAlignment w:val="auto"/>
              <w:rPr>
                <w:rFonts w:hint="eastAsia" w:ascii="宋体" w:hAnsi="宋体" w:eastAsia="宋体" w:cs="宋体"/>
                <w:b w:val="0"/>
                <w:bCs w:val="0"/>
                <w:color w:val="auto"/>
                <w:sz w:val="21"/>
                <w:szCs w:val="21"/>
                <w:u w:val="none"/>
              </w:rPr>
            </w:pPr>
            <w:r>
              <w:rPr>
                <w:rFonts w:hint="eastAsia" w:ascii="宋体" w:hAnsi="宋体" w:eastAsia="宋体" w:cs="宋体"/>
                <w:b w:val="0"/>
                <w:bCs w:val="0"/>
                <w:color w:val="auto"/>
                <w:sz w:val="21"/>
                <w:szCs w:val="21"/>
                <w:u w:val="none"/>
                <w:lang w:val="en-US" w:eastAsia="zh-CN"/>
              </w:rPr>
              <w:t xml:space="preserve">2. </w:t>
            </w:r>
            <w:r>
              <w:rPr>
                <w:rFonts w:hint="eastAsia" w:ascii="宋体" w:hAnsi="宋体" w:eastAsia="宋体" w:cs="宋体"/>
                <w:b w:val="0"/>
                <w:bCs w:val="0"/>
                <w:color w:val="auto"/>
                <w:sz w:val="21"/>
                <w:szCs w:val="21"/>
                <w:u w:val="none"/>
              </w:rPr>
              <w:t>水资源配置与供水保障</w:t>
            </w:r>
          </w:p>
          <w:p w14:paraId="253B8EB3">
            <w:pPr>
              <w:keepNext w:val="0"/>
              <w:keepLines w:val="0"/>
              <w:pageBreakBefore w:val="0"/>
              <w:widowControl w:val="0"/>
              <w:kinsoku/>
              <w:wordWrap/>
              <w:overflowPunct w:val="0"/>
              <w:topLinePunct/>
              <w:autoSpaceDE/>
              <w:autoSpaceDN/>
              <w:bidi w:val="0"/>
              <w:adjustRightInd/>
              <w:snapToGrid/>
              <w:spacing w:line="340" w:lineRule="exact"/>
              <w:ind w:firstLine="422"/>
              <w:textAlignment w:val="auto"/>
              <w:rPr>
                <w:rFonts w:hint="eastAsia" w:ascii="宋体" w:hAnsi="宋体" w:eastAsia="宋体" w:cs="宋体"/>
                <w:b w:val="0"/>
                <w:bCs w:val="0"/>
                <w:color w:val="auto"/>
                <w:sz w:val="21"/>
                <w:szCs w:val="21"/>
                <w:u w:val="none"/>
              </w:rPr>
            </w:pPr>
            <w:r>
              <w:rPr>
                <w:rFonts w:hint="eastAsia" w:ascii="宋体" w:hAnsi="宋体" w:eastAsia="宋体" w:cs="宋体"/>
                <w:b w:val="0"/>
                <w:bCs w:val="0"/>
                <w:color w:val="auto"/>
                <w:sz w:val="21"/>
                <w:szCs w:val="21"/>
                <w:u w:val="none"/>
              </w:rPr>
              <w:t>强化城乡供水安全和农业灌溉保障。优化城乡供水格局，统筹引松工程和域内水源地建设，扎实提升供水保障能力，协调推进城乡供水一体化工程和农村供水标准化改造，谋划实施县城饮用水备用水源工程和小型引调水工程，通过规模化供水、管网延伸和水质净化等措施，系统解决农村人口饮水不稳定问题。有序推广农业节水灌溉技术，谋划实施中型灌区续建配套和节水改造，探索推进有效灌溉面积复核和新建中型灌区。</w:t>
            </w:r>
          </w:p>
          <w:p w14:paraId="4E91E5A8">
            <w:pPr>
              <w:keepNext w:val="0"/>
              <w:keepLines w:val="0"/>
              <w:pageBreakBefore w:val="0"/>
              <w:widowControl w:val="0"/>
              <w:kinsoku/>
              <w:wordWrap/>
              <w:overflowPunct w:val="0"/>
              <w:topLinePunct/>
              <w:autoSpaceDE/>
              <w:autoSpaceDN/>
              <w:bidi w:val="0"/>
              <w:adjustRightInd/>
              <w:snapToGrid/>
              <w:spacing w:line="340" w:lineRule="exact"/>
              <w:ind w:firstLine="422"/>
              <w:textAlignment w:val="auto"/>
              <w:rPr>
                <w:rFonts w:hint="eastAsia" w:ascii="宋体" w:hAnsi="宋体" w:eastAsia="宋体" w:cs="宋体"/>
                <w:b w:val="0"/>
                <w:bCs w:val="0"/>
                <w:color w:val="auto"/>
                <w:sz w:val="21"/>
                <w:szCs w:val="21"/>
                <w:u w:val="none"/>
              </w:rPr>
            </w:pPr>
            <w:r>
              <w:rPr>
                <w:rFonts w:hint="eastAsia" w:ascii="宋体" w:hAnsi="宋体" w:eastAsia="宋体" w:cs="宋体"/>
                <w:b w:val="0"/>
                <w:bCs w:val="0"/>
                <w:color w:val="auto"/>
                <w:sz w:val="21"/>
                <w:szCs w:val="21"/>
                <w:u w:val="none"/>
                <w:lang w:val="en-US" w:eastAsia="zh-CN"/>
              </w:rPr>
              <w:t xml:space="preserve">3. </w:t>
            </w:r>
            <w:r>
              <w:rPr>
                <w:rFonts w:hint="eastAsia" w:ascii="宋体" w:hAnsi="宋体" w:eastAsia="宋体" w:cs="宋体"/>
                <w:b w:val="0"/>
                <w:bCs w:val="0"/>
                <w:color w:val="auto"/>
                <w:sz w:val="21"/>
                <w:szCs w:val="21"/>
                <w:u w:val="none"/>
              </w:rPr>
              <w:t>水生态保护与流域治理</w:t>
            </w:r>
          </w:p>
          <w:p w14:paraId="0FC517BA">
            <w:pPr>
              <w:keepNext w:val="0"/>
              <w:keepLines w:val="0"/>
              <w:pageBreakBefore w:val="0"/>
              <w:widowControl w:val="0"/>
              <w:kinsoku/>
              <w:wordWrap/>
              <w:overflowPunct w:val="0"/>
              <w:topLinePunct/>
              <w:autoSpaceDE/>
              <w:autoSpaceDN/>
              <w:bidi w:val="0"/>
              <w:adjustRightInd/>
              <w:snapToGrid/>
              <w:spacing w:line="340" w:lineRule="exact"/>
              <w:ind w:firstLine="422"/>
              <w:textAlignment w:val="auto"/>
              <w:rPr>
                <w:rFonts w:hint="default" w:ascii="Times New Roman" w:hAnsi="Times New Roman" w:eastAsia="宋体" w:cs="Times New Roman"/>
                <w:b w:val="0"/>
                <w:bCs w:val="0"/>
                <w:color w:val="auto"/>
                <w:sz w:val="21"/>
                <w:szCs w:val="21"/>
                <w:u w:val="none"/>
              </w:rPr>
            </w:pPr>
            <w:r>
              <w:rPr>
                <w:rFonts w:hint="eastAsia" w:ascii="宋体" w:hAnsi="宋体" w:eastAsia="宋体" w:cs="宋体"/>
                <w:b w:val="0"/>
                <w:bCs w:val="0"/>
                <w:color w:val="auto"/>
                <w:sz w:val="21"/>
                <w:szCs w:val="21"/>
                <w:u w:val="none"/>
              </w:rPr>
              <w:t>坚持系统治理，全面提升流域综合管理能力。构建东辽河源头区生态安全屏障，谋划推进金满、杏木、大良等重点水库水环境综合治理与生态修复工程，有序推进生态流量泄放设施改造。扎实开展水土流失综合治理工程，推进“河湖长制”提档升级，据实开展渭津河幸福河湖项目建设，探索建立智慧水利平台、数字孪生试点和流域生态安全数字化监测。</w:t>
            </w:r>
          </w:p>
        </w:tc>
      </w:tr>
    </w:tbl>
    <w:p w14:paraId="0287DC7A">
      <w:pPr>
        <w:pStyle w:val="2"/>
        <w:keepNext w:val="0"/>
        <w:keepLines w:val="0"/>
        <w:pageBreakBefore w:val="0"/>
        <w:widowControl w:val="0"/>
        <w:kinsoku/>
        <w:wordWrap/>
        <w:overflowPunct/>
        <w:topLinePunct w:val="0"/>
        <w:autoSpaceDE/>
        <w:autoSpaceDN/>
        <w:bidi w:val="0"/>
        <w:adjustRightInd/>
        <w:snapToGrid/>
        <w:spacing w:before="157" w:beforeLines="50" w:after="157" w:afterLines="50"/>
        <w:ind w:left="0" w:leftChars="0" w:firstLine="0" w:firstLineChars="0"/>
        <w:jc w:val="center"/>
        <w:textAlignment w:val="auto"/>
        <w:rPr>
          <w:rFonts w:hint="eastAsia" w:ascii="方正黑体_GBK" w:hAnsi="方正黑体_GBK" w:eastAsia="方正黑体_GBK" w:cs="方正黑体_GBK"/>
          <w:color w:val="auto"/>
          <w:sz w:val="32"/>
          <w:szCs w:val="32"/>
          <w:lang w:eastAsia="zh-CN"/>
        </w:rPr>
      </w:pPr>
      <w:r>
        <w:rPr>
          <w:rFonts w:hint="eastAsia" w:ascii="方正黑体_GBK" w:hAnsi="方正黑体_GBK" w:eastAsia="方正黑体_GBK" w:cs="方正黑体_GBK"/>
          <w:color w:val="auto"/>
          <w:sz w:val="32"/>
          <w:szCs w:val="32"/>
          <w:lang w:eastAsia="zh-CN"/>
        </w:rPr>
        <w:t>第三节  建设新型能源供给保障体系</w:t>
      </w:r>
    </w:p>
    <w:p w14:paraId="5D6AEBCF">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方正仿宋_GBK" w:hAnsi="方正仿宋_GBK" w:eastAsia="方正仿宋_GBK" w:cs="方正仿宋_GBK"/>
          <w:color w:val="auto"/>
          <w:sz w:val="32"/>
          <w:szCs w:val="32"/>
          <w:lang w:eastAsia="zh-CN"/>
        </w:rPr>
      </w:pPr>
      <w:r>
        <w:rPr>
          <w:rFonts w:hint="eastAsia" w:ascii="方正仿宋_GBK" w:hAnsi="方正仿宋_GBK" w:eastAsia="方正仿宋_GBK" w:cs="方正仿宋_GBK"/>
          <w:color w:val="auto"/>
          <w:sz w:val="32"/>
          <w:szCs w:val="32"/>
          <w:lang w:eastAsia="zh-CN"/>
        </w:rPr>
        <w:t>坚持清洁低碳、安全高效的发展方向，统筹能源产供储消各环节，加快构建以新能源为主体的新型电力系统，全面提升能源安全保障能力和绿色发展水平。坚持集中式与分布式并举，加快发展光伏发电，有序推进风电项目。依托辽矿增量配电网、天楹风光储氢氨醇一体化等重点项目，探索“新能源+”融合发展模式。积极推动光热耦合、绿电制甲醇甲烷等新技术应用，培育绿色能源产业新增长点。推进新型储能规模化发展，鼓励在电源侧、电网侧合理布局集中式储能电站，提升电网调峰、调频能力。依托鸿图锂电、中聚新能源等本地企业，支持用户侧分布式储能建设，推广“新能源+储能”系统，形成带动效应。实施城乡电网巩固提升工程，推进重点区域变电站及高压线路改造升级，增强电网对高比例新能源的承载、配置和智能互动能力。完善天然气储气调峰设施，加快构建以地下储气库为主、LNG储罐为辅、管网互联互通的多元储气系统，提升天然气应急保供能力。优化成品油零售网络布局，到2030年，全市加油站总量达到120座左右。健全能源安全风险监测预警和应急协调机制，切实提升能源突发事件应急处置能力。</w:t>
      </w:r>
    </w:p>
    <w:p w14:paraId="3BE07948">
      <w:pPr>
        <w:pStyle w:val="2"/>
        <w:keepNext w:val="0"/>
        <w:keepLines w:val="0"/>
        <w:pageBreakBefore w:val="0"/>
        <w:widowControl w:val="0"/>
        <w:kinsoku/>
        <w:wordWrap/>
        <w:overflowPunct/>
        <w:topLinePunct w:val="0"/>
        <w:autoSpaceDE/>
        <w:autoSpaceDN/>
        <w:bidi w:val="0"/>
        <w:adjustRightInd/>
        <w:snapToGrid/>
        <w:spacing w:after="0" w:line="200" w:lineRule="exact"/>
        <w:ind w:firstLine="640" w:firstLineChars="200"/>
        <w:textAlignment w:val="auto"/>
        <w:rPr>
          <w:rFonts w:hint="eastAsia" w:ascii="方正仿宋_GBK" w:hAnsi="方正仿宋_GBK" w:eastAsia="方正仿宋_GBK" w:cs="方正仿宋_GBK"/>
          <w:color w:val="auto"/>
          <w:sz w:val="32"/>
          <w:szCs w:val="32"/>
          <w:lang w:eastAsia="zh-CN"/>
        </w:rPr>
      </w:pP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5C23D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2" w:hRule="atLeast"/>
          <w:jc w:val="center"/>
        </w:trPr>
        <w:tc>
          <w:tcPr>
            <w:tcW w:w="8834" w:type="dxa"/>
            <w:noWrap w:val="0"/>
            <w:vAlign w:val="top"/>
          </w:tcPr>
          <w:p w14:paraId="27473C6F">
            <w:pPr>
              <w:keepNext w:val="0"/>
              <w:keepLines w:val="0"/>
              <w:pageBreakBefore w:val="0"/>
              <w:widowControl w:val="0"/>
              <w:kinsoku/>
              <w:wordWrap/>
              <w:overflowPunct w:val="0"/>
              <w:topLinePunct/>
              <w:autoSpaceDE/>
              <w:autoSpaceDN/>
              <w:bidi w:val="0"/>
              <w:adjustRightInd/>
              <w:snapToGrid/>
              <w:spacing w:before="156" w:beforeLines="50" w:after="156" w:afterLines="50" w:line="340" w:lineRule="exact"/>
              <w:ind w:firstLine="0" w:firstLineChars="0"/>
              <w:jc w:val="center"/>
              <w:textAlignment w:val="auto"/>
              <w:rPr>
                <w:rFonts w:hint="eastAsia" w:ascii="方正黑体_GBK" w:hAnsi="方正黑体_GBK" w:eastAsia="方正黑体_GBK" w:cs="方正黑体_GBK"/>
                <w:b w:val="0"/>
                <w:bCs w:val="0"/>
                <w:color w:val="auto"/>
                <w:sz w:val="28"/>
                <w:szCs w:val="28"/>
              </w:rPr>
            </w:pPr>
            <w:r>
              <w:rPr>
                <w:rFonts w:hint="eastAsia" w:ascii="方正黑体_GBK" w:hAnsi="方正黑体_GBK" w:eastAsia="方正黑体_GBK" w:cs="方正黑体_GBK"/>
                <w:b w:val="0"/>
                <w:bCs w:val="0"/>
                <w:color w:val="auto"/>
                <w:sz w:val="28"/>
                <w:szCs w:val="28"/>
              </w:rPr>
              <w:t>专栏</w:t>
            </w:r>
            <w:r>
              <w:rPr>
                <w:rFonts w:hint="eastAsia" w:ascii="方正黑体_GBK" w:hAnsi="方正黑体_GBK" w:eastAsia="方正黑体_GBK" w:cs="方正黑体_GBK"/>
                <w:b w:val="0"/>
                <w:bCs w:val="0"/>
                <w:color w:val="auto"/>
                <w:sz w:val="28"/>
                <w:szCs w:val="28"/>
                <w:lang w:val="en-US" w:eastAsia="zh-CN"/>
              </w:rPr>
              <w:t>19</w:t>
            </w:r>
            <w:r>
              <w:rPr>
                <w:rFonts w:hint="eastAsia" w:ascii="方正黑体_GBK" w:hAnsi="方正黑体_GBK" w:eastAsia="方正黑体_GBK" w:cs="方正黑体_GBK"/>
                <w:b w:val="0"/>
                <w:bCs w:val="0"/>
                <w:color w:val="auto"/>
                <w:sz w:val="28"/>
                <w:szCs w:val="28"/>
              </w:rPr>
              <w:t xml:space="preserve">  能源基础设施</w:t>
            </w:r>
            <w:r>
              <w:rPr>
                <w:rFonts w:hint="eastAsia" w:ascii="方正黑体_GBK" w:hAnsi="方正黑体_GBK" w:eastAsia="方正黑体_GBK" w:cs="方正黑体_GBK"/>
                <w:b w:val="0"/>
                <w:bCs w:val="0"/>
                <w:color w:val="auto"/>
                <w:sz w:val="28"/>
                <w:szCs w:val="28"/>
                <w:lang w:val="en-US" w:eastAsia="zh-CN"/>
              </w:rPr>
              <w:t>建设</w:t>
            </w:r>
            <w:r>
              <w:rPr>
                <w:rFonts w:hint="eastAsia" w:ascii="方正黑体_GBK" w:hAnsi="方正黑体_GBK" w:eastAsia="方正黑体_GBK" w:cs="方正黑体_GBK"/>
                <w:b w:val="0"/>
                <w:bCs w:val="0"/>
                <w:color w:val="auto"/>
                <w:sz w:val="28"/>
                <w:szCs w:val="28"/>
              </w:rPr>
              <w:t>工程</w:t>
            </w:r>
          </w:p>
          <w:p w14:paraId="510AB808">
            <w:pPr>
              <w:keepNext w:val="0"/>
              <w:keepLines w:val="0"/>
              <w:pageBreakBefore w:val="0"/>
              <w:widowControl w:val="0"/>
              <w:kinsoku/>
              <w:wordWrap/>
              <w:overflowPunct w:val="0"/>
              <w:topLinePunct/>
              <w:autoSpaceDE/>
              <w:autoSpaceDN/>
              <w:bidi w:val="0"/>
              <w:adjustRightInd/>
              <w:snapToGrid/>
              <w:spacing w:line="340" w:lineRule="exact"/>
              <w:ind w:firstLine="422"/>
              <w:textAlignment w:val="auto"/>
              <w:rPr>
                <w:rFonts w:hint="default" w:ascii="宋体" w:hAnsi="宋体" w:eastAsia="宋体" w:cs="宋体"/>
                <w:b w:val="0"/>
                <w:bCs w:val="0"/>
                <w:color w:val="auto"/>
                <w:sz w:val="21"/>
                <w:szCs w:val="21"/>
                <w:lang w:val="en-US"/>
              </w:rPr>
            </w:pPr>
            <w:r>
              <w:rPr>
                <w:rFonts w:hint="eastAsia" w:ascii="宋体" w:hAnsi="宋体" w:eastAsia="宋体" w:cs="宋体"/>
                <w:b w:val="0"/>
                <w:bCs w:val="0"/>
                <w:color w:val="auto"/>
                <w:sz w:val="21"/>
                <w:szCs w:val="21"/>
                <w:lang w:val="en-US" w:eastAsia="zh-CN"/>
              </w:rPr>
              <w:t xml:space="preserve">1. 电网改造升级 </w:t>
            </w:r>
          </w:p>
          <w:p w14:paraId="06717658">
            <w:pPr>
              <w:keepNext w:val="0"/>
              <w:keepLines w:val="0"/>
              <w:pageBreakBefore w:val="0"/>
              <w:widowControl w:val="0"/>
              <w:kinsoku/>
              <w:wordWrap/>
              <w:overflowPunct w:val="0"/>
              <w:topLinePunct/>
              <w:autoSpaceDE/>
              <w:autoSpaceDN/>
              <w:bidi w:val="0"/>
              <w:adjustRightInd/>
              <w:snapToGrid/>
              <w:spacing w:line="340" w:lineRule="exact"/>
              <w:ind w:firstLine="422"/>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rPr>
              <w:t>构建坚强可靠的主配网架</w:t>
            </w: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lang w:val="en-US" w:eastAsia="zh-CN"/>
              </w:rPr>
              <w:t>建成</w:t>
            </w:r>
            <w:r>
              <w:rPr>
                <w:rFonts w:hint="eastAsia" w:ascii="宋体" w:hAnsi="宋体" w:eastAsia="宋体" w:cs="宋体"/>
                <w:b w:val="0"/>
                <w:bCs w:val="0"/>
                <w:color w:val="auto"/>
                <w:sz w:val="21"/>
                <w:szCs w:val="21"/>
              </w:rPr>
              <w:t>输变电工程项目，扩建220千伏、66千伏变电站，新增变电容量，增强电网输送能力和供电可靠性。</w:t>
            </w:r>
            <w:r>
              <w:rPr>
                <w:rFonts w:hint="eastAsia" w:ascii="宋体" w:hAnsi="宋体" w:eastAsia="宋体" w:cs="宋体"/>
                <w:b w:val="0"/>
                <w:bCs w:val="0"/>
                <w:color w:val="auto"/>
                <w:sz w:val="21"/>
                <w:szCs w:val="21"/>
                <w:lang w:val="en-US" w:eastAsia="zh-CN"/>
              </w:rPr>
              <w:t>实施霍家220kV输变电工程和天楹520MW风电220kV送出工程，提升电网对风电、光伏等新能源的消纳与调峰能力。</w:t>
            </w:r>
          </w:p>
          <w:p w14:paraId="7FB9166D">
            <w:pPr>
              <w:keepNext w:val="0"/>
              <w:keepLines w:val="0"/>
              <w:pageBreakBefore w:val="0"/>
              <w:widowControl w:val="0"/>
              <w:kinsoku/>
              <w:wordWrap/>
              <w:overflowPunct w:val="0"/>
              <w:topLinePunct/>
              <w:autoSpaceDE/>
              <w:autoSpaceDN/>
              <w:bidi w:val="0"/>
              <w:adjustRightInd/>
              <w:snapToGrid/>
              <w:spacing w:line="340" w:lineRule="exact"/>
              <w:ind w:firstLine="422"/>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lang w:val="en-US" w:eastAsia="zh-CN"/>
              </w:rPr>
              <w:t>2. 新型储能与多能互补</w:t>
            </w:r>
          </w:p>
          <w:p w14:paraId="2F6368AD">
            <w:pPr>
              <w:keepNext w:val="0"/>
              <w:keepLines w:val="0"/>
              <w:pageBreakBefore w:val="0"/>
              <w:widowControl w:val="0"/>
              <w:kinsoku/>
              <w:wordWrap/>
              <w:overflowPunct w:val="0"/>
              <w:topLinePunct/>
              <w:autoSpaceDE/>
              <w:autoSpaceDN/>
              <w:bidi w:val="0"/>
              <w:adjustRightInd/>
              <w:snapToGrid/>
              <w:spacing w:line="340" w:lineRule="exact"/>
              <w:ind w:firstLine="422"/>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rPr>
              <w:t>加快构建与新能源发展相匹配的储能系统</w:t>
            </w: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rPr>
              <w:t>建成投用龙山区100MW飞轮储能集群电站，开工建设东丰昌盛400MW/800MWh独立储能电站，实施天楹风电配储</w:t>
            </w:r>
            <w:r>
              <w:rPr>
                <w:rFonts w:hint="eastAsia" w:ascii="宋体" w:hAnsi="宋体" w:eastAsia="宋体" w:cs="宋体"/>
                <w:b w:val="0"/>
                <w:bCs w:val="0"/>
                <w:color w:val="auto"/>
                <w:sz w:val="21"/>
                <w:szCs w:val="21"/>
                <w:lang w:val="en-US" w:eastAsia="zh-CN"/>
              </w:rPr>
              <w:t>项目，谋划推进储能电站</w:t>
            </w:r>
            <w:r>
              <w:rPr>
                <w:rFonts w:hint="eastAsia" w:ascii="宋体" w:hAnsi="宋体" w:eastAsia="宋体" w:cs="宋体"/>
                <w:b w:val="0"/>
                <w:bCs w:val="0"/>
                <w:color w:val="auto"/>
                <w:sz w:val="21"/>
                <w:szCs w:val="21"/>
              </w:rPr>
              <w:t>项目</w:t>
            </w: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lang w:val="en-US" w:eastAsia="zh-CN"/>
              </w:rPr>
              <w:t>布局建设一批工商业储能项目。</w:t>
            </w:r>
            <w:r>
              <w:rPr>
                <w:rFonts w:hint="eastAsia" w:ascii="宋体" w:hAnsi="宋体" w:eastAsia="宋体" w:cs="宋体"/>
                <w:b w:val="0"/>
                <w:bCs w:val="0"/>
                <w:color w:val="auto"/>
                <w:sz w:val="21"/>
                <w:szCs w:val="21"/>
              </w:rPr>
              <w:t>通过规模化配置电化学、飞轮、液流电池等多种形式储能，大幅提升电网调峰、调频能力</w:t>
            </w:r>
            <w:r>
              <w:rPr>
                <w:rFonts w:hint="eastAsia" w:ascii="宋体" w:hAnsi="宋体" w:eastAsia="宋体" w:cs="宋体"/>
                <w:b w:val="0"/>
                <w:bCs w:val="0"/>
                <w:color w:val="auto"/>
                <w:sz w:val="21"/>
                <w:szCs w:val="21"/>
                <w:lang w:eastAsia="zh-CN"/>
              </w:rPr>
              <w:t>。</w:t>
            </w:r>
          </w:p>
          <w:p w14:paraId="540FAFD9">
            <w:pPr>
              <w:keepNext w:val="0"/>
              <w:keepLines w:val="0"/>
              <w:pageBreakBefore w:val="0"/>
              <w:widowControl w:val="0"/>
              <w:kinsoku/>
              <w:wordWrap/>
              <w:overflowPunct w:val="0"/>
              <w:topLinePunct/>
              <w:autoSpaceDE/>
              <w:autoSpaceDN/>
              <w:bidi w:val="0"/>
              <w:adjustRightInd/>
              <w:snapToGrid/>
              <w:spacing w:line="340" w:lineRule="exact"/>
              <w:ind w:firstLine="422"/>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lang w:val="en-US" w:eastAsia="zh-CN"/>
              </w:rPr>
              <w:t xml:space="preserve">3. </w:t>
            </w:r>
            <w:r>
              <w:rPr>
                <w:rFonts w:hint="eastAsia" w:ascii="宋体" w:hAnsi="宋体" w:eastAsia="宋体" w:cs="宋体"/>
                <w:b w:val="0"/>
                <w:bCs w:val="0"/>
                <w:color w:val="auto"/>
                <w:sz w:val="21"/>
                <w:szCs w:val="21"/>
              </w:rPr>
              <w:t>能源装备制造</w:t>
            </w:r>
          </w:p>
          <w:p w14:paraId="5E690ED7">
            <w:pPr>
              <w:keepNext w:val="0"/>
              <w:keepLines w:val="0"/>
              <w:pageBreakBefore w:val="0"/>
              <w:widowControl w:val="0"/>
              <w:kinsoku/>
              <w:wordWrap/>
              <w:overflowPunct w:val="0"/>
              <w:topLinePunct/>
              <w:autoSpaceDE/>
              <w:autoSpaceDN/>
              <w:bidi w:val="0"/>
              <w:adjustRightInd/>
              <w:snapToGrid/>
              <w:spacing w:line="340" w:lineRule="exact"/>
              <w:ind w:firstLine="422"/>
              <w:textAlignment w:val="auto"/>
              <w:rPr>
                <w:rFonts w:hint="default" w:ascii="Times New Roman" w:hAnsi="Times New Roman" w:eastAsia="宋体" w:cs="Times New Roman"/>
                <w:b w:val="0"/>
                <w:bCs w:val="0"/>
                <w:color w:val="auto"/>
                <w:sz w:val="21"/>
                <w:szCs w:val="21"/>
              </w:rPr>
            </w:pPr>
            <w:r>
              <w:rPr>
                <w:rFonts w:hint="eastAsia" w:ascii="宋体" w:hAnsi="宋体" w:eastAsia="宋体" w:cs="宋体"/>
                <w:b w:val="0"/>
                <w:bCs w:val="0"/>
                <w:color w:val="auto"/>
                <w:sz w:val="21"/>
                <w:szCs w:val="21"/>
              </w:rPr>
              <w:t>推动能源产业链延伸与本地化布局。</w:t>
            </w:r>
            <w:r>
              <w:rPr>
                <w:rFonts w:hint="eastAsia" w:ascii="宋体" w:hAnsi="宋体" w:eastAsia="宋体" w:cs="宋体"/>
                <w:b w:val="0"/>
                <w:bCs w:val="0"/>
                <w:color w:val="auto"/>
                <w:sz w:val="21"/>
                <w:szCs w:val="21"/>
                <w:lang w:val="en-US" w:eastAsia="zh-CN"/>
              </w:rPr>
              <w:t>加快实施天塔预制构件年产1.37万片预制风电塔片项目，研究论证</w:t>
            </w:r>
            <w:r>
              <w:rPr>
                <w:rFonts w:hint="eastAsia" w:ascii="宋体" w:hAnsi="宋体" w:eastAsia="宋体" w:cs="宋体"/>
                <w:b w:val="0"/>
                <w:bCs w:val="0"/>
                <w:color w:val="auto"/>
                <w:sz w:val="21"/>
                <w:szCs w:val="21"/>
              </w:rPr>
              <w:t>新能源汽车充电设备和储能设备生产制造基地项目，</w:t>
            </w:r>
            <w:r>
              <w:rPr>
                <w:rFonts w:hint="eastAsia" w:ascii="宋体" w:hAnsi="宋体" w:eastAsia="宋体" w:cs="宋体"/>
                <w:b w:val="0"/>
                <w:bCs w:val="0"/>
                <w:color w:val="auto"/>
                <w:sz w:val="21"/>
                <w:szCs w:val="21"/>
                <w:lang w:val="en-US" w:eastAsia="zh-CN"/>
              </w:rPr>
              <w:t>引进和培育</w:t>
            </w:r>
            <w:r>
              <w:rPr>
                <w:rFonts w:hint="eastAsia" w:ascii="宋体" w:hAnsi="宋体" w:eastAsia="宋体" w:cs="宋体"/>
                <w:b w:val="0"/>
                <w:bCs w:val="0"/>
                <w:color w:val="auto"/>
                <w:sz w:val="21"/>
                <w:szCs w:val="21"/>
              </w:rPr>
              <w:t>风电装备、光伏组件、智能输变电设备等能源装备制造产业链。</w:t>
            </w:r>
            <w:r>
              <w:rPr>
                <w:rFonts w:hint="eastAsia" w:ascii="宋体" w:hAnsi="宋体" w:eastAsia="宋体" w:cs="宋体"/>
                <w:b w:val="0"/>
                <w:bCs w:val="0"/>
                <w:color w:val="auto"/>
                <w:sz w:val="21"/>
                <w:szCs w:val="21"/>
                <w:lang w:val="en-US" w:eastAsia="zh-CN"/>
              </w:rPr>
              <w:t>推动研发固态电池、钠离子电池、氢储能/燃料电池等新型电池，探索布局研发中心和生产项目。</w:t>
            </w:r>
          </w:p>
        </w:tc>
      </w:tr>
    </w:tbl>
    <w:p w14:paraId="09509A13">
      <w:pPr>
        <w:pStyle w:val="2"/>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left="0" w:leftChars="0" w:firstLine="0" w:firstLineChars="0"/>
        <w:jc w:val="center"/>
        <w:textAlignment w:val="auto"/>
        <w:rPr>
          <w:rFonts w:hint="eastAsia" w:ascii="方正黑体_GBK" w:hAnsi="方正黑体_GBK" w:eastAsia="方正黑体_GBK" w:cs="方正黑体_GBK"/>
          <w:color w:val="auto"/>
          <w:sz w:val="32"/>
          <w:szCs w:val="32"/>
          <w:lang w:eastAsia="zh-CN"/>
        </w:rPr>
      </w:pPr>
      <w:r>
        <w:rPr>
          <w:rFonts w:hint="eastAsia" w:ascii="方正黑体_GBK" w:hAnsi="方正黑体_GBK" w:eastAsia="方正黑体_GBK" w:cs="方正黑体_GBK"/>
          <w:color w:val="auto"/>
          <w:sz w:val="32"/>
          <w:szCs w:val="32"/>
          <w:lang w:eastAsia="zh-CN"/>
        </w:rPr>
        <w:t>第四节  布局新型基础设施建设</w:t>
      </w:r>
    </w:p>
    <w:p w14:paraId="41CB81AA">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方正仿宋_GBK" w:hAnsi="方正仿宋_GBK" w:eastAsia="方正仿宋_GBK" w:cs="方正仿宋_GBK"/>
          <w:color w:val="auto"/>
          <w:sz w:val="32"/>
          <w:szCs w:val="32"/>
          <w:lang w:eastAsia="zh-CN"/>
        </w:rPr>
      </w:pPr>
      <w:r>
        <w:rPr>
          <w:rFonts w:hint="eastAsia" w:ascii="方正仿宋_GBK" w:hAnsi="方正仿宋_GBK" w:eastAsia="方正仿宋_GBK" w:cs="方正仿宋_GBK"/>
          <w:color w:val="auto"/>
          <w:sz w:val="32"/>
          <w:szCs w:val="32"/>
          <w:lang w:eastAsia="zh-CN"/>
        </w:rPr>
        <w:t>坚持适度超前、统筹布局，以信息网络为基础，以技术创新为驱动，以融合应用为导向，系统推进新型基础设施建设，全面夯实数字化转型基础支撑。大力推进5G网络规模化部署和千兆光纤网络建设，推动网络设施向乡镇、行政村、产业园区及重点场景深度延伸覆盖。到2030年，基本建成城乡全面覆盖、重点场景深度覆盖的通信网络。积极融入长春现代化都市圈算力网络，建设城市级物联网感知平台。依托辽源职教园区等资源，规划建设民生数据服务中心、大数据分析中心和网络舆情监测中心。加快新能源汽车充电基础设施网络建设，重点补齐居民小区、城乡公路沿线、乡镇公共区域、商业中心等场景短板，推进公共机构、企业园区停车场充电设施建设。到2030年，力争全市充电桩保有量突破5000个，建成一批换电站，形成布局均衡、智能高效的充换电服务网络。</w:t>
      </w:r>
    </w:p>
    <w:p w14:paraId="12110E26">
      <w:pPr>
        <w:pStyle w:val="2"/>
        <w:keepNext w:val="0"/>
        <w:keepLines w:val="0"/>
        <w:pageBreakBefore w:val="0"/>
        <w:widowControl w:val="0"/>
        <w:kinsoku/>
        <w:wordWrap/>
        <w:overflowPunct/>
        <w:topLinePunct w:val="0"/>
        <w:autoSpaceDE/>
        <w:autoSpaceDN/>
        <w:bidi w:val="0"/>
        <w:adjustRightInd/>
        <w:snapToGrid/>
        <w:spacing w:after="0" w:line="300" w:lineRule="exact"/>
        <w:ind w:firstLine="640" w:firstLineChars="200"/>
        <w:textAlignment w:val="auto"/>
        <w:rPr>
          <w:rFonts w:hint="eastAsia" w:ascii="方正仿宋_GBK" w:hAnsi="方正仿宋_GBK" w:eastAsia="方正仿宋_GBK" w:cs="方正仿宋_GBK"/>
          <w:color w:val="auto"/>
          <w:sz w:val="32"/>
          <w:szCs w:val="32"/>
          <w:lang w:eastAsia="zh-CN"/>
        </w:rPr>
      </w:pPr>
    </w:p>
    <w:tbl>
      <w:tblPr>
        <w:tblStyle w:val="7"/>
        <w:tblpPr w:leftFromText="180" w:rightFromText="180" w:vertAnchor="text" w:horzAnchor="page" w:tblpX="1627" w:tblpY="-171"/>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055FA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7" w:hRule="atLeast"/>
        </w:trPr>
        <w:tc>
          <w:tcPr>
            <w:tcW w:w="8834" w:type="dxa"/>
            <w:noWrap w:val="0"/>
            <w:vAlign w:val="top"/>
          </w:tcPr>
          <w:p w14:paraId="47580213">
            <w:pPr>
              <w:keepNext w:val="0"/>
              <w:keepLines w:val="0"/>
              <w:pageBreakBefore w:val="0"/>
              <w:widowControl w:val="0"/>
              <w:kinsoku/>
              <w:wordWrap/>
              <w:overflowPunct w:val="0"/>
              <w:topLinePunct/>
              <w:autoSpaceDE/>
              <w:autoSpaceDN/>
              <w:bidi w:val="0"/>
              <w:adjustRightInd/>
              <w:snapToGrid/>
              <w:spacing w:before="156" w:beforeLines="50" w:after="156" w:afterLines="50" w:line="340" w:lineRule="exact"/>
              <w:ind w:firstLine="0" w:firstLineChars="0"/>
              <w:jc w:val="center"/>
              <w:textAlignment w:val="auto"/>
              <w:rPr>
                <w:rFonts w:ascii="黑体" w:hAnsi="黑体" w:eastAsia="黑体" w:cs="Times New Roman"/>
                <w:b w:val="0"/>
                <w:bCs w:val="0"/>
                <w:color w:val="auto"/>
                <w:sz w:val="28"/>
                <w:szCs w:val="28"/>
              </w:rPr>
            </w:pPr>
            <w:r>
              <w:rPr>
                <w:rFonts w:hint="eastAsia" w:ascii="方正黑体_GBK" w:hAnsi="方正黑体_GBK" w:eastAsia="方正黑体_GBK" w:cs="方正黑体_GBK"/>
                <w:b w:val="0"/>
                <w:bCs w:val="0"/>
                <w:color w:val="auto"/>
                <w:sz w:val="28"/>
                <w:szCs w:val="28"/>
              </w:rPr>
              <w:t>专栏</w:t>
            </w:r>
            <w:r>
              <w:rPr>
                <w:rFonts w:hint="eastAsia" w:ascii="方正黑体_GBK" w:hAnsi="方正黑体_GBK" w:eastAsia="方正黑体_GBK" w:cs="方正黑体_GBK"/>
                <w:b w:val="0"/>
                <w:bCs w:val="0"/>
                <w:color w:val="auto"/>
                <w:sz w:val="28"/>
                <w:szCs w:val="28"/>
                <w:lang w:val="en-US" w:eastAsia="zh-CN"/>
              </w:rPr>
              <w:t>20</w:t>
            </w:r>
            <w:r>
              <w:rPr>
                <w:rFonts w:hint="eastAsia" w:ascii="方正黑体_GBK" w:hAnsi="方正黑体_GBK" w:eastAsia="方正黑体_GBK" w:cs="方正黑体_GBK"/>
                <w:b w:val="0"/>
                <w:bCs w:val="0"/>
                <w:color w:val="auto"/>
                <w:sz w:val="28"/>
                <w:szCs w:val="28"/>
              </w:rPr>
              <w:t xml:space="preserve">  新型基础设施</w:t>
            </w:r>
            <w:r>
              <w:rPr>
                <w:rFonts w:hint="eastAsia" w:ascii="方正黑体_GBK" w:hAnsi="方正黑体_GBK" w:eastAsia="方正黑体_GBK" w:cs="方正黑体_GBK"/>
                <w:b w:val="0"/>
                <w:bCs w:val="0"/>
                <w:color w:val="auto"/>
                <w:sz w:val="28"/>
                <w:szCs w:val="28"/>
                <w:lang w:val="en-US" w:eastAsia="zh-CN"/>
              </w:rPr>
              <w:t>建设</w:t>
            </w:r>
            <w:r>
              <w:rPr>
                <w:rFonts w:hint="eastAsia" w:ascii="方正黑体_GBK" w:hAnsi="方正黑体_GBK" w:eastAsia="方正黑体_GBK" w:cs="方正黑体_GBK"/>
                <w:b w:val="0"/>
                <w:bCs w:val="0"/>
                <w:color w:val="auto"/>
                <w:sz w:val="28"/>
                <w:szCs w:val="28"/>
              </w:rPr>
              <w:t>工程</w:t>
            </w:r>
          </w:p>
          <w:p w14:paraId="374239E2">
            <w:pPr>
              <w:keepNext w:val="0"/>
              <w:keepLines w:val="0"/>
              <w:pageBreakBefore w:val="0"/>
              <w:widowControl w:val="0"/>
              <w:kinsoku/>
              <w:wordWrap/>
              <w:overflowPunct w:val="0"/>
              <w:topLinePunct/>
              <w:autoSpaceDE/>
              <w:autoSpaceDN/>
              <w:bidi w:val="0"/>
              <w:adjustRightInd/>
              <w:snapToGrid/>
              <w:spacing w:line="340" w:lineRule="exact"/>
              <w:ind w:firstLine="402"/>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 xml:space="preserve">1. </w:t>
            </w:r>
            <w:r>
              <w:rPr>
                <w:rFonts w:hint="eastAsia" w:ascii="宋体" w:hAnsi="宋体" w:eastAsia="宋体" w:cs="宋体"/>
                <w:b w:val="0"/>
                <w:bCs w:val="0"/>
                <w:color w:val="auto"/>
                <w:sz w:val="21"/>
                <w:szCs w:val="21"/>
              </w:rPr>
              <w:t>数字智慧城市建设</w:t>
            </w:r>
            <w:r>
              <w:rPr>
                <w:rFonts w:hint="eastAsia" w:ascii="宋体" w:hAnsi="宋体" w:eastAsia="宋体" w:cs="宋体"/>
                <w:b w:val="0"/>
                <w:bCs w:val="0"/>
                <w:color w:val="auto"/>
                <w:sz w:val="21"/>
                <w:szCs w:val="21"/>
                <w:lang w:val="en-US" w:eastAsia="zh-CN"/>
              </w:rPr>
              <w:t xml:space="preserve"> </w:t>
            </w:r>
          </w:p>
          <w:p w14:paraId="012BB4A5">
            <w:pPr>
              <w:keepNext w:val="0"/>
              <w:keepLines w:val="0"/>
              <w:pageBreakBefore w:val="0"/>
              <w:widowControl w:val="0"/>
              <w:kinsoku/>
              <w:wordWrap/>
              <w:overflowPunct w:val="0"/>
              <w:topLinePunct/>
              <w:autoSpaceDE/>
              <w:autoSpaceDN/>
              <w:bidi w:val="0"/>
              <w:adjustRightInd/>
              <w:snapToGrid/>
              <w:spacing w:line="340" w:lineRule="exact"/>
              <w:ind w:firstLine="402"/>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构建全市统一、云网一体的数字化基础平台，整合政务、产业、民生全领域数据资源</w:t>
            </w: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rPr>
              <w:t>建设区域态势感知显示平台</w:t>
            </w: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rPr>
              <w:t>应用支撑系统及行业智场景慧应用</w:t>
            </w:r>
            <w:r>
              <w:rPr>
                <w:rFonts w:hint="eastAsia" w:ascii="宋体" w:hAnsi="宋体" w:eastAsia="宋体" w:cs="宋体"/>
                <w:b w:val="0"/>
                <w:bCs w:val="0"/>
                <w:color w:val="auto"/>
                <w:sz w:val="21"/>
                <w:szCs w:val="21"/>
                <w:lang w:val="en-US" w:eastAsia="zh-CN"/>
              </w:rPr>
              <w:t>模块</w:t>
            </w:r>
            <w:r>
              <w:rPr>
                <w:rFonts w:hint="eastAsia" w:ascii="宋体" w:hAnsi="宋体" w:eastAsia="宋体" w:cs="宋体"/>
                <w:b w:val="0"/>
                <w:bCs w:val="0"/>
                <w:color w:val="auto"/>
                <w:sz w:val="21"/>
                <w:szCs w:val="21"/>
              </w:rPr>
              <w:t>，推动政务与公共数据资源“统建共用、有序共享”。</w:t>
            </w:r>
          </w:p>
          <w:p w14:paraId="1E01DCF1">
            <w:pPr>
              <w:keepNext w:val="0"/>
              <w:keepLines w:val="0"/>
              <w:pageBreakBefore w:val="0"/>
              <w:widowControl w:val="0"/>
              <w:kinsoku/>
              <w:wordWrap/>
              <w:overflowPunct w:val="0"/>
              <w:topLinePunct/>
              <w:autoSpaceDE/>
              <w:autoSpaceDN/>
              <w:bidi w:val="0"/>
              <w:adjustRightInd/>
              <w:snapToGrid/>
              <w:spacing w:line="340" w:lineRule="exact"/>
              <w:ind w:firstLine="402"/>
              <w:textAlignment w:val="auto"/>
              <w:rPr>
                <w:rFonts w:hint="eastAsia" w:ascii="宋体" w:hAnsi="宋体" w:eastAsia="宋体" w:cs="宋体"/>
                <w:b w:val="0"/>
                <w:bCs w:val="0"/>
                <w:color w:val="auto"/>
                <w:sz w:val="21"/>
                <w:szCs w:val="21"/>
                <w:lang w:eastAsia="zh-CN"/>
              </w:rPr>
            </w:pPr>
            <w:r>
              <w:rPr>
                <w:rFonts w:hint="eastAsia" w:ascii="宋体" w:hAnsi="宋体" w:eastAsia="宋体" w:cs="宋体"/>
                <w:b w:val="0"/>
                <w:bCs w:val="0"/>
                <w:color w:val="auto"/>
                <w:sz w:val="21"/>
                <w:szCs w:val="21"/>
                <w:lang w:val="en-US" w:eastAsia="zh-CN"/>
              </w:rPr>
              <w:t xml:space="preserve">2. </w:t>
            </w:r>
            <w:r>
              <w:rPr>
                <w:rFonts w:hint="eastAsia" w:ascii="宋体" w:hAnsi="宋体" w:eastAsia="宋体" w:cs="宋体"/>
                <w:b w:val="0"/>
                <w:bCs w:val="0"/>
                <w:color w:val="auto"/>
                <w:sz w:val="21"/>
                <w:szCs w:val="21"/>
              </w:rPr>
              <w:t>通信网络基础设施建设</w:t>
            </w:r>
          </w:p>
          <w:p w14:paraId="4DDBFB89">
            <w:pPr>
              <w:keepNext w:val="0"/>
              <w:keepLines w:val="0"/>
              <w:pageBreakBefore w:val="0"/>
              <w:widowControl w:val="0"/>
              <w:kinsoku/>
              <w:wordWrap/>
              <w:overflowPunct w:val="0"/>
              <w:topLinePunct/>
              <w:autoSpaceDE/>
              <w:autoSpaceDN/>
              <w:bidi w:val="0"/>
              <w:adjustRightInd/>
              <w:snapToGrid/>
              <w:spacing w:line="340" w:lineRule="exact"/>
              <w:ind w:firstLine="402"/>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深化5G网络在城区、重点乡镇及产业聚集区的深度覆盖与场景化应用。加速推动千兆光网普及与“双千兆”协同部署</w:t>
            </w: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rPr>
              <w:t>构建新型网络体系。</w:t>
            </w:r>
          </w:p>
          <w:p w14:paraId="57997B15">
            <w:pPr>
              <w:keepNext w:val="0"/>
              <w:keepLines w:val="0"/>
              <w:pageBreakBefore w:val="0"/>
              <w:widowControl w:val="0"/>
              <w:kinsoku/>
              <w:wordWrap/>
              <w:overflowPunct w:val="0"/>
              <w:topLinePunct/>
              <w:autoSpaceDE/>
              <w:autoSpaceDN/>
              <w:bidi w:val="0"/>
              <w:adjustRightInd/>
              <w:snapToGrid/>
              <w:spacing w:line="340" w:lineRule="exact"/>
              <w:ind w:firstLine="402"/>
              <w:textAlignment w:val="auto"/>
              <w:rPr>
                <w:rFonts w:hint="default" w:ascii="Times New Roman" w:hAnsi="Times New Roman" w:eastAsia="宋体" w:cs="Times New Roman"/>
                <w:b w:val="0"/>
                <w:bCs w:val="0"/>
                <w:color w:val="auto"/>
                <w:sz w:val="21"/>
                <w:szCs w:val="21"/>
              </w:rPr>
            </w:pPr>
            <w:r>
              <w:rPr>
                <w:rFonts w:hint="eastAsia" w:ascii="宋体" w:hAnsi="宋体" w:eastAsia="宋体" w:cs="宋体"/>
                <w:b w:val="0"/>
                <w:bCs w:val="0"/>
                <w:color w:val="auto"/>
                <w:sz w:val="21"/>
                <w:szCs w:val="21"/>
                <w:lang w:val="en-US" w:eastAsia="zh-CN"/>
              </w:rPr>
              <w:t xml:space="preserve">3. </w:t>
            </w:r>
            <w:r>
              <w:rPr>
                <w:rFonts w:hint="eastAsia" w:ascii="宋体" w:hAnsi="宋体" w:eastAsia="宋体" w:cs="宋体"/>
                <w:b w:val="0"/>
                <w:bCs w:val="0"/>
                <w:color w:val="auto"/>
                <w:sz w:val="21"/>
                <w:szCs w:val="21"/>
              </w:rPr>
              <w:t>智慧融合应用设</w:t>
            </w:r>
            <w:r>
              <w:rPr>
                <w:rFonts w:hint="default" w:ascii="Times New Roman" w:hAnsi="Times New Roman" w:eastAsia="宋体" w:cs="Times New Roman"/>
                <w:b w:val="0"/>
                <w:bCs w:val="0"/>
                <w:color w:val="auto"/>
                <w:sz w:val="21"/>
                <w:szCs w:val="21"/>
              </w:rPr>
              <w:t>施建设</w:t>
            </w:r>
          </w:p>
          <w:p w14:paraId="19E909AB">
            <w:pPr>
              <w:keepNext w:val="0"/>
              <w:keepLines w:val="0"/>
              <w:pageBreakBefore w:val="0"/>
              <w:widowControl w:val="0"/>
              <w:kinsoku/>
              <w:wordWrap/>
              <w:overflowPunct w:val="0"/>
              <w:topLinePunct/>
              <w:autoSpaceDE/>
              <w:autoSpaceDN/>
              <w:bidi w:val="0"/>
              <w:adjustRightInd/>
              <w:snapToGrid/>
              <w:spacing w:line="340" w:lineRule="exact"/>
              <w:ind w:firstLine="402"/>
              <w:textAlignment w:val="auto"/>
              <w:rPr>
                <w:rFonts w:ascii="宋体" w:hAnsi="宋体" w:eastAsia="宋体" w:cs="Times New Roman"/>
                <w:color w:val="auto"/>
                <w:sz w:val="20"/>
                <w:szCs w:val="20"/>
              </w:rPr>
            </w:pPr>
            <w:r>
              <w:rPr>
                <w:rFonts w:hint="default" w:ascii="Times New Roman" w:hAnsi="Times New Roman" w:eastAsia="宋体" w:cs="Times New Roman"/>
                <w:b w:val="0"/>
                <w:bCs w:val="0"/>
                <w:color w:val="auto"/>
                <w:sz w:val="21"/>
                <w:szCs w:val="21"/>
              </w:rPr>
              <w:t>系统布局智慧停车与新能源汽车充电网络，推进智慧停车场及充电设施建设等项目，提升城市智慧服务与绿色出行水平。</w:t>
            </w:r>
          </w:p>
        </w:tc>
      </w:tr>
    </w:tbl>
    <w:p w14:paraId="72134C58">
      <w:pPr>
        <w:pStyle w:val="2"/>
        <w:keepNext w:val="0"/>
        <w:keepLines w:val="0"/>
        <w:pageBreakBefore w:val="0"/>
        <w:widowControl w:val="0"/>
        <w:kinsoku/>
        <w:wordWrap/>
        <w:overflowPunct/>
        <w:topLinePunct w:val="0"/>
        <w:autoSpaceDE/>
        <w:autoSpaceDN/>
        <w:bidi w:val="0"/>
        <w:adjustRightInd/>
        <w:snapToGrid/>
        <w:spacing w:after="0"/>
        <w:ind w:firstLine="640" w:firstLineChars="200"/>
        <w:textAlignment w:val="auto"/>
        <w:rPr>
          <w:rFonts w:hint="eastAsia" w:ascii="方正仿宋_GBK" w:hAnsi="方正仿宋_GBK" w:eastAsia="方正仿宋_GBK" w:cs="方正仿宋_GBK"/>
          <w:color w:val="auto"/>
          <w:sz w:val="32"/>
          <w:szCs w:val="32"/>
          <w:lang w:eastAsia="zh-CN"/>
        </w:rPr>
      </w:pPr>
    </w:p>
    <w:p w14:paraId="1950A220">
      <w:pPr>
        <w:pStyle w:val="2"/>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left="0" w:leftChars="0" w:firstLine="0" w:firstLineChars="0"/>
        <w:jc w:val="center"/>
        <w:textAlignment w:val="auto"/>
        <w:rPr>
          <w:rFonts w:hint="eastAsia" w:ascii="方正小标宋_GBK" w:hAnsi="方正小标宋_GBK" w:eastAsia="方正小标宋_GBK" w:cs="方正小标宋_GBK"/>
          <w:color w:val="auto"/>
          <w:sz w:val="36"/>
          <w:szCs w:val="36"/>
          <w:lang w:eastAsia="zh-CN"/>
        </w:rPr>
      </w:pPr>
    </w:p>
    <w:p w14:paraId="23A5D88F">
      <w:pPr>
        <w:pStyle w:val="2"/>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left="0" w:leftChars="0" w:firstLine="0" w:firstLineChars="0"/>
        <w:jc w:val="center"/>
        <w:textAlignment w:val="auto"/>
        <w:rPr>
          <w:rFonts w:hint="eastAsia" w:ascii="方正小标宋_GBK" w:hAnsi="方正小标宋_GBK" w:eastAsia="方正小标宋_GBK" w:cs="方正小标宋_GBK"/>
          <w:color w:val="auto"/>
          <w:sz w:val="36"/>
          <w:szCs w:val="36"/>
          <w:lang w:eastAsia="zh-CN"/>
        </w:rPr>
      </w:pPr>
      <w:r>
        <w:rPr>
          <w:rFonts w:hint="eastAsia" w:ascii="方正小标宋_GBK" w:hAnsi="方正小标宋_GBK" w:eastAsia="方正小标宋_GBK" w:cs="方正小标宋_GBK"/>
          <w:color w:val="auto"/>
          <w:sz w:val="36"/>
          <w:szCs w:val="36"/>
          <w:lang w:eastAsia="zh-CN"/>
        </w:rPr>
        <w:t>第十二章  推进经济社会绿色转型发展</w:t>
      </w:r>
    </w:p>
    <w:p w14:paraId="5AE3024C">
      <w:pPr>
        <w:pStyle w:val="2"/>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left="0" w:leftChars="0" w:firstLine="0" w:firstLineChars="0"/>
        <w:jc w:val="center"/>
        <w:textAlignment w:val="auto"/>
        <w:rPr>
          <w:rFonts w:hint="eastAsia" w:ascii="方正小标宋_GBK" w:hAnsi="方正小标宋_GBK" w:eastAsia="方正小标宋_GBK" w:cs="方正小标宋_GBK"/>
          <w:color w:val="auto"/>
          <w:sz w:val="36"/>
          <w:szCs w:val="36"/>
          <w:lang w:eastAsia="zh-CN"/>
        </w:rPr>
      </w:pPr>
      <w:r>
        <w:rPr>
          <w:rFonts w:hint="eastAsia" w:ascii="方正小标宋_GBK" w:hAnsi="方正小标宋_GBK" w:eastAsia="方正小标宋_GBK" w:cs="方正小标宋_GBK"/>
          <w:color w:val="auto"/>
          <w:sz w:val="36"/>
          <w:szCs w:val="36"/>
          <w:lang w:eastAsia="zh-CN"/>
        </w:rPr>
        <w:t>加快建设美丽辽源</w:t>
      </w:r>
    </w:p>
    <w:p w14:paraId="62E4CD09">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方正仿宋_GBK" w:hAnsi="方正仿宋_GBK" w:eastAsia="方正仿宋_GBK" w:cs="方正仿宋_GBK"/>
          <w:color w:val="auto"/>
          <w:sz w:val="32"/>
          <w:szCs w:val="32"/>
          <w:lang w:eastAsia="zh-CN"/>
        </w:rPr>
      </w:pPr>
      <w:r>
        <w:rPr>
          <w:rFonts w:hint="eastAsia" w:ascii="方正仿宋_GBK" w:hAnsi="方正仿宋_GBK" w:eastAsia="方正仿宋_GBK" w:cs="方正仿宋_GBK"/>
          <w:color w:val="auto"/>
          <w:sz w:val="32"/>
          <w:szCs w:val="32"/>
          <w:lang w:eastAsia="zh-CN"/>
        </w:rPr>
        <w:t>牢固树立和践行绿水青山就是金山银山的理念，聚焦碳达峰碳中和目标，协同推进降碳、减污、扩绿、增长，持续改善生态环境质量，不断增强绿色发展动能，建设人与自然和谐共生的现代化美丽辽源。</w:t>
      </w:r>
    </w:p>
    <w:p w14:paraId="0EB0AD09">
      <w:pPr>
        <w:pStyle w:val="2"/>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left="0" w:leftChars="0" w:firstLine="0" w:firstLineChars="0"/>
        <w:jc w:val="center"/>
        <w:textAlignment w:val="auto"/>
        <w:rPr>
          <w:rFonts w:hint="eastAsia" w:ascii="方正黑体_GBK" w:hAnsi="方正黑体_GBK" w:eastAsia="方正黑体_GBK" w:cs="方正黑体_GBK"/>
          <w:color w:val="auto"/>
          <w:sz w:val="32"/>
          <w:szCs w:val="32"/>
          <w:lang w:eastAsia="zh-CN"/>
        </w:rPr>
      </w:pPr>
      <w:r>
        <w:rPr>
          <w:rFonts w:hint="eastAsia" w:ascii="方正黑体_GBK" w:hAnsi="方正黑体_GBK" w:eastAsia="方正黑体_GBK" w:cs="方正黑体_GBK"/>
          <w:color w:val="auto"/>
          <w:sz w:val="32"/>
          <w:szCs w:val="32"/>
          <w:lang w:eastAsia="zh-CN"/>
        </w:rPr>
        <w:t>第一节  深入推进污染防治攻坚</w:t>
      </w:r>
    </w:p>
    <w:p w14:paraId="2E16AA4F">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方正仿宋_GBK" w:hAnsi="方正仿宋_GBK" w:eastAsia="方正仿宋_GBK" w:cs="方正仿宋_GBK"/>
          <w:color w:val="auto"/>
          <w:sz w:val="32"/>
          <w:szCs w:val="32"/>
          <w:lang w:eastAsia="zh-CN"/>
        </w:rPr>
      </w:pPr>
      <w:r>
        <w:rPr>
          <w:rFonts w:hint="eastAsia" w:ascii="方正楷体_GBK" w:hAnsi="方正楷体_GBK" w:eastAsia="方正楷体_GBK" w:cs="方正楷体_GBK"/>
          <w:color w:val="auto"/>
          <w:sz w:val="32"/>
          <w:szCs w:val="32"/>
          <w:lang w:eastAsia="zh-CN"/>
        </w:rPr>
        <w:t>加强大气污染综合防治</w:t>
      </w:r>
      <w:r>
        <w:rPr>
          <w:rFonts w:hint="eastAsia" w:ascii="方正仿宋_GBK" w:hAnsi="方正仿宋_GBK" w:eastAsia="方正仿宋_GBK" w:cs="方正仿宋_GBK"/>
          <w:color w:val="auto"/>
          <w:sz w:val="32"/>
          <w:szCs w:val="32"/>
          <w:lang w:eastAsia="zh-CN"/>
        </w:rPr>
        <w:t>。持续深入打好蓝天保卫战，坚持以改善空气质量为核心，深化PM</w:t>
      </w:r>
      <w:r>
        <w:rPr>
          <w:rFonts w:hint="eastAsia" w:ascii="方正仿宋_GBK" w:hAnsi="方正仿宋_GBK" w:eastAsia="方正仿宋_GBK" w:cs="方正仿宋_GBK"/>
          <w:color w:val="auto"/>
          <w:sz w:val="32"/>
          <w:szCs w:val="32"/>
          <w:vertAlign w:val="subscript"/>
          <w:lang w:val="en-US" w:eastAsia="zh-CN"/>
        </w:rPr>
        <w:t>2.5</w:t>
      </w:r>
      <w:r>
        <w:rPr>
          <w:rFonts w:hint="eastAsia" w:ascii="方正仿宋_GBK" w:hAnsi="方正仿宋_GBK" w:eastAsia="方正仿宋_GBK" w:cs="方正仿宋_GBK"/>
          <w:color w:val="auto"/>
          <w:sz w:val="32"/>
          <w:szCs w:val="32"/>
          <w:lang w:eastAsia="zh-CN"/>
        </w:rPr>
        <w:t>与臭氧协同控制，强化多污染物协同减排，推动大气环境质量持续巩固提升，确保地级及以上城市细颗粒物（PM</w:t>
      </w:r>
      <w:r>
        <w:rPr>
          <w:rFonts w:hint="eastAsia" w:ascii="方正仿宋_GBK" w:hAnsi="方正仿宋_GBK" w:eastAsia="方正仿宋_GBK" w:cs="方正仿宋_GBK"/>
          <w:color w:val="auto"/>
          <w:sz w:val="32"/>
          <w:szCs w:val="32"/>
          <w:vertAlign w:val="subscript"/>
          <w:lang w:val="en-US" w:eastAsia="zh-CN"/>
        </w:rPr>
        <w:t>2.5</w:t>
      </w:r>
      <w:r>
        <w:rPr>
          <w:rFonts w:hint="eastAsia" w:ascii="方正仿宋_GBK" w:hAnsi="方正仿宋_GBK" w:eastAsia="方正仿宋_GBK" w:cs="方正仿宋_GBK"/>
          <w:color w:val="auto"/>
          <w:sz w:val="32"/>
          <w:szCs w:val="32"/>
          <w:lang w:eastAsia="zh-CN"/>
        </w:rPr>
        <w:t>）平均浓度稳定达到省考核要求。实施工业源深度治理，推进钢铁、水泥、化工等重点行业及燃煤锅炉超低排放改造。强化移动源污染防治，加快淘汰国Ⅲ及以下排放标准柴油货车，推广使用新能源汽车，加强非道路移动机械排放监管。加强施工、道路、堆场等扬尘精细化管控。加强秸秆禁烧管控，完善网格化监管体系，大力推进秸秆“五化”综合利用，从源头减少焚烧污染。加强餐饮油烟、恶臭异味等社会面源污染治理。完善重污染天气预警预报和应急响应机制，健全区域大气污染联防联控和部门协同治理机制。强化空气质量监测网络和网格化监管体系建设，提升精准溯源和快速响应能力。</w:t>
      </w:r>
    </w:p>
    <w:p w14:paraId="58A1AB82">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方正仿宋_GBK" w:hAnsi="方正仿宋_GBK" w:eastAsia="方正仿宋_GBK" w:cs="方正仿宋_GBK"/>
          <w:color w:val="auto"/>
          <w:sz w:val="32"/>
          <w:szCs w:val="32"/>
          <w:lang w:eastAsia="zh-CN"/>
        </w:rPr>
      </w:pPr>
      <w:r>
        <w:rPr>
          <w:rFonts w:hint="eastAsia" w:ascii="方正楷体_GBK" w:hAnsi="方正楷体_GBK" w:eastAsia="方正楷体_GBK" w:cs="方正楷体_GBK"/>
          <w:color w:val="auto"/>
          <w:sz w:val="32"/>
          <w:szCs w:val="32"/>
          <w:lang w:eastAsia="zh-CN"/>
        </w:rPr>
        <w:t>深入实施水污染防治</w:t>
      </w:r>
      <w:r>
        <w:rPr>
          <w:rFonts w:hint="eastAsia" w:ascii="方正仿宋_GBK" w:hAnsi="方正仿宋_GBK" w:eastAsia="方正仿宋_GBK" w:cs="方正仿宋_GBK"/>
          <w:color w:val="auto"/>
          <w:sz w:val="32"/>
          <w:szCs w:val="32"/>
          <w:lang w:eastAsia="zh-CN"/>
        </w:rPr>
        <w:t>。持续深入打好碧水保卫战，严格落实河湖长制，完善流域协同治理机制，以东辽河、莲河等重点流域和国控断面为重点，加强水环境综合整治，确保国控断面水质稳定达标。推进入河排污口排查、监测、溯源、整治全链条规范化管理，有效管控入河污染物排放。推进工业集聚区污水集中处理设施建设与稳定运行，强化重点行业企业废水深度治理。加快补齐城镇生活污水收集处理设施短板，推进污水处理厂提标改造与配套管网建设，全面提升污水收集率和处理效能。加强农业面源污染治理，有效降低氮磷等污染物入河负荷。加强集中式饮用水水源地规范化建设和保护，实施东辽县饮用水水源地污染治理工程，确保城乡饮用水水源地水质100%稳定达标。推进“智慧水务”管理平台建设与应用，提升水环境监测预警、污染溯源、精准治理和应急响应的现代化、智能化水平。</w:t>
      </w:r>
    </w:p>
    <w:p w14:paraId="195AE843">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方正仿宋_GBK" w:hAnsi="方正仿宋_GBK" w:eastAsia="方正仿宋_GBK" w:cs="方正仿宋_GBK"/>
          <w:color w:val="auto"/>
          <w:sz w:val="32"/>
          <w:szCs w:val="32"/>
          <w:lang w:eastAsia="zh-CN"/>
        </w:rPr>
      </w:pPr>
      <w:r>
        <w:rPr>
          <w:rFonts w:hint="eastAsia" w:ascii="方正楷体_GBK" w:hAnsi="方正楷体_GBK" w:eastAsia="方正楷体_GBK" w:cs="方正楷体_GBK"/>
          <w:color w:val="auto"/>
          <w:sz w:val="32"/>
          <w:szCs w:val="32"/>
          <w:lang w:eastAsia="zh-CN"/>
        </w:rPr>
        <w:t>加快实施土壤污染防治</w:t>
      </w:r>
      <w:r>
        <w:rPr>
          <w:rFonts w:hint="eastAsia" w:ascii="方正仿宋_GBK" w:hAnsi="方正仿宋_GBK" w:eastAsia="方正仿宋_GBK" w:cs="方正仿宋_GBK"/>
          <w:color w:val="auto"/>
          <w:sz w:val="32"/>
          <w:szCs w:val="32"/>
          <w:lang w:eastAsia="zh-CN"/>
        </w:rPr>
        <w:t>。持续深入打好净土保卫战，有效防控土壤环境风险，稳步提升土壤安全利用水平。落实最严格的黑土地保护制度，严厉打击非法盗采泥炭土、黑土、河沙等破坏土壤资源的违法行为。加强重点行业企业污染源头管控，严格涉重金属行业环境准入。持续推进农业面源污染治理，深入实施化肥农药减量增效行动，提高畜禽养殖废弃物资源化利用水平。深化土壤污染状况详查成果应用，健全土壤和地下水环境质量监测网络，实现监测点位全覆盖。有序推进历史遗留污染地块，特别是重金属污染地块的风险管控与治理修复。严格建设用地准入管理，强化用途变更环节的土壤环境调查评估和风险管控。</w:t>
      </w:r>
    </w:p>
    <w:p w14:paraId="1FA4C541">
      <w:pPr>
        <w:pStyle w:val="2"/>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left="0" w:leftChars="0" w:firstLine="0" w:firstLineChars="0"/>
        <w:jc w:val="center"/>
        <w:textAlignment w:val="auto"/>
        <w:rPr>
          <w:rFonts w:hint="eastAsia" w:ascii="方正黑体_GBK" w:hAnsi="方正黑体_GBK" w:eastAsia="方正黑体_GBK" w:cs="方正黑体_GBK"/>
          <w:color w:val="auto"/>
          <w:sz w:val="32"/>
          <w:szCs w:val="32"/>
          <w:lang w:eastAsia="zh-CN"/>
        </w:rPr>
      </w:pPr>
      <w:r>
        <w:rPr>
          <w:rFonts w:hint="eastAsia" w:ascii="方正黑体_GBK" w:hAnsi="方正黑体_GBK" w:eastAsia="方正黑体_GBK" w:cs="方正黑体_GBK"/>
          <w:color w:val="auto"/>
          <w:sz w:val="32"/>
          <w:szCs w:val="32"/>
          <w:lang w:eastAsia="zh-CN"/>
        </w:rPr>
        <w:t>第二节  持续加强生态系统保护修复</w:t>
      </w:r>
    </w:p>
    <w:p w14:paraId="19295704">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方正仿宋_GBK" w:hAnsi="方正仿宋_GBK" w:eastAsia="方正仿宋_GBK" w:cs="方正仿宋_GBK"/>
          <w:color w:val="auto"/>
          <w:sz w:val="32"/>
          <w:szCs w:val="32"/>
          <w:lang w:eastAsia="zh-CN"/>
        </w:rPr>
      </w:pPr>
      <w:r>
        <w:rPr>
          <w:rFonts w:hint="eastAsia" w:ascii="方正仿宋_GBK" w:hAnsi="方正仿宋_GBK" w:eastAsia="方正仿宋_GBK" w:cs="方正仿宋_GBK"/>
          <w:color w:val="auto"/>
          <w:sz w:val="32"/>
          <w:szCs w:val="32"/>
          <w:lang w:eastAsia="zh-CN"/>
        </w:rPr>
        <w:t>严守生态保护红线，统筹山水林田湖草沙一体化保护和系统治理，全面提升生态系统多样性、稳定性、持续性。探索建立生态产品价值实现机制，完善生态保护补偿与损害赔偿制度。聚焦筑牢东辽河流域生态安全屏障，实施源头生态屏障工程，建设连续完整的生态廊道，打造流域保护与绿色发展样板。加强历史遗留废弃矿山、裸露山体的系统治理与生态修复，提升区域水源涵养与水土保持功能。建设东辽河源头现代生态农业示范区，推动黑土地保护、绿色循环农业、中草药、柞蚕、生态渔业、有机水稻、鲜食玉米七大板块深度融合发展。科学开展国土绿化行动，严格落实“三北”等重点生态工程建设任务，加强森林抚育和退化林修复。鼓励发展中草药、人参等林下经济。持续推进城乡绿化美化，拓展绿色生态空间，健全长效管护机制。深入开展“美丽细胞”建设，打造一批具有辽源特色的美丽河湖、美丽乡村、美丽社区等单元。“十五五”期间，幸福河湖等重大生态项目扎实推进，全域生态环境质量和生态安全屏障功能持续增强。</w:t>
      </w:r>
    </w:p>
    <w:p w14:paraId="2222C4C3">
      <w:pPr>
        <w:pStyle w:val="2"/>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left="0" w:leftChars="0" w:firstLine="0" w:firstLineChars="0"/>
        <w:jc w:val="center"/>
        <w:textAlignment w:val="auto"/>
        <w:rPr>
          <w:rFonts w:hint="eastAsia" w:ascii="方正黑体_GBK" w:hAnsi="方正黑体_GBK" w:eastAsia="方正黑体_GBK" w:cs="方正黑体_GBK"/>
          <w:color w:val="auto"/>
          <w:sz w:val="32"/>
          <w:szCs w:val="32"/>
          <w:lang w:eastAsia="zh-CN"/>
        </w:rPr>
      </w:pPr>
      <w:r>
        <w:rPr>
          <w:rFonts w:hint="eastAsia" w:ascii="方正黑体_GBK" w:hAnsi="方正黑体_GBK" w:eastAsia="方正黑体_GBK" w:cs="方正黑体_GBK"/>
          <w:color w:val="auto"/>
          <w:sz w:val="32"/>
          <w:szCs w:val="32"/>
          <w:lang w:eastAsia="zh-CN"/>
        </w:rPr>
        <w:t>第三节  积极稳妥推进和实现碳达峰</w:t>
      </w:r>
    </w:p>
    <w:p w14:paraId="29EBE84C">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方正仿宋_GBK" w:hAnsi="方正仿宋_GBK" w:eastAsia="方正仿宋_GBK" w:cs="方正仿宋_GBK"/>
          <w:color w:val="auto"/>
          <w:sz w:val="32"/>
          <w:szCs w:val="32"/>
          <w:lang w:eastAsia="zh-CN"/>
        </w:rPr>
      </w:pPr>
      <w:r>
        <w:rPr>
          <w:rFonts w:hint="eastAsia" w:ascii="方正仿宋_GBK" w:hAnsi="方正仿宋_GBK" w:eastAsia="方正仿宋_GBK" w:cs="方正仿宋_GBK"/>
          <w:color w:val="auto"/>
          <w:sz w:val="32"/>
          <w:szCs w:val="32"/>
          <w:lang w:eastAsia="zh-CN"/>
        </w:rPr>
        <w:t>聚焦冶金建材、纺织袜业、装备制造等传统优势产业和重点耗能行业，实施节能降碳改造升级和余热余压利用工程，推广先进适用的低碳零碳负碳技术。积极打造一批国家级和省级绿色工厂、绿色供应链管理企业，坚决遏制高耗能、高排放、低水平项目盲目发展，推动产业向绿色、智能、协同方向升级。完善能源消耗总量和强度调控，逐步转向碳排放总量和强度“双控”。完善覆盖重点行业、重点企业的碳排放统计核算、监测预警和用能预算管理体系。推动重点工业产品全生命周期碳足迹核算，探索开展碳标识认证，引导企业构建绿色低碳供应链。鼓励具备条件的企业参与全国碳排放权交易，探索区域碳普惠机制。鼓励绿色金融产品和服务创新，加大对绿色低碳项目、技术、产业的支持力度。加强绿色低碳关键核心技术的研发和推广应用，提升科技创新对碳达峰行动的支撑能力。探索建立覆盖企业、社区、个人的碳普惠机制，试点开展个人“碳账户”等创新引导方式，激励社会各界自觉践行绿色低碳的生产方式、生活方式和消费模式，形成全社会共同推动绿色转型、共建美丽辽源的强大合力。</w:t>
      </w:r>
    </w:p>
    <w:p w14:paraId="239129AA">
      <w:pPr>
        <w:pStyle w:val="2"/>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left="0" w:leftChars="0" w:firstLine="0" w:firstLineChars="0"/>
        <w:jc w:val="center"/>
        <w:textAlignment w:val="auto"/>
        <w:rPr>
          <w:rFonts w:hint="eastAsia" w:ascii="方正黑体_GBK" w:hAnsi="方正黑体_GBK" w:eastAsia="方正黑体_GBK" w:cs="方正黑体_GBK"/>
          <w:color w:val="auto"/>
          <w:sz w:val="32"/>
          <w:szCs w:val="32"/>
          <w:lang w:eastAsia="zh-CN"/>
        </w:rPr>
      </w:pPr>
      <w:r>
        <w:rPr>
          <w:rFonts w:hint="eastAsia" w:ascii="方正黑体_GBK" w:hAnsi="方正黑体_GBK" w:eastAsia="方正黑体_GBK" w:cs="方正黑体_GBK"/>
          <w:color w:val="auto"/>
          <w:sz w:val="32"/>
          <w:szCs w:val="32"/>
          <w:lang w:eastAsia="zh-CN"/>
        </w:rPr>
        <w:t>第四节  促进资源集约节约利用</w:t>
      </w:r>
    </w:p>
    <w:p w14:paraId="5CEA9A2C">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方正仿宋_GBK" w:hAnsi="方正仿宋_GBK" w:eastAsia="方正仿宋_GBK" w:cs="方正仿宋_GBK"/>
          <w:color w:val="auto"/>
          <w:sz w:val="32"/>
          <w:szCs w:val="32"/>
          <w:lang w:eastAsia="zh-CN"/>
        </w:rPr>
      </w:pPr>
      <w:r>
        <w:rPr>
          <w:rFonts w:hint="eastAsia" w:ascii="方正仿宋_GBK" w:hAnsi="方正仿宋_GBK" w:eastAsia="方正仿宋_GBK" w:cs="方正仿宋_GBK"/>
          <w:color w:val="auto"/>
          <w:sz w:val="32"/>
          <w:szCs w:val="32"/>
          <w:lang w:eastAsia="zh-CN"/>
        </w:rPr>
        <w:t>坚持总量控制与效率提升并重，健全资源全面节约制度。强化要素节约利用，盘活闲置低效土地，推广节地技术模式，深化“亩产效益”评价。强化水资源刚性约束，降低供水管网漏损，争创节水型城市。稳步推进既有建筑特别是农房节能改造，新建建筑全面执行绿色标准。推动辽源高新区化工园区、东丰松籽产业园等各级各类园区循环化发展，优化园区空间布局，促进水资源循环利用、能量梯级利用和废物综合利用，鼓励建设集中式资源回收中心、综合智慧能源中心等服务平台。聚焦装备制造、汽车零部件、医药健康等重点行业，推动企业实施流程优化与系统再造。构建循环型社会体系，加快完善废旧物资循环利用网络，提升再生资源加工利用水平，规范发展二手商品交易和再制造产业，加快建设再生资源循环利用产业园、新能源汽车报废回收拆解利用产业园。推动污水处理再生利用、固废处置、危废收集等基础设施共建共享，实现污染物集中安全处置，全域推进“无废城市”建设。</w:t>
      </w:r>
    </w:p>
    <w:p w14:paraId="21B6B18C">
      <w:pPr>
        <w:pStyle w:val="2"/>
        <w:keepNext w:val="0"/>
        <w:keepLines w:val="0"/>
        <w:pageBreakBefore w:val="0"/>
        <w:widowControl w:val="0"/>
        <w:kinsoku/>
        <w:wordWrap/>
        <w:overflowPunct/>
        <w:topLinePunct w:val="0"/>
        <w:autoSpaceDE/>
        <w:autoSpaceDN/>
        <w:bidi w:val="0"/>
        <w:adjustRightInd/>
        <w:snapToGrid/>
        <w:spacing w:after="0" w:line="300" w:lineRule="exact"/>
        <w:ind w:firstLine="640" w:firstLineChars="200"/>
        <w:textAlignment w:val="auto"/>
        <w:rPr>
          <w:rFonts w:hint="eastAsia" w:ascii="方正仿宋_GBK" w:hAnsi="方正仿宋_GBK" w:eastAsia="方正仿宋_GBK" w:cs="方正仿宋_GBK"/>
          <w:color w:val="auto"/>
          <w:sz w:val="32"/>
          <w:szCs w:val="32"/>
          <w:lang w:eastAsia="zh-CN"/>
        </w:rPr>
      </w:pP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38151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7" w:hRule="atLeast"/>
          <w:jc w:val="center"/>
        </w:trPr>
        <w:tc>
          <w:tcPr>
            <w:tcW w:w="8834" w:type="dxa"/>
            <w:noWrap w:val="0"/>
            <w:vAlign w:val="top"/>
          </w:tcPr>
          <w:p w14:paraId="092E1050">
            <w:pPr>
              <w:keepNext w:val="0"/>
              <w:keepLines w:val="0"/>
              <w:pageBreakBefore w:val="0"/>
              <w:widowControl w:val="0"/>
              <w:kinsoku/>
              <w:wordWrap/>
              <w:overflowPunct w:val="0"/>
              <w:topLinePunct/>
              <w:autoSpaceDE/>
              <w:autoSpaceDN/>
              <w:bidi w:val="0"/>
              <w:adjustRightInd/>
              <w:snapToGrid/>
              <w:spacing w:before="156" w:beforeLines="50" w:after="156" w:afterLines="50" w:line="340" w:lineRule="exact"/>
              <w:ind w:firstLine="0" w:firstLineChars="0"/>
              <w:jc w:val="center"/>
              <w:textAlignment w:val="auto"/>
              <w:rPr>
                <w:rFonts w:hint="eastAsia" w:ascii="方正黑体_GBK" w:hAnsi="方正黑体_GBK" w:eastAsia="方正黑体_GBK" w:cs="方正黑体_GBK"/>
                <w:b w:val="0"/>
                <w:bCs w:val="0"/>
                <w:color w:val="auto"/>
                <w:sz w:val="28"/>
                <w:szCs w:val="28"/>
              </w:rPr>
            </w:pPr>
            <w:r>
              <w:rPr>
                <w:rFonts w:hint="eastAsia" w:ascii="方正黑体_GBK" w:hAnsi="方正黑体_GBK" w:eastAsia="方正黑体_GBK" w:cs="方正黑体_GBK"/>
                <w:b w:val="0"/>
                <w:bCs w:val="0"/>
                <w:color w:val="auto"/>
                <w:sz w:val="28"/>
                <w:szCs w:val="28"/>
              </w:rPr>
              <w:t>专栏</w:t>
            </w:r>
            <w:r>
              <w:rPr>
                <w:rFonts w:hint="eastAsia" w:ascii="方正黑体_GBK" w:hAnsi="方正黑体_GBK" w:eastAsia="方正黑体_GBK" w:cs="方正黑体_GBK"/>
                <w:b w:val="0"/>
                <w:bCs w:val="0"/>
                <w:color w:val="auto"/>
                <w:sz w:val="28"/>
                <w:szCs w:val="28"/>
                <w:lang w:val="en-US" w:eastAsia="zh-CN"/>
              </w:rPr>
              <w:t>21</w:t>
            </w:r>
            <w:r>
              <w:rPr>
                <w:rFonts w:hint="eastAsia" w:ascii="方正黑体_GBK" w:hAnsi="方正黑体_GBK" w:eastAsia="方正黑体_GBK" w:cs="方正黑体_GBK"/>
                <w:b w:val="0"/>
                <w:bCs w:val="0"/>
                <w:color w:val="auto"/>
                <w:sz w:val="28"/>
                <w:szCs w:val="28"/>
              </w:rPr>
              <w:t xml:space="preserve">  </w:t>
            </w:r>
            <w:r>
              <w:rPr>
                <w:rFonts w:hint="eastAsia" w:ascii="方正黑体_GBK" w:hAnsi="方正黑体_GBK" w:eastAsia="方正黑体_GBK" w:cs="方正黑体_GBK"/>
                <w:b w:val="0"/>
                <w:bCs w:val="0"/>
                <w:color w:val="auto"/>
                <w:sz w:val="28"/>
                <w:szCs w:val="28"/>
                <w:lang w:val="en-US" w:eastAsia="zh-CN"/>
              </w:rPr>
              <w:t>绿色低碳转型工程</w:t>
            </w:r>
          </w:p>
          <w:p w14:paraId="75B31A69">
            <w:pPr>
              <w:keepNext w:val="0"/>
              <w:keepLines w:val="0"/>
              <w:pageBreakBefore w:val="0"/>
              <w:widowControl w:val="0"/>
              <w:kinsoku/>
              <w:wordWrap/>
              <w:overflowPunct w:val="0"/>
              <w:topLinePunct/>
              <w:autoSpaceDE/>
              <w:autoSpaceDN/>
              <w:bidi w:val="0"/>
              <w:adjustRightInd/>
              <w:snapToGrid/>
              <w:spacing w:line="340" w:lineRule="exact"/>
              <w:ind w:firstLine="422"/>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rPr>
              <w:t>1.</w:t>
            </w:r>
            <w:r>
              <w:rPr>
                <w:rFonts w:hint="eastAsia" w:ascii="宋体" w:hAnsi="宋体" w:eastAsia="宋体" w:cs="宋体"/>
                <w:b w:val="0"/>
                <w:bCs w:val="0"/>
                <w:color w:val="auto"/>
                <w:sz w:val="21"/>
                <w:szCs w:val="21"/>
                <w:lang w:val="en-US" w:eastAsia="zh-CN"/>
              </w:rPr>
              <w:t xml:space="preserve"> </w:t>
            </w:r>
            <w:r>
              <w:rPr>
                <w:rFonts w:hint="eastAsia" w:ascii="宋体" w:hAnsi="宋体" w:eastAsia="宋体" w:cs="宋体"/>
                <w:b w:val="0"/>
                <w:bCs w:val="0"/>
                <w:color w:val="auto"/>
                <w:sz w:val="21"/>
                <w:szCs w:val="21"/>
              </w:rPr>
              <w:t>零碳园区试点建设工程</w:t>
            </w:r>
            <w:r>
              <w:rPr>
                <w:rFonts w:hint="eastAsia" w:ascii="宋体" w:hAnsi="宋体" w:eastAsia="宋体" w:cs="宋体"/>
                <w:b w:val="0"/>
                <w:bCs w:val="0"/>
                <w:color w:val="auto"/>
                <w:sz w:val="21"/>
                <w:szCs w:val="21"/>
                <w:lang w:val="en-US" w:eastAsia="zh-CN"/>
              </w:rPr>
              <w:t xml:space="preserve"> </w:t>
            </w:r>
          </w:p>
          <w:p w14:paraId="70AFDF43">
            <w:pPr>
              <w:keepNext w:val="0"/>
              <w:keepLines w:val="0"/>
              <w:pageBreakBefore w:val="0"/>
              <w:widowControl w:val="0"/>
              <w:kinsoku/>
              <w:wordWrap/>
              <w:overflowPunct w:val="0"/>
              <w:topLinePunct/>
              <w:autoSpaceDE/>
              <w:autoSpaceDN/>
              <w:bidi w:val="0"/>
              <w:adjustRightInd/>
              <w:snapToGrid/>
              <w:spacing w:line="340" w:lineRule="exact"/>
              <w:ind w:firstLine="420" w:firstLineChars="200"/>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rPr>
              <w:t>以辽源</w:t>
            </w:r>
            <w:r>
              <w:rPr>
                <w:rFonts w:hint="eastAsia" w:ascii="宋体" w:hAnsi="宋体" w:eastAsia="宋体" w:cs="宋体"/>
                <w:b w:val="0"/>
                <w:bCs w:val="0"/>
                <w:color w:val="auto"/>
                <w:sz w:val="21"/>
                <w:szCs w:val="21"/>
                <w:lang w:val="en-US" w:eastAsia="zh-CN"/>
              </w:rPr>
              <w:t>高新区</w:t>
            </w:r>
            <w:r>
              <w:rPr>
                <w:rFonts w:hint="eastAsia" w:ascii="宋体" w:hAnsi="宋体" w:eastAsia="宋体" w:cs="宋体"/>
                <w:b w:val="0"/>
                <w:bCs w:val="0"/>
                <w:color w:val="auto"/>
                <w:sz w:val="21"/>
                <w:szCs w:val="21"/>
              </w:rPr>
              <w:t>为主体，开展零碳园区试点示范</w:t>
            </w: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rPr>
              <w:t>推动园区能源、产业、设施系统性重构</w:t>
            </w: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rPr>
              <w:t>能源供给侧</w:t>
            </w: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rPr>
              <w:t>建设园区智慧综合能源系统，实现多能互补与高效利用；产业生态侧</w:t>
            </w: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rPr>
              <w:t>强化企业间物料循环与能量梯级利用；基础设施侧</w:t>
            </w: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rPr>
              <w:t>新建建筑全面执行绿色标准，推广使用新能源交通工具及配套充换电设施。建设园区碳监测与智慧管理平台，实现能耗与碳排放实时监测、智能调控。到202</w:t>
            </w:r>
            <w:r>
              <w:rPr>
                <w:rFonts w:hint="eastAsia" w:ascii="宋体" w:hAnsi="宋体" w:eastAsia="宋体" w:cs="宋体"/>
                <w:b w:val="0"/>
                <w:bCs w:val="0"/>
                <w:color w:val="auto"/>
                <w:sz w:val="21"/>
                <w:szCs w:val="21"/>
                <w:lang w:val="en-US" w:eastAsia="zh-CN"/>
              </w:rPr>
              <w:t>8</w:t>
            </w:r>
            <w:r>
              <w:rPr>
                <w:rFonts w:hint="eastAsia" w:ascii="宋体" w:hAnsi="宋体" w:eastAsia="宋体" w:cs="宋体"/>
                <w:b w:val="0"/>
                <w:bCs w:val="0"/>
                <w:color w:val="auto"/>
                <w:sz w:val="21"/>
                <w:szCs w:val="21"/>
              </w:rPr>
              <w:t>年，成功创建</w:t>
            </w:r>
            <w:r>
              <w:rPr>
                <w:rFonts w:hint="eastAsia" w:ascii="宋体" w:hAnsi="宋体" w:eastAsia="宋体" w:cs="宋体"/>
                <w:b w:val="0"/>
                <w:bCs w:val="0"/>
                <w:color w:val="auto"/>
                <w:sz w:val="21"/>
                <w:szCs w:val="21"/>
                <w:lang w:val="en-US" w:eastAsia="zh-CN"/>
              </w:rPr>
              <w:t>国家级零碳园区。</w:t>
            </w:r>
          </w:p>
          <w:p w14:paraId="59BC959A">
            <w:pPr>
              <w:keepNext w:val="0"/>
              <w:keepLines w:val="0"/>
              <w:pageBreakBefore w:val="0"/>
              <w:widowControl w:val="0"/>
              <w:kinsoku/>
              <w:wordWrap/>
              <w:overflowPunct w:val="0"/>
              <w:topLinePunct/>
              <w:autoSpaceDE/>
              <w:autoSpaceDN/>
              <w:bidi w:val="0"/>
              <w:adjustRightInd/>
              <w:snapToGrid/>
              <w:spacing w:line="340" w:lineRule="exact"/>
              <w:ind w:firstLine="422"/>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2.</w:t>
            </w:r>
            <w:r>
              <w:rPr>
                <w:rFonts w:hint="eastAsia" w:ascii="宋体" w:hAnsi="宋体" w:eastAsia="宋体" w:cs="宋体"/>
                <w:b w:val="0"/>
                <w:bCs w:val="0"/>
                <w:color w:val="auto"/>
                <w:sz w:val="21"/>
                <w:szCs w:val="21"/>
                <w:lang w:val="en-US" w:eastAsia="zh-CN"/>
              </w:rPr>
              <w:t xml:space="preserve"> </w:t>
            </w:r>
            <w:r>
              <w:rPr>
                <w:rFonts w:hint="eastAsia" w:ascii="宋体" w:hAnsi="宋体" w:eastAsia="宋体" w:cs="宋体"/>
                <w:b w:val="0"/>
                <w:bCs w:val="0"/>
                <w:color w:val="auto"/>
                <w:sz w:val="21"/>
                <w:szCs w:val="21"/>
              </w:rPr>
              <w:t>资源循环利用体系构建工程</w:t>
            </w:r>
          </w:p>
          <w:p w14:paraId="0F622FEB">
            <w:pPr>
              <w:keepNext w:val="0"/>
              <w:keepLines w:val="0"/>
              <w:pageBreakBefore w:val="0"/>
              <w:widowControl w:val="0"/>
              <w:kinsoku/>
              <w:wordWrap/>
              <w:overflowPunct w:val="0"/>
              <w:topLinePunct/>
              <w:autoSpaceDE/>
              <w:autoSpaceDN/>
              <w:bidi w:val="0"/>
              <w:adjustRightInd/>
              <w:snapToGrid/>
              <w:spacing w:line="340" w:lineRule="exact"/>
              <w:ind w:firstLine="422"/>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rPr>
              <w:t>全面推进“无废城市”建设</w:t>
            </w: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lang w:val="en-US" w:eastAsia="zh-CN"/>
              </w:rPr>
              <w:t>建设</w:t>
            </w:r>
            <w:r>
              <w:rPr>
                <w:rFonts w:hint="eastAsia" w:ascii="宋体" w:hAnsi="宋体" w:eastAsia="宋体" w:cs="宋体"/>
                <w:b w:val="0"/>
                <w:bCs w:val="0"/>
                <w:color w:val="auto"/>
                <w:sz w:val="21"/>
                <w:szCs w:val="21"/>
                <w:highlight w:val="none"/>
                <w:lang w:val="en-US" w:eastAsia="zh-CN"/>
              </w:rPr>
              <w:t>资源循环利用产业园</w:t>
            </w:r>
            <w:r>
              <w:rPr>
                <w:rFonts w:hint="eastAsia" w:ascii="宋体" w:hAnsi="宋体" w:eastAsia="宋体" w:cs="宋体"/>
                <w:b w:val="0"/>
                <w:bCs w:val="0"/>
                <w:color w:val="auto"/>
                <w:sz w:val="21"/>
                <w:szCs w:val="21"/>
                <w:lang w:val="en-US" w:eastAsia="zh-CN"/>
              </w:rPr>
              <w:t>，实施低碳环保建材产业循环综合利用项目，</w:t>
            </w:r>
            <w:r>
              <w:rPr>
                <w:rFonts w:hint="eastAsia" w:ascii="宋体" w:hAnsi="宋体" w:eastAsia="宋体" w:cs="宋体"/>
                <w:b w:val="0"/>
                <w:bCs w:val="0"/>
                <w:color w:val="auto"/>
                <w:sz w:val="21"/>
                <w:szCs w:val="21"/>
              </w:rPr>
              <w:t>强化煤炭、钢铁等产业产生的煤矸石、粉煤灰、炉渣等</w:t>
            </w: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lang w:val="en-US" w:eastAsia="zh-CN"/>
              </w:rPr>
              <w:t>废纺、废塑料、废旧电池及风光发电淘汰件等</w:t>
            </w:r>
            <w:r>
              <w:rPr>
                <w:rFonts w:hint="eastAsia" w:ascii="宋体" w:hAnsi="宋体" w:eastAsia="宋体" w:cs="宋体"/>
                <w:b w:val="0"/>
                <w:bCs w:val="0"/>
                <w:color w:val="auto"/>
                <w:sz w:val="21"/>
                <w:szCs w:val="21"/>
              </w:rPr>
              <w:t>大宗固体废弃物的高值化、规模化利用</w:t>
            </w: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rPr>
              <w:t>完善生活垃圾分类收集、转运和处理系统，建设城市垃圾中转站，补齐建筑垃圾与生活垃圾转运处理设施。持续推广秸秆“五化”综合利用和畜禽粪污能源化、肥料化利用模式</w:t>
            </w: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rPr>
              <w:t>到20</w:t>
            </w:r>
            <w:r>
              <w:rPr>
                <w:rFonts w:hint="eastAsia" w:ascii="宋体" w:hAnsi="宋体" w:eastAsia="宋体" w:cs="宋体"/>
                <w:b w:val="0"/>
                <w:bCs w:val="0"/>
                <w:color w:val="auto"/>
                <w:sz w:val="21"/>
                <w:szCs w:val="21"/>
                <w:lang w:val="en-US" w:eastAsia="zh-CN"/>
              </w:rPr>
              <w:t>30</w:t>
            </w:r>
            <w:r>
              <w:rPr>
                <w:rFonts w:hint="eastAsia" w:ascii="宋体" w:hAnsi="宋体" w:eastAsia="宋体" w:cs="宋体"/>
                <w:b w:val="0"/>
                <w:bCs w:val="0"/>
                <w:color w:val="auto"/>
                <w:sz w:val="21"/>
                <w:szCs w:val="21"/>
              </w:rPr>
              <w:t>年，全市秸秆综合利用率稳定在90%以上</w:t>
            </w: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rPr>
              <w:t>大宗工业固废综合利用率</w:t>
            </w: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rPr>
              <w:t>生活垃圾分类覆盖率和资源化利用率</w:t>
            </w:r>
            <w:r>
              <w:rPr>
                <w:rFonts w:hint="eastAsia" w:ascii="宋体" w:hAnsi="宋体" w:eastAsia="宋体" w:cs="宋体"/>
                <w:b w:val="0"/>
                <w:bCs w:val="0"/>
                <w:color w:val="auto"/>
                <w:sz w:val="21"/>
                <w:szCs w:val="21"/>
                <w:lang w:val="en-US" w:eastAsia="zh-CN"/>
              </w:rPr>
              <w:t>持续提升</w:t>
            </w:r>
            <w:r>
              <w:rPr>
                <w:rFonts w:hint="eastAsia" w:ascii="宋体" w:hAnsi="宋体" w:eastAsia="宋体" w:cs="宋体"/>
                <w:b w:val="0"/>
                <w:bCs w:val="0"/>
                <w:color w:val="auto"/>
                <w:sz w:val="21"/>
                <w:szCs w:val="21"/>
              </w:rPr>
              <w:t>。</w:t>
            </w:r>
          </w:p>
          <w:p w14:paraId="774AC06E">
            <w:pPr>
              <w:keepNext w:val="0"/>
              <w:keepLines w:val="0"/>
              <w:pageBreakBefore w:val="0"/>
              <w:widowControl w:val="0"/>
              <w:kinsoku/>
              <w:wordWrap/>
              <w:overflowPunct w:val="0"/>
              <w:topLinePunct/>
              <w:autoSpaceDE/>
              <w:autoSpaceDN/>
              <w:bidi w:val="0"/>
              <w:adjustRightInd/>
              <w:snapToGrid/>
              <w:spacing w:line="340" w:lineRule="exact"/>
              <w:ind w:firstLine="422"/>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3.</w:t>
            </w:r>
            <w:r>
              <w:rPr>
                <w:rFonts w:hint="eastAsia" w:ascii="宋体" w:hAnsi="宋体" w:eastAsia="宋体" w:cs="宋体"/>
                <w:b w:val="0"/>
                <w:bCs w:val="0"/>
                <w:color w:val="auto"/>
                <w:sz w:val="21"/>
                <w:szCs w:val="21"/>
                <w:lang w:val="en-US" w:eastAsia="zh-CN"/>
              </w:rPr>
              <w:t xml:space="preserve"> </w:t>
            </w:r>
            <w:r>
              <w:rPr>
                <w:rFonts w:hint="eastAsia" w:ascii="宋体" w:hAnsi="宋体" w:eastAsia="宋体" w:cs="宋体"/>
                <w:b w:val="0"/>
                <w:bCs w:val="0"/>
                <w:color w:val="auto"/>
                <w:sz w:val="21"/>
                <w:szCs w:val="21"/>
              </w:rPr>
              <w:t>清洁能源开发利用工程</w:t>
            </w:r>
          </w:p>
          <w:p w14:paraId="3D7C29AA">
            <w:pPr>
              <w:keepNext w:val="0"/>
              <w:keepLines w:val="0"/>
              <w:pageBreakBefore w:val="0"/>
              <w:widowControl w:val="0"/>
              <w:kinsoku/>
              <w:wordWrap/>
              <w:overflowPunct w:val="0"/>
              <w:topLinePunct/>
              <w:autoSpaceDE/>
              <w:autoSpaceDN/>
              <w:bidi w:val="0"/>
              <w:adjustRightInd/>
              <w:snapToGrid/>
              <w:spacing w:line="340" w:lineRule="exact"/>
              <w:ind w:firstLine="422"/>
              <w:textAlignment w:val="auto"/>
              <w:rPr>
                <w:rFonts w:hint="default" w:ascii="Times New Roman" w:hAnsi="Times New Roman" w:eastAsia="宋体" w:cs="Times New Roman"/>
                <w:b w:val="0"/>
                <w:bCs w:val="0"/>
                <w:color w:val="auto"/>
                <w:sz w:val="21"/>
                <w:szCs w:val="21"/>
              </w:rPr>
            </w:pPr>
            <w:r>
              <w:rPr>
                <w:rFonts w:hint="eastAsia" w:ascii="宋体" w:hAnsi="宋体" w:eastAsia="宋体" w:cs="宋体"/>
                <w:b w:val="0"/>
                <w:bCs w:val="0"/>
                <w:color w:val="auto"/>
                <w:sz w:val="21"/>
                <w:szCs w:val="21"/>
              </w:rPr>
              <w:t>坚持集中与分布并举，多元发展清洁能源。</w:t>
            </w:r>
            <w:r>
              <w:rPr>
                <w:rFonts w:hint="eastAsia" w:ascii="宋体" w:hAnsi="宋体" w:eastAsia="宋体" w:cs="宋体"/>
                <w:b w:val="0"/>
                <w:bCs w:val="0"/>
                <w:color w:val="auto"/>
                <w:sz w:val="21"/>
                <w:szCs w:val="21"/>
                <w:lang w:val="en-US" w:eastAsia="zh-CN"/>
              </w:rPr>
              <w:t>接续建设天楹风力发电、辽矿风力发电等集中式风电项目，推动大唐辽源分公司以电代煤风光储</w:t>
            </w:r>
            <w:r>
              <w:rPr>
                <w:rFonts w:hint="eastAsia" w:ascii="宋体" w:hAnsi="宋体" w:eastAsia="宋体" w:cs="宋体"/>
                <w:b w:val="0"/>
                <w:bCs w:val="0"/>
                <w:color w:val="auto"/>
                <w:sz w:val="21"/>
                <w:szCs w:val="21"/>
              </w:rPr>
              <w:t>项目</w:t>
            </w: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lang w:val="en-US" w:eastAsia="zh-CN"/>
              </w:rPr>
              <w:t>有序推进生物质余热余电利用。加快布局工业园区、</w:t>
            </w:r>
            <w:r>
              <w:rPr>
                <w:rFonts w:hint="eastAsia" w:ascii="宋体" w:hAnsi="宋体" w:eastAsia="宋体" w:cs="宋体"/>
                <w:b w:val="0"/>
                <w:bCs w:val="0"/>
                <w:color w:val="auto"/>
                <w:sz w:val="21"/>
                <w:szCs w:val="21"/>
              </w:rPr>
              <w:t>公共建筑、闲置土地</w:t>
            </w:r>
            <w:r>
              <w:rPr>
                <w:rFonts w:hint="eastAsia" w:ascii="宋体" w:hAnsi="宋体" w:eastAsia="宋体" w:cs="宋体"/>
                <w:b w:val="0"/>
                <w:bCs w:val="0"/>
                <w:color w:val="auto"/>
                <w:sz w:val="21"/>
                <w:szCs w:val="21"/>
                <w:lang w:val="en-US" w:eastAsia="zh-CN"/>
              </w:rPr>
              <w:t>等</w:t>
            </w:r>
            <w:r>
              <w:rPr>
                <w:rFonts w:hint="eastAsia" w:ascii="宋体" w:hAnsi="宋体" w:eastAsia="宋体" w:cs="宋体"/>
                <w:b w:val="0"/>
                <w:bCs w:val="0"/>
                <w:color w:val="auto"/>
                <w:sz w:val="21"/>
                <w:szCs w:val="21"/>
              </w:rPr>
              <w:t>分布式光伏</w:t>
            </w:r>
            <w:r>
              <w:rPr>
                <w:rFonts w:hint="eastAsia" w:ascii="宋体" w:hAnsi="宋体" w:eastAsia="宋体" w:cs="宋体"/>
                <w:b w:val="0"/>
                <w:bCs w:val="0"/>
                <w:color w:val="auto"/>
                <w:sz w:val="21"/>
                <w:szCs w:val="21"/>
                <w:lang w:val="en-US" w:eastAsia="zh-CN"/>
              </w:rPr>
              <w:t>项目</w:t>
            </w:r>
            <w:r>
              <w:rPr>
                <w:rFonts w:hint="eastAsia" w:ascii="宋体" w:hAnsi="宋体" w:eastAsia="宋体" w:cs="宋体"/>
                <w:b w:val="0"/>
                <w:bCs w:val="0"/>
                <w:color w:val="auto"/>
                <w:sz w:val="21"/>
                <w:szCs w:val="21"/>
              </w:rPr>
              <w:t>。配套“新能源+储能”设施与智能电网升级，保障高效消纳。到20</w:t>
            </w:r>
            <w:r>
              <w:rPr>
                <w:rFonts w:hint="eastAsia" w:ascii="宋体" w:hAnsi="宋体" w:eastAsia="宋体" w:cs="宋体"/>
                <w:b w:val="0"/>
                <w:bCs w:val="0"/>
                <w:color w:val="auto"/>
                <w:sz w:val="21"/>
                <w:szCs w:val="21"/>
                <w:lang w:val="en-US" w:eastAsia="zh-CN"/>
              </w:rPr>
              <w:t>30</w:t>
            </w:r>
            <w:r>
              <w:rPr>
                <w:rFonts w:hint="eastAsia" w:ascii="宋体" w:hAnsi="宋体" w:eastAsia="宋体" w:cs="宋体"/>
                <w:b w:val="0"/>
                <w:bCs w:val="0"/>
                <w:color w:val="auto"/>
                <w:sz w:val="21"/>
                <w:szCs w:val="21"/>
              </w:rPr>
              <w:t>年，非化石能源消费比重与清洁能源供给能力</w:t>
            </w:r>
            <w:r>
              <w:rPr>
                <w:rFonts w:hint="eastAsia" w:ascii="宋体" w:hAnsi="宋体" w:eastAsia="宋体" w:cs="宋体"/>
                <w:b w:val="0"/>
                <w:bCs w:val="0"/>
                <w:color w:val="auto"/>
                <w:sz w:val="21"/>
                <w:szCs w:val="21"/>
                <w:lang w:val="en-US" w:eastAsia="zh-CN"/>
              </w:rPr>
              <w:t>逐步</w:t>
            </w:r>
            <w:r>
              <w:rPr>
                <w:rFonts w:hint="eastAsia" w:ascii="宋体" w:hAnsi="宋体" w:eastAsia="宋体" w:cs="宋体"/>
                <w:b w:val="0"/>
                <w:bCs w:val="0"/>
                <w:color w:val="auto"/>
                <w:sz w:val="21"/>
                <w:szCs w:val="21"/>
              </w:rPr>
              <w:t>提升。</w:t>
            </w:r>
          </w:p>
        </w:tc>
      </w:tr>
    </w:tbl>
    <w:p w14:paraId="6B6D1476">
      <w:pPr>
        <w:pStyle w:val="2"/>
        <w:keepNext w:val="0"/>
        <w:keepLines w:val="0"/>
        <w:pageBreakBefore w:val="0"/>
        <w:widowControl w:val="0"/>
        <w:kinsoku/>
        <w:wordWrap/>
        <w:overflowPunct/>
        <w:topLinePunct w:val="0"/>
        <w:autoSpaceDE/>
        <w:autoSpaceDN/>
        <w:bidi w:val="0"/>
        <w:adjustRightInd/>
        <w:snapToGrid/>
        <w:spacing w:after="0"/>
        <w:ind w:firstLine="640" w:firstLineChars="200"/>
        <w:textAlignment w:val="auto"/>
        <w:rPr>
          <w:rFonts w:hint="eastAsia" w:ascii="方正仿宋_GBK" w:hAnsi="方正仿宋_GBK" w:eastAsia="方正仿宋_GBK" w:cs="方正仿宋_GBK"/>
          <w:color w:val="auto"/>
          <w:sz w:val="32"/>
          <w:szCs w:val="32"/>
          <w:lang w:eastAsia="zh-CN"/>
        </w:rPr>
      </w:pPr>
    </w:p>
    <w:p w14:paraId="09877D96">
      <w:pPr>
        <w:pStyle w:val="2"/>
        <w:keepNext w:val="0"/>
        <w:keepLines w:val="0"/>
        <w:pageBreakBefore w:val="0"/>
        <w:widowControl w:val="0"/>
        <w:kinsoku/>
        <w:wordWrap/>
        <w:overflowPunct/>
        <w:topLinePunct w:val="0"/>
        <w:autoSpaceDE/>
        <w:autoSpaceDN/>
        <w:bidi w:val="0"/>
        <w:adjustRightInd/>
        <w:snapToGrid/>
        <w:spacing w:after="0"/>
        <w:ind w:firstLine="640" w:firstLineChars="200"/>
        <w:textAlignment w:val="auto"/>
        <w:rPr>
          <w:rFonts w:hint="eastAsia" w:ascii="方正仿宋_GBK" w:hAnsi="方正仿宋_GBK" w:eastAsia="方正仿宋_GBK" w:cs="方正仿宋_GBK"/>
          <w:color w:val="auto"/>
          <w:sz w:val="32"/>
          <w:szCs w:val="32"/>
          <w:lang w:eastAsia="zh-CN"/>
        </w:rPr>
      </w:pPr>
    </w:p>
    <w:p w14:paraId="6C9DDBD4">
      <w:pPr>
        <w:pStyle w:val="2"/>
        <w:keepNext w:val="0"/>
        <w:keepLines w:val="0"/>
        <w:pageBreakBefore w:val="0"/>
        <w:widowControl w:val="0"/>
        <w:kinsoku/>
        <w:wordWrap/>
        <w:overflowPunct/>
        <w:topLinePunct w:val="0"/>
        <w:autoSpaceDE/>
        <w:autoSpaceDN/>
        <w:bidi w:val="0"/>
        <w:adjustRightInd/>
        <w:snapToGrid/>
        <w:spacing w:after="0"/>
        <w:ind w:firstLine="640" w:firstLineChars="200"/>
        <w:textAlignment w:val="auto"/>
        <w:rPr>
          <w:rFonts w:hint="eastAsia" w:ascii="方正仿宋_GBK" w:hAnsi="方正仿宋_GBK" w:eastAsia="方正仿宋_GBK" w:cs="方正仿宋_GBK"/>
          <w:color w:val="auto"/>
          <w:sz w:val="32"/>
          <w:szCs w:val="32"/>
          <w:lang w:eastAsia="zh-CN"/>
        </w:rPr>
      </w:pPr>
    </w:p>
    <w:p w14:paraId="7ADB52FB">
      <w:pPr>
        <w:pStyle w:val="2"/>
        <w:keepNext w:val="0"/>
        <w:keepLines w:val="0"/>
        <w:pageBreakBefore w:val="0"/>
        <w:widowControl w:val="0"/>
        <w:kinsoku/>
        <w:wordWrap/>
        <w:overflowPunct/>
        <w:topLinePunct w:val="0"/>
        <w:autoSpaceDE/>
        <w:autoSpaceDN/>
        <w:bidi w:val="0"/>
        <w:adjustRightInd/>
        <w:snapToGrid/>
        <w:spacing w:before="157" w:beforeLines="50" w:after="157" w:afterLines="50"/>
        <w:ind w:left="0" w:leftChars="0" w:firstLine="0" w:firstLineChars="0"/>
        <w:jc w:val="center"/>
        <w:textAlignment w:val="auto"/>
        <w:rPr>
          <w:rFonts w:hint="eastAsia" w:ascii="方正小标宋_GBK" w:hAnsi="方正小标宋_GBK" w:eastAsia="方正小标宋_GBK" w:cs="方正小标宋_GBK"/>
          <w:color w:val="auto"/>
          <w:sz w:val="36"/>
          <w:szCs w:val="36"/>
          <w:lang w:eastAsia="zh-CN"/>
        </w:rPr>
      </w:pPr>
      <w:r>
        <w:rPr>
          <w:rFonts w:hint="eastAsia" w:ascii="方正小标宋_GBK" w:hAnsi="方正小标宋_GBK" w:eastAsia="方正小标宋_GBK" w:cs="方正小标宋_GBK"/>
          <w:color w:val="auto"/>
          <w:sz w:val="36"/>
          <w:szCs w:val="36"/>
          <w:lang w:eastAsia="zh-CN"/>
        </w:rPr>
        <w:t>第十三章  统筹高质量发展和高水平安全</w:t>
      </w:r>
    </w:p>
    <w:p w14:paraId="5CD124CA">
      <w:pPr>
        <w:pStyle w:val="2"/>
        <w:keepNext w:val="0"/>
        <w:keepLines w:val="0"/>
        <w:pageBreakBefore w:val="0"/>
        <w:widowControl w:val="0"/>
        <w:kinsoku/>
        <w:wordWrap/>
        <w:overflowPunct/>
        <w:topLinePunct w:val="0"/>
        <w:autoSpaceDE/>
        <w:autoSpaceDN/>
        <w:bidi w:val="0"/>
        <w:adjustRightInd/>
        <w:snapToGrid/>
        <w:spacing w:before="157" w:beforeLines="50" w:after="157" w:afterLines="50"/>
        <w:ind w:left="0" w:leftChars="0" w:firstLine="0" w:firstLineChars="0"/>
        <w:jc w:val="center"/>
        <w:textAlignment w:val="auto"/>
        <w:rPr>
          <w:rFonts w:hint="eastAsia" w:ascii="方正小标宋_GBK" w:hAnsi="方正小标宋_GBK" w:eastAsia="方正小标宋_GBK" w:cs="方正小标宋_GBK"/>
          <w:color w:val="auto"/>
          <w:sz w:val="36"/>
          <w:szCs w:val="36"/>
          <w:lang w:eastAsia="zh-CN"/>
        </w:rPr>
      </w:pPr>
      <w:r>
        <w:rPr>
          <w:rFonts w:hint="eastAsia" w:ascii="方正小标宋_GBK" w:hAnsi="方正小标宋_GBK" w:eastAsia="方正小标宋_GBK" w:cs="方正小标宋_GBK"/>
          <w:color w:val="auto"/>
          <w:sz w:val="36"/>
          <w:szCs w:val="36"/>
          <w:lang w:eastAsia="zh-CN"/>
        </w:rPr>
        <w:t>建设更高水平平安辽源</w:t>
      </w:r>
    </w:p>
    <w:p w14:paraId="78D5547C">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方正仿宋_GBK" w:hAnsi="方正仿宋_GBK" w:eastAsia="方正仿宋_GBK" w:cs="方正仿宋_GBK"/>
          <w:color w:val="auto"/>
          <w:sz w:val="32"/>
          <w:szCs w:val="32"/>
          <w:lang w:eastAsia="zh-CN"/>
        </w:rPr>
      </w:pPr>
      <w:r>
        <w:rPr>
          <w:rFonts w:hint="eastAsia" w:ascii="方正仿宋_GBK" w:hAnsi="方正仿宋_GBK" w:eastAsia="方正仿宋_GBK" w:cs="方正仿宋_GBK"/>
          <w:color w:val="auto"/>
          <w:sz w:val="32"/>
          <w:szCs w:val="32"/>
          <w:lang w:eastAsia="zh-CN"/>
        </w:rPr>
        <w:t>坚定不移贯彻总体国家安全观，从识好“五线谱”入手，牢固树立底线思维、极限思维，把安全发展贯穿到经济社会发展各领域全过程，积极防范、妥善应对重大风险，筑牢高质量发展的安全根基。</w:t>
      </w:r>
    </w:p>
    <w:p w14:paraId="3307E4E1">
      <w:pPr>
        <w:pStyle w:val="2"/>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left="0" w:leftChars="0" w:firstLine="0" w:firstLineChars="0"/>
        <w:jc w:val="center"/>
        <w:textAlignment w:val="auto"/>
        <w:rPr>
          <w:rFonts w:hint="eastAsia" w:ascii="方正黑体_GBK" w:hAnsi="方正黑体_GBK" w:eastAsia="方正黑体_GBK" w:cs="方正黑体_GBK"/>
          <w:color w:val="auto"/>
          <w:sz w:val="32"/>
          <w:szCs w:val="32"/>
          <w:lang w:eastAsia="zh-CN"/>
        </w:rPr>
      </w:pPr>
      <w:r>
        <w:rPr>
          <w:rFonts w:hint="eastAsia" w:ascii="方正黑体_GBK" w:hAnsi="方正黑体_GBK" w:eastAsia="方正黑体_GBK" w:cs="方正黑体_GBK"/>
          <w:color w:val="auto"/>
          <w:sz w:val="32"/>
          <w:szCs w:val="32"/>
          <w:lang w:eastAsia="zh-CN"/>
        </w:rPr>
        <w:t>第一节  坚决维护国家安全</w:t>
      </w:r>
    </w:p>
    <w:p w14:paraId="62720C50">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方正仿宋_GBK" w:hAnsi="方正仿宋_GBK" w:eastAsia="方正仿宋_GBK" w:cs="方正仿宋_GBK"/>
          <w:color w:val="auto"/>
          <w:sz w:val="32"/>
          <w:szCs w:val="32"/>
          <w:lang w:eastAsia="zh-CN"/>
        </w:rPr>
      </w:pPr>
      <w:r>
        <w:rPr>
          <w:rFonts w:hint="eastAsia" w:ascii="方正仿宋_GBK" w:hAnsi="方正仿宋_GBK" w:eastAsia="方正仿宋_GBK" w:cs="方正仿宋_GBK"/>
          <w:color w:val="auto"/>
          <w:sz w:val="32"/>
          <w:szCs w:val="32"/>
          <w:lang w:eastAsia="zh-CN"/>
        </w:rPr>
        <w:t>坚定不移贯彻总体国家安全观，强化维护国家“五大安全”重点领域协调机制，全面提升监测预警重大风险能力水平。坚决捍卫国家政治安全，深化意识形态领域斗争，防范化解民族和宗教领域风险隐患，严密防范、严厉打击敌对势力渗透、破坏、颠覆、分裂活动。加强反恐怖主义工作，维护国家安全、公共安全和人民生命财产安全。切实维护国防安全，健全国防动员体系，深化人防管理体制改革，推动经济建设与国防建设深度融合，完善涉军协调议事机制、国防建设军事需求提报和军地对接机制，加强国防动员专业保障队伍及民兵建设管理，精准开展国防动员潜力调查，推动重大基础设施建设国防要求，全面提升国防动员能力。深化全民国防教育，提升“双拥”共建水平，巩固军政军民团结。深入开展国家安全宣传教育，增强全民国家安全意识和责任，筑牢人民防线。大力加强网络、数据等信息领域安全基础设施和能力建设，强化网络违法犯罪打击治理，坚决确保网络安全。健全群众参与国家安全工作的机制，夯实国家安全和社会稳定的群众基础。</w:t>
      </w:r>
    </w:p>
    <w:p w14:paraId="6198B07C">
      <w:pPr>
        <w:pStyle w:val="2"/>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left="0" w:leftChars="0" w:firstLine="0" w:firstLineChars="0"/>
        <w:jc w:val="center"/>
        <w:textAlignment w:val="auto"/>
        <w:rPr>
          <w:rFonts w:hint="eastAsia" w:ascii="方正黑体_GBK" w:hAnsi="方正黑体_GBK" w:eastAsia="方正黑体_GBK" w:cs="方正黑体_GBK"/>
          <w:color w:val="auto"/>
          <w:sz w:val="32"/>
          <w:szCs w:val="32"/>
          <w:lang w:eastAsia="zh-CN"/>
        </w:rPr>
      </w:pPr>
      <w:r>
        <w:rPr>
          <w:rFonts w:hint="eastAsia" w:ascii="方正黑体_GBK" w:hAnsi="方正黑体_GBK" w:eastAsia="方正黑体_GBK" w:cs="方正黑体_GBK"/>
          <w:color w:val="auto"/>
          <w:sz w:val="32"/>
          <w:szCs w:val="32"/>
          <w:lang w:eastAsia="zh-CN"/>
        </w:rPr>
        <w:t>第二节  有效防范化解重点领域风险</w:t>
      </w:r>
    </w:p>
    <w:p w14:paraId="7569524C">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方正仿宋_GBK" w:hAnsi="方正仿宋_GBK" w:eastAsia="方正仿宋_GBK" w:cs="方正仿宋_GBK"/>
          <w:color w:val="auto"/>
          <w:sz w:val="32"/>
          <w:szCs w:val="32"/>
          <w:lang w:eastAsia="zh-CN"/>
        </w:rPr>
      </w:pPr>
      <w:r>
        <w:rPr>
          <w:rFonts w:hint="eastAsia" w:ascii="方正仿宋_GBK" w:hAnsi="方正仿宋_GBK" w:eastAsia="方正仿宋_GBK" w:cs="方正仿宋_GBK"/>
          <w:color w:val="auto"/>
          <w:sz w:val="32"/>
          <w:szCs w:val="32"/>
          <w:lang w:eastAsia="zh-CN"/>
        </w:rPr>
        <w:t>加强经济安全风险预警、防控机制和能力建设，确保产业、债务、金融、房地产等关键领域安全可控。聚焦全市重点产业，构建产业链供应链安全风险评估、动态监测和预警响应体系，分类分级制定安全保障和风险应对预案。加强地方政府债务限额管理和预算约束，坚决遏制新增隐性债务。按照“在发展中化债、在化债中发展”的思路，统筹各类资源，稳妥化解存量政府债务，稳步推进融资平台公司数量压降和市场化转型。强化地方金融监管，严厉打击非法集资、金融诈骗等各类非法金融活动。适应房地产市场供求关系新变化，统筹消化存量房产和优化增量住房，健全“人、房、地、钱”要素联动新机制，完善“保障+市场”的住房供应体系，加强预售资金、交付质量等监管，推动房地产市场健康稳定发展。</w:t>
      </w:r>
    </w:p>
    <w:p w14:paraId="195F7BB2">
      <w:pPr>
        <w:pStyle w:val="2"/>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left="0" w:leftChars="0" w:firstLine="0" w:firstLineChars="0"/>
        <w:jc w:val="center"/>
        <w:textAlignment w:val="auto"/>
        <w:rPr>
          <w:rFonts w:hint="eastAsia" w:ascii="方正黑体_GBK" w:hAnsi="方正黑体_GBK" w:eastAsia="方正黑体_GBK" w:cs="方正黑体_GBK"/>
          <w:color w:val="auto"/>
          <w:sz w:val="32"/>
          <w:szCs w:val="32"/>
          <w:lang w:eastAsia="zh-CN"/>
        </w:rPr>
      </w:pPr>
      <w:r>
        <w:rPr>
          <w:rFonts w:hint="eastAsia" w:ascii="方正黑体_GBK" w:hAnsi="方正黑体_GBK" w:eastAsia="方正黑体_GBK" w:cs="方正黑体_GBK"/>
          <w:color w:val="auto"/>
          <w:sz w:val="32"/>
          <w:szCs w:val="32"/>
          <w:lang w:eastAsia="zh-CN"/>
        </w:rPr>
        <w:t>第三节  提高公共安全治理水平</w:t>
      </w:r>
    </w:p>
    <w:p w14:paraId="36DA7BA0">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方正仿宋_GBK" w:hAnsi="方正仿宋_GBK" w:eastAsia="方正仿宋_GBK" w:cs="方正仿宋_GBK"/>
          <w:color w:val="auto"/>
          <w:sz w:val="32"/>
          <w:szCs w:val="32"/>
          <w:lang w:eastAsia="zh-CN"/>
        </w:rPr>
      </w:pPr>
      <w:r>
        <w:rPr>
          <w:rFonts w:hint="eastAsia" w:ascii="方正仿宋_GBK" w:hAnsi="方正仿宋_GBK" w:eastAsia="方正仿宋_GBK" w:cs="方正仿宋_GBK"/>
          <w:color w:val="auto"/>
          <w:sz w:val="32"/>
          <w:szCs w:val="32"/>
          <w:lang w:eastAsia="zh-CN"/>
        </w:rPr>
        <w:t>坚决守牢安全生产底线，严格落实“三管三必须”要求，加强重点行业、重点领域安全监管。逐行业逐领域制定安全监管职责清单，推动安全生产责任落实到最小工作单元。深化危险化学品、建筑施工、城镇燃气、消防等重点行业领域专项整治，加强对“一老一小”服务机构、人员密集场所、文旅设施等的安全监管，坚决遏制重特大生产安全事故发生。构建高水平食品、药品安全全链条监管体系，实现全程可控、源头可溯、责任可究。健全立体化、智能化社会治安整体防控体系，推进执法办案管理中心提质增效，深化视频图像等科技手段的智能化建设和实战应用。落实维护社会稳定责任，纵深推进常态化扫黑除恶斗争，依法严厉打击电信网络诈骗、毒品犯罪等突出违法犯罪，坚决遏制极端事件发生。强化未成年人保护和犯罪预防综合治理，加强专门学校、专门矫治教育场所建设。全面准确贯彻宽严相济刑事政策，提升刑罚执行和教育改造质量。健全社会心理服务和危机干预机制，从源头上预防和减少社会矛盾。</w:t>
      </w:r>
    </w:p>
    <w:p w14:paraId="53882D59">
      <w:pPr>
        <w:pStyle w:val="2"/>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left="0" w:leftChars="0" w:firstLine="0" w:firstLineChars="0"/>
        <w:jc w:val="center"/>
        <w:textAlignment w:val="auto"/>
        <w:rPr>
          <w:rFonts w:hint="eastAsia" w:ascii="方正黑体_GBK" w:hAnsi="方正黑体_GBK" w:eastAsia="方正黑体_GBK" w:cs="方正黑体_GBK"/>
          <w:color w:val="auto"/>
          <w:sz w:val="32"/>
          <w:szCs w:val="32"/>
          <w:lang w:eastAsia="zh-CN"/>
        </w:rPr>
      </w:pPr>
      <w:r>
        <w:rPr>
          <w:rFonts w:hint="eastAsia" w:ascii="方正黑体_GBK" w:hAnsi="方正黑体_GBK" w:eastAsia="方正黑体_GBK" w:cs="方正黑体_GBK"/>
          <w:color w:val="auto"/>
          <w:sz w:val="32"/>
          <w:szCs w:val="32"/>
          <w:lang w:eastAsia="zh-CN"/>
        </w:rPr>
        <w:t>第四节  增强防灾减灾救灾能力</w:t>
      </w:r>
    </w:p>
    <w:p w14:paraId="6CEA068B">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方正仿宋_GBK" w:hAnsi="方正仿宋_GBK" w:eastAsia="方正仿宋_GBK" w:cs="方正仿宋_GBK"/>
          <w:color w:val="auto"/>
          <w:sz w:val="32"/>
          <w:szCs w:val="32"/>
          <w:lang w:eastAsia="zh-CN"/>
        </w:rPr>
      </w:pPr>
      <w:r>
        <w:rPr>
          <w:rFonts w:hint="eastAsia" w:ascii="方正仿宋_GBK" w:hAnsi="方正仿宋_GBK" w:eastAsia="方正仿宋_GBK" w:cs="方正仿宋_GBK"/>
          <w:color w:val="auto"/>
          <w:sz w:val="32"/>
          <w:szCs w:val="32"/>
          <w:lang w:eastAsia="zh-CN"/>
        </w:rPr>
        <w:t>坚持以防为主、防抗救相结合，加快推进灾害风险防控体系和应急管理能力现代化建设，有效提升应对气候变化能力，不断完善适应气候变化工作体系，全面提升全社会自然灾害综合防范应对能力。聚焦地震、洪涝、地质灾害、森林火灾等重大风险，强化自然灾害综合监测预警预报机制建设。加强气象、水文、地震、地质等防灾减灾基础能力建设，构建协同高效的精密监测网络，提升灾害风险早期识别、智能研判和精准预警能力。加快实施河道护岸加固、山洪沟治理、矿山地质环境修复、采煤沉陷区综合治理、独立工矿区改造提升等工程。强化国家重大工程建设气象服务保障，有效应对气候变化不利影响和风险。系统推进地下综合管廊等韧性城市基础设施建设，增强城市应对灾害的弹性和恢复力。优化城乡应急避灾场所布局，加强应急物资储备体系建设。强化应急管理技术装备支撑，提高应急通信保障和现场处置能力。健全应急救援体系，完善跨部门、跨区域、军地间应急联动和救援协同机制。建强基层综合性应急救援队伍，加强专业培训和实战演练，全面提升综合应急救援能力。完善消防基础设施建设。加强国家综合性消防救援队伍和政府专职消防队伍建设，提高防灾减灾和重大突发公共事件处置保障能力。</w:t>
      </w:r>
    </w:p>
    <w:p w14:paraId="3AF2FF34">
      <w:pPr>
        <w:pStyle w:val="2"/>
        <w:keepNext w:val="0"/>
        <w:keepLines w:val="0"/>
        <w:pageBreakBefore w:val="0"/>
        <w:widowControl w:val="0"/>
        <w:kinsoku/>
        <w:wordWrap/>
        <w:overflowPunct/>
        <w:topLinePunct w:val="0"/>
        <w:autoSpaceDE/>
        <w:autoSpaceDN/>
        <w:bidi w:val="0"/>
        <w:adjustRightInd/>
        <w:snapToGrid/>
        <w:spacing w:after="0" w:line="300" w:lineRule="exact"/>
        <w:ind w:firstLine="640" w:firstLineChars="200"/>
        <w:textAlignment w:val="auto"/>
        <w:rPr>
          <w:rFonts w:hint="eastAsia" w:ascii="方正仿宋_GBK" w:hAnsi="方正仿宋_GBK" w:eastAsia="方正仿宋_GBK" w:cs="方正仿宋_GBK"/>
          <w:color w:val="auto"/>
          <w:sz w:val="32"/>
          <w:szCs w:val="32"/>
          <w:lang w:eastAsia="zh-CN"/>
        </w:rPr>
      </w:pP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2D0FE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7" w:hRule="atLeast"/>
          <w:jc w:val="center"/>
        </w:trPr>
        <w:tc>
          <w:tcPr>
            <w:tcW w:w="8834" w:type="dxa"/>
            <w:noWrap w:val="0"/>
            <w:vAlign w:val="top"/>
          </w:tcPr>
          <w:p w14:paraId="37EE2EE1">
            <w:pPr>
              <w:keepNext w:val="0"/>
              <w:keepLines w:val="0"/>
              <w:pageBreakBefore w:val="0"/>
              <w:widowControl w:val="0"/>
              <w:kinsoku/>
              <w:wordWrap/>
              <w:overflowPunct w:val="0"/>
              <w:topLinePunct/>
              <w:autoSpaceDE/>
              <w:autoSpaceDN/>
              <w:bidi w:val="0"/>
              <w:adjustRightInd/>
              <w:snapToGrid/>
              <w:spacing w:before="156" w:beforeLines="50" w:after="156" w:afterLines="50" w:line="340" w:lineRule="exact"/>
              <w:ind w:firstLine="0" w:firstLineChars="0"/>
              <w:jc w:val="center"/>
              <w:textAlignment w:val="auto"/>
              <w:rPr>
                <w:rFonts w:hint="eastAsia" w:ascii="方正黑体_GBK" w:hAnsi="方正黑体_GBK" w:eastAsia="方正黑体_GBK" w:cs="方正黑体_GBK"/>
                <w:b w:val="0"/>
                <w:bCs w:val="0"/>
                <w:color w:val="auto"/>
                <w:sz w:val="28"/>
                <w:szCs w:val="28"/>
              </w:rPr>
            </w:pPr>
            <w:r>
              <w:rPr>
                <w:rFonts w:hint="eastAsia" w:ascii="方正黑体_GBK" w:hAnsi="方正黑体_GBK" w:eastAsia="方正黑体_GBK" w:cs="方正黑体_GBK"/>
                <w:b w:val="0"/>
                <w:bCs w:val="0"/>
                <w:color w:val="auto"/>
                <w:sz w:val="28"/>
                <w:szCs w:val="28"/>
              </w:rPr>
              <w:t>专栏</w:t>
            </w:r>
            <w:r>
              <w:rPr>
                <w:rFonts w:hint="eastAsia" w:ascii="方正黑体_GBK" w:hAnsi="方正黑体_GBK" w:eastAsia="方正黑体_GBK" w:cs="方正黑体_GBK"/>
                <w:b w:val="0"/>
                <w:bCs w:val="0"/>
                <w:color w:val="auto"/>
                <w:sz w:val="28"/>
                <w:szCs w:val="28"/>
                <w:lang w:val="en-US" w:eastAsia="zh-CN"/>
              </w:rPr>
              <w:t>22</w:t>
            </w:r>
            <w:r>
              <w:rPr>
                <w:rFonts w:hint="eastAsia" w:ascii="方正黑体_GBK" w:hAnsi="方正黑体_GBK" w:eastAsia="方正黑体_GBK" w:cs="方正黑体_GBK"/>
                <w:b w:val="0"/>
                <w:bCs w:val="0"/>
                <w:color w:val="auto"/>
                <w:sz w:val="28"/>
                <w:szCs w:val="28"/>
              </w:rPr>
              <w:t xml:space="preserve">  防灾减灾能力提升工程</w:t>
            </w:r>
          </w:p>
          <w:p w14:paraId="34E30DA9">
            <w:pPr>
              <w:keepNext w:val="0"/>
              <w:keepLines w:val="0"/>
              <w:pageBreakBefore w:val="0"/>
              <w:widowControl w:val="0"/>
              <w:kinsoku/>
              <w:wordWrap/>
              <w:overflowPunct w:val="0"/>
              <w:topLinePunct/>
              <w:autoSpaceDE/>
              <w:autoSpaceDN/>
              <w:bidi w:val="0"/>
              <w:adjustRightInd/>
              <w:snapToGrid/>
              <w:spacing w:line="340" w:lineRule="exact"/>
              <w:ind w:firstLine="422"/>
              <w:textAlignment w:val="auto"/>
              <w:rPr>
                <w:rFonts w:hint="eastAsia" w:ascii="宋体" w:hAnsi="宋体" w:eastAsia="宋体" w:cs="宋体"/>
                <w:b w:val="0"/>
                <w:bCs w:val="0"/>
                <w:color w:val="auto"/>
                <w:sz w:val="21"/>
                <w:szCs w:val="21"/>
                <w:lang w:eastAsia="zh-CN"/>
              </w:rPr>
            </w:pPr>
            <w:r>
              <w:rPr>
                <w:rFonts w:hint="eastAsia" w:ascii="宋体" w:hAnsi="宋体" w:eastAsia="宋体" w:cs="宋体"/>
                <w:b w:val="0"/>
                <w:bCs w:val="0"/>
                <w:color w:val="auto"/>
                <w:sz w:val="21"/>
                <w:szCs w:val="21"/>
              </w:rPr>
              <w:t>1.</w:t>
            </w:r>
            <w:r>
              <w:rPr>
                <w:rFonts w:hint="eastAsia" w:ascii="宋体" w:hAnsi="宋体" w:eastAsia="宋体" w:cs="宋体"/>
                <w:b w:val="0"/>
                <w:bCs w:val="0"/>
                <w:color w:val="auto"/>
                <w:sz w:val="21"/>
                <w:szCs w:val="21"/>
                <w:lang w:val="en-US" w:eastAsia="zh-CN"/>
              </w:rPr>
              <w:t xml:space="preserve"> </w:t>
            </w:r>
            <w:r>
              <w:rPr>
                <w:rFonts w:hint="eastAsia" w:ascii="宋体" w:hAnsi="宋体" w:eastAsia="宋体" w:cs="宋体"/>
                <w:b w:val="0"/>
                <w:bCs w:val="0"/>
                <w:color w:val="auto"/>
                <w:sz w:val="21"/>
                <w:szCs w:val="21"/>
              </w:rPr>
              <w:t>应急体系与能力建设工程</w:t>
            </w:r>
            <w:r>
              <w:rPr>
                <w:rFonts w:hint="eastAsia" w:ascii="宋体" w:hAnsi="宋体" w:eastAsia="宋体" w:cs="宋体"/>
                <w:b w:val="0"/>
                <w:bCs w:val="0"/>
                <w:color w:val="auto"/>
                <w:sz w:val="21"/>
                <w:szCs w:val="21"/>
                <w:lang w:val="en-US" w:eastAsia="zh-CN"/>
              </w:rPr>
              <w:t xml:space="preserve"> </w:t>
            </w:r>
          </w:p>
          <w:p w14:paraId="347A6579">
            <w:pPr>
              <w:keepNext w:val="0"/>
              <w:keepLines w:val="0"/>
              <w:pageBreakBefore w:val="0"/>
              <w:widowControl w:val="0"/>
              <w:kinsoku/>
              <w:wordWrap/>
              <w:overflowPunct w:val="0"/>
              <w:topLinePunct/>
              <w:autoSpaceDE/>
              <w:autoSpaceDN/>
              <w:bidi w:val="0"/>
              <w:adjustRightInd/>
              <w:snapToGrid/>
              <w:spacing w:line="340" w:lineRule="exact"/>
              <w:ind w:firstLine="422"/>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聚焦应急处置关键环节，强化指挥调度、物资保障与专业救援能力。</w:t>
            </w:r>
            <w:r>
              <w:rPr>
                <w:rFonts w:hint="eastAsia" w:ascii="宋体" w:hAnsi="宋体" w:eastAsia="宋体" w:cs="宋体"/>
                <w:b w:val="0"/>
                <w:bCs w:val="0"/>
                <w:color w:val="auto"/>
                <w:sz w:val="21"/>
                <w:szCs w:val="21"/>
                <w:lang w:val="en-US" w:eastAsia="zh-CN"/>
              </w:rPr>
              <w:t>建成投用</w:t>
            </w:r>
            <w:r>
              <w:rPr>
                <w:rFonts w:hint="eastAsia" w:ascii="宋体" w:hAnsi="宋体" w:eastAsia="宋体" w:cs="宋体"/>
                <w:b w:val="0"/>
                <w:bCs w:val="0"/>
                <w:color w:val="auto"/>
                <w:sz w:val="21"/>
                <w:szCs w:val="21"/>
              </w:rPr>
              <w:t>应急指挥能力提升</w:t>
            </w:r>
            <w:r>
              <w:rPr>
                <w:rFonts w:hint="eastAsia" w:ascii="宋体" w:hAnsi="宋体" w:eastAsia="宋体" w:cs="宋体"/>
                <w:b w:val="0"/>
                <w:bCs w:val="0"/>
                <w:color w:val="auto"/>
                <w:sz w:val="21"/>
                <w:szCs w:val="21"/>
                <w:lang w:val="en-US" w:eastAsia="zh-CN"/>
              </w:rPr>
              <w:t>工程</w:t>
            </w:r>
            <w:r>
              <w:rPr>
                <w:rFonts w:hint="eastAsia" w:ascii="宋体" w:hAnsi="宋体" w:eastAsia="宋体" w:cs="宋体"/>
                <w:b w:val="0"/>
                <w:bCs w:val="0"/>
                <w:color w:val="auto"/>
                <w:sz w:val="21"/>
                <w:szCs w:val="21"/>
              </w:rPr>
              <w:t>，</w:t>
            </w:r>
            <w:r>
              <w:rPr>
                <w:rFonts w:hint="eastAsia" w:ascii="宋体" w:hAnsi="宋体" w:eastAsia="宋体" w:cs="宋体"/>
                <w:b w:val="0"/>
                <w:bCs w:val="0"/>
                <w:color w:val="auto"/>
                <w:sz w:val="21"/>
                <w:szCs w:val="21"/>
                <w:lang w:val="en-US" w:eastAsia="zh-CN"/>
              </w:rPr>
              <w:t>推动</w:t>
            </w:r>
            <w:r>
              <w:rPr>
                <w:rFonts w:hint="eastAsia" w:ascii="宋体" w:hAnsi="宋体" w:eastAsia="宋体" w:cs="宋体"/>
                <w:b w:val="0"/>
                <w:bCs w:val="0"/>
                <w:color w:val="auto"/>
                <w:sz w:val="21"/>
                <w:szCs w:val="21"/>
              </w:rPr>
              <w:t>智慧消防综合数据管控中心</w:t>
            </w:r>
            <w:r>
              <w:rPr>
                <w:rFonts w:hint="eastAsia" w:ascii="宋体" w:hAnsi="宋体" w:eastAsia="宋体" w:cs="宋体"/>
                <w:b w:val="0"/>
                <w:bCs w:val="0"/>
                <w:color w:val="auto"/>
                <w:sz w:val="21"/>
                <w:szCs w:val="21"/>
                <w:lang w:val="en-US" w:eastAsia="zh-CN"/>
              </w:rPr>
              <w:t>前期工作</w:t>
            </w:r>
            <w:r>
              <w:rPr>
                <w:rFonts w:hint="eastAsia" w:ascii="宋体" w:hAnsi="宋体" w:eastAsia="宋体" w:cs="宋体"/>
                <w:b w:val="0"/>
                <w:bCs w:val="0"/>
                <w:color w:val="auto"/>
                <w:sz w:val="21"/>
                <w:szCs w:val="21"/>
              </w:rPr>
              <w:t>。</w:t>
            </w:r>
            <w:r>
              <w:rPr>
                <w:rFonts w:hint="eastAsia" w:ascii="宋体" w:hAnsi="宋体" w:eastAsia="宋体" w:cs="宋体"/>
                <w:b w:val="0"/>
                <w:bCs w:val="0"/>
                <w:color w:val="auto"/>
                <w:sz w:val="21"/>
                <w:szCs w:val="21"/>
                <w:lang w:val="en-US" w:eastAsia="zh-CN"/>
              </w:rPr>
              <w:t>谋划建设</w:t>
            </w:r>
            <w:r>
              <w:rPr>
                <w:rFonts w:hint="eastAsia" w:ascii="宋体" w:hAnsi="宋体" w:eastAsia="宋体" w:cs="宋体"/>
                <w:b w:val="0"/>
                <w:bCs w:val="0"/>
                <w:color w:val="auto"/>
                <w:sz w:val="21"/>
                <w:szCs w:val="21"/>
              </w:rPr>
              <w:t>应急救援</w:t>
            </w:r>
            <w:r>
              <w:rPr>
                <w:rFonts w:hint="eastAsia" w:ascii="宋体" w:hAnsi="宋体" w:eastAsia="宋体" w:cs="宋体"/>
                <w:b w:val="0"/>
                <w:bCs w:val="0"/>
                <w:color w:val="auto"/>
                <w:sz w:val="21"/>
                <w:szCs w:val="21"/>
                <w:lang w:val="en-US" w:eastAsia="zh-CN"/>
              </w:rPr>
              <w:t>救灾指挥</w:t>
            </w:r>
            <w:r>
              <w:rPr>
                <w:rFonts w:hint="eastAsia" w:ascii="宋体" w:hAnsi="宋体" w:eastAsia="宋体" w:cs="宋体"/>
                <w:b w:val="0"/>
                <w:bCs w:val="0"/>
                <w:color w:val="auto"/>
                <w:sz w:val="21"/>
                <w:szCs w:val="21"/>
              </w:rPr>
              <w:t>物资储备</w:t>
            </w:r>
            <w:r>
              <w:rPr>
                <w:rFonts w:hint="eastAsia" w:ascii="宋体" w:hAnsi="宋体" w:eastAsia="宋体" w:cs="宋体"/>
                <w:b w:val="0"/>
                <w:bCs w:val="0"/>
                <w:color w:val="auto"/>
                <w:sz w:val="21"/>
                <w:szCs w:val="21"/>
                <w:lang w:val="en-US" w:eastAsia="zh-CN"/>
              </w:rPr>
              <w:t>综合服务中心</w:t>
            </w:r>
            <w:r>
              <w:rPr>
                <w:rFonts w:hint="eastAsia" w:ascii="宋体" w:hAnsi="宋体" w:eastAsia="宋体" w:cs="宋体"/>
                <w:b w:val="0"/>
                <w:bCs w:val="0"/>
                <w:color w:val="auto"/>
                <w:sz w:val="21"/>
                <w:szCs w:val="21"/>
              </w:rPr>
              <w:t>及</w:t>
            </w:r>
            <w:r>
              <w:rPr>
                <w:rFonts w:hint="eastAsia" w:ascii="宋体" w:hAnsi="宋体" w:eastAsia="宋体" w:cs="宋体"/>
                <w:b w:val="0"/>
                <w:bCs w:val="0"/>
                <w:color w:val="auto"/>
                <w:sz w:val="21"/>
                <w:szCs w:val="21"/>
                <w:lang w:val="en-US" w:eastAsia="zh-CN"/>
              </w:rPr>
              <w:t>应急救援物资储备库</w:t>
            </w:r>
            <w:r>
              <w:rPr>
                <w:rFonts w:hint="eastAsia" w:ascii="宋体" w:hAnsi="宋体" w:eastAsia="宋体" w:cs="宋体"/>
                <w:b w:val="0"/>
                <w:bCs w:val="0"/>
                <w:color w:val="auto"/>
                <w:sz w:val="21"/>
                <w:szCs w:val="21"/>
              </w:rPr>
              <w:t>，系统提升应对处置各类灾害事故的实战保障能力。</w:t>
            </w:r>
          </w:p>
          <w:p w14:paraId="148FA576">
            <w:pPr>
              <w:keepNext w:val="0"/>
              <w:keepLines w:val="0"/>
              <w:pageBreakBefore w:val="0"/>
              <w:widowControl w:val="0"/>
              <w:kinsoku/>
              <w:wordWrap/>
              <w:overflowPunct w:val="0"/>
              <w:topLinePunct/>
              <w:autoSpaceDE/>
              <w:autoSpaceDN/>
              <w:bidi w:val="0"/>
              <w:adjustRightInd/>
              <w:snapToGrid/>
              <w:spacing w:line="340" w:lineRule="exact"/>
              <w:ind w:firstLine="422"/>
              <w:textAlignment w:val="auto"/>
              <w:rPr>
                <w:rFonts w:hint="eastAsia" w:ascii="宋体" w:hAnsi="宋体" w:eastAsia="宋体" w:cs="宋体"/>
                <w:b w:val="0"/>
                <w:bCs w:val="0"/>
                <w:color w:val="auto"/>
                <w:sz w:val="21"/>
                <w:szCs w:val="21"/>
                <w:lang w:eastAsia="zh-CN"/>
              </w:rPr>
            </w:pPr>
            <w:r>
              <w:rPr>
                <w:rFonts w:hint="eastAsia" w:ascii="宋体" w:hAnsi="宋体" w:eastAsia="宋体" w:cs="宋体"/>
                <w:b w:val="0"/>
                <w:bCs w:val="0"/>
                <w:color w:val="auto"/>
                <w:sz w:val="21"/>
                <w:szCs w:val="21"/>
              </w:rPr>
              <w:t>2.</w:t>
            </w:r>
            <w:r>
              <w:rPr>
                <w:rFonts w:hint="eastAsia" w:ascii="宋体" w:hAnsi="宋体" w:eastAsia="宋体" w:cs="宋体"/>
                <w:b w:val="0"/>
                <w:bCs w:val="0"/>
                <w:color w:val="auto"/>
                <w:sz w:val="21"/>
                <w:szCs w:val="21"/>
                <w:lang w:val="en-US" w:eastAsia="zh-CN"/>
              </w:rPr>
              <w:t xml:space="preserve"> </w:t>
            </w:r>
            <w:r>
              <w:rPr>
                <w:rFonts w:hint="eastAsia" w:ascii="宋体" w:hAnsi="宋体" w:eastAsia="宋体" w:cs="宋体"/>
                <w:b w:val="0"/>
                <w:bCs w:val="0"/>
                <w:color w:val="auto"/>
                <w:sz w:val="21"/>
                <w:szCs w:val="21"/>
              </w:rPr>
              <w:t>灾害风险综合防治工程</w:t>
            </w:r>
          </w:p>
          <w:p w14:paraId="025B867E">
            <w:pPr>
              <w:keepNext w:val="0"/>
              <w:keepLines w:val="0"/>
              <w:pageBreakBefore w:val="0"/>
              <w:widowControl w:val="0"/>
              <w:kinsoku/>
              <w:wordWrap/>
              <w:overflowPunct w:val="0"/>
              <w:topLinePunct/>
              <w:autoSpaceDE/>
              <w:autoSpaceDN/>
              <w:bidi w:val="0"/>
              <w:adjustRightInd/>
              <w:snapToGrid/>
              <w:spacing w:line="340" w:lineRule="exact"/>
              <w:ind w:firstLine="422"/>
              <w:textAlignment w:val="auto"/>
              <w:rPr>
                <w:rFonts w:hint="default" w:ascii="Times New Roman" w:hAnsi="Times New Roman" w:eastAsia="宋体" w:cs="Times New Roman"/>
                <w:b w:val="0"/>
                <w:bCs w:val="0"/>
                <w:color w:val="auto"/>
                <w:sz w:val="21"/>
                <w:szCs w:val="21"/>
              </w:rPr>
            </w:pPr>
            <w:r>
              <w:rPr>
                <w:rFonts w:hint="eastAsia" w:ascii="宋体" w:hAnsi="宋体" w:eastAsia="宋体" w:cs="宋体"/>
                <w:b w:val="0"/>
                <w:bCs w:val="0"/>
                <w:color w:val="auto"/>
                <w:sz w:val="21"/>
                <w:szCs w:val="21"/>
              </w:rPr>
              <w:t>突出源头管控与风险减量，构建“监测</w:t>
            </w: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rPr>
              <w:t>预警</w:t>
            </w: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rPr>
              <w:t>避险</w:t>
            </w: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rPr>
              <w:t>救援”一体化防治体系。建设覆盖多灾种的风险监测与预警平台，提升灾害风险综合监测预警能力。强化专业救援队伍实战实训与装备配备，完善救灾物资精准高效调配机制，全面增强全社会综合防灾韧性与抵御能力。</w:t>
            </w:r>
          </w:p>
        </w:tc>
      </w:tr>
    </w:tbl>
    <w:p w14:paraId="2DF5D058">
      <w:pPr>
        <w:pStyle w:val="2"/>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left="0" w:leftChars="0" w:firstLine="0" w:firstLineChars="0"/>
        <w:jc w:val="center"/>
        <w:textAlignment w:val="auto"/>
        <w:rPr>
          <w:rFonts w:hint="eastAsia" w:ascii="方正黑体_GBK" w:hAnsi="方正黑体_GBK" w:eastAsia="方正黑体_GBK" w:cs="方正黑体_GBK"/>
          <w:color w:val="auto"/>
          <w:sz w:val="32"/>
          <w:szCs w:val="32"/>
          <w:lang w:eastAsia="zh-CN"/>
        </w:rPr>
      </w:pPr>
      <w:r>
        <w:rPr>
          <w:rFonts w:hint="eastAsia" w:ascii="方正黑体_GBK" w:hAnsi="方正黑体_GBK" w:eastAsia="方正黑体_GBK" w:cs="方正黑体_GBK"/>
          <w:color w:val="auto"/>
          <w:sz w:val="32"/>
          <w:szCs w:val="32"/>
          <w:lang w:eastAsia="zh-CN"/>
        </w:rPr>
        <w:t>第五节  完善现代化社会治理体系</w:t>
      </w:r>
    </w:p>
    <w:p w14:paraId="5385EDA9">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方正仿宋_GBK" w:hAnsi="方正仿宋_GBK" w:eastAsia="方正仿宋_GBK" w:cs="方正仿宋_GBK"/>
          <w:color w:val="auto"/>
          <w:sz w:val="32"/>
          <w:szCs w:val="32"/>
          <w:lang w:eastAsia="zh-CN"/>
        </w:rPr>
      </w:pPr>
      <w:r>
        <w:rPr>
          <w:rFonts w:hint="eastAsia" w:ascii="方正仿宋_GBK" w:hAnsi="方正仿宋_GBK" w:eastAsia="方正仿宋_GBK" w:cs="方正仿宋_GBK"/>
          <w:color w:val="auto"/>
          <w:sz w:val="32"/>
          <w:szCs w:val="32"/>
          <w:lang w:eastAsia="zh-CN"/>
        </w:rPr>
        <w:t>完善党委领导、政府负责、民主协商、社会协同、公众参与、法治保障、科技支撑的社会治理体系。健全社会组织培育发展和综合监管机制，推动行业协会商会规范化建设。强化党建引领基层治理，全面实施乡镇（街道）职责清单和村（社区）工作事项准入制度，为基层赋权增效。统筹推进各级综治中心规范化、实体化建设，提升基层统筹协调能力。坚持和发展新时代“枫桥经验”，推广长山花园社区“六治”工作法本地有效实践。做好重点社会群体服务管理，及时预警处置风险线索，关心关爱困难、弱势群体。健全矛盾纠纷源头预防、排查预警、多元化解机制，推动人民调解、行政调解、司法调解协调联动。深入推进信访工作法治化，有效化解信访积案。完善凝聚服务群众工作机制，畅通“民有所呼、我有所应”渠道，建立健全人民建议征集制度。加强基层服务力量配置，强化社会工作者队伍建设，完善基层服务设施。发展志愿服务，打造志愿服务平台，加强志愿服务组织管理。</w:t>
      </w:r>
    </w:p>
    <w:p w14:paraId="0676436F">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方正仿宋_GBK" w:hAnsi="方正仿宋_GBK" w:eastAsia="方正仿宋_GBK" w:cs="方正仿宋_GBK"/>
          <w:color w:val="auto"/>
          <w:sz w:val="32"/>
          <w:szCs w:val="32"/>
          <w:lang w:eastAsia="zh-CN"/>
        </w:rPr>
      </w:pPr>
    </w:p>
    <w:p w14:paraId="4C4929A8">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方正仿宋_GBK" w:hAnsi="方正仿宋_GBK" w:eastAsia="方正仿宋_GBK" w:cs="方正仿宋_GBK"/>
          <w:color w:val="auto"/>
          <w:sz w:val="32"/>
          <w:szCs w:val="32"/>
          <w:lang w:eastAsia="zh-CN"/>
        </w:rPr>
      </w:pPr>
    </w:p>
    <w:p w14:paraId="0B6332A1">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方正仿宋_GBK" w:hAnsi="方正仿宋_GBK" w:eastAsia="方正仿宋_GBK" w:cs="方正仿宋_GBK"/>
          <w:color w:val="auto"/>
          <w:sz w:val="32"/>
          <w:szCs w:val="32"/>
          <w:lang w:eastAsia="zh-CN"/>
        </w:rPr>
      </w:pPr>
    </w:p>
    <w:p w14:paraId="059370E5">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方正仿宋_GBK" w:hAnsi="方正仿宋_GBK" w:eastAsia="方正仿宋_GBK" w:cs="方正仿宋_GBK"/>
          <w:color w:val="auto"/>
          <w:sz w:val="32"/>
          <w:szCs w:val="32"/>
          <w:lang w:eastAsia="zh-CN"/>
        </w:rPr>
      </w:pPr>
    </w:p>
    <w:p w14:paraId="1B8F188A">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方正仿宋_GBK" w:hAnsi="方正仿宋_GBK" w:eastAsia="方正仿宋_GBK" w:cs="方正仿宋_GBK"/>
          <w:color w:val="auto"/>
          <w:sz w:val="32"/>
          <w:szCs w:val="32"/>
          <w:lang w:eastAsia="zh-CN"/>
        </w:rPr>
      </w:pPr>
    </w:p>
    <w:p w14:paraId="01015C36">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方正仿宋_GBK" w:hAnsi="方正仿宋_GBK" w:eastAsia="方正仿宋_GBK" w:cs="方正仿宋_GBK"/>
          <w:color w:val="auto"/>
          <w:sz w:val="32"/>
          <w:szCs w:val="32"/>
          <w:lang w:eastAsia="zh-CN"/>
        </w:rPr>
      </w:pPr>
    </w:p>
    <w:p w14:paraId="17AC7485">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方正仿宋_GBK" w:hAnsi="方正仿宋_GBK" w:eastAsia="方正仿宋_GBK" w:cs="方正仿宋_GBK"/>
          <w:color w:val="auto"/>
          <w:sz w:val="32"/>
          <w:szCs w:val="32"/>
          <w:lang w:eastAsia="zh-CN"/>
        </w:rPr>
      </w:pPr>
    </w:p>
    <w:p w14:paraId="4DCCCE6A">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方正仿宋_GBK" w:hAnsi="方正仿宋_GBK" w:eastAsia="方正仿宋_GBK" w:cs="方正仿宋_GBK"/>
          <w:color w:val="auto"/>
          <w:sz w:val="32"/>
          <w:szCs w:val="32"/>
          <w:lang w:eastAsia="zh-CN"/>
        </w:rPr>
      </w:pPr>
    </w:p>
    <w:p w14:paraId="25BDE617">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方正仿宋_GBK" w:hAnsi="方正仿宋_GBK" w:eastAsia="方正仿宋_GBK" w:cs="方正仿宋_GBK"/>
          <w:color w:val="auto"/>
          <w:sz w:val="32"/>
          <w:szCs w:val="32"/>
          <w:lang w:eastAsia="zh-CN"/>
        </w:rPr>
      </w:pPr>
    </w:p>
    <w:p w14:paraId="42C72DE7">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方正仿宋_GBK" w:hAnsi="方正仿宋_GBK" w:eastAsia="方正仿宋_GBK" w:cs="方正仿宋_GBK"/>
          <w:color w:val="auto"/>
          <w:sz w:val="32"/>
          <w:szCs w:val="32"/>
          <w:lang w:eastAsia="zh-CN"/>
        </w:rPr>
      </w:pPr>
    </w:p>
    <w:p w14:paraId="492F5F65">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方正仿宋_GBK" w:hAnsi="方正仿宋_GBK" w:eastAsia="方正仿宋_GBK" w:cs="方正仿宋_GBK"/>
          <w:color w:val="auto"/>
          <w:sz w:val="32"/>
          <w:szCs w:val="32"/>
          <w:lang w:eastAsia="zh-CN"/>
        </w:rPr>
      </w:pPr>
    </w:p>
    <w:p w14:paraId="2E07C1C6">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方正仿宋_GBK" w:hAnsi="方正仿宋_GBK" w:eastAsia="方正仿宋_GBK" w:cs="方正仿宋_GBK"/>
          <w:color w:val="auto"/>
          <w:sz w:val="32"/>
          <w:szCs w:val="32"/>
          <w:lang w:eastAsia="zh-CN"/>
        </w:rPr>
      </w:pPr>
    </w:p>
    <w:p w14:paraId="01CB6A10">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方正仿宋_GBK" w:hAnsi="方正仿宋_GBK" w:eastAsia="方正仿宋_GBK" w:cs="方正仿宋_GBK"/>
          <w:color w:val="auto"/>
          <w:sz w:val="32"/>
          <w:szCs w:val="32"/>
          <w:lang w:eastAsia="zh-CN"/>
        </w:rPr>
      </w:pPr>
    </w:p>
    <w:p w14:paraId="19FBC901">
      <w:pPr>
        <w:pStyle w:val="2"/>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left="0" w:leftChars="0" w:firstLine="0" w:firstLineChars="0"/>
        <w:jc w:val="center"/>
        <w:textAlignment w:val="auto"/>
        <w:rPr>
          <w:rFonts w:hint="eastAsia" w:ascii="方正小标宋_GBK" w:hAnsi="方正小标宋_GBK" w:eastAsia="方正小标宋_GBK" w:cs="方正小标宋_GBK"/>
          <w:color w:val="auto"/>
          <w:sz w:val="36"/>
          <w:szCs w:val="36"/>
          <w:lang w:eastAsia="zh-CN"/>
        </w:rPr>
      </w:pPr>
      <w:r>
        <w:rPr>
          <w:rFonts w:hint="eastAsia" w:ascii="方正小标宋_GBK" w:hAnsi="方正小标宋_GBK" w:eastAsia="方正小标宋_GBK" w:cs="方正小标宋_GBK"/>
          <w:color w:val="auto"/>
          <w:sz w:val="36"/>
          <w:szCs w:val="36"/>
          <w:lang w:eastAsia="zh-CN"/>
        </w:rPr>
        <w:t>第十四章  汇聚强大发展合力</w:t>
      </w:r>
    </w:p>
    <w:p w14:paraId="3200D581">
      <w:pPr>
        <w:pStyle w:val="2"/>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left="0" w:leftChars="0" w:firstLine="0" w:firstLineChars="0"/>
        <w:jc w:val="center"/>
        <w:textAlignment w:val="auto"/>
        <w:rPr>
          <w:rFonts w:hint="eastAsia" w:ascii="方正小标宋_GBK" w:hAnsi="方正小标宋_GBK" w:eastAsia="方正小标宋_GBK" w:cs="方正小标宋_GBK"/>
          <w:color w:val="auto"/>
          <w:sz w:val="36"/>
          <w:szCs w:val="36"/>
          <w:lang w:eastAsia="zh-CN"/>
        </w:rPr>
      </w:pPr>
      <w:r>
        <w:rPr>
          <w:rFonts w:hint="eastAsia" w:ascii="方正小标宋_GBK" w:hAnsi="方正小标宋_GBK" w:eastAsia="方正小标宋_GBK" w:cs="方正小标宋_GBK"/>
          <w:color w:val="auto"/>
          <w:sz w:val="36"/>
          <w:szCs w:val="36"/>
          <w:lang w:eastAsia="zh-CN"/>
        </w:rPr>
        <w:t>奋力实现“十五五”规划目标任务</w:t>
      </w:r>
    </w:p>
    <w:p w14:paraId="0F4546E4">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方正仿宋_GBK" w:hAnsi="方正仿宋_GBK" w:eastAsia="方正仿宋_GBK" w:cs="方正仿宋_GBK"/>
          <w:color w:val="auto"/>
          <w:sz w:val="32"/>
          <w:szCs w:val="32"/>
          <w:lang w:eastAsia="zh-CN"/>
        </w:rPr>
      </w:pPr>
      <w:r>
        <w:rPr>
          <w:rFonts w:hint="eastAsia" w:ascii="方正仿宋_GBK" w:hAnsi="方正仿宋_GBK" w:eastAsia="方正仿宋_GBK" w:cs="方正仿宋_GBK"/>
          <w:color w:val="auto"/>
          <w:sz w:val="32"/>
          <w:szCs w:val="32"/>
          <w:lang w:eastAsia="zh-CN"/>
        </w:rPr>
        <w:t>全面落实新时代党的建设总要求，坚持以党的自我革命引领社会革命，持之以恒推进全面从严治党，充分发挥党总揽全局、协调各方的领导能力，充分调动全社会投身中国式现代化建设的积极性主动性创造性，凝聚起实现“十五五”时期高质量发展的强大合力。</w:t>
      </w:r>
    </w:p>
    <w:p w14:paraId="586DF27D">
      <w:pPr>
        <w:pStyle w:val="2"/>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left="0" w:leftChars="0" w:firstLine="0" w:firstLineChars="0"/>
        <w:jc w:val="center"/>
        <w:textAlignment w:val="auto"/>
        <w:rPr>
          <w:rFonts w:hint="eastAsia" w:ascii="方正仿宋_GBK" w:hAnsi="方正仿宋_GBK" w:eastAsia="方正仿宋_GBK" w:cs="方正仿宋_GBK"/>
          <w:color w:val="auto"/>
          <w:sz w:val="32"/>
          <w:szCs w:val="32"/>
          <w:lang w:eastAsia="zh-CN"/>
        </w:rPr>
      </w:pPr>
      <w:r>
        <w:rPr>
          <w:rFonts w:hint="eastAsia" w:ascii="方正黑体_GBK" w:hAnsi="方正黑体_GBK" w:eastAsia="方正黑体_GBK" w:cs="方正黑体_GBK"/>
          <w:color w:val="auto"/>
          <w:sz w:val="32"/>
          <w:szCs w:val="32"/>
          <w:lang w:eastAsia="zh-CN"/>
        </w:rPr>
        <w:t>第一节  坚决维护党中央权威和集中统一领导</w:t>
      </w:r>
    </w:p>
    <w:p w14:paraId="5A02ACB7">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方正仿宋_GBK" w:hAnsi="方正仿宋_GBK" w:eastAsia="方正仿宋_GBK" w:cs="方正仿宋_GBK"/>
          <w:color w:val="auto"/>
          <w:sz w:val="32"/>
          <w:szCs w:val="32"/>
          <w:lang w:eastAsia="zh-CN"/>
        </w:rPr>
      </w:pPr>
      <w:r>
        <w:rPr>
          <w:rFonts w:hint="eastAsia" w:ascii="方正楷体_GBK" w:hAnsi="方正楷体_GBK" w:eastAsia="方正楷体_GBK" w:cs="方正楷体_GBK"/>
          <w:color w:val="auto"/>
          <w:sz w:val="32"/>
          <w:szCs w:val="32"/>
          <w:lang w:eastAsia="zh-CN"/>
        </w:rPr>
        <w:t>强化政治引领。</w:t>
      </w:r>
      <w:r>
        <w:rPr>
          <w:rFonts w:hint="eastAsia" w:ascii="方正仿宋_GBK" w:hAnsi="方正仿宋_GBK" w:eastAsia="方正仿宋_GBK" w:cs="方正仿宋_GBK"/>
          <w:color w:val="auto"/>
          <w:sz w:val="32"/>
          <w:szCs w:val="32"/>
          <w:lang w:eastAsia="zh-CN"/>
        </w:rPr>
        <w:t>坚持用党的创新理论凝心铸魂，统一思想、统一意志、统一行动。持续深入学习、全面对标、坚决落实</w:t>
      </w:r>
      <w:r>
        <w:rPr>
          <w:rFonts w:hint="eastAsia" w:ascii="方正仿宋_GBK" w:hAnsi="方正仿宋_GBK" w:eastAsia="方正仿宋_GBK" w:cs="方正仿宋_GBK"/>
          <w:b w:val="0"/>
          <w:bCs w:val="0"/>
          <w:color w:val="auto"/>
          <w:kern w:val="2"/>
          <w:sz w:val="32"/>
          <w:szCs w:val="32"/>
          <w:highlight w:val="none"/>
          <w:u w:val="none" w:color="auto"/>
          <w:lang w:eastAsia="zh-CN"/>
        </w:rPr>
        <w:t>习近平总书记关于新时代推动东北全面振兴和吉林工作的重要讲话重要指示批示精神</w:t>
      </w:r>
      <w:r>
        <w:rPr>
          <w:rFonts w:hint="eastAsia" w:ascii="方正仿宋_GBK" w:hAnsi="方正仿宋_GBK" w:eastAsia="方正仿宋_GBK" w:cs="方正仿宋_GBK"/>
          <w:color w:val="auto"/>
          <w:sz w:val="32"/>
          <w:szCs w:val="32"/>
          <w:lang w:eastAsia="zh-CN"/>
        </w:rPr>
        <w:t>，深刻领悟“两个确立”的决定性意义，增强“四个意识”、坚定“四个自信”、做到“两个维护”。严明党的政治纪律和政治规矩，旗帜鲜明反对和纠正“七个有之”。严格执行民主集中制，发扬党内民主，深入开展调查研究，提升科学决策、民主决策、依法决策水平。健全党中央重大决策部署和省委、市委工作要求落实机制，形成上下贯通、执行有力的工作格局。</w:t>
      </w:r>
    </w:p>
    <w:p w14:paraId="3A88E09E">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方正仿宋_GBK" w:hAnsi="方正仿宋_GBK" w:eastAsia="方正仿宋_GBK" w:cs="方正仿宋_GBK"/>
          <w:color w:val="auto"/>
          <w:sz w:val="32"/>
          <w:szCs w:val="32"/>
          <w:lang w:eastAsia="zh-CN"/>
        </w:rPr>
      </w:pPr>
      <w:r>
        <w:rPr>
          <w:rFonts w:hint="eastAsia" w:ascii="方正楷体_GBK" w:hAnsi="方正楷体_GBK" w:eastAsia="方正楷体_GBK" w:cs="方正楷体_GBK"/>
          <w:color w:val="auto"/>
          <w:sz w:val="32"/>
          <w:szCs w:val="32"/>
          <w:lang w:eastAsia="zh-CN"/>
        </w:rPr>
        <w:t>坚持正确用人导向</w:t>
      </w:r>
      <w:r>
        <w:rPr>
          <w:rFonts w:hint="eastAsia" w:ascii="方正仿宋_GBK" w:hAnsi="方正仿宋_GBK" w:eastAsia="方正仿宋_GBK" w:cs="方正仿宋_GBK"/>
          <w:color w:val="auto"/>
          <w:sz w:val="32"/>
          <w:szCs w:val="32"/>
          <w:lang w:eastAsia="zh-CN"/>
        </w:rPr>
        <w:t>。落实新时代好干部标准，着力锻造一支政治过硬、适应新时代要求、具备现代化建设能力的高素质干部队伍，为规划实施提供坚强组织保证。把政治标准放在首位，做深做实干部政治素质考察。完善高质量发展政绩考核评价体系，树立围绕发展、服务大局的鲜明考核导向，聚焦本规划确定的重点任务、重大项目和核心指标设置考核指标，强化考核实施，考准考实干部政绩。强化考核结果运用，推动领导干部能上能下，引导各级领导干部树立和践行正确政绩观。健全精准问责审查、失实举报澄清保护机制，落实干部待遇保障各项制度措施，充分激发干部队伍的积极性、主动性、创造性。</w:t>
      </w:r>
    </w:p>
    <w:p w14:paraId="1402FD74">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方正仿宋_GBK" w:hAnsi="方正仿宋_GBK" w:eastAsia="方正仿宋_GBK" w:cs="方正仿宋_GBK"/>
          <w:color w:val="auto"/>
          <w:sz w:val="32"/>
          <w:szCs w:val="32"/>
          <w:lang w:eastAsia="zh-CN"/>
        </w:rPr>
      </w:pPr>
      <w:r>
        <w:rPr>
          <w:rFonts w:hint="eastAsia" w:ascii="方正楷体_GBK" w:hAnsi="方正楷体_GBK" w:eastAsia="方正楷体_GBK" w:cs="方正楷体_GBK"/>
          <w:color w:val="auto"/>
          <w:sz w:val="32"/>
          <w:szCs w:val="32"/>
          <w:lang w:eastAsia="zh-CN"/>
        </w:rPr>
        <w:t>强化全面从严治党</w:t>
      </w:r>
      <w:r>
        <w:rPr>
          <w:rFonts w:hint="eastAsia" w:ascii="方正仿宋_GBK" w:hAnsi="方正仿宋_GBK" w:eastAsia="方正仿宋_GBK" w:cs="方正仿宋_GBK"/>
          <w:color w:val="auto"/>
          <w:sz w:val="32"/>
          <w:szCs w:val="32"/>
          <w:lang w:eastAsia="zh-CN"/>
        </w:rPr>
        <w:t>。坚持严的基调、严的措施、严的氛围不动摇，为规划顺利实施提供坚强纪律保障。统筹推进农村、城市社区、机关、企事业单位、“两新”组织等各领域基层党组织建设，持续增强政治功能和组织功能。加强和改进党员教育管理，引导广大党员发挥先锋模范作用。锲而不舍落实中央八项规定及其实施细则精神，深化党政机关过紧日子、厉行节约反对浪费工作。坚持风腐同查同治，坚决纠治形式主义、官僚主义，持续为基层减负。加强对权力运行的制约和监督，深化重点领域、关键岗位廉政风险防控。一体推进不敢腐、不能腐、不想腐，营造和弘扬崇尚廉洁的良好风尚，持续巩固发展风清气正的政治生态。</w:t>
      </w:r>
    </w:p>
    <w:p w14:paraId="0CD1DB8A">
      <w:pPr>
        <w:pStyle w:val="2"/>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left="0" w:leftChars="0" w:firstLine="0" w:firstLineChars="0"/>
        <w:jc w:val="center"/>
        <w:textAlignment w:val="auto"/>
        <w:rPr>
          <w:rFonts w:hint="eastAsia" w:ascii="方正黑体_GBK" w:hAnsi="方正黑体_GBK" w:eastAsia="方正黑体_GBK" w:cs="方正黑体_GBK"/>
          <w:color w:val="auto"/>
          <w:sz w:val="32"/>
          <w:szCs w:val="32"/>
          <w:lang w:eastAsia="zh-CN"/>
        </w:rPr>
      </w:pPr>
      <w:r>
        <w:rPr>
          <w:rFonts w:hint="eastAsia" w:ascii="方正黑体_GBK" w:hAnsi="方正黑体_GBK" w:eastAsia="方正黑体_GBK" w:cs="方正黑体_GBK"/>
          <w:color w:val="auto"/>
          <w:sz w:val="32"/>
          <w:szCs w:val="32"/>
          <w:lang w:eastAsia="zh-CN"/>
        </w:rPr>
        <w:t>第二节  加强社会主义民主法治建设</w:t>
      </w:r>
    </w:p>
    <w:p w14:paraId="407B67ED">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方正仿宋_GBK" w:hAnsi="方正仿宋_GBK" w:eastAsia="方正仿宋_GBK" w:cs="方正仿宋_GBK"/>
          <w:color w:val="auto"/>
          <w:sz w:val="32"/>
          <w:szCs w:val="32"/>
          <w:lang w:eastAsia="zh-CN"/>
        </w:rPr>
      </w:pPr>
      <w:r>
        <w:rPr>
          <w:rFonts w:hint="eastAsia" w:ascii="方正楷体_GBK" w:hAnsi="方正楷体_GBK" w:eastAsia="方正楷体_GBK" w:cs="方正楷体_GBK"/>
          <w:color w:val="auto"/>
          <w:sz w:val="32"/>
          <w:szCs w:val="32"/>
          <w:lang w:eastAsia="zh-CN"/>
        </w:rPr>
        <w:t>发展全过程人民民主</w:t>
      </w:r>
      <w:r>
        <w:rPr>
          <w:rFonts w:hint="eastAsia" w:ascii="方正仿宋_GBK" w:hAnsi="方正仿宋_GBK" w:eastAsia="方正仿宋_GBK" w:cs="方正仿宋_GBK"/>
          <w:color w:val="auto"/>
          <w:sz w:val="32"/>
          <w:szCs w:val="32"/>
          <w:lang w:eastAsia="zh-CN"/>
        </w:rPr>
        <w:t>。坚持好、完善好、运行好人民代表大会这一根本政治制度。健全人大对“一府一委两院”的监督制度，做好国家机关联系人大代表、人大代表联系人民群众“两个联系”工作。发挥人民政协作为专门协商机构作用，加强各种协商渠道协同配合，推进协商民主广泛多层制度化发展。健全基层党组织领导的基层群众自治机制，完善基层直接民主工作体系，拓宽基层各类群体有序参与基层治理渠道，保障人民依法管理基层公共事务和公益事业。发挥工会、共青团、妇联等人民团体桥梁纽带作用，加强产业工人队伍建设，完善青少年发展政策体系，保障妇女儿童合法权益。</w:t>
      </w:r>
    </w:p>
    <w:p w14:paraId="03567A7B">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方正仿宋_GBK" w:hAnsi="方正仿宋_GBK" w:eastAsia="方正仿宋_GBK" w:cs="方正仿宋_GBK"/>
          <w:color w:val="auto"/>
          <w:sz w:val="32"/>
          <w:szCs w:val="32"/>
          <w:lang w:eastAsia="zh-CN"/>
        </w:rPr>
      </w:pPr>
      <w:r>
        <w:rPr>
          <w:rFonts w:hint="eastAsia" w:ascii="方正楷体_GBK" w:hAnsi="方正楷体_GBK" w:eastAsia="方正楷体_GBK" w:cs="方正楷体_GBK"/>
          <w:color w:val="auto"/>
          <w:sz w:val="32"/>
          <w:szCs w:val="32"/>
          <w:lang w:eastAsia="zh-CN"/>
        </w:rPr>
        <w:t>持续完善大统战工作格局</w:t>
      </w:r>
      <w:r>
        <w:rPr>
          <w:rFonts w:hint="eastAsia" w:ascii="方正仿宋_GBK" w:hAnsi="方正仿宋_GBK" w:eastAsia="方正仿宋_GBK" w:cs="方正仿宋_GBK"/>
          <w:color w:val="auto"/>
          <w:sz w:val="32"/>
          <w:szCs w:val="32"/>
          <w:lang w:eastAsia="zh-CN"/>
        </w:rPr>
        <w:t>。加快完善党委统一领导、统战部门牵头协调、有关方面各负其责的大统战工作格局，巩固和发展最广泛的爱国统一战线。落实落细“吉善同心”工程，支持各民主党派、工商联和无党派人士围绕中心工作深入调研、积极建言。全面深化民族团结进步。以铸牢中华民族共同体意识为主线，推进中华民族共同体建设。系统推进我国宗教中国化。加强宗教事务治理法治化，积极引导宗教与社会主义社会相适应。持续加强党外代表人士的发现、培养、使用和管理，加大党外知识分子和新的社会阶层人士政治引领、价值观引领和事业引领力度。密切与港澳台同胞和海外侨胞的联系交往，涵养壮大爱国爱乡力量。</w:t>
      </w:r>
    </w:p>
    <w:p w14:paraId="1B6C95C0">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方正仿宋_GBK" w:hAnsi="方正仿宋_GBK" w:eastAsia="方正仿宋_GBK" w:cs="方正仿宋_GBK"/>
          <w:color w:val="auto"/>
          <w:sz w:val="32"/>
          <w:szCs w:val="32"/>
          <w:lang w:eastAsia="zh-CN"/>
        </w:rPr>
      </w:pPr>
      <w:r>
        <w:rPr>
          <w:rFonts w:hint="eastAsia" w:ascii="方正楷体_GBK" w:hAnsi="方正楷体_GBK" w:eastAsia="方正楷体_GBK" w:cs="方正楷体_GBK"/>
          <w:color w:val="auto"/>
          <w:sz w:val="32"/>
          <w:szCs w:val="32"/>
          <w:lang w:eastAsia="zh-CN"/>
        </w:rPr>
        <w:t>坚持全面依法治市</w:t>
      </w:r>
      <w:r>
        <w:rPr>
          <w:rFonts w:hint="eastAsia" w:ascii="方正仿宋_GBK" w:hAnsi="方正仿宋_GBK" w:eastAsia="方正仿宋_GBK" w:cs="方正仿宋_GBK"/>
          <w:color w:val="auto"/>
          <w:sz w:val="32"/>
          <w:szCs w:val="32"/>
          <w:lang w:eastAsia="zh-CN"/>
        </w:rPr>
        <w:t>。推进法治辽源建设。完善党委领导、人大主导、政府依托、各方参与的立法格局，建设更加完备的法律规范体系；深入推进严格执法、公正司法、全民守法，建设更加完备的法治实施体系；切实加强对立法、执法、司法工作的监督，建设更加严密的法治监督体系；加强政治、组织、队伍、人才、科技、信息等保障，建设更加有力的法治保障体系；推进涉外法治建设。推进法治政府建设。健全政府立法工作机制，开展“小切口”“小快灵”立法，加强政府立法审查；贯彻落实重大决策、规范性文件合法性审查机制，强化规范性文件监督管理，约束行政权力；加强各级党政机关法律顾问工作，提高依法行政、依法决策能力；持续推进市、县、乡三级全覆盖行政执法协调监督工作体系建设，健全乡镇（街道）赋权事项动态调整机制，推动行政处罚和刑事处罚双向衔接；发挥行政复议在化解行政争议中的主渠道作用。推进法治社会建设。深入学习贯彻习近平法治思想，全面贯彻实施“九五”普法规划，落实“谁执法谁普法”责任制；加强调解工作规范化建设，推进专业化人民调解员队伍建设，依法妥善化解矛盾纠纷；（增加）健全覆盖城乡的公共法律服务体系，加速公共法律服务实体、热线、网络“三台”融合进程。</w:t>
      </w:r>
    </w:p>
    <w:p w14:paraId="6D21D28D">
      <w:pPr>
        <w:pStyle w:val="2"/>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left="0" w:leftChars="0" w:firstLine="0" w:firstLineChars="0"/>
        <w:jc w:val="center"/>
        <w:textAlignment w:val="auto"/>
        <w:rPr>
          <w:rFonts w:hint="eastAsia" w:ascii="方正黑体_GBK" w:hAnsi="方正黑体_GBK" w:eastAsia="方正黑体_GBK" w:cs="方正黑体_GBK"/>
          <w:color w:val="auto"/>
          <w:sz w:val="32"/>
          <w:szCs w:val="32"/>
          <w:lang w:eastAsia="zh-CN"/>
        </w:rPr>
      </w:pPr>
      <w:r>
        <w:rPr>
          <w:rFonts w:hint="eastAsia" w:ascii="方正黑体_GBK" w:hAnsi="方正黑体_GBK" w:eastAsia="方正黑体_GBK" w:cs="方正黑体_GBK"/>
          <w:color w:val="auto"/>
          <w:sz w:val="32"/>
          <w:szCs w:val="32"/>
          <w:lang w:eastAsia="zh-CN"/>
        </w:rPr>
        <w:t>第三节  加强组织纪律保障支撑</w:t>
      </w:r>
    </w:p>
    <w:p w14:paraId="07BA6C68">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方正仿宋_GBK" w:hAnsi="方正仿宋_GBK" w:eastAsia="方正仿宋_GBK" w:cs="方正仿宋_GBK"/>
          <w:color w:val="auto"/>
          <w:sz w:val="32"/>
          <w:szCs w:val="32"/>
          <w:lang w:eastAsia="zh-CN"/>
        </w:rPr>
      </w:pPr>
      <w:r>
        <w:rPr>
          <w:rFonts w:hint="eastAsia" w:ascii="方正楷体_GBK" w:hAnsi="方正楷体_GBK" w:eastAsia="方正楷体_GBK" w:cs="方正楷体_GBK"/>
          <w:color w:val="auto"/>
          <w:sz w:val="32"/>
          <w:szCs w:val="32"/>
          <w:lang w:eastAsia="zh-CN"/>
        </w:rPr>
        <w:t>强化组织保障支撑</w:t>
      </w:r>
      <w:r>
        <w:rPr>
          <w:rFonts w:hint="eastAsia" w:ascii="方正仿宋_GBK" w:hAnsi="方正仿宋_GBK" w:eastAsia="方正仿宋_GBK" w:cs="方正仿宋_GBK"/>
          <w:color w:val="auto"/>
          <w:sz w:val="32"/>
          <w:szCs w:val="32"/>
          <w:lang w:eastAsia="zh-CN"/>
        </w:rPr>
        <w:t>。全面提升党员干部队伍建设质量，落实基本培训任务要求，着力增强政治素质、党性修养和履职能力，引导广大党员干部提振愿担当的精气神、练就敢担当的硬肩膀、掌握善担当的真本领，对规划确定的中心工作紧盯不放、攻坚克难，努力创造经得起历史、时间和人民检验的业绩。健全跨部门、跨层级的协同落实机制，进一步提升政策穿透力、工作执行力和群众动员力，最大限度凝聚起全市上下共促辽源全面振兴的强大合力。</w:t>
      </w:r>
    </w:p>
    <w:p w14:paraId="0AB6F6FE">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方正仿宋_GBK" w:hAnsi="方正仿宋_GBK" w:eastAsia="方正仿宋_GBK" w:cs="方正仿宋_GBK"/>
          <w:color w:val="auto"/>
          <w:sz w:val="32"/>
          <w:szCs w:val="32"/>
          <w:lang w:eastAsia="zh-CN"/>
        </w:rPr>
      </w:pPr>
      <w:r>
        <w:rPr>
          <w:rFonts w:hint="eastAsia" w:ascii="方正楷体_GBK" w:hAnsi="方正楷体_GBK" w:eastAsia="方正楷体_GBK" w:cs="方正楷体_GBK"/>
          <w:color w:val="auto"/>
          <w:sz w:val="32"/>
          <w:szCs w:val="32"/>
          <w:lang w:eastAsia="zh-CN"/>
        </w:rPr>
        <w:t>强化纪律作风保障</w:t>
      </w:r>
      <w:r>
        <w:rPr>
          <w:rFonts w:hint="eastAsia" w:ascii="方正仿宋_GBK" w:hAnsi="方正仿宋_GBK" w:eastAsia="方正仿宋_GBK" w:cs="方正仿宋_GBK"/>
          <w:color w:val="auto"/>
          <w:sz w:val="32"/>
          <w:szCs w:val="32"/>
          <w:lang w:eastAsia="zh-CN"/>
        </w:rPr>
        <w:t>。坚持以严明纪律整饬作风，以优良作风护航发展，为规划实施扫清障碍。深化整治招投标、工程建设、国资国企、开发区建设等重点领域腐败问题。常态化推进群众身边不正之风和腐败问题集中整治。坚持严管厚爱结合，推动广大干部在遵规守纪、清正廉洁的前提下放开手脚、大胆干事创业。大力弘扬崇严尚实、担当尽责的优良作风，着力纠治乱作为、不作为、不敢为、不善为等问题。引导广大党员干部树牢正确政绩观，加强廉洁文化建设和警示教育，全面营造团结和谐、干事创业、奋勇争先的浓厚氛围。</w:t>
      </w:r>
    </w:p>
    <w:p w14:paraId="7399C70B">
      <w:pPr>
        <w:pStyle w:val="2"/>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left="0" w:leftChars="0" w:firstLine="0" w:firstLineChars="0"/>
        <w:jc w:val="center"/>
        <w:textAlignment w:val="auto"/>
        <w:rPr>
          <w:rFonts w:hint="eastAsia" w:ascii="方正黑体_GBK" w:hAnsi="方正黑体_GBK" w:eastAsia="方正黑体_GBK" w:cs="方正黑体_GBK"/>
          <w:color w:val="auto"/>
          <w:sz w:val="32"/>
          <w:szCs w:val="32"/>
          <w:lang w:eastAsia="zh-CN"/>
        </w:rPr>
      </w:pPr>
      <w:r>
        <w:rPr>
          <w:rFonts w:hint="eastAsia" w:ascii="方正黑体_GBK" w:hAnsi="方正黑体_GBK" w:eastAsia="方正黑体_GBK" w:cs="方正黑体_GBK"/>
          <w:color w:val="auto"/>
          <w:sz w:val="32"/>
          <w:szCs w:val="32"/>
          <w:lang w:eastAsia="zh-CN"/>
        </w:rPr>
        <w:t>第四节  健全完善规划实施体</w:t>
      </w:r>
      <w:bookmarkStart w:id="1" w:name="_GoBack"/>
      <w:bookmarkEnd w:id="1"/>
      <w:r>
        <w:rPr>
          <w:rFonts w:hint="eastAsia" w:ascii="方正黑体_GBK" w:hAnsi="方正黑体_GBK" w:eastAsia="方正黑体_GBK" w:cs="方正黑体_GBK"/>
          <w:color w:val="auto"/>
          <w:sz w:val="32"/>
          <w:szCs w:val="32"/>
          <w:lang w:eastAsia="zh-CN"/>
        </w:rPr>
        <w:t>系</w:t>
      </w:r>
    </w:p>
    <w:p w14:paraId="743783F6">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方正仿宋_GBK" w:hAnsi="方正仿宋_GBK" w:eastAsia="方正仿宋_GBK" w:cs="方正仿宋_GBK"/>
          <w:color w:val="auto"/>
          <w:sz w:val="32"/>
          <w:szCs w:val="32"/>
          <w:lang w:eastAsia="zh-CN"/>
        </w:rPr>
      </w:pPr>
      <w:r>
        <w:rPr>
          <w:rFonts w:hint="eastAsia" w:ascii="方正楷体_GBK" w:hAnsi="方正楷体_GBK" w:eastAsia="方正楷体_GBK" w:cs="方正楷体_GBK"/>
          <w:color w:val="auto"/>
          <w:sz w:val="32"/>
          <w:szCs w:val="32"/>
          <w:lang w:eastAsia="zh-CN"/>
        </w:rPr>
        <w:t>形成规划整体合力</w:t>
      </w:r>
      <w:r>
        <w:rPr>
          <w:rFonts w:hint="eastAsia" w:ascii="方正仿宋_GBK" w:hAnsi="方正仿宋_GBK" w:eastAsia="方正仿宋_GBK" w:cs="方正仿宋_GBK"/>
          <w:color w:val="auto"/>
          <w:sz w:val="32"/>
          <w:szCs w:val="32"/>
          <w:lang w:eastAsia="zh-CN"/>
        </w:rPr>
        <w:t>。突出本规划的战略统领作用，构建以国民经济和社会发展规划纲要为统领，以国土空间规划为基础，以专项规划、区域规划为重要支撑，由市、县（区）两级规划共同组成的规划体系。明确各类规划的定位、边界与功能，强化规划间的目标协同、空间协同和政策协同，确保形成全市“一盘棋”的发展合力。统筹各级各类规划编制，精简数量、提高质量，加强规划间衔接协调，避免规划交叉重复、缺乏实效。报请市委、市政府批准的各类专项规划，须在主要目标、发展方向、总体布局、重大政策、重大工程项目、风险防控等方面，与本规划进行充分衔接，实现纵向一致、横向协调。</w:t>
      </w:r>
    </w:p>
    <w:p w14:paraId="6027D293">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方正仿宋_GBK" w:hAnsi="方正仿宋_GBK" w:eastAsia="方正仿宋_GBK" w:cs="方正仿宋_GBK"/>
          <w:color w:val="auto"/>
          <w:sz w:val="32"/>
          <w:szCs w:val="32"/>
          <w:lang w:eastAsia="zh-CN"/>
        </w:rPr>
      </w:pPr>
      <w:r>
        <w:rPr>
          <w:rFonts w:hint="eastAsia" w:ascii="方正楷体_GBK" w:hAnsi="方正楷体_GBK" w:eastAsia="方正楷体_GBK" w:cs="方正楷体_GBK"/>
          <w:color w:val="auto"/>
          <w:sz w:val="32"/>
          <w:szCs w:val="32"/>
          <w:lang w:eastAsia="zh-CN"/>
        </w:rPr>
        <w:t>强化政策协同保障</w:t>
      </w:r>
      <w:r>
        <w:rPr>
          <w:rFonts w:hint="eastAsia" w:ascii="方正仿宋_GBK" w:hAnsi="方正仿宋_GBK" w:eastAsia="方正仿宋_GBK" w:cs="方正仿宋_GBK"/>
          <w:color w:val="auto"/>
          <w:sz w:val="32"/>
          <w:szCs w:val="32"/>
          <w:lang w:eastAsia="zh-CN"/>
        </w:rPr>
        <w:t>。坚持规划定方向，强化发展规划对公共政策制定的统领和约束作用。着力构建发展规划与财政、金融、产业、投资、消费、价格、就业、环保等政策的协调联动机制。在制定或调整涉及重大生产力布局，以及土地、人口、环境、社会管理等公共政策时，要与本规划进行衔接，确保战略意图一致。坚持“要素跟着项目走、项目跟着规划走”，健全跨部门要素统筹保障机制。对本规划确定的重大工程项目，优先保障土地、能源、资金等要素资源，合理简化审批程序，确保规划项目高效落地、顺利实施。</w:t>
      </w:r>
    </w:p>
    <w:p w14:paraId="721DEAC0">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方正仿宋_GBK" w:hAnsi="方正仿宋_GBK" w:eastAsia="方正仿宋_GBK" w:cs="方正仿宋_GBK"/>
          <w:color w:val="auto"/>
          <w:sz w:val="32"/>
          <w:szCs w:val="32"/>
          <w:lang w:eastAsia="zh-CN"/>
        </w:rPr>
      </w:pPr>
      <w:r>
        <w:rPr>
          <w:rFonts w:hint="eastAsia" w:ascii="方正楷体_GBK" w:hAnsi="方正楷体_GBK" w:eastAsia="方正楷体_GBK" w:cs="方正楷体_GBK"/>
          <w:color w:val="auto"/>
          <w:sz w:val="32"/>
          <w:szCs w:val="32"/>
          <w:lang w:eastAsia="zh-CN"/>
        </w:rPr>
        <w:t>加强规划实施评估</w:t>
      </w:r>
      <w:r>
        <w:rPr>
          <w:rFonts w:hint="eastAsia" w:ascii="方正仿宋_GBK" w:hAnsi="方正仿宋_GBK" w:eastAsia="方正仿宋_GBK" w:cs="方正仿宋_GBK"/>
          <w:color w:val="auto"/>
          <w:sz w:val="32"/>
          <w:szCs w:val="32"/>
          <w:lang w:eastAsia="zh-CN"/>
        </w:rPr>
        <w:t>。坚持在党的全面领导下，依法接受市人大及其常委会的法律监督、工作监督，自觉接受市政协的民主监督。各县区政府、各部门和单位要切实承担落实主体责任，确保规划有效执行。发展改革部门负责对规划主要指标、重点任务、重大工程项目实施情况进行动态监测。定期组织开展规划实施年度监测分析、中期评估和总结评估。将规划实施情况作为高质量发展政绩考核的重要内容。市政府依法就规划实施情况向市人大常委会报告。需对本规划进行调整时，由市政府提出调整方案，按规定程序提请市人大常委会批准。</w:t>
      </w:r>
    </w:p>
    <w:p w14:paraId="76358362">
      <w:r>
        <w:rPr>
          <w:rFonts w:hint="eastAsia" w:ascii="方正仿宋_GBK" w:hAnsi="方正仿宋_GBK" w:eastAsia="方正仿宋_GBK" w:cs="方正仿宋_GBK"/>
          <w:color w:val="auto"/>
          <w:sz w:val="32"/>
          <w:szCs w:val="32"/>
          <w:lang w:eastAsia="zh-CN"/>
        </w:rPr>
        <w:t>全面完成辽源市“十五五”规划各项目标任务，责任重大、任务艰巨、使命光荣，全市广大党员干部群众要更加紧密地团结在以习近平同志为核心的党中央周围，坚持以习近平新时代中国特色社会主义思想为指导，坚定信心、砥砺前行，锚定目标不放松，一张蓝图绘到底，为推进辽源高质量转型发展、基本实现社会主义现代化不懈奋斗。</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altName w:val="微软雅黑"/>
    <w:panose1 w:val="02000000000000000000"/>
    <w:charset w:val="86"/>
    <w:family w:val="script"/>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方正楷体_GBK">
    <w:altName w:val="微软雅黑"/>
    <w:panose1 w:val="02000000000000000000"/>
    <w:charset w:val="86"/>
    <w:family w:val="auto"/>
    <w:pitch w:val="default"/>
    <w:sig w:usb0="00000000" w:usb1="00000000" w:usb2="00000000" w:usb3="00000000" w:csb0="00040000" w:csb1="00000000"/>
  </w:font>
  <w:font w:name="方正仿宋_GBK">
    <w:altName w:val="微软雅黑"/>
    <w:panose1 w:val="02000000000000000000"/>
    <w:charset w:val="86"/>
    <w:family w:val="auto"/>
    <w:pitch w:val="default"/>
    <w:sig w:usb0="00000000" w:usb1="00000000" w:usb2="00000000" w:usb3="00000000" w:csb0="00040000" w:csb1="00000000"/>
  </w:font>
  <w:font w:name="方正黑体_GBK">
    <w:altName w:val="微软雅黑"/>
    <w:panose1 w:val="02000000000000000000"/>
    <w:charset w:val="86"/>
    <w:family w:val="auto"/>
    <w:pitch w:val="default"/>
    <w:sig w:usb0="00000000" w:usb1="00000000" w:usb2="00000000" w:usb3="00000000" w:csb0="00040000" w:csb1="00000000"/>
  </w:font>
  <w:font w:name="CESI仿宋-GB13000">
    <w:altName w:val="仿宋"/>
    <w:panose1 w:val="02000500000000000000"/>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ACF3C50" w:usb2="00000016" w:usb3="00000000" w:csb0="0004001F" w:csb1="00000000"/>
  </w:font>
  <w:font w:name="KSOFF21A05E0">
    <w:panose1 w:val="020B0503020204020204"/>
    <w:charset w:val="86"/>
    <w:family w:val="auto"/>
    <w:pitch w:val="default"/>
    <w:sig w:usb0="00000001" w:usb1="00000000" w:usb2="00000000" w:usb3="00000000" w:csb0="00040001" w:csb1="00000000"/>
  </w:font>
  <w:font w:name="KSOF8080F95D">
    <w:panose1 w:val="020B0503020204020204"/>
    <w:charset w:val="86"/>
    <w:family w:val="auto"/>
    <w:pitch w:val="default"/>
    <w:sig w:usb0="00000001" w:usb1="00000000" w:usb2="00000000" w:usb3="00000000" w:csb0="00040001" w:csb1="00000000"/>
  </w:font>
  <w:font w:name="KSOFEC83043A">
    <w:panose1 w:val="020B0503020204020204"/>
    <w:charset w:val="86"/>
    <w:family w:val="auto"/>
    <w:pitch w:val="default"/>
    <w:sig w:usb0="00000001" w:usb1="00000000" w:usb2="00000000" w:usb3="00000000" w:csb0="00040001" w:csb1="00000000"/>
  </w:font>
  <w:font w:name="KSOFD8A28030">
    <w:panose1 w:val="020B0503020204020204"/>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213A95">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939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939800" cy="1828800"/>
                      </a:xfrm>
                      <a:prstGeom prst="rect">
                        <a:avLst/>
                      </a:prstGeom>
                      <a:noFill/>
                      <a:ln w="6350">
                        <a:noFill/>
                      </a:ln>
                      <a:effectLst/>
                    </wps:spPr>
                    <wps:txbx>
                      <w:txbxContent>
                        <w:p w14:paraId="58202553">
                          <w:pPr>
                            <w:pStyle w:val="5"/>
                            <w:jc w:val="center"/>
                          </w:pPr>
                          <w:r>
                            <w:rPr>
                              <w:rFonts w:hint="eastAsia"/>
                              <w:sz w:val="28"/>
                              <w:szCs w:val="28"/>
                              <w:lang w:eastAsia="zh-CN"/>
                            </w:rPr>
                            <w:t>—</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rFonts w:hint="eastAsia"/>
                              <w:sz w:val="28"/>
                              <w:szCs w:val="28"/>
                              <w:lang w:eastAsia="zh-CN"/>
                            </w:rPr>
                            <w:t>—</w:t>
                          </w:r>
                        </w:p>
                      </w:txbxContent>
                    </wps:txbx>
                    <wps:bodyPr rot="0" spcFirstLastPara="0" vertOverflow="overflow" horzOverflow="overflow" vert="horz" wrap="squar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74pt;mso-position-horizontal:outside;mso-position-horizontal-relative:margin;z-index:251659264;mso-width-relative:page;mso-height-relative:page;" filled="f" stroked="f" coordsize="21600,21600" o:gfxdata="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F21YbHSAAAABQEAAA8AAAAAAAAAAQAgAAAAIgAAAGRycy9kb3du&#10;cmV2LnhtbFBLAQIUABQAAAAIAIdO4kA+csYKPgIAAHAEAAAOAAAAAAAAAAEAIAAAACEBAABkcnMv&#10;ZTJvRG9jLnhtbFBLBQYAAAAABgAGAFkBAADRBQAAAAA=&#10;">
              <v:path/>
              <v:fill on="f" focussize="0,0"/>
              <v:stroke on="f" weight="0.5pt"/>
              <v:imagedata o:title=""/>
              <o:lock v:ext="edit" aspectratio="f"/>
              <v:textbox inset="0mm,0mm,0mm,0mm" style="mso-fit-shape-to-text:t;">
                <w:txbxContent>
                  <w:p w14:paraId="58202553">
                    <w:pPr>
                      <w:pStyle w:val="5"/>
                      <w:jc w:val="center"/>
                    </w:pPr>
                    <w:r>
                      <w:rPr>
                        <w:rFonts w:hint="eastAsia"/>
                        <w:sz w:val="28"/>
                        <w:szCs w:val="28"/>
                        <w:lang w:eastAsia="zh-CN"/>
                      </w:rPr>
                      <w:t>—</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rFonts w:hint="eastAsia"/>
                        <w:sz w:val="28"/>
                        <w:szCs w:val="28"/>
                        <w:lang w:eastAsia="zh-CN"/>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D003D5">
    <w:pPr>
      <w:pStyle w:val="5"/>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939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939800" cy="1828800"/>
                      </a:xfrm>
                      <a:prstGeom prst="rect">
                        <a:avLst/>
                      </a:prstGeom>
                      <a:noFill/>
                      <a:ln w="6350">
                        <a:noFill/>
                      </a:ln>
                      <a:effectLst/>
                    </wps:spPr>
                    <wps:txbx>
                      <w:txbxContent>
                        <w:p w14:paraId="4A6582B1">
                          <w:pPr>
                            <w:pStyle w:val="5"/>
                            <w:jc w:val="center"/>
                          </w:pPr>
                          <w:r>
                            <w:rPr>
                              <w:rFonts w:hint="eastAsia"/>
                              <w:sz w:val="28"/>
                              <w:szCs w:val="28"/>
                              <w:lang w:eastAsia="zh-CN"/>
                            </w:rPr>
                            <w:t>—</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rFonts w:hint="eastAsia"/>
                              <w:sz w:val="28"/>
                              <w:szCs w:val="28"/>
                              <w:lang w:eastAsia="zh-CN"/>
                            </w:rPr>
                            <w:t>—</w:t>
                          </w:r>
                        </w:p>
                      </w:txbxContent>
                    </wps:txbx>
                    <wps:bodyPr rot="0" spcFirstLastPara="0" vertOverflow="overflow" horzOverflow="overflow" vert="horz" wrap="squar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74pt;mso-position-horizontal:outside;mso-position-horizontal-relative:margin;z-index:251660288;mso-width-relative:page;mso-height-relative:page;" filled="f" stroked="f" coordsize="21600,21600" o:gfxdata="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BdtWGx0gAAAAUBAAAPAAAAAAAAAAEAIAAAACIAAABkcnMvZG93&#10;bnJldi54bWxQSwECFAAUAAAACACHTuJAPSJb2T8CAABwBAAADgAAAAAAAAABACAAAAAhAQAAZHJz&#10;L2Uyb0RvYy54bWxQSwUGAAAAAAYABgBZAQAA0gUAAAAA&#10;">
              <v:path/>
              <v:fill on="f" focussize="0,0"/>
              <v:stroke on="f" weight="0.5pt"/>
              <v:imagedata o:title=""/>
              <o:lock v:ext="edit" aspectratio="f"/>
              <v:textbox inset="0mm,0mm,0mm,0mm" style="mso-fit-shape-to-text:t;">
                <w:txbxContent>
                  <w:p w14:paraId="4A6582B1">
                    <w:pPr>
                      <w:pStyle w:val="5"/>
                      <w:jc w:val="center"/>
                    </w:pPr>
                    <w:r>
                      <w:rPr>
                        <w:rFonts w:hint="eastAsia"/>
                        <w:sz w:val="28"/>
                        <w:szCs w:val="28"/>
                        <w:lang w:eastAsia="zh-CN"/>
                      </w:rPr>
                      <w:t>—</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rFonts w:hint="eastAsia"/>
                        <w:sz w:val="28"/>
                        <w:szCs w:val="28"/>
                        <w:lang w:eastAsia="zh-CN"/>
                      </w:rPr>
                      <w:t>—</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16E62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8">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customStyle="1" w:styleId="2">
    <w:name w:val="Body Text 21"/>
    <w:basedOn w:val="1"/>
    <w:qFormat/>
    <w:uiPriority w:val="0"/>
    <w:pPr>
      <w:spacing w:after="120" w:afterLines="0" w:line="480" w:lineRule="auto"/>
      <w:ind w:firstLine="0" w:firstLineChars="0"/>
    </w:pPr>
    <w:rPr>
      <w:rFonts w:ascii="Times New Roman" w:hAnsi="Times New Roman" w:eastAsia="宋体" w:cs="Times New Roman"/>
      <w:sz w:val="21"/>
    </w:rPr>
  </w:style>
  <w:style w:type="paragraph" w:styleId="3">
    <w:name w:val="Normal Indent"/>
    <w:basedOn w:val="1"/>
    <w:unhideWhenUsed/>
    <w:qFormat/>
    <w:uiPriority w:val="99"/>
    <w:pPr>
      <w:ind w:firstLine="420" w:firstLineChars="200"/>
    </w:pPr>
    <w:rPr>
      <w:rFonts w:eastAsia="仿宋"/>
      <w:sz w:val="32"/>
    </w:rPr>
  </w:style>
  <w:style w:type="paragraph" w:styleId="4">
    <w:name w:val="Body Text Indent"/>
    <w:basedOn w:val="1"/>
    <w:next w:val="3"/>
    <w:unhideWhenUsed/>
    <w:qFormat/>
    <w:uiPriority w:val="99"/>
    <w:pPr>
      <w:widowControl/>
      <w:autoSpaceDE w:val="0"/>
      <w:autoSpaceDN w:val="0"/>
      <w:adjustRightInd w:val="0"/>
      <w:spacing w:after="100" w:afterLines="0" w:line="600" w:lineRule="exact"/>
      <w:ind w:right="91" w:firstLine="635"/>
      <w:jc w:val="left"/>
    </w:pPr>
    <w:rPr>
      <w:rFonts w:ascii="仿宋_GB2312" w:eastAsia="仿宋_GB2312"/>
      <w:color w:val="000000"/>
      <w:sz w:val="32"/>
      <w:szCs w:val="32"/>
      <w:lang w:val="zh-CN"/>
    </w:rPr>
  </w:style>
  <w:style w:type="paragraph" w:styleId="5">
    <w:name w:val="footer"/>
    <w:basedOn w:val="1"/>
    <w:next w:val="1"/>
    <w:uiPriority w:val="0"/>
    <w:pPr>
      <w:tabs>
        <w:tab w:val="center" w:pos="4153"/>
        <w:tab w:val="right" w:pos="8306"/>
      </w:tabs>
      <w:snapToGrid w:val="0"/>
      <w:jc w:val="left"/>
    </w:pPr>
    <w:rPr>
      <w:sz w:val="18"/>
    </w:rPr>
  </w:style>
  <w:style w:type="table" w:styleId="7">
    <w:name w:val="Table Grid"/>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107</Pages>
  <Words>0</Words>
  <Characters>0</Characters>
  <Lines>0</Lines>
  <Paragraphs>0</Paragraphs>
  <TotalTime>0</TotalTime>
  <ScaleCrop>false</ScaleCrop>
  <LinksUpToDate>false</LinksUpToDate>
  <CharactersWithSpaces>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2026-07-13T02:52:56Z</dcterms:created>
  <dc:creator>Administrator</dc:creator>
  <cp:lastModifiedBy>桐桐</cp:lastModifiedBy>
  <dcterms:modified xsi:type="dcterms:W3CDTF">2026-07-13T02:53:22Z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eyJoZGlkIjoiMWI1NjQ1NzBhZGM2ODYyOGNhOWE5ZDg2NjBhZWMzYjIiLCJ1c2VySWQiOiIzMzk5NDYyMzAifQ==</vt:lpwstr>
  </property>
  <property fmtid="{D5CDD505-2E9C-101B-9397-08002B2CF9AE}" pid="4" name="ICV">
    <vt:lpwstr>732797DE410A49DD83C13A81298ECCC4_12</vt:lpwstr>
  </property>
</Properties>
</file>