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5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textAlignment w:val="auto"/>
        <w:rPr>
          <w:rFonts w:ascii="黑体" w:eastAsia="黑体" w:hAnsi="黑体" w:cs="黑体" w:hint="eastAsia"/>
          <w:color w:val="auto"/>
          <w:sz w:val="32"/>
          <w:szCs w:val="32"/>
          <w:lang w:val="en-US" w:eastAsia="zh-CN"/>
        </w:rPr>
      </w:pPr>
      <w:r>
        <w:rPr>
          <w:rFonts w:ascii="黑体" w:eastAsia="黑体" w:hAnsi="黑体" w:cs="黑体" w:hint="eastAsia"/>
          <w:color w:val="auto"/>
          <w:sz w:val="32"/>
          <w:szCs w:val="32"/>
        </w:rPr>
        <w:t>附件</w:t>
      </w:r>
      <w:r>
        <w:rPr>
          <w:rFonts w:ascii="黑体" w:eastAsia="黑体" w:hAnsi="黑体" w:cs="黑体" w:hint="eastAsia"/>
          <w:color w:val="auto"/>
          <w:sz w:val="32"/>
          <w:szCs w:val="32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textAlignment w:val="auto"/>
        <w:rPr>
          <w:rFonts w:ascii="Times New Roman" w:eastAsia="黑体" w:hAnsi="Times New Roman" w:cs="黑体" w:hint="eastAsia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textAlignment w:val="auto"/>
        <w:rPr>
          <w:rFonts w:ascii="Times New Roman" w:eastAsia="黑体" w:hAnsi="Times New Roman" w:cs="黑体" w:hint="eastAsia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textAlignment w:val="auto"/>
        <w:rPr>
          <w:rFonts w:ascii="Times New Roman" w:eastAsia="黑体" w:hAnsi="Times New Roman" w:cs="黑体" w:hint="eastAsia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center"/>
        <w:textAlignment w:val="auto"/>
        <w:outlineLvl w:val="0"/>
        <w:rPr>
          <w:rFonts w:ascii="Times New Roman" w:eastAsia="方正小标宋简体" w:hAnsi="Times New Roman" w:cs="方正小标宋简体" w:hint="eastAsia"/>
          <w:color w:val="auto"/>
          <w:sz w:val="52"/>
          <w:szCs w:val="52"/>
          <w:lang w:val="en-US" w:eastAsia="zh-CN"/>
        </w:rPr>
      </w:pPr>
      <w:r>
        <w:rPr>
          <w:rFonts w:ascii="Times New Roman" w:eastAsia="方正小标宋简体" w:hAnsi="Times New Roman" w:cs="方正小标宋简体" w:hint="eastAsia"/>
          <w:color w:val="auto"/>
          <w:sz w:val="52"/>
          <w:szCs w:val="52"/>
          <w:lang w:eastAsia="zh-CN"/>
        </w:rPr>
        <w:t>广西壮族自治区</w:t>
      </w:r>
      <w:r>
        <w:rPr>
          <w:rFonts w:ascii="Times New Roman" w:eastAsia="方正小标宋简体" w:hAnsi="Times New Roman" w:cs="方正小标宋简体" w:hint="eastAsia"/>
          <w:color w:val="auto"/>
          <w:sz w:val="52"/>
          <w:szCs w:val="52"/>
        </w:rPr>
        <w:t>制造业创新中心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center"/>
        <w:textAlignment w:val="auto"/>
        <w:outlineLvl w:val="0"/>
        <w:rPr>
          <w:rFonts w:ascii="Times New Roman" w:eastAsia="方正小标宋简体" w:hAnsi="Times New Roman" w:cs="方正小标宋简体"/>
          <w:b/>
          <w:bCs/>
          <w:color w:val="auto"/>
          <w:sz w:val="52"/>
          <w:szCs w:val="52"/>
        </w:rPr>
      </w:pPr>
      <w:r>
        <w:rPr>
          <w:rFonts w:ascii="Times New Roman" w:eastAsia="方正小标宋简体" w:hAnsi="Times New Roman" w:cs="方正小标宋简体" w:hint="eastAsia"/>
          <w:color w:val="auto"/>
          <w:sz w:val="52"/>
          <w:szCs w:val="52"/>
        </w:rPr>
        <w:t>培育任务书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center"/>
        <w:textAlignment w:val="auto"/>
        <w:rPr>
          <w:rFonts w:ascii="Times New Roman" w:hAnsi="Times New Roman"/>
          <w:b/>
          <w:bCs/>
          <w:color w:val="auto"/>
          <w:sz w:val="24"/>
        </w:rPr>
      </w:pPr>
    </w:p>
    <w:p>
      <w:pPr>
        <w:pStyle w:val="BodyText"/>
        <w:rPr>
          <w:rFonts w:ascii="Times New Roman" w:hAnsi="Times New Roman"/>
          <w:b/>
          <w:bCs/>
          <w:color w:val="auto"/>
          <w:sz w:val="24"/>
        </w:rPr>
      </w:pPr>
    </w:p>
    <w:p>
      <w:pPr>
        <w:pStyle w:val="BodyText"/>
        <w:rPr>
          <w:rFonts w:ascii="Times New Roman" w:hAnsi="Times New Roman"/>
          <w:b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both"/>
        <w:textAlignment w:val="auto"/>
        <w:rPr>
          <w:rFonts w:ascii="Times New Roman" w:hAnsi="Times New Roman"/>
          <w:b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jc w:val="center"/>
        <w:textAlignment w:val="auto"/>
        <w:rPr>
          <w:rFonts w:ascii="Times New Roman" w:hAnsi="Times New Roman"/>
          <w:b/>
          <w:bCs/>
          <w:color w:val="auto"/>
          <w:sz w:val="24"/>
        </w:rPr>
      </w:pPr>
    </w:p>
    <w:tbl>
      <w:tblPr>
        <w:tblStyle w:val="TableNormal"/>
        <w:tblW w:w="85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740"/>
        <w:gridCol w:w="5823"/>
      </w:tblGrid>
      <w:tr>
        <w:tblPrEx>
          <w:tblW w:w="856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  <w:jc w:val="center"/>
        </w:trPr>
        <w:tc>
          <w:tcPr>
            <w:tcW w:w="2740" w:type="dxa"/>
            <w:tcBorders>
              <w:tl2br w:val="nil"/>
              <w:tr2bl w:val="nil"/>
            </w:tcBorders>
            <w:tcFitText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22"/>
                <w:w w:val="100"/>
                <w:sz w:val="32"/>
                <w:szCs w:val="32"/>
                <w:lang w:eastAsia="zh-CN"/>
              </w:rPr>
              <w:t>创新中心名称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823" w:type="dxa"/>
            <w:tcBorders>
              <w:bottom w:val="single" w:sz="4" w:space="0" w:color="000000"/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color w:val="auto"/>
                <w:sz w:val="32"/>
                <w:szCs w:val="32"/>
                <w:u w:val="single"/>
              </w:rPr>
            </w:pPr>
          </w:p>
        </w:tc>
      </w:tr>
      <w:tr>
        <w:tblPrEx>
          <w:tblW w:w="856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  <w:jc w:val="center"/>
        </w:trPr>
        <w:tc>
          <w:tcPr>
            <w:tcW w:w="2740" w:type="dxa"/>
            <w:tcBorders>
              <w:tl2br w:val="nil"/>
              <w:tr2bl w:val="nil"/>
            </w:tcBorders>
            <w:tcFitText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114"/>
                <w:w w:val="100"/>
                <w:sz w:val="32"/>
                <w:szCs w:val="32"/>
                <w:lang w:eastAsia="zh-CN"/>
              </w:rPr>
              <w:t>所属领域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823" w:type="dxa"/>
            <w:tcBorders>
              <w:top w:val="single" w:sz="4" w:space="0" w:color="000000"/>
              <w:bottom w:val="single" w:sz="4" w:space="0" w:color="000000"/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color w:val="auto"/>
                <w:sz w:val="32"/>
                <w:szCs w:val="32"/>
              </w:rPr>
            </w:pPr>
          </w:p>
        </w:tc>
      </w:tr>
      <w:tr>
        <w:tblPrEx>
          <w:tblW w:w="856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  <w:jc w:val="center"/>
        </w:trPr>
        <w:tc>
          <w:tcPr>
            <w:tcW w:w="2740" w:type="dxa"/>
            <w:tcBorders>
              <w:tl2br w:val="nil"/>
              <w:tr2bl w:val="nil"/>
            </w:tcBorders>
            <w:tcFitText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1"/>
                <w:w w:val="92"/>
                <w:sz w:val="32"/>
                <w:szCs w:val="32"/>
                <w:lang w:eastAsia="zh-CN"/>
              </w:rPr>
              <w:t>牵头单位（盖章）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92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823" w:type="dxa"/>
            <w:tcBorders>
              <w:top w:val="single" w:sz="4" w:space="0" w:color="000000"/>
              <w:bottom w:val="single" w:sz="4" w:space="0" w:color="000000"/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color w:val="auto"/>
                <w:sz w:val="32"/>
                <w:szCs w:val="32"/>
              </w:rPr>
            </w:pPr>
          </w:p>
        </w:tc>
      </w:tr>
      <w:tr>
        <w:tblPrEx>
          <w:tblW w:w="856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  <w:jc w:val="center"/>
        </w:trPr>
        <w:tc>
          <w:tcPr>
            <w:tcW w:w="2740" w:type="dxa"/>
            <w:tcBorders>
              <w:tl2br w:val="nil"/>
              <w:tr2bl w:val="nil"/>
            </w:tcBorders>
            <w:tcFitText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87"/>
                <w:sz w:val="32"/>
                <w:szCs w:val="32"/>
                <w:lang w:val="en-US" w:eastAsia="zh-CN"/>
              </w:rPr>
              <w:t>负责人及联系方式：</w:t>
            </w:r>
          </w:p>
        </w:tc>
        <w:tc>
          <w:tcPr>
            <w:tcW w:w="5823" w:type="dxa"/>
            <w:tcBorders>
              <w:top w:val="single" w:sz="4" w:space="0" w:color="000000"/>
              <w:bottom w:val="single" w:sz="4" w:space="0" w:color="000000"/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color w:val="auto"/>
                <w:sz w:val="32"/>
                <w:szCs w:val="32"/>
              </w:rPr>
            </w:pPr>
          </w:p>
        </w:tc>
      </w:tr>
      <w:tr>
        <w:tblPrEx>
          <w:tblW w:w="8563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  <w:jc w:val="center"/>
        </w:trPr>
        <w:tc>
          <w:tcPr>
            <w:tcW w:w="2740" w:type="dxa"/>
            <w:tcBorders>
              <w:tl2br w:val="nil"/>
              <w:tr2bl w:val="nil"/>
            </w:tcBorders>
            <w:tcFitText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114"/>
                <w:w w:val="100"/>
                <w:sz w:val="32"/>
                <w:szCs w:val="32"/>
                <w:lang w:eastAsia="zh-CN"/>
              </w:rPr>
              <w:t>培育期限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pacing w:val="0"/>
                <w:w w:val="100"/>
                <w:sz w:val="32"/>
                <w:szCs w:val="32"/>
                <w:lang w:eastAsia="zh-CN"/>
              </w:rPr>
              <w:t>：</w:t>
            </w:r>
          </w:p>
        </w:tc>
        <w:tc>
          <w:tcPr>
            <w:tcW w:w="5823" w:type="dxa"/>
            <w:tcBorders>
              <w:top w:val="single" w:sz="4" w:space="0" w:color="000000"/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480" w:lineRule="exact"/>
              <w:textAlignment w:val="auto"/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eastAsia="zh-CN"/>
              </w:rPr>
              <w:t>自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20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月起至20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月止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eastAsia="黑体" w:hAnsi="Times New Roman"/>
          <w:color w:val="auto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eastAsia="黑体" w:hAnsi="Times New Roman"/>
          <w:color w:val="auto"/>
          <w:sz w:val="30"/>
          <w:szCs w:val="30"/>
        </w:rPr>
      </w:pP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textAlignment w:val="auto"/>
      </w:pP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" w:firstLineChars="192"/>
        <w:textAlignment w:val="auto"/>
        <w:rPr>
          <w:rFonts w:ascii="Times New Roman" w:eastAsia="黑体" w:hAnsi="Times New Roman"/>
          <w:color w:val="auto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ascii="Times New Roman" w:eastAsia="仿宋_GB2312" w:hAnsi="Times New Roman" w:cs="仿宋_GB2312" w:hint="eastAsia"/>
          <w:b/>
          <w:color w:val="auto"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color w:val="auto"/>
          <w:sz w:val="32"/>
          <w:szCs w:val="32"/>
          <w:lang w:eastAsia="zh-CN"/>
        </w:rPr>
        <w:t>广西壮族自治区</w:t>
      </w:r>
      <w:r>
        <w:rPr>
          <w:rFonts w:ascii="Times New Roman" w:eastAsia="仿宋_GB2312" w:hAnsi="Times New Roman" w:cs="仿宋_GB2312" w:hint="eastAsia"/>
          <w:b/>
          <w:color w:val="auto"/>
          <w:sz w:val="32"/>
          <w:szCs w:val="32"/>
        </w:rPr>
        <w:t>工业和信息化厅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outlineLvl w:val="0"/>
        <w:rPr>
          <w:rFonts w:ascii="Times New Roman" w:eastAsia="方正黑体_GBK" w:hAnsi="Times New Roman"/>
          <w:b/>
          <w:color w:val="auto"/>
          <w:sz w:val="32"/>
          <w:szCs w:val="32"/>
        </w:rPr>
      </w:pPr>
      <w:r>
        <w:rPr>
          <w:rFonts w:ascii="Times New Roman" w:eastAsia="仿宋_GB2312" w:hAnsi="Times New Roman" w:cs="仿宋_GB2312" w:hint="eastAsia"/>
          <w:b/>
          <w:color w:val="auto"/>
          <w:sz w:val="32"/>
          <w:szCs w:val="32"/>
        </w:rPr>
        <w:t>二〇二</w:t>
      </w:r>
      <w:r>
        <w:rPr>
          <w:rFonts w:ascii="Times New Roman" w:eastAsia="仿宋_GB2312" w:hAnsi="Times New Roman" w:cs="仿宋_GB2312" w:hint="eastAsia"/>
          <w:b/>
          <w:color w:val="auto"/>
          <w:sz w:val="32"/>
          <w:szCs w:val="32"/>
          <w:lang w:eastAsia="zh-CN"/>
        </w:rPr>
        <w:t>六</w:t>
      </w:r>
      <w:r>
        <w:rPr>
          <w:rFonts w:ascii="Times New Roman" w:eastAsia="仿宋_GB2312" w:hAnsi="Times New Roman" w:cs="仿宋_GB2312" w:hint="eastAsia"/>
          <w:b/>
          <w:color w:val="auto"/>
          <w:sz w:val="32"/>
          <w:szCs w:val="32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560" w:firstLineChars="200"/>
        <w:textAlignment w:val="auto"/>
        <w:rPr>
          <w:rFonts w:ascii="Times New Roman" w:eastAsia="仿宋" w:hAnsi="Times New Roman"/>
          <w:color w:val="auto"/>
          <w:sz w:val="28"/>
          <w:szCs w:val="28"/>
        </w:rPr>
        <w:sectPr>
          <w:headerReference w:type="even" r:id="rId4"/>
          <w:headerReference w:type="default" r:id="rId5"/>
          <w:footerReference w:type="even" r:id="rId6"/>
          <w:type w:val="nextPage"/>
          <w:pgSz w:w="11906" w:h="16838"/>
          <w:pgMar w:top="2098" w:right="1474" w:bottom="1984" w:left="1587" w:header="964" w:footer="964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2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240" w:lineRule="auto"/>
        <w:ind w:left="0" w:right="0" w:firstLine="0" w:leftChars="0" w:rightChars="0" w:firstLineChars="0"/>
        <w:jc w:val="center"/>
        <w:textAlignment w:val="auto"/>
        <w:outlineLvl w:val="0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填写说明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leftChars="0" w:rightChars="0" w:firstLineChars="200"/>
        <w:jc w:val="both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  <w:t>1.填报前，请认真阅读本说明，并按照有关要求如实、完整填写相关信息。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leftChars="0" w:rightChars="0" w:firstLineChars="200"/>
        <w:jc w:val="both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  <w:t>2.本《培育任务书》是自治区工业和信息化厅根据《广西壮族自治区制造业创新中心建设方案》等相关要求对列入培育名单的单位开展培育期管理的重要依据。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leftChars="0" w:rightChars="0" w:firstLineChars="200"/>
        <w:jc w:val="both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  <w:t>3.所属行业领域请按照有色金属及关键金属材料、先进钢铁材料、现代绿色化工、人工智能及新一代信息技术、机械及高端装备制造、新能源汽车及电池、食品加工、林产加工及纸业、生物医药及健康、绿色建材等制造业十大现代化支柱产业，以及具身智能、低空经济、生物制造、氢能、商业航天等新兴产业和未来产业进行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leftChars="0" w:rightChars="0" w:firstLineChars="200"/>
        <w:jc w:val="both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val="en-US" w:eastAsia="zh-CN"/>
        </w:rPr>
        <w:t>4.可根据填写内容对字体字号、表格行高及表格内容进行适当调整，但不得调整表格宽度，不得改变表格原有样式。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黑体" w:hAnsi="Times New Roman" w:cs="黑体" w:hint="eastAsia"/>
          <w:sz w:val="32"/>
          <w:szCs w:val="32"/>
          <w:lang w:eastAsia="zh-CN"/>
        </w:rPr>
        <w:sectPr>
          <w:footerReference w:type="even" r:id="rId7"/>
          <w:footerReference w:type="default" r:id="rId8"/>
          <w:pgSz w:w="11906" w:h="16838"/>
          <w:pgMar w:top="1417" w:right="1587" w:bottom="1417" w:left="1701" w:header="851" w:footer="1417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/>
          <w:cols w:space="720"/>
          <w:rtlGutter w:val="0"/>
          <w:docGrid w:type="linesAndChars" w:linePitch="636" w:charSpace="-2502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Times New Roman" w:hint="eastAsia"/>
          <w:kern w:val="2"/>
          <w:sz w:val="32"/>
          <w:szCs w:val="32"/>
          <w:lang w:val="en-US" w:eastAsia="zh-CN" w:bidi="ar"/>
        </w:rPr>
        <w:t>根据《广西壮族自治区制造业创新中心建设方案》等相关要求，为加快推进广西壮族自治区制造业创新中心（以下简称创新中心）培育建设，明确培育期内建设任务、目标要求和考核内容，规范创新中心建设运行管理，特签订本培育任务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一、基本信息</w:t>
      </w:r>
    </w:p>
    <w:tbl>
      <w:tblPr>
        <w:tblStyle w:val="TableNormal"/>
        <w:tblW w:w="4997" w:type="pct"/>
        <w:jc w:val="center"/>
        <w:tblInd w:w="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61"/>
        <w:gridCol w:w="498"/>
        <w:gridCol w:w="650"/>
        <w:gridCol w:w="795"/>
        <w:gridCol w:w="214"/>
        <w:gridCol w:w="1097"/>
        <w:gridCol w:w="1051"/>
        <w:gridCol w:w="436"/>
        <w:gridCol w:w="984"/>
        <w:gridCol w:w="1143"/>
      </w:tblGrid>
      <w:tr>
        <w:tblPrEx>
          <w:tblW w:w="4997" w:type="pct"/>
          <w:jc w:val="center"/>
          <w:tblInd w:w="3" w:type="dxa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创新中心名称</w:t>
            </w:r>
          </w:p>
        </w:tc>
        <w:tc>
          <w:tcPr>
            <w:tcW w:w="3888" w:type="pct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default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广西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XXXX创新中心</w:t>
            </w: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所属行业领域</w:t>
            </w:r>
          </w:p>
        </w:tc>
        <w:tc>
          <w:tcPr>
            <w:tcW w:w="3888" w:type="pct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default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3888" w:type="pct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成员单位数量</w:t>
            </w:r>
          </w:p>
        </w:tc>
        <w:tc>
          <w:tcPr>
            <w:tcW w:w="650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企业</w:t>
            </w:r>
          </w:p>
        </w:tc>
        <w:tc>
          <w:tcPr>
            <w:tcW w:w="571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62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高校</w:t>
            </w:r>
          </w:p>
        </w:tc>
        <w:tc>
          <w:tcPr>
            <w:tcW w:w="59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04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科研院所</w:t>
            </w:r>
          </w:p>
        </w:tc>
        <w:tc>
          <w:tcPr>
            <w:tcW w:w="64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成员单位名称</w:t>
            </w:r>
          </w:p>
        </w:tc>
        <w:tc>
          <w:tcPr>
            <w:tcW w:w="2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818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牵头单位</w:t>
            </w: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818" w:type="pct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参与</w:t>
            </w: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单位</w:t>
            </w: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818" w:type="pct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818" w:type="pct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8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…</w:t>
            </w:r>
          </w:p>
        </w:tc>
        <w:tc>
          <w:tcPr>
            <w:tcW w:w="818" w:type="pct"/>
            <w:gridSpan w:val="2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中心牵头单位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7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1203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中心研发团队负责人</w:t>
            </w: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7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1203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中心日常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工作联系人</w:t>
            </w: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7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42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联系方式</w:t>
            </w:r>
          </w:p>
        </w:tc>
        <w:tc>
          <w:tcPr>
            <w:tcW w:w="1203" w:type="pct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54"/>
          <w:jc w:val="center"/>
        </w:trPr>
        <w:tc>
          <w:tcPr>
            <w:tcW w:w="1111" w:type="pct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100" w:type="pct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2787" w:type="pct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W w:w="4997" w:type="pct"/>
          <w:jc w:val="center"/>
          <w:tblInd w:w="3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80"/>
          <w:jc w:val="center"/>
        </w:trPr>
        <w:tc>
          <w:tcPr>
            <w:tcW w:w="111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培育期限</w:t>
            </w:r>
          </w:p>
        </w:tc>
        <w:tc>
          <w:tcPr>
            <w:tcW w:w="3888" w:type="pct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eastAsia="zh-CN"/>
              </w:rPr>
              <w:t>自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20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月起至20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年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eastAsia="仿宋_GB2312" w:hAnsi="Times New Roman" w:cs="仿宋_GB2312" w:hint="eastAsia"/>
                <w:snapToGrid w:val="0"/>
                <w:color w:val="auto"/>
                <w:kern w:val="0"/>
                <w:sz w:val="28"/>
                <w:szCs w:val="28"/>
                <w:lang w:val="en-US" w:eastAsia="zh-CN"/>
              </w:rPr>
              <w:t>月止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二、任务目标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任务目标应结合培育期安排，按年度分解细化填写。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8834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val="en-US" w:eastAsia="zh-CN"/>
              </w:rPr>
            </w:pPr>
            <w:r>
              <w:rPr>
                <w:rFonts w:ascii="Times New Roman" w:eastAsia="楷体_GB2312" w:hAnsi="Times New Roman" w:cs="楷体_GB2312" w:hint="eastAsia"/>
                <w:lang w:val="en-US" w:eastAsia="zh-CN"/>
              </w:rPr>
              <w:t>（一）创新中心组织机构建设目标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  <w:r>
              <w:rPr>
                <w:rFonts w:ascii="Times New Roman" w:hAnsi="Times New Roman" w:hint="eastAsia"/>
                <w:lang w:val="en-US" w:eastAsia="zh-CN"/>
              </w:rPr>
              <w:t>主要包括创新中心组织架构设置、牵头单位和成员单位组成情况及职责分工、产业联盟构建及运行情况、议事决策机制、专家咨询机制、协同攻关机制，以及知识产权、财务管理、成果转化、开放共享、绩效评估等内部管理制度建设目标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val="en-US" w:eastAsia="zh-CN"/>
              </w:rPr>
            </w:pPr>
            <w:r>
              <w:rPr>
                <w:rFonts w:ascii="Times New Roman" w:eastAsia="楷体_GB2312" w:hAnsi="Times New Roman" w:cs="楷体_GB2312" w:hint="eastAsia"/>
                <w:lang w:val="en-US" w:eastAsia="zh-CN"/>
              </w:rPr>
              <w:t>（二）创新中心发展规划目标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  <w:r>
              <w:rPr>
                <w:rFonts w:ascii="Times New Roman" w:hAnsi="Times New Roman" w:hint="eastAsia"/>
                <w:lang w:val="en-US" w:eastAsia="zh-CN"/>
              </w:rPr>
              <w:t>主要包括创新中心发展定位、功能定位、主攻方向、培育期建设目标，以及近期、中期、长期发展安排等内容。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val="en-US"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eastAsia="zh-CN"/>
              </w:rPr>
            </w:pPr>
            <w:r>
              <w:rPr>
                <w:rFonts w:ascii="Times New Roman" w:eastAsia="楷体_GB2312" w:hAnsi="Times New Roman" w:cs="楷体_GB2312" w:hint="eastAsia"/>
                <w:lang w:eastAsia="zh-CN"/>
              </w:rPr>
              <w:t>（三）创新中心基础设施设备建设目标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hAnsi="Times New Roman" w:hint="eastAsia"/>
                <w:lang w:eastAsia="zh-CN"/>
              </w:rPr>
              <w:t>主要包括创新中心场地建设、研发设备配置、中试验证条件、检验检测能力、信息化平台建设及其他创新基础条件建设目标。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firstLine="560" w:leftChars="0" w:firstLineChars="20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rPr>
          <w:trHeight w:val="455"/>
        </w:trPr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eastAsia="zh-CN"/>
              </w:rPr>
            </w:pPr>
            <w:r>
              <w:rPr>
                <w:rFonts w:ascii="Times New Roman" w:eastAsia="楷体_GB2312" w:hAnsi="Times New Roman" w:cs="楷体_GB2312" w:hint="eastAsia"/>
                <w:lang w:eastAsia="zh-CN"/>
              </w:rPr>
              <w:t>（四）创新中心行业共性技术研发目标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hAnsi="Times New Roman" w:hint="eastAsia"/>
                <w:lang w:eastAsia="zh-CN"/>
              </w:rPr>
              <w:t>主要包括本领域关键共性技术、前沿引领技术研发目标，核心知识产权布局目标，重大科研项目实施目标，以及新技术、新工艺、新产品研发和成果转化应用目标等内容。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eastAsia="zh-CN"/>
              </w:rPr>
            </w:pPr>
            <w:r>
              <w:rPr>
                <w:rFonts w:ascii="Times New Roman" w:eastAsia="楷体_GB2312" w:hAnsi="Times New Roman" w:cs="楷体_GB2312" w:hint="eastAsia"/>
                <w:lang w:eastAsia="zh-CN"/>
              </w:rPr>
              <w:t>（五）创新中心人才培养目标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hAnsi="Times New Roman" w:hint="eastAsia"/>
                <w:lang w:eastAsia="zh-CN"/>
              </w:rPr>
              <w:t>主要包括研发团队建设目标、高层次人才引进培养目标、技术骨干培育目标、人才梯队建设目标，以及人才培养机制建设等内容。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eastAsia="楷体_GB2312" w:hAnsi="Times New Roman" w:cs="楷体_GB2312" w:hint="eastAsia"/>
                <w:lang w:eastAsia="zh-CN"/>
              </w:rPr>
            </w:pPr>
            <w:r>
              <w:rPr>
                <w:rFonts w:ascii="Times New Roman" w:eastAsia="楷体_GB2312" w:hAnsi="Times New Roman" w:cs="楷体_GB2312" w:hint="eastAsia"/>
                <w:lang w:eastAsia="zh-CN"/>
              </w:rPr>
              <w:t>（六）创新中心对外交流合作目标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hAnsi="Times New Roman" w:hint="eastAsia"/>
                <w:lang w:eastAsia="zh-CN"/>
              </w:rPr>
              <w:t>主要包括与高校、科研院所、上下游企业开展协同创新情况，对外技术交流合作目标，标准研制合作目标，开放共享服务目标及其他合作交流目标等内容。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  <w:tr>
        <w:tblPrEx>
          <w:tblW w:w="0" w:type="auto"/>
          <w:tblCellMar>
            <w:left w:w="108" w:type="dxa"/>
            <w:right w:w="108" w:type="dxa"/>
          </w:tblCellMar>
          <w:tblLook w:val="0000"/>
        </w:tblPrEx>
        <w:tc>
          <w:tcPr>
            <w:tcW w:w="8834" w:type="dxa"/>
          </w:tcPr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eastAsia="楷体_GB2312" w:hAnsi="Times New Roman" w:cs="楷体_GB2312" w:hint="eastAsia"/>
                <w:lang w:eastAsia="zh-CN"/>
              </w:rPr>
              <w:t>（七）其他任务目标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  <w:r>
              <w:rPr>
                <w:rFonts w:ascii="Times New Roman" w:hAnsi="Times New Roman" w:hint="eastAsia"/>
                <w:lang w:eastAsia="zh-CN"/>
              </w:rPr>
              <w:t>主要包括申报书中明确提出且需在培育期内完成的其他任务目标。</w:t>
            </w: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  <w:p>
            <w:pPr>
              <w:pStyle w:val="a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textAlignment w:val="auto"/>
              <w:rPr>
                <w:rFonts w:ascii="Times New Roman" w:hAnsi="Times New Roman" w:hint="eastAsia"/>
                <w:lang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0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三、总投资情况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楷体_GB2312" w:hAnsi="Times New Roman" w:cs="楷体_GB2312" w:hint="eastAsia"/>
          <w:sz w:val="28"/>
          <w:szCs w:val="28"/>
          <w:vertAlign w:val="baseline"/>
          <w:lang w:eastAsia="zh-CN"/>
        </w:rPr>
      </w:pPr>
      <w:r>
        <w:rPr>
          <w:rFonts w:ascii="Times New Roman" w:eastAsia="楷体_GB2312" w:hAnsi="Times New Roman" w:cs="楷体_GB2312" w:hint="eastAsia"/>
          <w:sz w:val="32"/>
          <w:szCs w:val="32"/>
          <w:vertAlign w:val="baseline"/>
          <w:lang w:eastAsia="zh-CN"/>
        </w:rPr>
        <w:t>（一）建设总投资及资金来源情况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根据《广西壮族自治区制造业创新中心建设方案》要求，创新中心建设总投资主要包括固定资产投资、配套软件投入等。请牵头单位结合创新中心建设实际，据实填报建设总投资规模及资金来源情况。</w:t>
      </w:r>
    </w:p>
    <w:tbl>
      <w:tblPr>
        <w:tblStyle w:val="TableGrid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2192"/>
        <w:gridCol w:w="2452"/>
        <w:gridCol w:w="1627"/>
        <w:gridCol w:w="1627"/>
        <w:gridCol w:w="931"/>
      </w:tblGrid>
      <w:tr>
        <w:tblPrEx>
          <w:tblW w:w="4997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80"/>
        </w:trPr>
        <w:tc>
          <w:tcPr>
            <w:tcW w:w="124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投资类别</w:t>
            </w:r>
          </w:p>
        </w:tc>
        <w:tc>
          <w:tcPr>
            <w:tcW w:w="1388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主要建设内容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投资金额（万元）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资金来源</w:t>
            </w:r>
          </w:p>
        </w:tc>
        <w:tc>
          <w:tcPr>
            <w:tcW w:w="52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备注</w:t>
            </w:r>
          </w:p>
        </w:tc>
      </w:tr>
      <w:tr>
        <w:tblPrEx>
          <w:tblW w:w="4997" w:type="pct"/>
          <w:tblCellMar>
            <w:left w:w="108" w:type="dxa"/>
            <w:right w:w="108" w:type="dxa"/>
          </w:tblCellMar>
          <w:tblLook w:val="0000"/>
        </w:tblPrEx>
        <w:tc>
          <w:tcPr>
            <w:tcW w:w="124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固定资产投资</w:t>
            </w:r>
          </w:p>
        </w:tc>
        <w:tc>
          <w:tcPr>
            <w:tcW w:w="1388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both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  <w:t>研发场地、中试场地建设改造，以及仪器设备购置安装、配套基础设施建设、信息化硬件配置等。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2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7" w:type="pct"/>
          <w:tblCellMar>
            <w:left w:w="108" w:type="dxa"/>
            <w:right w:w="108" w:type="dxa"/>
          </w:tblCellMar>
          <w:tblLook w:val="0000"/>
        </w:tblPrEx>
        <w:tc>
          <w:tcPr>
            <w:tcW w:w="124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配套软件投入</w:t>
            </w:r>
          </w:p>
        </w:tc>
        <w:tc>
          <w:tcPr>
            <w:tcW w:w="1388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both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  <w:t>研发设计、仿真分析、检验检测、数据管理、平台运行等配套软件系统购置、开发及部署实施等。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2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7" w:type="pct"/>
          <w:tblCellMar>
            <w:left w:w="108" w:type="dxa"/>
            <w:right w:w="108" w:type="dxa"/>
          </w:tblCellMar>
          <w:tblLook w:val="0000"/>
        </w:tblPrEx>
        <w:trPr>
          <w:trHeight w:val="90"/>
        </w:trPr>
        <w:tc>
          <w:tcPr>
            <w:tcW w:w="124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其他投入</w:t>
            </w:r>
          </w:p>
        </w:tc>
        <w:tc>
          <w:tcPr>
            <w:tcW w:w="1388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both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  <w:t>与创新中心建设直接相关的其他支出。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2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7" w:type="pct"/>
          <w:tblCellMar>
            <w:left w:w="108" w:type="dxa"/>
            <w:right w:w="108" w:type="dxa"/>
          </w:tblCellMar>
          <w:tblLook w:val="0000"/>
        </w:tblPrEx>
        <w:tc>
          <w:tcPr>
            <w:tcW w:w="2629" w:type="pct"/>
            <w:gridSpan w:val="2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合计</w:t>
            </w: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92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2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楷体_GB2312" w:hAnsi="Times New Roman" w:cs="楷体_GB2312" w:hint="eastAsia"/>
          <w:sz w:val="32"/>
          <w:szCs w:val="32"/>
          <w:lang w:eastAsia="zh-CN"/>
        </w:rPr>
      </w:pPr>
      <w:r>
        <w:rPr>
          <w:rFonts w:ascii="Times New Roman" w:eastAsia="楷体_GB2312" w:hAnsi="Times New Roman" w:cs="楷体_GB2312" w:hint="eastAsia"/>
          <w:sz w:val="32"/>
          <w:szCs w:val="32"/>
          <w:lang w:eastAsia="zh-CN"/>
        </w:rPr>
        <w:t>（二）建设资金使用方案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请围绕创新中心建设目标和重点任务，说明培育期内建设资金使用安排，重点反映资金投向、主要用途及分年度安排情况，确保资金使用与建设任务相匹配。</w:t>
      </w:r>
    </w:p>
    <w:tbl>
      <w:tblPr>
        <w:tblStyle w:val="TableGrid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3369"/>
        <w:gridCol w:w="1364"/>
        <w:gridCol w:w="1364"/>
        <w:gridCol w:w="1364"/>
        <w:gridCol w:w="1371"/>
      </w:tblGrid>
      <w:tr>
        <w:tblPrEx>
          <w:tblW w:w="4999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Merge w:val="restar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使用方向</w:t>
            </w:r>
          </w:p>
        </w:tc>
        <w:tc>
          <w:tcPr>
            <w:tcW w:w="3092" w:type="pct"/>
            <w:gridSpan w:val="4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资金安排（万元）</w:t>
            </w: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Merge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第一年度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第二年度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第三年度</w:t>
            </w: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合计</w:t>
            </w: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场地建设及改造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仪器、设备等购置及安装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配套软件投入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其他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4999" w:type="pct"/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1907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总计</w:t>
            </w: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74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楷体_GB2312" w:hAnsi="Times New Roman" w:cs="楷体_GB2312" w:hint="eastAsia"/>
          <w:sz w:val="32"/>
          <w:szCs w:val="32"/>
          <w:vertAlign w:val="baseline"/>
          <w:lang w:eastAsia="zh-CN"/>
        </w:rPr>
      </w:pPr>
      <w:r>
        <w:rPr>
          <w:rFonts w:ascii="Times New Roman" w:eastAsia="楷体_GB2312" w:hAnsi="Times New Roman" w:cs="楷体_GB2312" w:hint="eastAsia"/>
          <w:sz w:val="32"/>
          <w:szCs w:val="32"/>
          <w:vertAlign w:val="baseline"/>
          <w:lang w:eastAsia="zh-CN"/>
        </w:rPr>
        <w:t>（三）新增仪器设备经费概算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vertAlign w:val="baseline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vertAlign w:val="baseline"/>
          <w:lang w:eastAsia="zh-CN"/>
        </w:rPr>
        <w:t>结合创新中心建设任务和研发能力提升需求，说明培育期内拟新增仪器、设备购置情况，重点反映</w:t>
      </w:r>
    </w:p>
    <w:tbl>
      <w:tblPr>
        <w:tblStyle w:val="TableGrid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1"/>
        <w:gridCol w:w="2105"/>
        <w:gridCol w:w="1027"/>
        <w:gridCol w:w="762"/>
        <w:gridCol w:w="1312"/>
        <w:gridCol w:w="1308"/>
        <w:gridCol w:w="155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序号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仪器、设备名称</w:t>
            </w: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型号</w:t>
            </w: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数量</w:t>
            </w: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单价</w:t>
            </w:r>
          </w:p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（万元）</w:t>
            </w: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概算金额</w:t>
            </w:r>
          </w:p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（万元）</w:t>
            </w: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主要用途</w:t>
            </w: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19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8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431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W w:w="5000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3376" w:type="pct"/>
            <w:gridSpan w:val="5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ascii="Times New Roman" w:eastAsia="仿宋_GB2312" w:hAnsi="Times New Roman" w:cs="仿宋_GB2312" w:hint="eastAsia"/>
                <w:b/>
                <w:bCs/>
                <w:sz w:val="28"/>
                <w:szCs w:val="28"/>
                <w:vertAlign w:val="baseline"/>
                <w:lang w:eastAsia="zh-CN"/>
              </w:rPr>
              <w:t>合计</w:t>
            </w:r>
          </w:p>
        </w:tc>
        <w:tc>
          <w:tcPr>
            <w:tcW w:w="740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882" w:type="pct"/>
            <w:vAlign w:val="center"/>
          </w:tcPr>
          <w:p>
            <w:pPr>
              <w:pStyle w:val="BodyText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480" w:lineRule="exact"/>
              <w:jc w:val="center"/>
              <w:textAlignment w:val="auto"/>
              <w:rPr>
                <w:rFonts w:ascii="Times New Roman" w:eastAsia="仿宋_GB2312" w:hAnsi="Times New Roman" w:cs="仿宋_GB2312"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四、监督管理与考核要求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（一）依托单位应严格按照本培育任务书确定的建设目标和有关要求，扎实推进创新中心培育建设各项工作。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（二）牵头单位应按要求报送年度建设进展、阶段性成效、经费投入使用、成果产出等情况，并配合做好监督检查、绩效评价和考核评估等工作。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（三）自治区工业和信息化厅依据本培育任务书及相关规定，对创新中心培育建设情况实施全过程跟踪管理。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（四）培育期满后，依托单位应对照本培育任务书开展总结自评，并按程序申请考核评估。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（五）对未按要求完成培育任务、未达到预期建设目标或存在其他重大问题的，责令限期整改，整改期1年，整改期满后主要目标仍未达标的，取消培育资格。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黑体" w:hAnsi="Times New Roman" w:cs="黑体" w:hint="eastAsia"/>
          <w:sz w:val="32"/>
          <w:szCs w:val="32"/>
          <w:lang w:eastAsia="zh-CN"/>
        </w:rPr>
      </w:pPr>
      <w:r>
        <w:rPr>
          <w:rFonts w:ascii="Times New Roman" w:eastAsia="黑体" w:hAnsi="Times New Roman" w:cs="黑体" w:hint="eastAsia"/>
          <w:sz w:val="32"/>
          <w:szCs w:val="32"/>
          <w:lang w:eastAsia="zh-CN"/>
        </w:rPr>
        <w:t>五、附则</w:t>
      </w:r>
    </w:p>
    <w:p>
      <w:pPr>
        <w:pStyle w:val="BodyText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</w:pPr>
      <w:r>
        <w:rPr>
          <w:rFonts w:ascii="Times New Roman" w:eastAsia="仿宋_GB2312" w:hAnsi="Times New Roman" w:cs="仿宋_GB2312" w:hint="eastAsia"/>
          <w:sz w:val="32"/>
          <w:szCs w:val="32"/>
          <w:lang w:eastAsia="zh-CN"/>
        </w:rPr>
        <w:t>本任务书经依托单位签字盖章后生效，由自治区工业和信息化厅负责解释。</w:t>
      </w:r>
    </w:p>
    <w:sectPr>
      <w:footerReference w:type="even" r:id="rId9"/>
      <w:footerReference w:type="default" r:id="rId10"/>
      <w:type w:val="nextPage"/>
      <w:pgSz w:w="11906" w:h="16838"/>
      <w:pgMar w:top="1417" w:right="1587" w:bottom="1417" w:left="1701" w:header="851" w:footer="1417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1"/>
      <w:cols w:space="720"/>
      <w:rtlGutter w:val="0"/>
      <w:docGrid w:type="linesAndChars" w:linePitch="636" w:charSpace="-250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Times New Roman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00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2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" o:spid="_x0000_s2049" type="#_x0000_t202" style="width:2in;height:2in;margin-top:0;margin-left:0;mso-position-horizontal:outside;mso-position-horizontal-relative:margin;mso-wrap-style:none;position:absolute;v-text-anchor:top;z-index:251659264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2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50" type="#_x0000_t202" style="width:2in;height:2in;margin-top:0;margin-left:0;mso-position-horizontal:outside;mso-position-horizontal-relative:margin;mso-wrap-style:none;position:absolute;v-text-anchor:top;z-index:251658240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3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revisionView w:comments="1" w:formatting="1" w:inkAnnotations="1" w:insDel="1" w:markup="0"/>
  <w:trackRevisions/>
  <w:defaultTabStop w:val="420"/>
  <w:drawingGridVerticalSpacing w:val="156"/>
  <w:displayHorizontalDrawingGridEvery w:val="2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DF7E1421"/>
    <w:rsid w:val="DF7E1421"/>
    <w:rsid w:val="FFDF9F94"/>
    <w:rsid w:val="FFF7A13A"/>
    <w:rsid w:val="6B7F2FBE"/>
    <w:rsid w:val="737FA125"/>
    <w:rsid w:val="77F11154"/>
    <w:rsid w:val="7FB9EAC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next w:val="BodyText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qFormat/>
    <w:pPr>
      <w:spacing w:after="120" w:afterLines="0" w:afterAutospacing="0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qFormat/>
  </w:style>
  <w:style w:type="paragraph" w:customStyle="1" w:styleId="a">
    <w:name w:val="表格正文"/>
    <w:basedOn w:val="Normal"/>
    <w:pPr>
      <w:spacing w:line="480" w:lineRule="exact"/>
      <w:ind w:firstLine="640" w:firstLineChars="200"/>
    </w:pPr>
    <w:rPr>
      <w:rFonts w:eastAsia="仿宋_GB231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157277280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</dc:title>
  <dc:creator>l</dc:creator>
  <cp:lastModifiedBy>gxxc</cp:lastModifiedBy>
  <cp:revision>1</cp:revision>
  <cp:lastPrinted>2026-04-24T00:51:35Z</cp:lastPrinted>
  <dcterms:created xsi:type="dcterms:W3CDTF">2026-04-17T01:17:00Z</dcterms:created>
  <dcterms:modified xsi:type="dcterms:W3CDTF">2026-04-27T10:09:31Z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慧眼令牌">
    <vt:lpwstr>eyJraWQiOiJvYSIsInR5cCI6IkpXVCIsImFsZyI6IkhTMjU2In0.eyJzdWIiOiJPQS1MT0dJTiIsIm5iZiI6MTc3NzI1MTkzMiwiY29ycElkIjoiIiwiaXNzIjoiRVhPQSIsIm5hbWUiOiLmnY7pm6jnj4IiLCJleHAiOjIwOTI2MTU1MzIsImlhdCI6MTc3NzI1NDkzMiwidXNlcklkIjoxMzc0MywianRpIjoib2EiLCJhY2NvdW50IjoibGl5ayJ9.oTmjkj7PyuTjVFWvPnoVomYO3_49sTls6v-ljagenvo</vt:lpwstr>
  </property>
</Properties>
</file>