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9E288C7">
      <w:pPr>
        <w:pStyle w:val="6"/>
        <w:bidi w:val="0"/>
        <w:rPr>
          <w:rFonts w:hint="eastAsia"/>
          <w:color w:val="auto"/>
          <w:highlight w:val="none"/>
        </w:rPr>
      </w:pPr>
    </w:p>
    <w:p w14:paraId="4C7EE9D9">
      <w:pPr>
        <w:spacing w:before="120" w:beforeLines="50"/>
        <w:jc w:val="center"/>
        <w:rPr>
          <w:rFonts w:hint="eastAsia" w:ascii="宋体" w:hAnsi="宋体" w:cs="宋体"/>
          <w:b/>
          <w:color w:val="auto"/>
          <w:spacing w:val="-6"/>
          <w:sz w:val="40"/>
          <w:szCs w:val="40"/>
          <w:highlight w:val="none"/>
          <w:lang w:eastAsia="zh-CN"/>
        </w:rPr>
      </w:pPr>
      <w:r>
        <w:rPr>
          <w:rFonts w:hint="eastAsia" w:ascii="宋体" w:hAnsi="宋体" w:cs="宋体"/>
          <w:b/>
          <w:color w:val="auto"/>
          <w:spacing w:val="-6"/>
          <w:sz w:val="40"/>
          <w:szCs w:val="40"/>
          <w:highlight w:val="none"/>
          <w:lang w:eastAsia="zh-CN"/>
        </w:rPr>
        <w:t>宁波市经济和信息化局</w:t>
      </w:r>
    </w:p>
    <w:p w14:paraId="3853CC6A">
      <w:pPr>
        <w:spacing w:before="120" w:beforeLines="50"/>
        <w:jc w:val="center"/>
        <w:rPr>
          <w:rFonts w:hint="eastAsia" w:ascii="宋体" w:hAnsi="宋体" w:cs="宋体"/>
          <w:b/>
          <w:color w:val="auto"/>
          <w:spacing w:val="-20"/>
          <w:sz w:val="44"/>
          <w:szCs w:val="44"/>
          <w:highlight w:val="none"/>
        </w:rPr>
      </w:pPr>
      <w:r>
        <w:rPr>
          <w:rFonts w:hint="eastAsia" w:ascii="宋体" w:hAnsi="宋体" w:cs="宋体"/>
          <w:b/>
          <w:color w:val="auto"/>
          <w:spacing w:val="-20"/>
          <w:sz w:val="40"/>
          <w:szCs w:val="40"/>
          <w:highlight w:val="none"/>
          <w:lang w:eastAsia="zh-CN"/>
        </w:rPr>
        <w:t>2026年度宣传合作项目(重大主题宣传)</w:t>
      </w:r>
    </w:p>
    <w:p w14:paraId="785BE0BE">
      <w:pPr>
        <w:spacing w:before="120" w:beforeLines="50"/>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招标文件</w:t>
      </w:r>
    </w:p>
    <w:p w14:paraId="5DC8DBF4">
      <w:pPr>
        <w:snapToGrid w:val="0"/>
        <w:spacing w:before="120" w:beforeLines="50" w:line="360" w:lineRule="auto"/>
        <w:rPr>
          <w:rFonts w:hint="eastAsia" w:ascii="宋体" w:hAnsi="宋体" w:cs="宋体"/>
          <w:color w:val="auto"/>
          <w:sz w:val="30"/>
          <w:szCs w:val="72"/>
          <w:highlight w:val="none"/>
        </w:rPr>
      </w:pPr>
    </w:p>
    <w:p w14:paraId="0E34575C">
      <w:pPr>
        <w:snapToGrid w:val="0"/>
        <w:spacing w:before="120" w:beforeLines="50" w:line="360" w:lineRule="auto"/>
        <w:rPr>
          <w:rFonts w:hint="eastAsia" w:ascii="宋体" w:hAnsi="宋体" w:cs="宋体"/>
          <w:color w:val="auto"/>
          <w:sz w:val="30"/>
          <w:szCs w:val="72"/>
          <w:highlight w:val="none"/>
        </w:rPr>
      </w:pPr>
    </w:p>
    <w:p w14:paraId="532718E2">
      <w:pPr>
        <w:snapToGrid w:val="0"/>
        <w:spacing w:before="120" w:beforeLines="50" w:line="360" w:lineRule="auto"/>
        <w:rPr>
          <w:rFonts w:hint="eastAsia" w:ascii="宋体" w:hAnsi="宋体" w:cs="宋体"/>
          <w:color w:val="auto"/>
          <w:highlight w:val="none"/>
        </w:rPr>
      </w:pPr>
    </w:p>
    <w:p w14:paraId="355B0F85">
      <w:pPr>
        <w:snapToGrid w:val="0"/>
        <w:spacing w:before="120" w:beforeLines="50" w:line="360" w:lineRule="auto"/>
        <w:rPr>
          <w:rFonts w:hint="eastAsia" w:ascii="宋体" w:hAnsi="宋体" w:cs="宋体"/>
          <w:color w:val="auto"/>
          <w:sz w:val="30"/>
          <w:szCs w:val="72"/>
          <w:highlight w:val="none"/>
        </w:rPr>
      </w:pPr>
    </w:p>
    <w:p w14:paraId="06BCF67B">
      <w:pPr>
        <w:spacing w:before="120" w:beforeLines="50" w:line="360" w:lineRule="auto"/>
        <w:rPr>
          <w:rFonts w:hint="eastAsia" w:ascii="宋体" w:hAnsi="宋体" w:eastAsia="宋体" w:cs="宋体"/>
          <w:b/>
          <w:color w:val="auto"/>
          <w:sz w:val="30"/>
          <w:szCs w:val="48"/>
          <w:highlight w:val="none"/>
          <w:lang w:eastAsia="zh-CN"/>
        </w:rPr>
      </w:pPr>
      <w:r>
        <w:rPr>
          <w:rFonts w:hint="eastAsia" w:ascii="宋体" w:hAnsi="宋体" w:cs="宋体"/>
          <w:b/>
          <w:color w:val="auto"/>
          <w:sz w:val="30"/>
          <w:szCs w:val="48"/>
          <w:highlight w:val="none"/>
        </w:rPr>
        <w:t>项目编号：</w:t>
      </w:r>
      <w:r>
        <w:rPr>
          <w:rFonts w:hint="eastAsia" w:ascii="宋体" w:hAnsi="宋体" w:cs="宋体"/>
          <w:b/>
          <w:color w:val="auto"/>
          <w:sz w:val="30"/>
          <w:szCs w:val="48"/>
          <w:highlight w:val="none"/>
          <w:lang w:eastAsia="zh-CN"/>
        </w:rPr>
        <w:t>CBNB-20266533</w:t>
      </w:r>
    </w:p>
    <w:p w14:paraId="4237E1D2">
      <w:pPr>
        <w:spacing w:before="120" w:beforeLines="50" w:line="360" w:lineRule="auto"/>
        <w:rPr>
          <w:rFonts w:hint="eastAsia" w:ascii="宋体" w:hAnsi="宋体" w:cs="宋体"/>
          <w:b/>
          <w:color w:val="auto"/>
          <w:sz w:val="30"/>
          <w:szCs w:val="48"/>
          <w:highlight w:val="none"/>
          <w:lang w:eastAsia="zh-CN"/>
        </w:rPr>
      </w:pPr>
      <w:r>
        <w:rPr>
          <w:rFonts w:hint="eastAsia" w:ascii="宋体" w:hAnsi="宋体" w:cs="宋体"/>
          <w:b/>
          <w:color w:val="auto"/>
          <w:sz w:val="30"/>
          <w:szCs w:val="48"/>
          <w:highlight w:val="none"/>
        </w:rPr>
        <w:t>项目名称：</w:t>
      </w:r>
      <w:r>
        <w:rPr>
          <w:rFonts w:hint="eastAsia" w:ascii="宋体" w:hAnsi="宋体" w:cs="宋体"/>
          <w:b/>
          <w:color w:val="auto"/>
          <w:spacing w:val="-6"/>
          <w:sz w:val="30"/>
          <w:szCs w:val="48"/>
          <w:highlight w:val="none"/>
          <w:lang w:eastAsia="zh-CN"/>
        </w:rPr>
        <w:t>2026年度宣传合作项目(重大主题宣传)</w:t>
      </w:r>
    </w:p>
    <w:p w14:paraId="68452942">
      <w:pPr>
        <w:spacing w:before="120" w:beforeLines="50" w:line="360" w:lineRule="auto"/>
        <w:rPr>
          <w:rFonts w:hint="default" w:ascii="宋体" w:hAnsi="宋体" w:eastAsia="宋体" w:cs="宋体"/>
          <w:b/>
          <w:color w:val="auto"/>
          <w:sz w:val="30"/>
          <w:szCs w:val="48"/>
          <w:highlight w:val="none"/>
          <w:lang w:val="en-US" w:eastAsia="zh-CN"/>
        </w:rPr>
      </w:pPr>
      <w:r>
        <w:rPr>
          <w:rFonts w:hint="eastAsia" w:ascii="宋体" w:hAnsi="宋体" w:cs="宋体"/>
          <w:b/>
          <w:color w:val="auto"/>
          <w:sz w:val="30"/>
          <w:szCs w:val="48"/>
          <w:highlight w:val="none"/>
        </w:rPr>
        <w:t>招标单位：</w:t>
      </w:r>
      <w:r>
        <w:rPr>
          <w:rFonts w:hint="eastAsia" w:ascii="宋体" w:hAnsi="宋体" w:cs="宋体"/>
          <w:b/>
          <w:color w:val="auto"/>
          <w:sz w:val="30"/>
          <w:szCs w:val="48"/>
          <w:highlight w:val="none"/>
          <w:lang w:eastAsia="zh-CN"/>
        </w:rPr>
        <w:t>宁波市经济和信息化局</w:t>
      </w:r>
    </w:p>
    <w:p w14:paraId="6E1896D5">
      <w:pPr>
        <w:spacing w:before="120" w:beforeLines="50" w:line="360" w:lineRule="auto"/>
        <w:rPr>
          <w:rFonts w:hint="eastAsia" w:ascii="宋体" w:hAnsi="宋体" w:cs="宋体"/>
          <w:b/>
          <w:color w:val="auto"/>
          <w:sz w:val="30"/>
          <w:szCs w:val="48"/>
          <w:highlight w:val="none"/>
        </w:rPr>
      </w:pPr>
      <w:r>
        <w:rPr>
          <w:rFonts w:hint="eastAsia" w:ascii="宋体" w:hAnsi="宋体" w:cs="宋体"/>
          <w:b/>
          <w:color w:val="auto"/>
          <w:sz w:val="30"/>
          <w:szCs w:val="48"/>
          <w:highlight w:val="none"/>
        </w:rPr>
        <w:t>代理机构：宁波中基国际招标有限公司</w:t>
      </w:r>
    </w:p>
    <w:p w14:paraId="276BC91A">
      <w:pPr>
        <w:spacing w:before="120" w:beforeLines="50" w:line="360" w:lineRule="auto"/>
        <w:rPr>
          <w:rFonts w:hint="eastAsia" w:ascii="宋体" w:hAnsi="宋体" w:cs="宋体"/>
          <w:b/>
          <w:color w:val="auto"/>
          <w:sz w:val="30"/>
          <w:szCs w:val="48"/>
          <w:highlight w:val="none"/>
        </w:rPr>
      </w:pPr>
    </w:p>
    <w:p w14:paraId="4FB3E83B">
      <w:pPr>
        <w:snapToGrid w:val="0"/>
        <w:spacing w:before="120" w:beforeLines="50" w:line="360" w:lineRule="auto"/>
        <w:rPr>
          <w:rFonts w:hint="eastAsia" w:ascii="宋体" w:hAnsi="宋体" w:cs="宋体"/>
          <w:b/>
          <w:bCs/>
          <w:color w:val="auto"/>
          <w:w w:val="95"/>
          <w:sz w:val="30"/>
          <w:szCs w:val="30"/>
          <w:highlight w:val="none"/>
        </w:rPr>
      </w:pPr>
    </w:p>
    <w:p w14:paraId="22BD02F5">
      <w:pPr>
        <w:snapToGrid w:val="0"/>
        <w:spacing w:before="120" w:beforeLines="50" w:line="360" w:lineRule="auto"/>
        <w:ind w:left="2940" w:firstLine="420"/>
        <w:rPr>
          <w:rFonts w:hint="eastAsia" w:ascii="宋体" w:hAnsi="宋体" w:cs="宋体"/>
          <w:b/>
          <w:bCs/>
          <w:color w:val="auto"/>
          <w:w w:val="95"/>
          <w:sz w:val="30"/>
          <w:szCs w:val="30"/>
          <w:highlight w:val="none"/>
        </w:rPr>
      </w:pPr>
      <w:r>
        <w:rPr>
          <w:rFonts w:hint="eastAsia" w:ascii="宋体" w:hAnsi="宋体" w:cs="宋体"/>
          <w:b/>
          <w:bCs/>
          <w:color w:val="auto"/>
          <w:w w:val="95"/>
          <w:sz w:val="30"/>
          <w:szCs w:val="30"/>
          <w:highlight w:val="none"/>
        </w:rPr>
        <w:t>202</w:t>
      </w:r>
      <w:r>
        <w:rPr>
          <w:rFonts w:hint="eastAsia" w:ascii="宋体" w:hAnsi="宋体" w:cs="宋体"/>
          <w:b/>
          <w:bCs/>
          <w:color w:val="auto"/>
          <w:w w:val="95"/>
          <w:sz w:val="30"/>
          <w:szCs w:val="30"/>
          <w:highlight w:val="none"/>
          <w:lang w:val="en-US" w:eastAsia="zh-CN"/>
        </w:rPr>
        <w:t>6</w:t>
      </w:r>
      <w:r>
        <w:rPr>
          <w:rFonts w:hint="eastAsia" w:ascii="宋体" w:hAnsi="宋体" w:cs="宋体"/>
          <w:b/>
          <w:bCs/>
          <w:color w:val="auto"/>
          <w:w w:val="95"/>
          <w:sz w:val="30"/>
          <w:szCs w:val="30"/>
          <w:highlight w:val="none"/>
        </w:rPr>
        <w:t>年</w:t>
      </w:r>
      <w:r>
        <w:rPr>
          <w:rFonts w:hint="eastAsia" w:ascii="宋体" w:hAnsi="宋体" w:cs="宋体"/>
          <w:b/>
          <w:bCs/>
          <w:color w:val="auto"/>
          <w:w w:val="95"/>
          <w:sz w:val="30"/>
          <w:szCs w:val="30"/>
          <w:highlight w:val="none"/>
          <w:lang w:val="en-US" w:eastAsia="zh-CN"/>
        </w:rPr>
        <w:t>9</w:t>
      </w:r>
      <w:r>
        <w:rPr>
          <w:rFonts w:hint="eastAsia" w:ascii="宋体" w:hAnsi="宋体" w:cs="宋体"/>
          <w:b/>
          <w:bCs/>
          <w:color w:val="auto"/>
          <w:w w:val="95"/>
          <w:sz w:val="30"/>
          <w:szCs w:val="30"/>
          <w:highlight w:val="none"/>
        </w:rPr>
        <w:t>月</w:t>
      </w:r>
    </w:p>
    <w:p w14:paraId="4F9C0650">
      <w:pPr>
        <w:pStyle w:val="32"/>
        <w:ind w:firstLine="558"/>
        <w:rPr>
          <w:rFonts w:hint="eastAsia" w:hAnsi="宋体" w:cs="宋体"/>
          <w:b/>
          <w:bCs/>
          <w:color w:val="auto"/>
          <w:w w:val="95"/>
          <w:sz w:val="30"/>
          <w:szCs w:val="30"/>
          <w:highlight w:val="none"/>
        </w:rPr>
      </w:pPr>
    </w:p>
    <w:p w14:paraId="1EA3FDF5">
      <w:pPr>
        <w:pStyle w:val="32"/>
        <w:ind w:firstLine="558"/>
        <w:rPr>
          <w:rFonts w:hint="eastAsia" w:hAnsi="宋体" w:cs="宋体"/>
          <w:b/>
          <w:bCs/>
          <w:color w:val="auto"/>
          <w:w w:val="95"/>
          <w:sz w:val="30"/>
          <w:szCs w:val="30"/>
          <w:highlight w:val="none"/>
        </w:rPr>
        <w:sectPr>
          <w:headerReference r:id="rId3" w:type="first"/>
          <w:footerReference r:id="rId4" w:type="default"/>
          <w:pgSz w:w="11906" w:h="16838"/>
          <w:pgMar w:top="1474" w:right="1797" w:bottom="1247" w:left="1797" w:header="851" w:footer="851" w:gutter="0"/>
          <w:pgNumType w:start="1"/>
          <w:cols w:space="720" w:num="1"/>
          <w:titlePg/>
          <w:rtlGutter w:val="1"/>
          <w:docGrid w:linePitch="312" w:charSpace="0"/>
        </w:sectPr>
      </w:pPr>
    </w:p>
    <w:p w14:paraId="77390EAB">
      <w:pPr>
        <w:snapToGrid w:val="0"/>
        <w:spacing w:before="120" w:beforeLines="50"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1C7AD2F7">
      <w:pPr>
        <w:tabs>
          <w:tab w:val="left" w:pos="855"/>
        </w:tabs>
        <w:rPr>
          <w:rFonts w:hint="eastAsia" w:ascii="宋体" w:hAnsi="宋体" w:cs="宋体"/>
          <w:color w:val="auto"/>
          <w:highlight w:val="none"/>
        </w:rPr>
      </w:pPr>
    </w:p>
    <w:p w14:paraId="2B65579C">
      <w:pPr>
        <w:spacing w:line="480" w:lineRule="auto"/>
        <w:rPr>
          <w:rFonts w:hint="eastAsia" w:ascii="宋体" w:hAnsi="宋体" w:cs="宋体"/>
          <w:color w:val="auto"/>
          <w:sz w:val="24"/>
          <w:highlight w:val="none"/>
        </w:rPr>
      </w:pPr>
    </w:p>
    <w:p w14:paraId="23A91B48">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TOC \o "1-3" \h \z \u </w:instrText>
      </w:r>
      <w:r>
        <w:rPr>
          <w:rFonts w:hint="eastAsia" w:ascii="宋体" w:hAnsi="宋体" w:cs="宋体"/>
          <w:b/>
          <w:bCs/>
          <w:color w:val="auto"/>
          <w:sz w:val="28"/>
          <w:szCs w:val="28"/>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_Toc26088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_Toc26088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068D00E6">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_Toc29411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第二章  招标需求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_Toc29411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C0C75BF">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_Toc10417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kern w:val="44"/>
          <w:sz w:val="24"/>
          <w:szCs w:val="24"/>
          <w:highlight w:val="none"/>
          <w:lang w:val="en-US" w:eastAsia="zh-CN" w:bidi="ar-SA"/>
        </w:rPr>
        <w:t>第三章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_Toc10417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5CBB2F48">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_Toc6843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第四章  评标办法及评分标准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_Toc6843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179E5CE3">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_Toc19760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合同主要条款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_Toc19760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3BD481DE">
      <w:pPr>
        <w:pStyle w:val="25"/>
        <w:keepNext w:val="0"/>
        <w:keepLines w:val="0"/>
        <w:pageBreakBefore w:val="0"/>
        <w:widowControl w:val="0"/>
        <w:tabs>
          <w:tab w:val="right" w:leader="dot" w:pos="8312"/>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_Toc4931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_Toc4931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6BCCF231">
      <w:pPr>
        <w:pStyle w:val="5"/>
        <w:spacing w:before="120" w:after="120" w:line="360" w:lineRule="auto"/>
        <w:jc w:val="center"/>
        <w:rPr>
          <w:rFonts w:hint="eastAsia" w:ascii="宋体" w:hAnsi="宋体" w:cs="宋体"/>
          <w:color w:val="auto"/>
          <w:highlight w:val="none"/>
        </w:rPr>
        <w:sectPr>
          <w:pgSz w:w="11906" w:h="16838"/>
          <w:pgMar w:top="1474" w:right="1797" w:bottom="1247" w:left="1797" w:header="851" w:footer="851" w:gutter="0"/>
          <w:pgNumType w:start="1"/>
          <w:cols w:space="720" w:num="1"/>
          <w:titlePg/>
          <w:rtlGutter w:val="1"/>
          <w:docGrid w:linePitch="312" w:charSpace="0"/>
        </w:sectPr>
      </w:pPr>
      <w:r>
        <w:rPr>
          <w:rFonts w:hint="eastAsia" w:ascii="宋体" w:hAnsi="宋体" w:cs="宋体"/>
          <w:color w:val="auto"/>
          <w:szCs w:val="28"/>
          <w:highlight w:val="none"/>
        </w:rPr>
        <w:fldChar w:fldCharType="end"/>
      </w:r>
    </w:p>
    <w:p w14:paraId="65E421C3">
      <w:pPr>
        <w:pStyle w:val="5"/>
        <w:spacing w:before="20" w:after="20" w:line="480" w:lineRule="auto"/>
        <w:jc w:val="center"/>
        <w:rPr>
          <w:rFonts w:hint="eastAsia" w:ascii="宋体" w:hAnsi="宋体" w:cs="宋体"/>
          <w:color w:val="auto"/>
          <w:sz w:val="28"/>
          <w:szCs w:val="28"/>
          <w:highlight w:val="none"/>
        </w:rPr>
      </w:pPr>
      <w:bookmarkStart w:id="0" w:name="_Toc26088"/>
      <w:r>
        <w:rPr>
          <w:rFonts w:hint="eastAsia" w:ascii="宋体" w:hAnsi="宋体" w:cs="宋体"/>
          <w:color w:val="auto"/>
          <w:sz w:val="28"/>
          <w:szCs w:val="28"/>
          <w:highlight w:val="none"/>
        </w:rPr>
        <w:t>第一章 招标公告</w:t>
      </w:r>
      <w:bookmarkEnd w:id="0"/>
    </w:p>
    <w:p w14:paraId="2CC6A90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highlight w:val="none"/>
          <w:u w:val="single"/>
        </w:rPr>
        <w:t>宁波中基国际招标有限公司</w:t>
      </w:r>
      <w:r>
        <w:rPr>
          <w:rFonts w:hint="eastAsia" w:ascii="宋体" w:hAnsi="宋体" w:cs="宋体"/>
          <w:color w:val="auto"/>
          <w:highlight w:val="none"/>
        </w:rPr>
        <w:t>受</w:t>
      </w:r>
      <w:r>
        <w:rPr>
          <w:rFonts w:hint="eastAsia" w:ascii="宋体" w:hAnsi="宋体" w:cs="宋体"/>
          <w:color w:val="auto"/>
          <w:highlight w:val="none"/>
          <w:u w:val="single"/>
          <w:lang w:eastAsia="zh-CN"/>
        </w:rPr>
        <w:t>宁波市经济和信息化局</w:t>
      </w:r>
      <w:r>
        <w:rPr>
          <w:rFonts w:hint="eastAsia" w:ascii="宋体" w:hAnsi="宋体" w:cs="宋体"/>
          <w:color w:val="auto"/>
          <w:highlight w:val="none"/>
        </w:rPr>
        <w:t>的委托，现就</w:t>
      </w:r>
      <w:r>
        <w:rPr>
          <w:rFonts w:hint="eastAsia" w:ascii="宋体" w:hAnsi="宋体" w:cs="宋体"/>
          <w:color w:val="auto"/>
          <w:highlight w:val="none"/>
          <w:u w:val="single"/>
          <w:lang w:eastAsia="zh-CN"/>
        </w:rPr>
        <w:t>2026年度宣传合作项目(重大主题宣传)</w:t>
      </w:r>
      <w:r>
        <w:rPr>
          <w:rFonts w:hint="eastAsia" w:ascii="宋体" w:hAnsi="宋体" w:cs="宋体"/>
          <w:color w:val="auto"/>
          <w:highlight w:val="none"/>
        </w:rPr>
        <w:t>进行公开招标采购，现邀请合格的投标人前来参加投标。本项目属于</w:t>
      </w:r>
      <w:r>
        <w:rPr>
          <w:rFonts w:hint="eastAsia" w:ascii="宋体" w:hAnsi="宋体" w:cs="宋体"/>
          <w:color w:val="auto"/>
          <w:highlight w:val="none"/>
          <w:lang w:val="en-US" w:eastAsia="zh-CN"/>
        </w:rPr>
        <w:t>非依法必招项目</w:t>
      </w:r>
      <w:r>
        <w:rPr>
          <w:rFonts w:hint="eastAsia" w:ascii="宋体" w:hAnsi="宋体" w:cs="宋体"/>
          <w:color w:val="auto"/>
          <w:highlight w:val="none"/>
        </w:rPr>
        <w:t>。</w:t>
      </w:r>
    </w:p>
    <w:p w14:paraId="6D899E94">
      <w:pPr>
        <w:spacing w:line="360" w:lineRule="auto"/>
        <w:ind w:firstLine="422" w:firstLineChars="200"/>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一、项目编号：</w:t>
      </w:r>
      <w:r>
        <w:rPr>
          <w:rFonts w:hint="eastAsia" w:ascii="宋体" w:hAnsi="宋体" w:cs="宋体"/>
          <w:bCs/>
          <w:color w:val="auto"/>
          <w:szCs w:val="21"/>
          <w:highlight w:val="none"/>
          <w:lang w:eastAsia="zh-CN"/>
        </w:rPr>
        <w:t>CBNB-20266533</w:t>
      </w:r>
    </w:p>
    <w:p w14:paraId="5CF6B604">
      <w:pPr>
        <w:spacing w:line="360" w:lineRule="auto"/>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二、招标组织类型：</w:t>
      </w:r>
      <w:r>
        <w:rPr>
          <w:rFonts w:hint="eastAsia" w:ascii="宋体" w:hAnsi="宋体" w:cs="宋体"/>
          <w:color w:val="auto"/>
          <w:szCs w:val="21"/>
          <w:highlight w:val="none"/>
        </w:rPr>
        <w:t>委托代理</w:t>
      </w:r>
    </w:p>
    <w:p w14:paraId="3715A499">
      <w:pPr>
        <w:spacing w:line="360" w:lineRule="auto"/>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三、招标方式、用途：</w:t>
      </w:r>
      <w:r>
        <w:rPr>
          <w:rFonts w:hint="eastAsia" w:ascii="宋体" w:hAnsi="宋体" w:cs="宋体"/>
          <w:color w:val="auto"/>
          <w:szCs w:val="21"/>
          <w:highlight w:val="none"/>
        </w:rPr>
        <w:t>公开招标、自用</w:t>
      </w:r>
    </w:p>
    <w:p w14:paraId="72C2A54A">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四、项目概况</w:t>
      </w:r>
    </w:p>
    <w:tbl>
      <w:tblPr>
        <w:tblStyle w:val="33"/>
        <w:tblW w:w="878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3"/>
        <w:gridCol w:w="2079"/>
        <w:gridCol w:w="778"/>
        <w:gridCol w:w="3769"/>
        <w:gridCol w:w="1253"/>
      </w:tblGrid>
      <w:tr w14:paraId="54BA1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 w:hRule="atLeast"/>
          <w:jc w:val="center"/>
        </w:trPr>
        <w:tc>
          <w:tcPr>
            <w:tcW w:w="903" w:type="dxa"/>
            <w:tcBorders>
              <w:top w:val="single" w:color="auto" w:sz="4" w:space="0"/>
              <w:left w:val="single" w:color="auto" w:sz="4" w:space="0"/>
              <w:bottom w:val="single" w:color="auto" w:sz="4" w:space="0"/>
              <w:right w:val="single" w:color="auto" w:sz="4" w:space="0"/>
            </w:tcBorders>
            <w:noWrap w:val="0"/>
            <w:vAlign w:val="center"/>
          </w:tcPr>
          <w:p w14:paraId="57AE6DD5">
            <w:pPr>
              <w:keepNext w:val="0"/>
              <w:keepLines w:val="0"/>
              <w:suppressLineNumbers w:val="0"/>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子包号</w:t>
            </w:r>
          </w:p>
        </w:tc>
        <w:tc>
          <w:tcPr>
            <w:tcW w:w="2079" w:type="dxa"/>
            <w:tcBorders>
              <w:top w:val="single" w:color="auto" w:sz="4" w:space="0"/>
              <w:left w:val="single" w:color="auto" w:sz="4" w:space="0"/>
              <w:bottom w:val="single" w:color="auto" w:sz="4" w:space="0"/>
              <w:right w:val="single" w:color="auto" w:sz="4" w:space="0"/>
            </w:tcBorders>
            <w:noWrap w:val="0"/>
            <w:vAlign w:val="center"/>
          </w:tcPr>
          <w:p w14:paraId="48652C7D">
            <w:pPr>
              <w:keepNext w:val="0"/>
              <w:keepLines w:val="0"/>
              <w:suppressLineNumbers w:val="0"/>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招标内容</w:t>
            </w:r>
          </w:p>
        </w:tc>
        <w:tc>
          <w:tcPr>
            <w:tcW w:w="778" w:type="dxa"/>
            <w:tcBorders>
              <w:top w:val="single" w:color="auto" w:sz="4" w:space="0"/>
              <w:left w:val="single" w:color="auto" w:sz="4" w:space="0"/>
              <w:bottom w:val="single" w:color="auto" w:sz="4" w:space="0"/>
              <w:right w:val="single" w:color="auto" w:sz="4" w:space="0"/>
            </w:tcBorders>
            <w:noWrap w:val="0"/>
            <w:vAlign w:val="center"/>
          </w:tcPr>
          <w:p w14:paraId="55009447">
            <w:pPr>
              <w:keepNext w:val="0"/>
              <w:keepLines w:val="0"/>
              <w:suppressLineNumbers w:val="0"/>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w:t>
            </w:r>
          </w:p>
        </w:tc>
        <w:tc>
          <w:tcPr>
            <w:tcW w:w="3769" w:type="dxa"/>
            <w:tcBorders>
              <w:top w:val="single" w:color="auto" w:sz="4" w:space="0"/>
              <w:left w:val="single" w:color="auto" w:sz="4" w:space="0"/>
              <w:bottom w:val="single" w:color="auto" w:sz="4" w:space="0"/>
              <w:right w:val="single" w:color="auto" w:sz="4" w:space="0"/>
            </w:tcBorders>
            <w:noWrap w:val="0"/>
            <w:vAlign w:val="center"/>
          </w:tcPr>
          <w:p w14:paraId="6A07A935">
            <w:pPr>
              <w:keepNext w:val="0"/>
              <w:keepLines w:val="0"/>
              <w:suppressLineNumbers w:val="0"/>
              <w:spacing w:before="0" w:beforeAutospacing="0" w:after="0" w:afterAutospacing="0"/>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服务期限</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0EAF2DE">
            <w:pPr>
              <w:keepNext w:val="0"/>
              <w:keepLines w:val="0"/>
              <w:suppressLineNumbers w:val="0"/>
              <w:spacing w:before="0" w:beforeAutospacing="0" w:after="0" w:afterAutospacing="0"/>
              <w:ind w:left="0" w:right="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预算金额</w:t>
            </w:r>
          </w:p>
        </w:tc>
      </w:tr>
      <w:tr w14:paraId="6B1B2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3" w:type="dxa"/>
            <w:tcBorders>
              <w:top w:val="single" w:color="auto" w:sz="4" w:space="0"/>
              <w:left w:val="single" w:color="auto" w:sz="4" w:space="0"/>
              <w:bottom w:val="single" w:color="auto" w:sz="4" w:space="0"/>
              <w:right w:val="single" w:color="auto" w:sz="4" w:space="0"/>
            </w:tcBorders>
            <w:noWrap w:val="0"/>
            <w:vAlign w:val="center"/>
          </w:tcPr>
          <w:p w14:paraId="6BE2275E">
            <w:pPr>
              <w:keepNext w:val="0"/>
              <w:keepLines w:val="0"/>
              <w:suppressLineNumbers w:val="0"/>
              <w:spacing w:before="0"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一</w:t>
            </w:r>
          </w:p>
        </w:tc>
        <w:tc>
          <w:tcPr>
            <w:tcW w:w="2079" w:type="dxa"/>
            <w:tcBorders>
              <w:top w:val="single" w:color="auto" w:sz="4" w:space="0"/>
              <w:left w:val="single" w:color="auto" w:sz="4" w:space="0"/>
              <w:bottom w:val="single" w:color="auto" w:sz="4" w:space="0"/>
              <w:right w:val="single" w:color="auto" w:sz="4" w:space="0"/>
            </w:tcBorders>
            <w:noWrap w:val="0"/>
            <w:vAlign w:val="center"/>
          </w:tcPr>
          <w:p w14:paraId="23AE120C">
            <w:pPr>
              <w:keepNext w:val="0"/>
              <w:keepLines w:val="0"/>
              <w:suppressLineNumbers w:val="0"/>
              <w:spacing w:before="0" w:beforeAutospacing="0" w:after="0" w:afterAutospacing="0"/>
              <w:ind w:left="0" w:right="0"/>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2026年度宣传合作</w:t>
            </w:r>
          </w:p>
        </w:tc>
        <w:tc>
          <w:tcPr>
            <w:tcW w:w="778" w:type="dxa"/>
            <w:tcBorders>
              <w:top w:val="single" w:color="auto" w:sz="4" w:space="0"/>
              <w:left w:val="single" w:color="auto" w:sz="4" w:space="0"/>
              <w:bottom w:val="single" w:color="auto" w:sz="4" w:space="0"/>
              <w:right w:val="single" w:color="auto" w:sz="4" w:space="0"/>
            </w:tcBorders>
            <w:noWrap w:val="0"/>
            <w:vAlign w:val="center"/>
          </w:tcPr>
          <w:p w14:paraId="771C066C">
            <w:pPr>
              <w:keepNext w:val="0"/>
              <w:keepLines w:val="0"/>
              <w:suppressLineNumbers w:val="0"/>
              <w:spacing w:before="0" w:beforeAutospacing="0" w:after="0" w:afterAutospacing="0"/>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1项</w:t>
            </w:r>
          </w:p>
        </w:tc>
        <w:tc>
          <w:tcPr>
            <w:tcW w:w="3769" w:type="dxa"/>
            <w:tcBorders>
              <w:top w:val="single" w:color="auto" w:sz="4" w:space="0"/>
              <w:left w:val="single" w:color="auto" w:sz="4" w:space="0"/>
              <w:bottom w:val="single" w:color="auto" w:sz="4" w:space="0"/>
              <w:right w:val="single" w:color="auto" w:sz="4" w:space="0"/>
            </w:tcBorders>
            <w:noWrap w:val="0"/>
            <w:vAlign w:val="center"/>
          </w:tcPr>
          <w:p w14:paraId="685E984D">
            <w:pPr>
              <w:keepNext w:val="0"/>
              <w:keepLines w:val="0"/>
              <w:suppressLineNumbers w:val="0"/>
              <w:spacing w:before="0" w:beforeAutospacing="0" w:after="0" w:afterAutospacing="0" w:line="380" w:lineRule="exact"/>
              <w:ind w:left="0" w:right="0"/>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u w:val="none"/>
                <w:lang w:val="en-US" w:eastAsia="zh-CN"/>
              </w:rPr>
              <w:t>自合同签订之日起至2027年5月30日。</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78C6698">
            <w:pPr>
              <w:keepNext w:val="0"/>
              <w:keepLines w:val="0"/>
              <w:suppressLineNumbers w:val="0"/>
              <w:spacing w:before="0" w:beforeAutospacing="0" w:after="0" w:afterAutospacing="0" w:line="380" w:lineRule="exact"/>
              <w:ind w:left="0" w:right="0"/>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62万元</w:t>
            </w:r>
          </w:p>
        </w:tc>
      </w:tr>
    </w:tbl>
    <w:p w14:paraId="2FF65EB4">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五、合格投标人的资格要求（本项目资格后审）</w:t>
      </w:r>
    </w:p>
    <w:p w14:paraId="0886BA5E">
      <w:pPr>
        <w:spacing w:line="360"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一般资格条件：具有独立承担民事责任的能力；具有良好的商业信誉和健全的财务会计制度；具有履行合同所必需的设备和专业技术能力</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有依法缴纳税收和社会保障资金的良好记录；参加采购活动前三年内，在经营活动中没有重大违法记录；法律、行政法规规定的其他条件。</w:t>
      </w:r>
    </w:p>
    <w:p w14:paraId="6654A242">
      <w:pPr>
        <w:spacing w:line="360"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特定资格条件：</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rPr>
        <w:t>。</w:t>
      </w:r>
      <w:bookmarkStart w:id="6" w:name="_GoBack"/>
      <w:bookmarkEnd w:id="6"/>
    </w:p>
    <w:p w14:paraId="02D1D57B">
      <w:pPr>
        <w:spacing w:line="360"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单位负责人为同一人或者存在控股、管理关系的不同单位，不得参加同一标段投标或者未划分标段的同一招标项目投标。</w:t>
      </w:r>
    </w:p>
    <w:p w14:paraId="4534DBE1">
      <w:pPr>
        <w:spacing w:line="360"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人未被列入“信用中国”网站“失信被执行人”或“重大税收违法失信主体”或“政府采购严重违法失信行为”；不处于中国政府采购网“政府采购严重违法失信行为信息记录”中的禁止参加政府采购活动期间。（以投标截止日当天在“信用中国”网站、中国政府采购网查询结果为准，如相关失信记录已失效，投标人需提供相关证明资料；若在开标当天因不可抗力事件导致无法查询且一时无法恢复查询的，可在中标公示期间对中标候选人进行事后查询。中标候选人被列入“失信被执行人”或“重大税收违法失信主体”或“政府采购严重违法失信行为”的，或中标候选人处于中国政府采购网“政府采购严重违法失信行为信息记录”中的禁止参加政府采购活动期间，招标人将依法取消其中标资格）。</w:t>
      </w:r>
    </w:p>
    <w:p w14:paraId="6CD3700F">
      <w:pPr>
        <w:spacing w:line="360"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w:t>
      </w:r>
      <w:r>
        <w:rPr>
          <w:rFonts w:hint="eastAsia" w:ascii="宋体" w:hAnsi="宋体" w:cs="宋体"/>
          <w:color w:val="auto"/>
          <w:szCs w:val="21"/>
          <w:highlight w:val="none"/>
          <w:lang w:val="en-US" w:eastAsia="zh-CN"/>
        </w:rPr>
        <w:t>不</w:t>
      </w:r>
      <w:r>
        <w:rPr>
          <w:rFonts w:hint="eastAsia" w:ascii="宋体" w:hAnsi="宋体" w:eastAsia="宋体" w:cs="宋体"/>
          <w:color w:val="auto"/>
          <w:szCs w:val="21"/>
          <w:highlight w:val="none"/>
        </w:rPr>
        <w:t>接受联合体投标。</w:t>
      </w:r>
    </w:p>
    <w:p w14:paraId="221CED70">
      <w:pPr>
        <w:spacing w:line="360" w:lineRule="auto"/>
        <w:ind w:firstLine="474" w:firstLineChars="225"/>
        <w:rPr>
          <w:rFonts w:hint="eastAsia" w:ascii="宋体" w:hAnsi="宋体" w:cs="宋体"/>
          <w:b/>
          <w:color w:val="auto"/>
          <w:szCs w:val="21"/>
          <w:highlight w:val="none"/>
        </w:rPr>
      </w:pPr>
      <w:r>
        <w:rPr>
          <w:rFonts w:hint="eastAsia" w:ascii="宋体" w:hAnsi="宋体" w:cs="宋体"/>
          <w:b/>
          <w:color w:val="auto"/>
          <w:szCs w:val="21"/>
          <w:highlight w:val="none"/>
        </w:rPr>
        <w:t>六、招标文件的发售：</w:t>
      </w:r>
    </w:p>
    <w:p w14:paraId="01276451">
      <w:pPr>
        <w:spacing w:beforeLines="0" w:afterLines="0"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1.发售时间：2026年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日至2026年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17</w:t>
      </w:r>
      <w:r>
        <w:rPr>
          <w:rFonts w:hint="eastAsia" w:ascii="宋体" w:hAnsi="宋体" w:eastAsia="宋体" w:cs="宋体"/>
          <w:color w:val="auto"/>
          <w:sz w:val="21"/>
          <w:szCs w:val="21"/>
          <w:highlight w:val="none"/>
        </w:rPr>
        <w:t>日，每天上午8:30-11:00；下午1:30-5:00。</w:t>
      </w:r>
    </w:p>
    <w:p w14:paraId="6D6B0F57">
      <w:pPr>
        <w:spacing w:beforeLines="0" w:afterLines="0"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2.发售地点：宁波市鄞州区天童南路666号中基大厦19楼前台，联系人：李小姐，联系电话：0574-88090098，传真：0574-87425386，邮箱：719126619@qq.com</w:t>
      </w:r>
    </w:p>
    <w:p w14:paraId="30F52424">
      <w:pPr>
        <w:spacing w:beforeLines="0" w:afterLines="0"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3.售价：</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元。</w:t>
      </w:r>
    </w:p>
    <w:p w14:paraId="77BBF257">
      <w:pPr>
        <w:spacing w:beforeLines="0" w:afterLines="0" w:line="360" w:lineRule="auto"/>
        <w:ind w:firstLine="472" w:firstLineChars="225"/>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.未报名的投标人将被拒绝。</w:t>
      </w:r>
    </w:p>
    <w:p w14:paraId="710AD07A">
      <w:pPr>
        <w:spacing w:beforeLines="0" w:afterLines="0" w:line="360" w:lineRule="auto"/>
        <w:ind w:firstLine="434" w:firstLineChars="206"/>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七、</w:t>
      </w:r>
      <w:r>
        <w:rPr>
          <w:rFonts w:hint="eastAsia" w:ascii="宋体" w:hAnsi="宋体" w:eastAsia="宋体" w:cs="宋体"/>
          <w:b/>
          <w:color w:val="auto"/>
          <w:sz w:val="21"/>
          <w:szCs w:val="21"/>
          <w:highlight w:val="none"/>
        </w:rPr>
        <w:t>投标截止时间和地点：</w:t>
      </w:r>
    </w:p>
    <w:p w14:paraId="266D7EE5">
      <w:pPr>
        <w:spacing w:beforeLines="0" w:afterLines="0" w:line="360" w:lineRule="auto"/>
        <w:ind w:firstLine="432" w:firstLineChars="2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投标人应于2026年</w:t>
      </w:r>
      <w:r>
        <w:rPr>
          <w:rFonts w:hint="eastAsia" w:ascii="宋体" w:hAnsi="宋体" w:eastAsia="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时（北京时间）前将投标文件密封送交到</w:t>
      </w:r>
      <w:r>
        <w:rPr>
          <w:rFonts w:hint="eastAsia" w:ascii="宋体" w:hAnsi="宋体" w:eastAsia="宋体" w:cs="宋体"/>
          <w:color w:val="auto"/>
          <w:sz w:val="21"/>
          <w:szCs w:val="21"/>
          <w:highlight w:val="none"/>
          <w:u w:val="single"/>
        </w:rPr>
        <w:t>宁波中基国际招标有限公司（宁波市鄞州区天童南路666号中基大厦1</w:t>
      </w:r>
      <w:r>
        <w:rPr>
          <w:rFonts w:hint="eastAsia" w:ascii="宋体" w:hAnsi="宋体" w:cs="宋体"/>
          <w:color w:val="auto"/>
          <w:sz w:val="21"/>
          <w:szCs w:val="21"/>
          <w:highlight w:val="none"/>
          <w:u w:val="single"/>
          <w:lang w:val="en-US" w:eastAsia="zh-CN"/>
        </w:rPr>
        <w:t>9</w:t>
      </w:r>
      <w:r>
        <w:rPr>
          <w:rFonts w:hint="eastAsia" w:ascii="宋体" w:hAnsi="宋体" w:eastAsia="宋体" w:cs="宋体"/>
          <w:color w:val="auto"/>
          <w:sz w:val="21"/>
          <w:szCs w:val="21"/>
          <w:highlight w:val="none"/>
          <w:u w:val="single"/>
        </w:rPr>
        <w:t>楼）</w:t>
      </w:r>
      <w:r>
        <w:rPr>
          <w:rFonts w:hint="eastAsia" w:ascii="宋体" w:hAnsi="宋体" w:eastAsia="宋体" w:cs="宋体"/>
          <w:color w:val="auto"/>
          <w:sz w:val="21"/>
          <w:szCs w:val="21"/>
          <w:highlight w:val="none"/>
        </w:rPr>
        <w:t>，逾期送达或未密封将予以拒收。</w:t>
      </w:r>
    </w:p>
    <w:p w14:paraId="76589E44">
      <w:pPr>
        <w:spacing w:beforeLines="0" w:afterLines="0" w:line="360" w:lineRule="auto"/>
        <w:ind w:firstLine="434" w:firstLineChars="206"/>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八</w:t>
      </w:r>
      <w:r>
        <w:rPr>
          <w:rFonts w:hint="eastAsia" w:ascii="宋体" w:hAnsi="宋体" w:eastAsia="宋体" w:cs="宋体"/>
          <w:b/>
          <w:color w:val="auto"/>
          <w:sz w:val="21"/>
          <w:szCs w:val="21"/>
          <w:highlight w:val="none"/>
        </w:rPr>
        <w:t>、开标时间及地点：</w:t>
      </w:r>
    </w:p>
    <w:p w14:paraId="6152E02F">
      <w:pPr>
        <w:spacing w:beforeLines="0" w:afterLines="0" w:line="360" w:lineRule="auto"/>
        <w:ind w:firstLine="432" w:firstLineChars="20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本次招标将于2026年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时（北京时间）在</w:t>
      </w:r>
      <w:r>
        <w:rPr>
          <w:rFonts w:hint="eastAsia" w:ascii="宋体" w:hAnsi="宋体" w:eastAsia="宋体" w:cs="宋体"/>
          <w:color w:val="auto"/>
          <w:sz w:val="21"/>
          <w:szCs w:val="21"/>
          <w:highlight w:val="none"/>
          <w:u w:val="single"/>
        </w:rPr>
        <w:t>宁波中基国际招标有限公司（宁波市鄞州区天童南路666号中基大厦1</w:t>
      </w:r>
      <w:r>
        <w:rPr>
          <w:rFonts w:hint="eastAsia" w:ascii="宋体" w:hAnsi="宋体" w:cs="宋体"/>
          <w:color w:val="auto"/>
          <w:sz w:val="21"/>
          <w:szCs w:val="21"/>
          <w:highlight w:val="none"/>
          <w:u w:val="single"/>
          <w:lang w:val="en-US" w:eastAsia="zh-CN"/>
        </w:rPr>
        <w:t>9</w:t>
      </w:r>
      <w:r>
        <w:rPr>
          <w:rFonts w:hint="eastAsia" w:ascii="宋体" w:hAnsi="宋体" w:eastAsia="宋体" w:cs="宋体"/>
          <w:color w:val="auto"/>
          <w:sz w:val="21"/>
          <w:szCs w:val="21"/>
          <w:highlight w:val="none"/>
          <w:u w:val="single"/>
        </w:rPr>
        <w:t>楼）</w:t>
      </w:r>
      <w:r>
        <w:rPr>
          <w:rFonts w:hint="eastAsia" w:ascii="宋体" w:hAnsi="宋体" w:eastAsia="宋体" w:cs="宋体"/>
          <w:color w:val="auto"/>
          <w:sz w:val="21"/>
          <w:szCs w:val="21"/>
          <w:highlight w:val="none"/>
        </w:rPr>
        <w:t>开标，投标人可以派授权代表出席开标会议。</w:t>
      </w:r>
    </w:p>
    <w:p w14:paraId="6D3A46BA">
      <w:pPr>
        <w:spacing w:beforeLines="0" w:afterLines="0" w:line="360" w:lineRule="auto"/>
        <w:ind w:firstLine="434" w:firstLineChars="206"/>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九</w:t>
      </w:r>
      <w:r>
        <w:rPr>
          <w:rFonts w:hint="eastAsia" w:ascii="宋体" w:hAnsi="宋体" w:eastAsia="宋体" w:cs="宋体"/>
          <w:b/>
          <w:color w:val="auto"/>
          <w:sz w:val="21"/>
          <w:szCs w:val="21"/>
          <w:highlight w:val="none"/>
        </w:rPr>
        <w:t>、业务咨询：</w:t>
      </w:r>
    </w:p>
    <w:p w14:paraId="5E220D23">
      <w:pPr>
        <w:spacing w:beforeLines="0" w:afterLines="0"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招标人：</w:t>
      </w:r>
      <w:r>
        <w:rPr>
          <w:rFonts w:hint="eastAsia" w:ascii="宋体" w:hAnsi="宋体" w:cs="宋体"/>
          <w:color w:val="auto"/>
          <w:sz w:val="21"/>
          <w:szCs w:val="21"/>
          <w:highlight w:val="none"/>
          <w:lang w:eastAsia="zh-CN"/>
        </w:rPr>
        <w:t>宁波市经济和信息化局</w:t>
      </w:r>
    </w:p>
    <w:p w14:paraId="3CFB759A">
      <w:pPr>
        <w:spacing w:beforeLines="0" w:afterLines="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浙江省宁波市鄞州区福明街道宁穿路2001号</w:t>
      </w:r>
    </w:p>
    <w:p w14:paraId="772D9FE9">
      <w:pPr>
        <w:spacing w:beforeLines="0" w:afterLines="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val="en-US" w:eastAsia="zh-CN"/>
        </w:rPr>
        <w:t>蒋</w:t>
      </w:r>
      <w:r>
        <w:rPr>
          <w:rFonts w:hint="eastAsia" w:ascii="宋体" w:hAnsi="宋体" w:eastAsia="宋体" w:cs="宋体"/>
          <w:color w:val="auto"/>
          <w:sz w:val="21"/>
          <w:szCs w:val="21"/>
          <w:highlight w:val="none"/>
        </w:rPr>
        <w:t>老师</w:t>
      </w:r>
    </w:p>
    <w:p w14:paraId="171625FC">
      <w:pPr>
        <w:spacing w:beforeLines="0" w:afterLines="0"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联系电话：0574-</w:t>
      </w:r>
      <w:r>
        <w:rPr>
          <w:rFonts w:hint="eastAsia" w:ascii="宋体" w:hAnsi="宋体" w:cs="宋体"/>
          <w:color w:val="auto"/>
          <w:sz w:val="21"/>
          <w:szCs w:val="21"/>
          <w:highlight w:val="none"/>
          <w:lang w:val="en-US" w:eastAsia="zh-CN"/>
        </w:rPr>
        <w:t>89186438</w:t>
      </w:r>
    </w:p>
    <w:p w14:paraId="6A1E36B0">
      <w:pPr>
        <w:spacing w:beforeLines="0" w:afterLines="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招标代理机构：宁波中基国际招标有限公司</w:t>
      </w:r>
    </w:p>
    <w:p w14:paraId="0FA0B035">
      <w:pPr>
        <w:spacing w:beforeLines="0" w:afterLines="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地址：宁波市鄞州区天童南路666号中基大厦19楼</w:t>
      </w:r>
    </w:p>
    <w:p w14:paraId="0682B719">
      <w:pPr>
        <w:spacing w:beforeLines="0" w:afterLines="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联系人：王莹巧、张家辉</w:t>
      </w:r>
    </w:p>
    <w:p w14:paraId="5932EC0F">
      <w:pPr>
        <w:spacing w:beforeLines="0" w:afterLines="0"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联系电话：0574-</w:t>
      </w:r>
      <w:r>
        <w:rPr>
          <w:rFonts w:hint="eastAsia" w:ascii="宋体" w:hAnsi="宋体" w:cs="宋体"/>
          <w:color w:val="auto"/>
          <w:sz w:val="21"/>
          <w:szCs w:val="21"/>
          <w:highlight w:val="none"/>
          <w:lang w:val="en-US" w:eastAsia="zh-CN"/>
        </w:rPr>
        <w:t>87425583</w:t>
      </w:r>
    </w:p>
    <w:p w14:paraId="2066472A">
      <w:pPr>
        <w:spacing w:line="360" w:lineRule="auto"/>
        <w:jc w:val="center"/>
        <w:outlineLvl w:val="0"/>
        <w:rPr>
          <w:rFonts w:hint="eastAsia" w:ascii="宋体" w:hAnsi="宋体" w:cs="宋体"/>
          <w:b/>
          <w:bCs/>
          <w:color w:val="auto"/>
          <w:szCs w:val="21"/>
          <w:highlight w:val="none"/>
        </w:rPr>
      </w:pPr>
      <w:r>
        <w:rPr>
          <w:rFonts w:hint="eastAsia" w:ascii="宋体" w:hAnsi="宋体" w:cs="宋体"/>
          <w:b/>
          <w:bCs/>
          <w:color w:val="auto"/>
          <w:highlight w:val="none"/>
        </w:rPr>
        <w:br w:type="page"/>
      </w:r>
      <w:bookmarkStart w:id="1" w:name="_Toc29411"/>
      <w:r>
        <w:rPr>
          <w:rFonts w:hint="eastAsia" w:ascii="宋体" w:hAnsi="宋体" w:cs="宋体"/>
          <w:b/>
          <w:bCs/>
          <w:color w:val="auto"/>
          <w:sz w:val="28"/>
          <w:szCs w:val="28"/>
          <w:highlight w:val="none"/>
        </w:rPr>
        <w:t>第二章  招标需求</w:t>
      </w:r>
      <w:bookmarkEnd w:id="1"/>
    </w:p>
    <w:p w14:paraId="3C6DBBB5">
      <w:pPr>
        <w:spacing w:line="312"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一、重要商务要求一览表</w:t>
      </w:r>
    </w:p>
    <w:tbl>
      <w:tblPr>
        <w:tblStyle w:val="33"/>
        <w:tblW w:w="8675" w:type="dxa"/>
        <w:tblInd w:w="13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11"/>
        <w:gridCol w:w="6964"/>
      </w:tblGrid>
      <w:tr w14:paraId="0D4110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711" w:type="dxa"/>
            <w:tcBorders>
              <w:top w:val="single" w:color="auto" w:sz="4" w:space="0"/>
              <w:left w:val="single" w:color="auto" w:sz="4" w:space="0"/>
              <w:bottom w:val="single" w:color="auto" w:sz="4" w:space="0"/>
              <w:right w:val="single" w:color="auto" w:sz="4" w:space="0"/>
            </w:tcBorders>
            <w:noWrap w:val="0"/>
            <w:vAlign w:val="center"/>
          </w:tcPr>
          <w:p w14:paraId="01CC7437">
            <w:pPr>
              <w:keepNext w:val="0"/>
              <w:keepLines w:val="0"/>
              <w:suppressLineNumbers w:val="0"/>
              <w:spacing w:before="0" w:beforeAutospacing="0" w:after="0" w:afterAutospacing="0" w:line="360" w:lineRule="auto"/>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★1、服务期限</w:t>
            </w:r>
          </w:p>
        </w:tc>
        <w:tc>
          <w:tcPr>
            <w:tcW w:w="6964" w:type="dxa"/>
            <w:tcBorders>
              <w:top w:val="single" w:color="auto" w:sz="4" w:space="0"/>
              <w:left w:val="single" w:color="auto" w:sz="4" w:space="0"/>
              <w:bottom w:val="single" w:color="auto" w:sz="4" w:space="0"/>
              <w:right w:val="single" w:color="auto" w:sz="4" w:space="0"/>
            </w:tcBorders>
            <w:noWrap w:val="0"/>
            <w:vAlign w:val="center"/>
          </w:tcPr>
          <w:p w14:paraId="65FF62B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  招标公告》</w:t>
            </w:r>
          </w:p>
        </w:tc>
      </w:tr>
      <w:tr w14:paraId="6876C6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7F04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rPr>
              <w:t>2、服务地点</w:t>
            </w:r>
          </w:p>
        </w:tc>
        <w:tc>
          <w:tcPr>
            <w:tcW w:w="6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00183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kern w:val="2"/>
                <w:sz w:val="21"/>
                <w:szCs w:val="21"/>
                <w:highlight w:val="none"/>
                <w:lang w:val="en-US" w:eastAsia="zh-CN" w:bidi="ar-SA"/>
              </w:rPr>
            </w:pPr>
            <w:r>
              <w:rPr>
                <w:rFonts w:hint="eastAsia" w:hAnsi="宋体" w:eastAsia="宋体" w:cs="宋体"/>
                <w:color w:val="auto"/>
                <w:kern w:val="2"/>
                <w:sz w:val="21"/>
                <w:szCs w:val="21"/>
                <w:highlight w:val="none"/>
                <w:lang w:val="en-US" w:eastAsia="zh-CN"/>
              </w:rPr>
              <w:t>宁波市内招标人指定地点</w:t>
            </w:r>
          </w:p>
        </w:tc>
      </w:tr>
      <w:tr w14:paraId="595700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11" w:type="dxa"/>
            <w:tcBorders>
              <w:top w:val="single" w:color="auto" w:sz="4" w:space="0"/>
              <w:left w:val="single" w:color="auto" w:sz="4" w:space="0"/>
              <w:bottom w:val="single" w:color="auto" w:sz="4" w:space="0"/>
              <w:right w:val="single" w:color="auto" w:sz="4" w:space="0"/>
            </w:tcBorders>
            <w:noWrap w:val="0"/>
            <w:vAlign w:val="center"/>
          </w:tcPr>
          <w:p w14:paraId="6C27A355">
            <w:pPr>
              <w:keepNext w:val="0"/>
              <w:keepLines w:val="0"/>
              <w:suppressLineNumbers w:val="0"/>
              <w:spacing w:before="0" w:beforeAutospacing="0" w:after="0" w:afterAutospacing="0" w:line="360" w:lineRule="auto"/>
              <w:ind w:left="0" w:right="0"/>
              <w:jc w:val="left"/>
              <w:rPr>
                <w:rFonts w:hint="default" w:ascii="宋体" w:hAnsi="宋体" w:eastAsia="宋体" w:cs="宋体"/>
                <w:b/>
                <w:bCs/>
                <w:color w:val="auto"/>
                <w:szCs w:val="21"/>
                <w:highlight w:val="none"/>
                <w:lang w:val="en-US"/>
              </w:rPr>
            </w:pPr>
            <w:r>
              <w:rPr>
                <w:rFonts w:hint="eastAsia" w:ascii="宋体" w:hAnsi="宋体" w:eastAsia="宋体" w:cs="宋体"/>
                <w:b/>
                <w:bCs/>
                <w:color w:val="auto"/>
                <w:szCs w:val="21"/>
                <w:highlight w:val="none"/>
              </w:rPr>
              <w:t>★</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、履约保证金</w:t>
            </w:r>
          </w:p>
        </w:tc>
        <w:tc>
          <w:tcPr>
            <w:tcW w:w="6964" w:type="dxa"/>
            <w:tcBorders>
              <w:top w:val="single" w:color="auto" w:sz="4" w:space="0"/>
              <w:left w:val="single" w:color="auto" w:sz="4" w:space="0"/>
              <w:bottom w:val="single" w:color="auto" w:sz="4" w:space="0"/>
              <w:right w:val="single" w:color="auto" w:sz="4" w:space="0"/>
            </w:tcBorders>
            <w:noWrap w:val="0"/>
            <w:vAlign w:val="top"/>
          </w:tcPr>
          <w:p w14:paraId="7E8D798C">
            <w:pPr>
              <w:keepNext w:val="0"/>
              <w:keepLines w:val="0"/>
              <w:suppressLineNumbers w:val="0"/>
              <w:snapToGrid w:val="0"/>
              <w:spacing w:before="0" w:beforeAutospacing="0" w:after="0" w:afterAutospacing="0" w:line="360" w:lineRule="auto"/>
              <w:ind w:left="0" w:right="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无；</w:t>
            </w:r>
          </w:p>
        </w:tc>
      </w:tr>
      <w:tr w14:paraId="4EEFE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11" w:type="dxa"/>
            <w:tcBorders>
              <w:top w:val="single" w:color="auto" w:sz="4" w:space="0"/>
              <w:left w:val="single" w:color="auto" w:sz="4" w:space="0"/>
              <w:bottom w:val="single" w:color="auto" w:sz="4" w:space="0"/>
              <w:right w:val="single" w:color="auto" w:sz="4" w:space="0"/>
            </w:tcBorders>
            <w:noWrap w:val="0"/>
            <w:vAlign w:val="center"/>
          </w:tcPr>
          <w:p w14:paraId="255D6681">
            <w:pPr>
              <w:keepNext w:val="0"/>
              <w:keepLines w:val="0"/>
              <w:suppressLineNumbers w:val="0"/>
              <w:tabs>
                <w:tab w:val="left" w:pos="3234"/>
              </w:tabs>
              <w:spacing w:before="0" w:beforeAutospacing="0" w:after="0" w:afterAutospacing="0" w:line="360"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★4、付款方式</w:t>
            </w:r>
          </w:p>
        </w:tc>
        <w:tc>
          <w:tcPr>
            <w:tcW w:w="6964" w:type="dxa"/>
            <w:tcBorders>
              <w:top w:val="single" w:color="auto" w:sz="4" w:space="0"/>
              <w:left w:val="single" w:color="auto" w:sz="4" w:space="0"/>
              <w:bottom w:val="single" w:color="auto" w:sz="4" w:space="0"/>
              <w:right w:val="single" w:color="auto" w:sz="4" w:space="0"/>
            </w:tcBorders>
            <w:noWrap w:val="0"/>
            <w:vAlign w:val="top"/>
          </w:tcPr>
          <w:p w14:paraId="4EAC4CB6">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（1）合同签订且具备实施条件后，支付合同总价70%的预付款。</w:t>
            </w:r>
          </w:p>
          <w:p w14:paraId="4AA2EC8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（2）完成全部服务工作，根据绩效评价结果</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支付全部尾款。</w:t>
            </w:r>
          </w:p>
          <w:p w14:paraId="59D91893">
            <w:pPr>
              <w:keepNext w:val="0"/>
              <w:keepLines w:val="0"/>
              <w:suppressLineNumbers w:val="0"/>
              <w:spacing w:before="0" w:beforeAutospacing="0" w:after="0" w:afterAutospacing="0" w:line="360"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（3）招标人付款前至少7个工作日，中标人应提供正规足额的增值税发票，否则招标人有权拒绝付款。</w:t>
            </w:r>
          </w:p>
        </w:tc>
      </w:tr>
      <w:tr w14:paraId="58CE4D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1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18E50C">
            <w:pPr>
              <w:keepNext w:val="0"/>
              <w:keepLines w:val="0"/>
              <w:suppressLineNumbers w:val="0"/>
              <w:tabs>
                <w:tab w:val="left" w:pos="3234"/>
              </w:tabs>
              <w:spacing w:before="0" w:beforeAutospacing="0" w:after="0" w:afterAutospacing="0" w:line="360" w:lineRule="auto"/>
              <w:ind w:left="0" w:right="0"/>
              <w:jc w:val="left"/>
              <w:rPr>
                <w:rFonts w:hint="eastAsia"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lang w:val="en-US" w:eastAsia="zh-CN"/>
              </w:rPr>
              <w:t>5</w:t>
            </w:r>
            <w:r>
              <w:rPr>
                <w:rFonts w:hint="default" w:ascii="宋体" w:hAnsi="宋体" w:eastAsia="宋体" w:cs="宋体"/>
                <w:b/>
                <w:bCs/>
                <w:color w:val="auto"/>
                <w:szCs w:val="21"/>
                <w:highlight w:val="none"/>
                <w:lang w:val="en-US" w:eastAsia="zh-CN"/>
              </w:rPr>
              <w:t>、合同终止</w:t>
            </w:r>
          </w:p>
        </w:tc>
        <w:tc>
          <w:tcPr>
            <w:tcW w:w="69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8D5A0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中标人在合同有效期内，不得无理由终止合同，确有特殊情况的，须提前两个月向</w:t>
            </w:r>
            <w:r>
              <w:rPr>
                <w:rFonts w:hint="eastAsia" w:ascii="宋体" w:hAnsi="宋体" w:eastAsia="宋体" w:cs="宋体"/>
                <w:color w:val="auto"/>
                <w:szCs w:val="21"/>
                <w:highlight w:val="none"/>
                <w:lang w:val="en-US" w:eastAsia="zh-CN"/>
              </w:rPr>
              <w:t>招标人</w:t>
            </w:r>
            <w:r>
              <w:rPr>
                <w:rFonts w:hint="default" w:ascii="宋体" w:hAnsi="宋体" w:eastAsia="宋体" w:cs="宋体"/>
                <w:color w:val="auto"/>
                <w:szCs w:val="21"/>
                <w:highlight w:val="none"/>
                <w:lang w:val="en-US" w:eastAsia="zh-CN"/>
              </w:rPr>
              <w:t>提出书面申请，经</w:t>
            </w:r>
            <w:r>
              <w:rPr>
                <w:rFonts w:hint="eastAsia" w:ascii="宋体" w:hAnsi="宋体" w:eastAsia="宋体" w:cs="宋体"/>
                <w:color w:val="auto"/>
                <w:szCs w:val="21"/>
                <w:highlight w:val="none"/>
                <w:lang w:val="en-US" w:eastAsia="zh-CN"/>
              </w:rPr>
              <w:t>招标人</w:t>
            </w:r>
            <w:r>
              <w:rPr>
                <w:rFonts w:hint="default" w:ascii="宋体" w:hAnsi="宋体" w:eastAsia="宋体" w:cs="宋体"/>
                <w:color w:val="auto"/>
                <w:szCs w:val="21"/>
                <w:highlight w:val="none"/>
                <w:lang w:val="en-US" w:eastAsia="zh-CN"/>
              </w:rPr>
              <w:t>同意后，方可终止合同。因中标人不能保证工作质量，</w:t>
            </w:r>
            <w:r>
              <w:rPr>
                <w:rFonts w:hint="eastAsia" w:ascii="宋体" w:hAnsi="宋体" w:eastAsia="宋体" w:cs="宋体"/>
                <w:color w:val="auto"/>
                <w:szCs w:val="21"/>
                <w:highlight w:val="none"/>
                <w:lang w:val="en-US" w:eastAsia="zh-CN"/>
              </w:rPr>
              <w:t>招标人</w:t>
            </w:r>
            <w:r>
              <w:rPr>
                <w:rFonts w:hint="default" w:ascii="宋体" w:hAnsi="宋体" w:eastAsia="宋体" w:cs="宋体"/>
                <w:color w:val="auto"/>
                <w:szCs w:val="21"/>
                <w:highlight w:val="none"/>
                <w:lang w:val="en-US" w:eastAsia="zh-CN"/>
              </w:rPr>
              <w:t>可有权终止合同，中标人承担全部责任。</w:t>
            </w:r>
          </w:p>
        </w:tc>
      </w:tr>
      <w:tr w14:paraId="188E28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11" w:type="dxa"/>
            <w:tcBorders>
              <w:top w:val="single" w:color="auto" w:sz="4" w:space="0"/>
              <w:left w:val="single" w:color="auto" w:sz="4" w:space="0"/>
              <w:bottom w:val="single" w:color="auto" w:sz="4" w:space="0"/>
              <w:right w:val="single" w:color="auto" w:sz="4" w:space="0"/>
            </w:tcBorders>
            <w:noWrap w:val="0"/>
            <w:vAlign w:val="center"/>
          </w:tcPr>
          <w:p w14:paraId="7483389E">
            <w:pPr>
              <w:keepNext w:val="0"/>
              <w:keepLines w:val="0"/>
              <w:suppressLineNumbers w:val="0"/>
              <w:tabs>
                <w:tab w:val="left" w:pos="3234"/>
              </w:tabs>
              <w:spacing w:before="0" w:beforeAutospacing="0" w:after="0" w:afterAutospacing="0" w:line="360"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rPr>
              <w:t>、其他要求</w:t>
            </w:r>
          </w:p>
        </w:tc>
        <w:tc>
          <w:tcPr>
            <w:tcW w:w="6964" w:type="dxa"/>
            <w:tcBorders>
              <w:top w:val="single" w:color="auto" w:sz="4" w:space="0"/>
              <w:left w:val="single" w:color="auto" w:sz="4" w:space="0"/>
              <w:bottom w:val="single" w:color="auto" w:sz="4" w:space="0"/>
              <w:right w:val="single" w:color="auto" w:sz="4" w:space="0"/>
            </w:tcBorders>
            <w:noWrap w:val="0"/>
            <w:vAlign w:val="center"/>
          </w:tcPr>
          <w:p w14:paraId="045752B7">
            <w:pPr>
              <w:keepNext w:val="0"/>
              <w:keepLines w:val="0"/>
              <w:suppressLineNumbers w:val="0"/>
              <w:spacing w:before="0" w:beforeAutospacing="0" w:after="0" w:afterAutospacing="0" w:line="360" w:lineRule="auto"/>
              <w:ind w:left="0" w:right="0"/>
              <w:jc w:val="left"/>
              <w:textAlignment w:val="baseline"/>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详见第五章 合同主要条款</w:t>
            </w:r>
          </w:p>
        </w:tc>
      </w:tr>
    </w:tbl>
    <w:p w14:paraId="5929A68E">
      <w:pPr>
        <w:spacing w:line="312"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二、</w:t>
      </w:r>
      <w:r>
        <w:rPr>
          <w:rFonts w:hint="eastAsia" w:ascii="宋体" w:hAnsi="宋体" w:eastAsia="宋体" w:cs="宋体"/>
          <w:b/>
          <w:bCs/>
          <w:color w:val="auto"/>
          <w:szCs w:val="21"/>
          <w:highlight w:val="none"/>
          <w:lang w:val="en-US" w:eastAsia="zh-CN"/>
        </w:rPr>
        <w:t>项目</w:t>
      </w:r>
      <w:r>
        <w:rPr>
          <w:rFonts w:hint="eastAsia" w:ascii="宋体" w:hAnsi="宋体" w:cs="宋体"/>
          <w:b/>
          <w:bCs/>
          <w:color w:val="auto"/>
          <w:szCs w:val="21"/>
          <w:highlight w:val="none"/>
          <w:lang w:val="en-US" w:eastAsia="zh-CN"/>
        </w:rPr>
        <w:t>背景</w:t>
      </w:r>
    </w:p>
    <w:p w14:paraId="081502D7">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聚焦推动工业经济稳进提质增效、产业结构向高向新向优、制造业投资攻坚突破、常态长效服务企业等重点工作，全方位、多角度讲好宁波企业创新发展的奋斗故事，展现全市经信系统担当作为的良好风貌，努力营造推动工业和数字经济高质量发展的良好氛围。</w:t>
      </w:r>
    </w:p>
    <w:p w14:paraId="5560D88B">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为</w:t>
      </w:r>
      <w:r>
        <w:rPr>
          <w:rFonts w:hint="eastAsia" w:ascii="宋体" w:hAnsi="宋体" w:eastAsia="宋体" w:cs="宋体"/>
          <w:color w:val="auto"/>
          <w:szCs w:val="21"/>
          <w:highlight w:val="none"/>
          <w:lang w:val="en-US" w:eastAsia="zh-CN"/>
        </w:rPr>
        <w:t>建立重大主题宣传的央媒省媒联动机制，</w:t>
      </w:r>
      <w:r>
        <w:rPr>
          <w:rFonts w:hint="eastAsia" w:ascii="宋体" w:hAnsi="宋体" w:cs="宋体"/>
          <w:color w:val="auto"/>
          <w:szCs w:val="21"/>
          <w:highlight w:val="none"/>
          <w:lang w:val="en-US" w:eastAsia="zh-CN"/>
        </w:rPr>
        <w:t>拟委托第三方</w:t>
      </w:r>
      <w:r>
        <w:rPr>
          <w:rFonts w:hint="eastAsia" w:ascii="宋体" w:hAnsi="宋体" w:eastAsia="宋体" w:cs="宋体"/>
          <w:color w:val="auto"/>
          <w:szCs w:val="21"/>
          <w:highlight w:val="none"/>
          <w:lang w:val="en-US" w:eastAsia="zh-CN"/>
        </w:rPr>
        <w:t>围绕新型工业化示范区建设、“人工智能+制造”全场景开放创新等重大主题，定期向央媒省媒推送优质选题和</w:t>
      </w:r>
      <w:r>
        <w:rPr>
          <w:rFonts w:hint="eastAsia" w:ascii="宋体" w:hAnsi="宋体" w:cs="宋体"/>
          <w:color w:val="auto"/>
          <w:szCs w:val="21"/>
          <w:highlight w:val="none"/>
          <w:lang w:val="en-US" w:eastAsia="zh-CN"/>
        </w:rPr>
        <w:t>宣传</w:t>
      </w:r>
      <w:r>
        <w:rPr>
          <w:rFonts w:hint="eastAsia" w:ascii="宋体" w:hAnsi="宋体" w:eastAsia="宋体" w:cs="宋体"/>
          <w:color w:val="auto"/>
          <w:szCs w:val="21"/>
          <w:highlight w:val="none"/>
          <w:lang w:val="en-US" w:eastAsia="zh-CN"/>
        </w:rPr>
        <w:t>素材，形成若干深度专题</w:t>
      </w:r>
      <w:r>
        <w:rPr>
          <w:rFonts w:hint="eastAsia" w:ascii="宋体" w:hAnsi="宋体" w:cs="宋体"/>
          <w:color w:val="auto"/>
          <w:szCs w:val="21"/>
          <w:highlight w:val="none"/>
          <w:lang w:val="en-US" w:eastAsia="zh-CN"/>
        </w:rPr>
        <w:t>宣传</w:t>
      </w:r>
      <w:r>
        <w:rPr>
          <w:rFonts w:hint="eastAsia" w:ascii="宋体" w:hAnsi="宋体" w:eastAsia="宋体" w:cs="宋体"/>
          <w:color w:val="auto"/>
          <w:szCs w:val="21"/>
          <w:highlight w:val="none"/>
          <w:lang w:val="en-US" w:eastAsia="zh-CN"/>
        </w:rPr>
        <w:t>或宣传成果</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持续唱响宁波工业和数字经济高质量发展主旋律。</w:t>
      </w:r>
    </w:p>
    <w:p w14:paraId="6B0AC82F">
      <w:pPr>
        <w:spacing w:line="312"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三、服务内容</w:t>
      </w:r>
    </w:p>
    <w:p w14:paraId="75C907ED">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围绕工业和数字经济发展年度工作安排，深度挖掘我市企业在技术攻关、产品创新、场景落地、模式变革、标准创制等方面的实践和成果，总结提炼全市经信系统推进工业提质、数字赋能、服务企业等工作的典型经验与实践案例，通过省级以上媒体面向国内、国外开展宣传推广，累计开展宣传推广不少于50次。</w:t>
      </w:r>
    </w:p>
    <w:p w14:paraId="27ADD35E">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聚焦新型工业化示范区建设、“人工智能+制造”全场景开放创新等重大主题，开展系列宣传策划，通过省级以上主流媒体的报纸、客户端、门户网站等多渠道开展宣传推广，持续唱响宁波工业和数字经济高质量发展主旋律。累计策划不少于5个主题宣传系列，形成一批高质量系列宣传成果。</w:t>
      </w:r>
    </w:p>
    <w:p w14:paraId="55449D69">
      <w:pPr>
        <w:spacing w:line="312"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四、服务要求</w:t>
      </w:r>
    </w:p>
    <w:p w14:paraId="04D7CF0B">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1.服务团队</w:t>
      </w:r>
    </w:p>
    <w:p w14:paraId="0E3CE39A">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（1）投标人应投入具有丰富从业经验、高效稳定的制作团队，团队人员具备项目</w:t>
      </w:r>
      <w:r>
        <w:rPr>
          <w:rFonts w:hint="eastAsia" w:ascii="宋体" w:hAnsi="宋体" w:cs="宋体"/>
          <w:b w:val="0"/>
          <w:bCs w:val="0"/>
          <w:color w:val="auto"/>
          <w:szCs w:val="21"/>
          <w:highlight w:val="none"/>
          <w:lang w:val="en-US" w:eastAsia="zh-CN"/>
        </w:rPr>
        <w:t>内容</w:t>
      </w:r>
      <w:r>
        <w:rPr>
          <w:rFonts w:hint="eastAsia" w:ascii="宋体" w:hAnsi="宋体" w:eastAsia="宋体" w:cs="宋体"/>
          <w:b w:val="0"/>
          <w:bCs w:val="0"/>
          <w:color w:val="auto"/>
          <w:szCs w:val="21"/>
          <w:highlight w:val="none"/>
          <w:lang w:val="en-US" w:eastAsia="zh-CN"/>
        </w:rPr>
        <w:t>采</w:t>
      </w:r>
      <w:r>
        <w:rPr>
          <w:rFonts w:hint="eastAsia" w:ascii="宋体" w:hAnsi="宋体" w:cs="宋体"/>
          <w:b w:val="0"/>
          <w:bCs w:val="0"/>
          <w:color w:val="auto"/>
          <w:szCs w:val="21"/>
          <w:highlight w:val="none"/>
          <w:lang w:val="en-US" w:eastAsia="zh-CN"/>
        </w:rPr>
        <w:t>写</w:t>
      </w:r>
      <w:r>
        <w:rPr>
          <w:rFonts w:hint="eastAsia" w:ascii="宋体" w:hAnsi="宋体" w:eastAsia="宋体" w:cs="宋体"/>
          <w:b w:val="0"/>
          <w:bCs w:val="0"/>
          <w:color w:val="auto"/>
          <w:szCs w:val="21"/>
          <w:highlight w:val="none"/>
          <w:lang w:val="en-US" w:eastAsia="zh-CN"/>
        </w:rPr>
        <w:t>、新媒体运营、活动策划、宣传推广等相关工作经验。</w:t>
      </w:r>
    </w:p>
    <w:p w14:paraId="04B6D619">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（2）项目组团队人员组成至少</w:t>
      </w:r>
      <w:r>
        <w:rPr>
          <w:rFonts w:hint="eastAsia" w:ascii="宋体" w:hAnsi="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lang w:val="en-US" w:eastAsia="zh-CN"/>
        </w:rPr>
        <w:t>人。团队人员分工明确，具有与项目相关专业的学习经历。团队成员中有本科及以上学历，专业涉及新闻传播、中文、广告学、影视编导、市场营销等相关专业。团队包括文字编辑、视频编辑、美术编辑以及摄影摄像和新媒体运营等人员。投标文件中需明确项目组成员的数量，提供人员学历、职称等能力证明及人员简历从业经验等材料。</w:t>
      </w:r>
    </w:p>
    <w:p w14:paraId="38394EA7">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（3）投标人应明确项目负责人，并指定专人对接招标人日常宣传工作。项目负责人应具有</w:t>
      </w:r>
      <w:r>
        <w:rPr>
          <w:rFonts w:hint="eastAsia" w:ascii="宋体" w:hAnsi="宋体" w:cs="宋体"/>
          <w:b w:val="0"/>
          <w:bCs w:val="0"/>
          <w:color w:val="auto"/>
          <w:szCs w:val="21"/>
          <w:highlight w:val="none"/>
          <w:lang w:val="en-US" w:eastAsia="zh-CN"/>
        </w:rPr>
        <w:t>较为丰富的</w:t>
      </w:r>
      <w:r>
        <w:rPr>
          <w:rFonts w:hint="eastAsia" w:ascii="宋体" w:hAnsi="宋体" w:eastAsia="宋体" w:cs="宋体"/>
          <w:b w:val="0"/>
          <w:bCs w:val="0"/>
          <w:color w:val="auto"/>
          <w:szCs w:val="21"/>
          <w:highlight w:val="none"/>
          <w:lang w:val="en-US" w:eastAsia="zh-CN"/>
        </w:rPr>
        <w:t>时政、财经或产业类</w:t>
      </w:r>
      <w:r>
        <w:rPr>
          <w:rFonts w:hint="eastAsia" w:ascii="宋体" w:hAnsi="宋体" w:cs="宋体"/>
          <w:b w:val="0"/>
          <w:bCs w:val="0"/>
          <w:color w:val="auto"/>
          <w:szCs w:val="21"/>
          <w:highlight w:val="none"/>
          <w:lang w:val="en-US" w:eastAsia="zh-CN"/>
        </w:rPr>
        <w:t>采写</w:t>
      </w:r>
      <w:r>
        <w:rPr>
          <w:rFonts w:hint="eastAsia" w:ascii="宋体" w:hAnsi="宋体" w:eastAsia="宋体" w:cs="宋体"/>
          <w:b w:val="0"/>
          <w:bCs w:val="0"/>
          <w:color w:val="auto"/>
          <w:szCs w:val="21"/>
          <w:highlight w:val="none"/>
          <w:lang w:val="en-US" w:eastAsia="zh-CN"/>
        </w:rPr>
        <w:t>或宣传策划从业经验。</w:t>
      </w:r>
    </w:p>
    <w:p w14:paraId="63E31157">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（4）中标人须保持服务团队核心成员的稳定，项目负责人及核心成员原则上不得更换；因特殊原因确需更换的，须经招标人书面同意，且更换人员的资历不得低于原定人员。</w:t>
      </w:r>
    </w:p>
    <w:p w14:paraId="34952D5E">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 媒体资源要求</w:t>
      </w:r>
    </w:p>
    <w:p w14:paraId="16D40814">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投标人应具有省级以上主流媒体渠道资源，具备向央媒、省媒推送优质选题和</w:t>
      </w:r>
      <w:r>
        <w:rPr>
          <w:rFonts w:hint="eastAsia" w:ascii="宋体" w:hAnsi="宋体" w:cs="宋体"/>
          <w:b w:val="0"/>
          <w:bCs w:val="0"/>
          <w:color w:val="auto"/>
          <w:szCs w:val="21"/>
          <w:highlight w:val="none"/>
          <w:lang w:val="en-US" w:eastAsia="zh-CN"/>
        </w:rPr>
        <w:t>宣传</w:t>
      </w:r>
      <w:r>
        <w:rPr>
          <w:rFonts w:hint="eastAsia" w:ascii="宋体" w:hAnsi="宋体" w:eastAsia="宋体" w:cs="宋体"/>
          <w:b w:val="0"/>
          <w:bCs w:val="0"/>
          <w:color w:val="auto"/>
          <w:szCs w:val="21"/>
          <w:highlight w:val="none"/>
          <w:lang w:val="en-US" w:eastAsia="zh-CN"/>
        </w:rPr>
        <w:t>素材的能力。</w:t>
      </w:r>
    </w:p>
    <w:p w14:paraId="147BA9F3">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lang w:val="en-US" w:eastAsia="zh-CN"/>
        </w:rPr>
        <w:t>.场地及设备等要求</w:t>
      </w:r>
    </w:p>
    <w:p w14:paraId="4A3BEB2B">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投标人需自行投入办公场地、相关制作仪器设备及视频制作软件，实现本项目对主题活动相关信息（包括文字、影像记录）预热、宣传的要求。</w:t>
      </w:r>
    </w:p>
    <w:p w14:paraId="11112FEC">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4.</w:t>
      </w:r>
      <w:r>
        <w:rPr>
          <w:rFonts w:hint="eastAsia" w:ascii="宋体" w:hAnsi="宋体" w:eastAsia="宋体" w:cs="宋体"/>
          <w:b w:val="0"/>
          <w:bCs w:val="0"/>
          <w:color w:val="auto"/>
          <w:szCs w:val="21"/>
          <w:highlight w:val="none"/>
          <w:lang w:val="en-US" w:eastAsia="zh-CN"/>
        </w:rPr>
        <w:t>服务响应要求</w:t>
      </w:r>
    </w:p>
    <w:p w14:paraId="42ACFB2B">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（1）投标人需制定详细可行的配合、响应方案，提供本项目的应急配合人员，明确配合流程、反馈机制。</w:t>
      </w:r>
    </w:p>
    <w:p w14:paraId="504197D7">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（2）在项目实施期间，一般问题在接到招标人通知后1小时内响应，48小时内解决；紧急情况在30分钟内响应，24小时内解决。</w:t>
      </w:r>
    </w:p>
    <w:p w14:paraId="48E77648">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（3）投标人需制定全面的服务保障方案（至少包括人力保障、物力保障、经费保障、安全保障、应急保障）、落实服务承诺保障措施，明确服务期间的资源力量投入情况及响应方案。</w:t>
      </w:r>
    </w:p>
    <w:p w14:paraId="7D12C983">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（4）投标人应就服务期间可能出现的突发事件制定相应的应急处置方案，明确突发事件响应机制及处置方式和流程设计，并配合招标人做好相关保障。</w:t>
      </w:r>
    </w:p>
    <w:p w14:paraId="25A7E0A1">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default" w:ascii="宋体" w:hAnsi="宋体" w:eastAsia="宋体" w:cs="宋体"/>
          <w:b w:val="0"/>
          <w:bCs w:val="0"/>
          <w:color w:val="auto"/>
          <w:szCs w:val="21"/>
          <w:highlight w:val="none"/>
          <w:lang w:val="en-US" w:eastAsia="zh-CN"/>
        </w:rPr>
        <w:t>5.成果交付要求</w:t>
      </w:r>
    </w:p>
    <w:p w14:paraId="6218AD12">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default" w:ascii="宋体" w:hAnsi="宋体" w:eastAsia="宋体" w:cs="宋体"/>
          <w:b w:val="0"/>
          <w:bCs w:val="0"/>
          <w:color w:val="auto"/>
          <w:szCs w:val="21"/>
          <w:highlight w:val="none"/>
          <w:lang w:val="en-US" w:eastAsia="zh-CN"/>
        </w:rPr>
        <w:t>（1）所有宣传成果（包括文字稿件、图片、视频等）的原始素材及最终成品，中标人应按月度整理归档，交付招标人备案。</w:t>
      </w:r>
    </w:p>
    <w:p w14:paraId="1D195DC5">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default" w:ascii="宋体" w:hAnsi="宋体" w:eastAsia="宋体" w:cs="宋体"/>
          <w:b w:val="0"/>
          <w:bCs w:val="0"/>
          <w:color w:val="auto"/>
          <w:szCs w:val="21"/>
          <w:highlight w:val="none"/>
          <w:lang w:val="en-US" w:eastAsia="zh-CN"/>
        </w:rPr>
        <w:t>（2）中标人应按季度提交宣传效果分析报告，内容包括发布量统计、阅读量分析、转载情况、重点稿件传播效果等。</w:t>
      </w:r>
    </w:p>
    <w:p w14:paraId="5951687E">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default" w:ascii="宋体" w:hAnsi="宋体" w:eastAsia="宋体" w:cs="宋体"/>
          <w:b w:val="0"/>
          <w:bCs w:val="0"/>
          <w:color w:val="auto"/>
          <w:szCs w:val="21"/>
          <w:highlight w:val="none"/>
          <w:lang w:val="en-US" w:eastAsia="zh-CN"/>
        </w:rPr>
        <w:t>（3）合同期满后，中标人应将本项目全部成果资料（含原始素材）完整移交招标人，不得留存任何形式的复制品。</w:t>
      </w:r>
    </w:p>
    <w:p w14:paraId="0F9C8BEB">
      <w:pPr>
        <w:pStyle w:val="2"/>
        <w:rPr>
          <w:rFonts w:hint="default"/>
          <w:highlight w:val="none"/>
          <w:lang w:val="en-US" w:eastAsia="zh-CN"/>
        </w:rPr>
      </w:pPr>
    </w:p>
    <w:p w14:paraId="65A7BC2E">
      <w:pPr>
        <w:spacing w:line="312"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五、绩效评价</w:t>
      </w:r>
    </w:p>
    <w:p w14:paraId="66A4047A">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本项目采取绩效评价制度，评价结果与合同尾款支付直接挂钩。</w:t>
      </w:r>
    </w:p>
    <w:p w14:paraId="0D4EFECA">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w:t>
      </w:r>
      <w:r>
        <w:rPr>
          <w:rFonts w:hint="eastAsia" w:ascii="宋体" w:hAnsi="宋体" w:eastAsia="宋体" w:cs="宋体"/>
          <w:b w:val="0"/>
          <w:bCs w:val="0"/>
          <w:color w:val="auto"/>
          <w:szCs w:val="21"/>
          <w:highlight w:val="none"/>
          <w:lang w:val="en-US" w:eastAsia="zh-CN"/>
        </w:rPr>
        <w:t>评价等级与尾款支付比例</w:t>
      </w:r>
    </w:p>
    <w:p w14:paraId="4445BB6D">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采取</w:t>
      </w:r>
      <w:r>
        <w:rPr>
          <w:rFonts w:hint="eastAsia" w:ascii="宋体" w:hAnsi="宋体" w:cs="宋体"/>
          <w:b w:val="0"/>
          <w:bCs w:val="0"/>
          <w:color w:val="auto"/>
          <w:szCs w:val="21"/>
          <w:highlight w:val="none"/>
          <w:lang w:val="en-US" w:eastAsia="zh-CN"/>
        </w:rPr>
        <w:t>百分制，评价结果与尾款支付比例挂钩：</w:t>
      </w:r>
    </w:p>
    <w:p w14:paraId="22F4BFD7">
      <w:pPr>
        <w:numPr>
          <w:ilvl w:val="0"/>
          <w:numId w:val="5"/>
        </w:num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总分高于90分（含），评定为优秀，支付100%尾款；</w:t>
      </w:r>
    </w:p>
    <w:p w14:paraId="53C55E37">
      <w:pPr>
        <w:numPr>
          <w:ilvl w:val="0"/>
          <w:numId w:val="5"/>
        </w:numPr>
        <w:spacing w:line="360" w:lineRule="auto"/>
        <w:ind w:firstLine="420" w:firstLineChars="200"/>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总分80（含）-89分（含）</w:t>
      </w:r>
      <w:r>
        <w:rPr>
          <w:rFonts w:hint="default" w:ascii="宋体" w:hAnsi="宋体" w:cs="宋体"/>
          <w:b w:val="0"/>
          <w:bCs w:val="0"/>
          <w:color w:val="auto"/>
          <w:szCs w:val="21"/>
          <w:highlight w:val="none"/>
          <w:lang w:val="en-US" w:eastAsia="zh-CN"/>
        </w:rPr>
        <w:t>评定良好，支付80%尾款；</w:t>
      </w:r>
    </w:p>
    <w:p w14:paraId="5B832EEC">
      <w:pPr>
        <w:numPr>
          <w:ilvl w:val="0"/>
          <w:numId w:val="5"/>
        </w:numPr>
        <w:spacing w:line="360" w:lineRule="auto"/>
        <w:ind w:firstLine="420" w:firstLineChars="200"/>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总分</w:t>
      </w:r>
      <w:r>
        <w:rPr>
          <w:rFonts w:hint="eastAsia" w:ascii="宋体" w:hAnsi="宋体" w:cs="宋体"/>
          <w:b w:val="0"/>
          <w:bCs w:val="0"/>
          <w:color w:val="auto"/>
          <w:szCs w:val="21"/>
          <w:highlight w:val="none"/>
          <w:lang w:val="en-US" w:eastAsia="zh-CN"/>
        </w:rPr>
        <w:t>60（含）</w:t>
      </w:r>
      <w:r>
        <w:rPr>
          <w:rFonts w:hint="default" w:ascii="宋体" w:hAnsi="宋体" w:cs="宋体"/>
          <w:b w:val="0"/>
          <w:bCs w:val="0"/>
          <w:color w:val="auto"/>
          <w:szCs w:val="21"/>
          <w:highlight w:val="none"/>
          <w:lang w:val="en-US" w:eastAsia="zh-CN"/>
        </w:rPr>
        <w:t>-</w:t>
      </w:r>
      <w:r>
        <w:rPr>
          <w:rFonts w:hint="eastAsia" w:ascii="宋体" w:hAnsi="宋体" w:cs="宋体"/>
          <w:b w:val="0"/>
          <w:bCs w:val="0"/>
          <w:color w:val="auto"/>
          <w:szCs w:val="21"/>
          <w:highlight w:val="none"/>
          <w:lang w:val="en-US" w:eastAsia="zh-CN"/>
        </w:rPr>
        <w:t>79</w:t>
      </w:r>
      <w:r>
        <w:rPr>
          <w:rFonts w:hint="default" w:ascii="宋体" w:hAnsi="宋体" w:cs="宋体"/>
          <w:b w:val="0"/>
          <w:bCs w:val="0"/>
          <w:color w:val="auto"/>
          <w:szCs w:val="21"/>
          <w:highlight w:val="none"/>
          <w:lang w:val="en-US" w:eastAsia="zh-CN"/>
        </w:rPr>
        <w:t>分（含）评定合格，支付60%尾款；</w:t>
      </w:r>
    </w:p>
    <w:p w14:paraId="17120CBB">
      <w:pPr>
        <w:numPr>
          <w:ilvl w:val="0"/>
          <w:numId w:val="5"/>
        </w:numPr>
        <w:spacing w:line="360" w:lineRule="auto"/>
        <w:ind w:firstLine="420" w:firstLineChars="200"/>
        <w:rPr>
          <w:rFonts w:hint="default" w:ascii="宋体" w:hAnsi="宋体" w:cs="宋体"/>
          <w:b w:val="0"/>
          <w:bCs w:val="0"/>
          <w:color w:val="auto"/>
          <w:szCs w:val="21"/>
          <w:highlight w:val="none"/>
          <w:lang w:val="en-US" w:eastAsia="zh-CN"/>
        </w:rPr>
      </w:pPr>
      <w:r>
        <w:rPr>
          <w:rFonts w:hint="default" w:ascii="宋体" w:hAnsi="宋体" w:cs="宋体"/>
          <w:b w:val="0"/>
          <w:bCs w:val="0"/>
          <w:color w:val="auto"/>
          <w:szCs w:val="21"/>
          <w:highlight w:val="none"/>
          <w:lang w:val="en-US" w:eastAsia="zh-CN"/>
        </w:rPr>
        <w:t>总分60</w:t>
      </w:r>
      <w:r>
        <w:rPr>
          <w:rFonts w:hint="eastAsia" w:ascii="宋体" w:hAnsi="宋体" w:cs="宋体"/>
          <w:b w:val="0"/>
          <w:bCs w:val="0"/>
          <w:color w:val="auto"/>
          <w:szCs w:val="21"/>
          <w:highlight w:val="none"/>
          <w:lang w:val="en-US" w:eastAsia="zh-CN"/>
        </w:rPr>
        <w:t>分以下</w:t>
      </w:r>
      <w:r>
        <w:rPr>
          <w:rFonts w:hint="default" w:ascii="宋体" w:hAnsi="宋体" w:cs="宋体"/>
          <w:b w:val="0"/>
          <w:bCs w:val="0"/>
          <w:color w:val="auto"/>
          <w:szCs w:val="21"/>
          <w:highlight w:val="none"/>
          <w:lang w:val="en-US" w:eastAsia="zh-CN"/>
        </w:rPr>
        <w:t>评定不合格，不支付尾款。</w:t>
      </w:r>
    </w:p>
    <w:p w14:paraId="77B65005">
      <w:pPr>
        <w:spacing w:line="360" w:lineRule="auto"/>
        <w:ind w:firstLine="420" w:firstLineChars="200"/>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w:t>
      </w:r>
      <w:r>
        <w:rPr>
          <w:rFonts w:hint="default" w:ascii="宋体" w:hAnsi="宋体" w:eastAsia="宋体" w:cs="宋体"/>
          <w:b w:val="0"/>
          <w:bCs w:val="0"/>
          <w:color w:val="auto"/>
          <w:szCs w:val="21"/>
          <w:highlight w:val="none"/>
          <w:lang w:val="en-US" w:eastAsia="zh-CN"/>
        </w:rPr>
        <w:t>评价组织</w:t>
      </w:r>
    </w:p>
    <w:p w14:paraId="05708686">
      <w:pPr>
        <w:spacing w:line="360" w:lineRule="auto"/>
        <w:ind w:firstLine="420" w:firstLineChars="200"/>
        <w:rPr>
          <w:rFonts w:hint="default"/>
          <w:highlight w:val="none"/>
          <w:lang w:val="en-US" w:eastAsia="zh-CN"/>
        </w:rPr>
      </w:pPr>
      <w:r>
        <w:rPr>
          <w:rFonts w:hint="default" w:ascii="宋体" w:hAnsi="宋体" w:cs="宋体"/>
          <w:b w:val="0"/>
          <w:bCs w:val="0"/>
          <w:color w:val="auto"/>
          <w:szCs w:val="21"/>
          <w:highlight w:val="none"/>
          <w:lang w:val="en-US" w:eastAsia="zh-CN"/>
        </w:rPr>
        <w:t>绩效评价由招标人组织实施，可邀请相关专家或第三方机构参与。评价依据包括：中标人提交的季度分析报告、日常宣传成果汇总、招标人日常记录及满意度评价等。</w:t>
      </w:r>
    </w:p>
    <w:p w14:paraId="0A6C364C">
      <w:pPr>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lang w:val="en-US" w:eastAsia="zh-CN"/>
        </w:rPr>
        <w:t>评价指标</w:t>
      </w:r>
      <w:r>
        <w:rPr>
          <w:rFonts w:hint="eastAsia" w:ascii="宋体" w:hAnsi="宋体" w:cs="宋体"/>
          <w:b w:val="0"/>
          <w:bCs w:val="0"/>
          <w:color w:val="auto"/>
          <w:szCs w:val="21"/>
          <w:highlight w:val="none"/>
          <w:lang w:val="en-US" w:eastAsia="zh-CN"/>
        </w:rPr>
        <w:t>（最终评价指标以合同签订时确认的为准）</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
        <w:gridCol w:w="752"/>
        <w:gridCol w:w="950"/>
        <w:gridCol w:w="2605"/>
        <w:gridCol w:w="2091"/>
        <w:gridCol w:w="2113"/>
      </w:tblGrid>
      <w:tr w14:paraId="475E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649D11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i w:val="0"/>
                <w:iCs w:val="0"/>
                <w:caps w:val="0"/>
                <w:color w:val="0F1115"/>
                <w:spacing w:val="0"/>
                <w:kern w:val="2"/>
                <w:sz w:val="21"/>
                <w:szCs w:val="21"/>
                <w:highlight w:val="none"/>
                <w:lang w:val="en-US" w:eastAsia="zh-CN" w:bidi="ar-SA"/>
              </w:rPr>
            </w:pPr>
            <w:r>
              <w:rPr>
                <w:rFonts w:hint="eastAsia" w:ascii="宋体" w:hAnsi="宋体" w:eastAsia="宋体" w:cs="宋体"/>
                <w:b/>
                <w:bCs/>
                <w:i w:val="0"/>
                <w:iCs w:val="0"/>
                <w:caps w:val="0"/>
                <w:color w:val="0F1115"/>
                <w:spacing w:val="0"/>
                <w:kern w:val="0"/>
                <w:sz w:val="21"/>
                <w:szCs w:val="21"/>
                <w:highlight w:val="none"/>
                <w:lang w:val="en-US" w:eastAsia="zh-CN" w:bidi="ar"/>
              </w:rPr>
              <w:t>序号</w:t>
            </w:r>
          </w:p>
        </w:tc>
        <w:tc>
          <w:tcPr>
            <w:tcW w:w="752" w:type="dxa"/>
            <w:shd w:val="clear" w:color="auto" w:fill="FFFFFF"/>
            <w:vAlign w:val="center"/>
          </w:tcPr>
          <w:p w14:paraId="5707A4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i w:val="0"/>
                <w:iCs w:val="0"/>
                <w:caps w:val="0"/>
                <w:color w:val="0F1115"/>
                <w:spacing w:val="0"/>
                <w:kern w:val="2"/>
                <w:sz w:val="21"/>
                <w:szCs w:val="21"/>
                <w:highlight w:val="none"/>
                <w:lang w:val="en-US" w:eastAsia="zh-CN" w:bidi="ar-SA"/>
              </w:rPr>
            </w:pPr>
            <w:r>
              <w:rPr>
                <w:rFonts w:hint="eastAsia" w:ascii="宋体" w:hAnsi="宋体" w:eastAsia="宋体" w:cs="宋体"/>
                <w:b/>
                <w:bCs/>
                <w:i w:val="0"/>
                <w:iCs w:val="0"/>
                <w:caps w:val="0"/>
                <w:color w:val="0F1115"/>
                <w:spacing w:val="0"/>
                <w:kern w:val="0"/>
                <w:sz w:val="21"/>
                <w:szCs w:val="21"/>
                <w:highlight w:val="none"/>
                <w:lang w:val="en-US" w:eastAsia="zh-CN" w:bidi="ar"/>
              </w:rPr>
              <w:t>一级指标</w:t>
            </w:r>
          </w:p>
        </w:tc>
        <w:tc>
          <w:tcPr>
            <w:tcW w:w="950" w:type="dxa"/>
            <w:shd w:val="clear" w:color="auto" w:fill="FFFFFF"/>
            <w:vAlign w:val="center"/>
          </w:tcPr>
          <w:p w14:paraId="602E13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i w:val="0"/>
                <w:iCs w:val="0"/>
                <w:caps w:val="0"/>
                <w:color w:val="0F1115"/>
                <w:spacing w:val="0"/>
                <w:kern w:val="2"/>
                <w:sz w:val="21"/>
                <w:szCs w:val="21"/>
                <w:highlight w:val="none"/>
                <w:lang w:val="en-US" w:eastAsia="zh-CN" w:bidi="ar-SA"/>
              </w:rPr>
            </w:pPr>
            <w:r>
              <w:rPr>
                <w:rFonts w:hint="eastAsia" w:ascii="宋体" w:hAnsi="宋体" w:eastAsia="宋体" w:cs="宋体"/>
                <w:b/>
                <w:bCs/>
                <w:i w:val="0"/>
                <w:iCs w:val="0"/>
                <w:caps w:val="0"/>
                <w:color w:val="0F1115"/>
                <w:spacing w:val="0"/>
                <w:kern w:val="0"/>
                <w:sz w:val="21"/>
                <w:szCs w:val="21"/>
                <w:highlight w:val="none"/>
                <w:lang w:val="en-US" w:eastAsia="zh-CN" w:bidi="ar"/>
              </w:rPr>
              <w:t>二级指标</w:t>
            </w:r>
          </w:p>
        </w:tc>
        <w:tc>
          <w:tcPr>
            <w:tcW w:w="2605" w:type="dxa"/>
            <w:shd w:val="clear" w:color="auto" w:fill="FFFFFF"/>
            <w:vAlign w:val="center"/>
          </w:tcPr>
          <w:p w14:paraId="6EF4A2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i w:val="0"/>
                <w:iCs w:val="0"/>
                <w:caps w:val="0"/>
                <w:color w:val="0F1115"/>
                <w:spacing w:val="0"/>
                <w:kern w:val="2"/>
                <w:sz w:val="21"/>
                <w:szCs w:val="21"/>
                <w:highlight w:val="none"/>
                <w:lang w:val="en-US" w:eastAsia="zh-CN" w:bidi="ar-SA"/>
              </w:rPr>
            </w:pPr>
            <w:r>
              <w:rPr>
                <w:rFonts w:hint="eastAsia" w:ascii="宋体" w:hAnsi="宋体" w:eastAsia="宋体" w:cs="宋体"/>
                <w:b/>
                <w:bCs/>
                <w:i w:val="0"/>
                <w:iCs w:val="0"/>
                <w:caps w:val="0"/>
                <w:color w:val="0F1115"/>
                <w:spacing w:val="0"/>
                <w:kern w:val="0"/>
                <w:sz w:val="21"/>
                <w:szCs w:val="21"/>
                <w:highlight w:val="none"/>
                <w:lang w:val="en-US" w:eastAsia="zh-CN" w:bidi="ar"/>
              </w:rPr>
              <w:t>指标内容</w:t>
            </w:r>
          </w:p>
        </w:tc>
        <w:tc>
          <w:tcPr>
            <w:tcW w:w="2091" w:type="dxa"/>
            <w:shd w:val="clear" w:color="auto" w:fill="FFFFFF"/>
            <w:vAlign w:val="center"/>
          </w:tcPr>
          <w:p w14:paraId="2802D57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i w:val="0"/>
                <w:iCs w:val="0"/>
                <w:caps w:val="0"/>
                <w:color w:val="0F1115"/>
                <w:spacing w:val="0"/>
                <w:kern w:val="2"/>
                <w:sz w:val="21"/>
                <w:szCs w:val="21"/>
                <w:highlight w:val="none"/>
                <w:lang w:val="en-US" w:eastAsia="zh-CN" w:bidi="ar-SA"/>
              </w:rPr>
            </w:pPr>
            <w:r>
              <w:rPr>
                <w:rFonts w:hint="eastAsia" w:ascii="宋体" w:hAnsi="宋体" w:eastAsia="宋体" w:cs="宋体"/>
                <w:b/>
                <w:bCs/>
                <w:i w:val="0"/>
                <w:iCs w:val="0"/>
                <w:caps w:val="0"/>
                <w:color w:val="0F1115"/>
                <w:spacing w:val="0"/>
                <w:kern w:val="0"/>
                <w:sz w:val="21"/>
                <w:szCs w:val="21"/>
                <w:highlight w:val="none"/>
                <w:lang w:val="en-US" w:eastAsia="zh-CN" w:bidi="ar"/>
              </w:rPr>
              <w:t>评分标准</w:t>
            </w:r>
          </w:p>
        </w:tc>
        <w:tc>
          <w:tcPr>
            <w:tcW w:w="2113" w:type="dxa"/>
            <w:shd w:val="clear" w:color="auto" w:fill="FFFFFF"/>
            <w:vAlign w:val="center"/>
          </w:tcPr>
          <w:p w14:paraId="25ED1B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i w:val="0"/>
                <w:iCs w:val="0"/>
                <w:caps w:val="0"/>
                <w:color w:val="0F1115"/>
                <w:spacing w:val="0"/>
                <w:kern w:val="0"/>
                <w:sz w:val="21"/>
                <w:szCs w:val="21"/>
                <w:highlight w:val="none"/>
                <w:lang w:val="en-US" w:eastAsia="zh-CN" w:bidi="ar"/>
              </w:rPr>
            </w:pPr>
            <w:r>
              <w:rPr>
                <w:rFonts w:hint="eastAsia" w:ascii="宋体" w:hAnsi="宋体" w:eastAsia="宋体" w:cs="宋体"/>
                <w:b/>
                <w:bCs/>
                <w:i w:val="0"/>
                <w:iCs w:val="0"/>
                <w:caps w:val="0"/>
                <w:color w:val="0F1115"/>
                <w:spacing w:val="0"/>
                <w:kern w:val="0"/>
                <w:sz w:val="21"/>
                <w:szCs w:val="21"/>
                <w:highlight w:val="none"/>
                <w:lang w:val="en-US" w:eastAsia="zh-CN" w:bidi="ar"/>
              </w:rPr>
              <w:t>数据来源/佐证材料</w:t>
            </w:r>
          </w:p>
        </w:tc>
      </w:tr>
      <w:tr w14:paraId="6510D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436" w:type="dxa"/>
            <w:shd w:val="clear" w:color="auto" w:fill="FFFFFF"/>
            <w:vAlign w:val="center"/>
          </w:tcPr>
          <w:p w14:paraId="6426BB4F">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shd w:val="clear" w:color="auto" w:fill="auto"/>
                <w:lang w:val="en-US" w:eastAsia="zh-CN" w:bidi="ar-SA"/>
              </w:rPr>
            </w:pPr>
            <w:r>
              <w:rPr>
                <w:rFonts w:hint="eastAsia" w:ascii="宋体" w:hAnsi="宋体" w:eastAsia="宋体" w:cs="宋体"/>
                <w:i w:val="0"/>
                <w:iCs w:val="0"/>
                <w:caps w:val="0"/>
                <w:color w:val="0F1115"/>
                <w:spacing w:val="0"/>
                <w:kern w:val="2"/>
                <w:sz w:val="22"/>
                <w:szCs w:val="22"/>
                <w:highlight w:val="none"/>
                <w:shd w:val="clear" w:color="auto" w:fill="auto"/>
                <w:lang w:val="en-US" w:eastAsia="zh-CN" w:bidi="ar-SA"/>
              </w:rPr>
              <w:t>1</w:t>
            </w:r>
          </w:p>
        </w:tc>
        <w:tc>
          <w:tcPr>
            <w:tcW w:w="752" w:type="dxa"/>
            <w:vMerge w:val="restart"/>
            <w:shd w:val="clear" w:color="auto" w:fill="FFFFFF"/>
            <w:vAlign w:val="center"/>
          </w:tcPr>
          <w:p w14:paraId="739408F8">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shd w:val="clear" w:color="auto" w:fill="auto"/>
                <w:lang w:val="en-US" w:eastAsia="zh-CN" w:bidi="ar-SA"/>
              </w:rPr>
            </w:pPr>
            <w:r>
              <w:rPr>
                <w:rFonts w:hint="eastAsia" w:ascii="宋体" w:hAnsi="宋体" w:eastAsia="宋体" w:cs="宋体"/>
                <w:i w:val="0"/>
                <w:iCs w:val="0"/>
                <w:caps w:val="0"/>
                <w:color w:val="0F1115"/>
                <w:spacing w:val="0"/>
                <w:kern w:val="0"/>
                <w:sz w:val="22"/>
                <w:szCs w:val="22"/>
                <w:highlight w:val="none"/>
                <w:shd w:val="clear" w:color="auto" w:fill="auto"/>
                <w:lang w:val="en-US" w:eastAsia="zh-CN" w:bidi="ar"/>
              </w:rPr>
              <w:t>传播效能（60分）</w:t>
            </w:r>
          </w:p>
        </w:tc>
        <w:tc>
          <w:tcPr>
            <w:tcW w:w="950" w:type="dxa"/>
            <w:shd w:val="clear" w:color="auto" w:fill="FFFFFF"/>
            <w:vAlign w:val="center"/>
          </w:tcPr>
          <w:p w14:paraId="640872F0">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传播度</w:t>
            </w:r>
          </w:p>
          <w:p w14:paraId="32FD15D6">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（20分）</w:t>
            </w:r>
          </w:p>
        </w:tc>
        <w:tc>
          <w:tcPr>
            <w:tcW w:w="2605" w:type="dxa"/>
            <w:shd w:val="clear" w:color="auto" w:fill="FFFFFF"/>
            <w:vAlign w:val="center"/>
          </w:tcPr>
          <w:p w14:paraId="7D4BB473">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全年总阅读量不少于50万次，平均阅读量不少于1.5万次。</w:t>
            </w:r>
          </w:p>
        </w:tc>
        <w:tc>
          <w:tcPr>
            <w:tcW w:w="2091" w:type="dxa"/>
            <w:shd w:val="clear" w:color="auto" w:fill="FFFFFF"/>
            <w:vAlign w:val="center"/>
          </w:tcPr>
          <w:p w14:paraId="7725FA1B">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达标，得满分；未达标，按比例扣分。单篇阅读量超过3万次的，加1分，最高加3分。</w:t>
            </w:r>
          </w:p>
        </w:tc>
        <w:tc>
          <w:tcPr>
            <w:tcW w:w="2113" w:type="dxa"/>
            <w:shd w:val="clear" w:color="auto" w:fill="FFFFFF"/>
            <w:vAlign w:val="center"/>
          </w:tcPr>
          <w:p w14:paraId="2380880F">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平台后台数据截图（微信、网站、客户端等）</w:t>
            </w:r>
          </w:p>
        </w:tc>
      </w:tr>
      <w:tr w14:paraId="7115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50493DD9">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shd w:val="clear" w:color="auto" w:fill="auto"/>
                <w:lang w:val="en-US" w:eastAsia="zh-CN" w:bidi="ar-SA"/>
              </w:rPr>
            </w:pPr>
            <w:r>
              <w:rPr>
                <w:rFonts w:hint="eastAsia" w:ascii="宋体" w:hAnsi="宋体" w:eastAsia="宋体" w:cs="宋体"/>
                <w:i w:val="0"/>
                <w:iCs w:val="0"/>
                <w:caps w:val="0"/>
                <w:color w:val="0F1115"/>
                <w:spacing w:val="0"/>
                <w:kern w:val="2"/>
                <w:sz w:val="22"/>
                <w:szCs w:val="22"/>
                <w:highlight w:val="none"/>
                <w:shd w:val="clear" w:color="auto" w:fill="auto"/>
                <w:lang w:val="en-US" w:eastAsia="zh-CN" w:bidi="ar-SA"/>
              </w:rPr>
              <w:t>2</w:t>
            </w:r>
          </w:p>
        </w:tc>
        <w:tc>
          <w:tcPr>
            <w:tcW w:w="752" w:type="dxa"/>
            <w:vMerge w:val="continue"/>
            <w:shd w:val="clear" w:color="auto" w:fill="FFFFFF"/>
            <w:vAlign w:val="center"/>
          </w:tcPr>
          <w:p w14:paraId="22EA44C0">
            <w:pPr>
              <w:keepNext w:val="0"/>
              <w:keepLines w:val="0"/>
              <w:suppressLineNumbers w:val="0"/>
              <w:spacing w:before="0" w:beforeAutospacing="0" w:after="0" w:afterAutospacing="0"/>
              <w:ind w:left="0" w:right="0"/>
              <w:rPr>
                <w:rFonts w:hint="eastAsia" w:ascii="宋体" w:hAnsi="宋体" w:eastAsia="宋体" w:cs="宋体"/>
                <w:i w:val="0"/>
                <w:iCs w:val="0"/>
                <w:caps w:val="0"/>
                <w:color w:val="0F1115"/>
                <w:spacing w:val="0"/>
                <w:kern w:val="2"/>
                <w:sz w:val="22"/>
                <w:szCs w:val="22"/>
                <w:highlight w:val="none"/>
                <w:shd w:val="clear" w:color="auto" w:fill="auto"/>
                <w:lang w:val="en-US" w:eastAsia="zh-CN" w:bidi="ar-SA"/>
              </w:rPr>
            </w:pPr>
          </w:p>
        </w:tc>
        <w:tc>
          <w:tcPr>
            <w:tcW w:w="950" w:type="dxa"/>
            <w:shd w:val="clear" w:color="auto" w:fill="FFFFFF"/>
            <w:vAlign w:val="center"/>
          </w:tcPr>
          <w:p w14:paraId="6AF72853">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原创性</w:t>
            </w:r>
          </w:p>
          <w:p w14:paraId="0A8B6841">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（20分）</w:t>
            </w:r>
          </w:p>
        </w:tc>
        <w:tc>
          <w:tcPr>
            <w:tcW w:w="2605" w:type="dxa"/>
            <w:shd w:val="clear" w:color="auto" w:fill="FFFFFF"/>
            <w:vAlign w:val="center"/>
          </w:tcPr>
          <w:p w14:paraId="6FC89D65">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采取深度调研、独家专访、专题系列</w:t>
            </w:r>
            <w:r>
              <w:rPr>
                <w:rFonts w:hint="eastAsia" w:ascii="宋体" w:hAnsi="宋体" w:cs="宋体"/>
                <w:i w:val="0"/>
                <w:iCs w:val="0"/>
                <w:caps w:val="0"/>
                <w:color w:val="0F1115"/>
                <w:spacing w:val="0"/>
                <w:kern w:val="0"/>
                <w:sz w:val="22"/>
                <w:szCs w:val="22"/>
                <w:highlight w:val="none"/>
                <w:lang w:val="en-US" w:eastAsia="zh-CN" w:bidi="ar"/>
              </w:rPr>
              <w:t>宣传</w:t>
            </w:r>
            <w:r>
              <w:rPr>
                <w:rFonts w:hint="eastAsia" w:ascii="宋体" w:hAnsi="宋体" w:eastAsia="宋体" w:cs="宋体"/>
                <w:i w:val="0"/>
                <w:iCs w:val="0"/>
                <w:caps w:val="0"/>
                <w:color w:val="0F1115"/>
                <w:spacing w:val="0"/>
                <w:kern w:val="0"/>
                <w:sz w:val="22"/>
                <w:szCs w:val="22"/>
                <w:highlight w:val="none"/>
                <w:lang w:val="en-US" w:eastAsia="zh-CN" w:bidi="ar"/>
              </w:rPr>
              <w:t>等形式，挖掘产业亮点、企业典型、改革成效，推出有深度、有温度、有特色的原创作品。</w:t>
            </w:r>
          </w:p>
        </w:tc>
        <w:tc>
          <w:tcPr>
            <w:tcW w:w="2091" w:type="dxa"/>
            <w:shd w:val="clear" w:color="auto" w:fill="FFFFFF"/>
            <w:vAlign w:val="center"/>
          </w:tcPr>
          <w:p w14:paraId="6DDC3A94">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推出高质量原创作品20篇以上得满分；少1篇扣1分。</w:t>
            </w:r>
          </w:p>
        </w:tc>
        <w:tc>
          <w:tcPr>
            <w:tcW w:w="2113" w:type="dxa"/>
            <w:shd w:val="clear" w:color="auto" w:fill="FFFFFF"/>
            <w:vAlign w:val="center"/>
          </w:tcPr>
          <w:p w14:paraId="1B99982C">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作品清单、作品链接、作品原件等</w:t>
            </w:r>
          </w:p>
        </w:tc>
      </w:tr>
      <w:tr w14:paraId="169DC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vAlign w:val="center"/>
          </w:tcPr>
          <w:p w14:paraId="09E62069">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3</w:t>
            </w:r>
          </w:p>
        </w:tc>
        <w:tc>
          <w:tcPr>
            <w:tcW w:w="752" w:type="dxa"/>
            <w:vMerge w:val="continue"/>
          </w:tcPr>
          <w:p w14:paraId="6FE54A05">
            <w:pPr>
              <w:pStyle w:val="2"/>
              <w:keepNext w:val="0"/>
              <w:keepLines w:val="0"/>
              <w:suppressLineNumbers w:val="0"/>
              <w:spacing w:before="0" w:beforeAutospacing="0" w:afterAutospacing="0"/>
              <w:ind w:left="0" w:right="0"/>
              <w:rPr>
                <w:rFonts w:hint="eastAsia" w:ascii="宋体" w:hAnsi="宋体" w:eastAsia="宋体" w:cs="宋体"/>
                <w:highlight w:val="none"/>
                <w:vertAlign w:val="baseline"/>
                <w:lang w:val="en-US" w:eastAsia="zh-CN"/>
              </w:rPr>
            </w:pPr>
          </w:p>
        </w:tc>
        <w:tc>
          <w:tcPr>
            <w:tcW w:w="950" w:type="dxa"/>
            <w:shd w:val="clear" w:color="auto" w:fill="FFFFFF"/>
            <w:vAlign w:val="center"/>
          </w:tcPr>
          <w:p w14:paraId="307E5D1D">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发布量</w:t>
            </w:r>
          </w:p>
          <w:p w14:paraId="6294B5B1">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（10分）</w:t>
            </w:r>
          </w:p>
        </w:tc>
        <w:tc>
          <w:tcPr>
            <w:tcW w:w="2605" w:type="dxa"/>
            <w:shd w:val="clear" w:color="auto" w:fill="FFFFFF"/>
            <w:vAlign w:val="center"/>
          </w:tcPr>
          <w:p w14:paraId="652553A5">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0"/>
                <w:sz w:val="22"/>
                <w:szCs w:val="22"/>
                <w:highlight w:val="none"/>
                <w:lang w:val="en-US" w:eastAsia="zh-CN" w:bidi="ar"/>
              </w:rPr>
              <w:t>在报纸、广播、客户端、门户网站等平台刊发、推送相关信息，扩大国内、国外传播力度，实现重点人群有效触达，全年发布信息不少于50次。</w:t>
            </w:r>
          </w:p>
        </w:tc>
        <w:tc>
          <w:tcPr>
            <w:tcW w:w="2091" w:type="dxa"/>
            <w:shd w:val="clear" w:color="auto" w:fill="FFFFFF"/>
            <w:vAlign w:val="center"/>
          </w:tcPr>
          <w:p w14:paraId="2AFE4E35">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0"/>
                <w:sz w:val="22"/>
                <w:szCs w:val="22"/>
                <w:highlight w:val="none"/>
                <w:lang w:val="en-US" w:eastAsia="zh-CN" w:bidi="ar"/>
              </w:rPr>
              <w:t>发布数量达标，得满分；未达标，按比例扣分。</w:t>
            </w:r>
          </w:p>
        </w:tc>
        <w:tc>
          <w:tcPr>
            <w:tcW w:w="2113" w:type="dxa"/>
            <w:shd w:val="clear" w:color="auto" w:fill="FFFFFF"/>
            <w:vAlign w:val="center"/>
          </w:tcPr>
          <w:p w14:paraId="71FDA1C2">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发布台账、刊发截图、回执等</w:t>
            </w:r>
          </w:p>
        </w:tc>
      </w:tr>
      <w:tr w14:paraId="2E839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vAlign w:val="center"/>
          </w:tcPr>
          <w:p w14:paraId="6A1BEC2D">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4</w:t>
            </w:r>
          </w:p>
        </w:tc>
        <w:tc>
          <w:tcPr>
            <w:tcW w:w="752" w:type="dxa"/>
            <w:vMerge w:val="continue"/>
          </w:tcPr>
          <w:p w14:paraId="3D186B2B">
            <w:pPr>
              <w:pStyle w:val="2"/>
              <w:keepNext w:val="0"/>
              <w:keepLines w:val="0"/>
              <w:suppressLineNumbers w:val="0"/>
              <w:spacing w:before="0" w:beforeAutospacing="0" w:afterAutospacing="0"/>
              <w:ind w:left="0" w:right="0"/>
              <w:rPr>
                <w:rFonts w:hint="eastAsia" w:ascii="宋体" w:hAnsi="宋体" w:eastAsia="宋体" w:cs="宋体"/>
                <w:highlight w:val="none"/>
                <w:vertAlign w:val="baseline"/>
                <w:lang w:val="en-US" w:eastAsia="zh-CN"/>
              </w:rPr>
            </w:pPr>
          </w:p>
        </w:tc>
        <w:tc>
          <w:tcPr>
            <w:tcW w:w="950" w:type="dxa"/>
            <w:shd w:val="clear" w:color="auto" w:fill="FFFFFF"/>
            <w:vAlign w:val="center"/>
          </w:tcPr>
          <w:p w14:paraId="7A1DA10F">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转载率</w:t>
            </w:r>
          </w:p>
          <w:p w14:paraId="2203A764">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（10分）</w:t>
            </w:r>
          </w:p>
        </w:tc>
        <w:tc>
          <w:tcPr>
            <w:tcW w:w="2605" w:type="dxa"/>
            <w:shd w:val="clear" w:color="auto" w:fill="FFFFFF"/>
            <w:vAlign w:val="center"/>
          </w:tcPr>
          <w:p w14:paraId="1FC81F84">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原创作品被其他主流媒体转载的比例。</w:t>
            </w:r>
          </w:p>
        </w:tc>
        <w:tc>
          <w:tcPr>
            <w:tcW w:w="2091" w:type="dxa"/>
            <w:shd w:val="clear" w:color="auto" w:fill="FFFFFF"/>
            <w:vAlign w:val="center"/>
          </w:tcPr>
          <w:p w14:paraId="05C4F365">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按比例得分。</w:t>
            </w:r>
          </w:p>
        </w:tc>
        <w:tc>
          <w:tcPr>
            <w:tcW w:w="2113" w:type="dxa"/>
            <w:shd w:val="clear" w:color="auto" w:fill="FFFFFF"/>
            <w:vAlign w:val="center"/>
          </w:tcPr>
          <w:p w14:paraId="4AA232D6">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转载截图、来源汇总表等</w:t>
            </w:r>
          </w:p>
        </w:tc>
      </w:tr>
      <w:tr w14:paraId="3568B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4F34E9C5">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5</w:t>
            </w:r>
          </w:p>
        </w:tc>
        <w:tc>
          <w:tcPr>
            <w:tcW w:w="752" w:type="dxa"/>
            <w:vMerge w:val="restart"/>
            <w:shd w:val="clear" w:color="auto" w:fill="FFFFFF"/>
            <w:vAlign w:val="center"/>
          </w:tcPr>
          <w:p w14:paraId="5EA8DCF0">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0"/>
                <w:sz w:val="22"/>
                <w:szCs w:val="22"/>
                <w:highlight w:val="none"/>
                <w:lang w:val="en-US" w:eastAsia="zh-CN" w:bidi="ar"/>
              </w:rPr>
              <w:t>服务赋能（20分）</w:t>
            </w:r>
          </w:p>
        </w:tc>
        <w:tc>
          <w:tcPr>
            <w:tcW w:w="950" w:type="dxa"/>
            <w:shd w:val="clear" w:color="auto" w:fill="FFFFFF"/>
            <w:vAlign w:val="center"/>
          </w:tcPr>
          <w:p w14:paraId="2D6B268F">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重点工作配合度（10分）</w:t>
            </w:r>
          </w:p>
        </w:tc>
        <w:tc>
          <w:tcPr>
            <w:tcW w:w="2605" w:type="dxa"/>
            <w:shd w:val="clear" w:color="auto" w:fill="FFFFFF"/>
            <w:vAlign w:val="center"/>
          </w:tcPr>
          <w:p w14:paraId="47B6E09C">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积极关注招标人重点工作安排，主动策划、快速响应，做好宣传工作。根据招标人需要，配合收集、提供相关文字、图片、视频资料。</w:t>
            </w:r>
          </w:p>
        </w:tc>
        <w:tc>
          <w:tcPr>
            <w:tcW w:w="2091" w:type="dxa"/>
            <w:shd w:val="clear" w:color="auto" w:fill="FFFFFF"/>
            <w:vAlign w:val="center"/>
          </w:tcPr>
          <w:p w14:paraId="7E9F6CF9">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响应及时、配合有力得满分；响应不及时、配合不到位，每次扣2分。</w:t>
            </w:r>
          </w:p>
        </w:tc>
        <w:tc>
          <w:tcPr>
            <w:tcW w:w="2113" w:type="dxa"/>
            <w:shd w:val="clear" w:color="auto" w:fill="FFFFFF"/>
            <w:vAlign w:val="center"/>
          </w:tcPr>
          <w:p w14:paraId="05876F0B">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工作记录等</w:t>
            </w:r>
          </w:p>
        </w:tc>
      </w:tr>
      <w:tr w14:paraId="0F5D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1FB0ED09">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6</w:t>
            </w:r>
          </w:p>
        </w:tc>
        <w:tc>
          <w:tcPr>
            <w:tcW w:w="752" w:type="dxa"/>
            <w:vMerge w:val="continue"/>
            <w:shd w:val="clear" w:color="auto" w:fill="FFFFFF"/>
            <w:vAlign w:val="center"/>
          </w:tcPr>
          <w:p w14:paraId="7A03D879">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p>
        </w:tc>
        <w:tc>
          <w:tcPr>
            <w:tcW w:w="950" w:type="dxa"/>
            <w:shd w:val="clear" w:color="auto" w:fill="FFFFFF"/>
            <w:vAlign w:val="center"/>
          </w:tcPr>
          <w:p w14:paraId="69024EAB">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服务企业时效性（10分）</w:t>
            </w:r>
          </w:p>
        </w:tc>
        <w:tc>
          <w:tcPr>
            <w:tcW w:w="2605" w:type="dxa"/>
            <w:shd w:val="clear" w:color="auto" w:fill="FFFFFF"/>
            <w:vAlign w:val="center"/>
          </w:tcPr>
          <w:p w14:paraId="0B24A385">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帮助企业加强产品、技术、案例等宣传推广，根据企业特色需求，提供专题宣传策划服务。</w:t>
            </w:r>
          </w:p>
        </w:tc>
        <w:tc>
          <w:tcPr>
            <w:tcW w:w="2091" w:type="dxa"/>
            <w:shd w:val="clear" w:color="auto" w:fill="FFFFFF"/>
            <w:vAlign w:val="center"/>
          </w:tcPr>
          <w:p w14:paraId="25CAAF00">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帮助企业宣传推广10次以上，得满分；少1次，扣1分。</w:t>
            </w:r>
          </w:p>
        </w:tc>
        <w:tc>
          <w:tcPr>
            <w:tcW w:w="2113" w:type="dxa"/>
            <w:shd w:val="clear" w:color="auto" w:fill="FFFFFF"/>
            <w:vAlign w:val="center"/>
          </w:tcPr>
          <w:p w14:paraId="32845031">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服务企业清单、证明策划方案等</w:t>
            </w:r>
          </w:p>
        </w:tc>
      </w:tr>
      <w:tr w14:paraId="72F4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6BED2ED7">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7</w:t>
            </w:r>
          </w:p>
        </w:tc>
        <w:tc>
          <w:tcPr>
            <w:tcW w:w="752" w:type="dxa"/>
            <w:vMerge w:val="restart"/>
            <w:shd w:val="clear" w:color="auto" w:fill="FFFFFF"/>
            <w:vAlign w:val="center"/>
          </w:tcPr>
          <w:p w14:paraId="7EAC3AF5">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内容质量（20分）</w:t>
            </w:r>
          </w:p>
        </w:tc>
        <w:tc>
          <w:tcPr>
            <w:tcW w:w="950" w:type="dxa"/>
            <w:shd w:val="clear" w:color="auto" w:fill="FFFFFF"/>
            <w:vAlign w:val="center"/>
          </w:tcPr>
          <w:p w14:paraId="34BCEC2B">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合规性（10分）</w:t>
            </w:r>
          </w:p>
        </w:tc>
        <w:tc>
          <w:tcPr>
            <w:tcW w:w="2605" w:type="dxa"/>
            <w:shd w:val="clear" w:color="auto" w:fill="FFFFFF"/>
            <w:vAlign w:val="center"/>
          </w:tcPr>
          <w:p w14:paraId="56E9E35C">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宣传内容符合国家、省市政策导向，契合官方宣传口径，无政治偏差、政策解读错误、表述失实等情况。</w:t>
            </w:r>
          </w:p>
        </w:tc>
        <w:tc>
          <w:tcPr>
            <w:tcW w:w="2091" w:type="dxa"/>
            <w:shd w:val="clear" w:color="auto" w:fill="FFFFFF"/>
            <w:vAlign w:val="center"/>
          </w:tcPr>
          <w:p w14:paraId="272BD82D">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全年零差错，得满分；出现轻微表述不规范，每起扣2分；出现严重政策解读错误、导向偏差，每起扣10分。</w:t>
            </w:r>
          </w:p>
        </w:tc>
        <w:tc>
          <w:tcPr>
            <w:tcW w:w="2113" w:type="dxa"/>
            <w:shd w:val="clear" w:color="auto" w:fill="FFFFFF"/>
            <w:vAlign w:val="center"/>
          </w:tcPr>
          <w:p w14:paraId="7813E536">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内容抽查等</w:t>
            </w:r>
          </w:p>
        </w:tc>
      </w:tr>
      <w:tr w14:paraId="0C78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7B5A78B0">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8</w:t>
            </w:r>
          </w:p>
        </w:tc>
        <w:tc>
          <w:tcPr>
            <w:tcW w:w="752" w:type="dxa"/>
            <w:vMerge w:val="continue"/>
            <w:shd w:val="clear" w:color="auto" w:fill="FFFFFF"/>
            <w:vAlign w:val="center"/>
          </w:tcPr>
          <w:p w14:paraId="4A6C096A">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p>
        </w:tc>
        <w:tc>
          <w:tcPr>
            <w:tcW w:w="950" w:type="dxa"/>
            <w:shd w:val="clear" w:color="auto" w:fill="FFFFFF"/>
            <w:vAlign w:val="center"/>
          </w:tcPr>
          <w:p w14:paraId="3E25AB4B">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精准性（10分）</w:t>
            </w:r>
          </w:p>
        </w:tc>
        <w:tc>
          <w:tcPr>
            <w:tcW w:w="2605" w:type="dxa"/>
            <w:shd w:val="clear" w:color="auto" w:fill="FFFFFF"/>
            <w:vAlign w:val="center"/>
          </w:tcPr>
          <w:p w14:paraId="366B11B3">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稿件内容准确规范，无排版错误、画面模糊、剪辑混乱等情况。</w:t>
            </w:r>
          </w:p>
        </w:tc>
        <w:tc>
          <w:tcPr>
            <w:tcW w:w="2091" w:type="dxa"/>
            <w:shd w:val="clear" w:color="auto" w:fill="FFFFFF"/>
            <w:vAlign w:val="center"/>
          </w:tcPr>
          <w:p w14:paraId="10300CD1">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出现排版错误、画面模糊、剪辑混乱等问题，每起扣1分。</w:t>
            </w:r>
          </w:p>
        </w:tc>
        <w:tc>
          <w:tcPr>
            <w:tcW w:w="2113" w:type="dxa"/>
            <w:shd w:val="clear" w:color="auto" w:fill="FFFFFF"/>
            <w:vAlign w:val="center"/>
          </w:tcPr>
          <w:p w14:paraId="3EDB75DF">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内容抽查、读者评论反馈等</w:t>
            </w:r>
          </w:p>
        </w:tc>
      </w:tr>
      <w:tr w14:paraId="70A3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43BF6797">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9</w:t>
            </w:r>
          </w:p>
        </w:tc>
        <w:tc>
          <w:tcPr>
            <w:tcW w:w="752" w:type="dxa"/>
            <w:shd w:val="clear" w:color="auto" w:fill="FFFFFF"/>
            <w:vAlign w:val="center"/>
          </w:tcPr>
          <w:p w14:paraId="6E3E766B">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加分项</w:t>
            </w:r>
          </w:p>
        </w:tc>
        <w:tc>
          <w:tcPr>
            <w:tcW w:w="950" w:type="dxa"/>
            <w:shd w:val="clear" w:color="auto" w:fill="FFFFFF"/>
            <w:vAlign w:val="center"/>
          </w:tcPr>
          <w:p w14:paraId="55DE49E5">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w:t>
            </w:r>
          </w:p>
        </w:tc>
        <w:tc>
          <w:tcPr>
            <w:tcW w:w="2605" w:type="dxa"/>
            <w:shd w:val="clear" w:color="auto" w:fill="FFFFFF"/>
            <w:vAlign w:val="center"/>
          </w:tcPr>
          <w:p w14:paraId="689ABF2F">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1.获得国家、省、市领导批示肯定。</w:t>
            </w:r>
            <w:r>
              <w:rPr>
                <w:rFonts w:hint="eastAsia" w:ascii="宋体" w:hAnsi="宋体" w:eastAsia="宋体" w:cs="宋体"/>
                <w:i w:val="0"/>
                <w:iCs w:val="0"/>
                <w:caps w:val="0"/>
                <w:color w:val="0F1115"/>
                <w:spacing w:val="0"/>
                <w:kern w:val="0"/>
                <w:sz w:val="22"/>
                <w:szCs w:val="22"/>
                <w:highlight w:val="none"/>
                <w:lang w:val="en-US" w:eastAsia="zh-CN" w:bidi="ar"/>
              </w:rPr>
              <w:br w:type="textWrapping"/>
            </w:r>
            <w:r>
              <w:rPr>
                <w:rFonts w:hint="eastAsia" w:ascii="宋体" w:hAnsi="宋体" w:eastAsia="宋体" w:cs="宋体"/>
                <w:i w:val="0"/>
                <w:iCs w:val="0"/>
                <w:caps w:val="0"/>
                <w:color w:val="0F1115"/>
                <w:spacing w:val="0"/>
                <w:kern w:val="0"/>
                <w:sz w:val="22"/>
                <w:szCs w:val="22"/>
                <w:highlight w:val="none"/>
                <w:lang w:val="en-US" w:eastAsia="zh-CN" w:bidi="ar"/>
              </w:rPr>
              <w:t>2.在国家、省级主流媒体头版刊发。</w:t>
            </w:r>
          </w:p>
        </w:tc>
        <w:tc>
          <w:tcPr>
            <w:tcW w:w="2091" w:type="dxa"/>
            <w:shd w:val="clear" w:color="auto" w:fill="FFFFFF"/>
            <w:vAlign w:val="center"/>
          </w:tcPr>
          <w:p w14:paraId="3D49109D">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获得国家、省、市领导批示肯定，每次分别加20分、10分、5分；在国家、省级主流媒体头版刊发，每次分别加10分、5分。</w:t>
            </w:r>
          </w:p>
        </w:tc>
        <w:tc>
          <w:tcPr>
            <w:tcW w:w="2113" w:type="dxa"/>
            <w:shd w:val="clear" w:color="auto" w:fill="FFFFFF"/>
            <w:vAlign w:val="center"/>
          </w:tcPr>
          <w:p w14:paraId="021D6C2B">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批示文件、刊发报纸原件、截图等</w:t>
            </w:r>
          </w:p>
        </w:tc>
      </w:tr>
      <w:tr w14:paraId="5F3D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shd w:val="clear" w:color="auto" w:fill="FFFFFF"/>
            <w:vAlign w:val="center"/>
          </w:tcPr>
          <w:p w14:paraId="6B579873">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10</w:t>
            </w:r>
          </w:p>
        </w:tc>
        <w:tc>
          <w:tcPr>
            <w:tcW w:w="752" w:type="dxa"/>
            <w:shd w:val="clear" w:color="auto" w:fill="FFFFFF"/>
            <w:vAlign w:val="center"/>
          </w:tcPr>
          <w:p w14:paraId="3BE2F3D8">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2"/>
                <w:sz w:val="22"/>
                <w:szCs w:val="22"/>
                <w:highlight w:val="none"/>
                <w:lang w:val="en-US" w:eastAsia="zh-CN" w:bidi="ar-SA"/>
              </w:rPr>
            </w:pPr>
            <w:r>
              <w:rPr>
                <w:rFonts w:hint="eastAsia" w:ascii="宋体" w:hAnsi="宋体" w:eastAsia="宋体" w:cs="宋体"/>
                <w:i w:val="0"/>
                <w:iCs w:val="0"/>
                <w:caps w:val="0"/>
                <w:color w:val="0F1115"/>
                <w:spacing w:val="0"/>
                <w:kern w:val="2"/>
                <w:sz w:val="22"/>
                <w:szCs w:val="22"/>
                <w:highlight w:val="none"/>
                <w:lang w:val="en-US" w:eastAsia="zh-CN" w:bidi="ar-SA"/>
              </w:rPr>
              <w:t>扣分项</w:t>
            </w:r>
          </w:p>
        </w:tc>
        <w:tc>
          <w:tcPr>
            <w:tcW w:w="950" w:type="dxa"/>
            <w:shd w:val="clear" w:color="auto" w:fill="FFFFFF"/>
            <w:vAlign w:val="center"/>
          </w:tcPr>
          <w:p w14:paraId="39BD2EC1">
            <w:pPr>
              <w:keepNext w:val="0"/>
              <w:keepLines w:val="0"/>
              <w:widowControl/>
              <w:suppressLineNumbers w:val="0"/>
              <w:spacing w:before="0" w:beforeAutospacing="0" w:after="0" w:afterAutospacing="0" w:line="150" w:lineRule="atLeast"/>
              <w:ind w:left="0" w:right="0"/>
              <w:jc w:val="center"/>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w:t>
            </w:r>
          </w:p>
        </w:tc>
        <w:tc>
          <w:tcPr>
            <w:tcW w:w="2605" w:type="dxa"/>
            <w:shd w:val="clear" w:color="auto" w:fill="FFFFFF"/>
            <w:vAlign w:val="center"/>
          </w:tcPr>
          <w:p w14:paraId="0AC5F6EF">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引发负面舆情或被上级通报批评。</w:t>
            </w:r>
          </w:p>
        </w:tc>
        <w:tc>
          <w:tcPr>
            <w:tcW w:w="2091" w:type="dxa"/>
            <w:shd w:val="clear" w:color="auto" w:fill="FFFFFF"/>
            <w:vAlign w:val="center"/>
          </w:tcPr>
          <w:p w14:paraId="2ECD9568">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每次扣10分。</w:t>
            </w:r>
          </w:p>
        </w:tc>
        <w:tc>
          <w:tcPr>
            <w:tcW w:w="2113" w:type="dxa"/>
            <w:shd w:val="clear" w:color="auto" w:fill="FFFFFF"/>
            <w:vAlign w:val="center"/>
          </w:tcPr>
          <w:p w14:paraId="00E5E8AC">
            <w:pPr>
              <w:keepNext w:val="0"/>
              <w:keepLines w:val="0"/>
              <w:widowControl/>
              <w:suppressLineNumbers w:val="0"/>
              <w:spacing w:before="0" w:beforeAutospacing="0" w:after="0" w:afterAutospacing="0" w:line="150" w:lineRule="atLeast"/>
              <w:ind w:left="0" w:right="0"/>
              <w:jc w:val="left"/>
              <w:rPr>
                <w:rFonts w:hint="eastAsia" w:ascii="宋体" w:hAnsi="宋体" w:eastAsia="宋体" w:cs="宋体"/>
                <w:i w:val="0"/>
                <w:iCs w:val="0"/>
                <w:caps w:val="0"/>
                <w:color w:val="0F1115"/>
                <w:spacing w:val="0"/>
                <w:kern w:val="0"/>
                <w:sz w:val="22"/>
                <w:szCs w:val="22"/>
                <w:highlight w:val="none"/>
                <w:lang w:val="en-US" w:eastAsia="zh-CN" w:bidi="ar"/>
              </w:rPr>
            </w:pPr>
            <w:r>
              <w:rPr>
                <w:rFonts w:hint="eastAsia" w:ascii="宋体" w:hAnsi="宋体" w:eastAsia="宋体" w:cs="宋体"/>
                <w:i w:val="0"/>
                <w:iCs w:val="0"/>
                <w:caps w:val="0"/>
                <w:color w:val="0F1115"/>
                <w:spacing w:val="0"/>
                <w:kern w:val="0"/>
                <w:sz w:val="22"/>
                <w:szCs w:val="22"/>
                <w:highlight w:val="none"/>
                <w:lang w:val="en-US" w:eastAsia="zh-CN" w:bidi="ar"/>
              </w:rPr>
              <w:t>读者、观众投诉，舆情监测、上级通报等</w:t>
            </w:r>
          </w:p>
        </w:tc>
      </w:tr>
    </w:tbl>
    <w:p w14:paraId="2CAC52AB">
      <w:pPr>
        <w:spacing w:line="312"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六</w:t>
      </w:r>
      <w:r>
        <w:rPr>
          <w:rFonts w:hint="eastAsia" w:ascii="宋体" w:hAnsi="宋体" w:eastAsia="宋体" w:cs="宋体"/>
          <w:b/>
          <w:bCs/>
          <w:color w:val="auto"/>
          <w:szCs w:val="21"/>
          <w:highlight w:val="none"/>
          <w:lang w:val="en-US" w:eastAsia="zh-CN"/>
        </w:rPr>
        <w:t>、投标要求</w:t>
      </w:r>
    </w:p>
    <w:p w14:paraId="1879624D">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1.投标人应对本项目的背景、目标及重大主题宣传需求进行深入分析。</w:t>
      </w:r>
    </w:p>
    <w:p w14:paraId="499E28DD">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2.投标人应制定央媒省媒常态化联动方案。</w:t>
      </w:r>
    </w:p>
    <w:p w14:paraId="0A558CDB">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3.投标人应围绕“新型工业化示范区建设”“人工智能+制造”等重大主题，制定系列宣传策划方案。</w:t>
      </w:r>
    </w:p>
    <w:p w14:paraId="235BB987">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4.投标人应制定深度宣传及专题策划方案。</w:t>
      </w:r>
    </w:p>
    <w:p w14:paraId="2E7A8611">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5.投标人应制定原创内容策划方案。</w:t>
      </w:r>
    </w:p>
    <w:p w14:paraId="5415A210">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6.投标人应制定绩效目标达成方案。</w:t>
      </w:r>
    </w:p>
    <w:p w14:paraId="781CE3F2">
      <w:pPr>
        <w:spacing w:line="360" w:lineRule="auto"/>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7.投标人应提供自2023年1月1日以来（以合同签订时间为准）承担的同类服务项目业绩材料。</w:t>
      </w:r>
    </w:p>
    <w:p w14:paraId="676E5DA9">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b w:val="0"/>
          <w:bCs w:val="0"/>
          <w:color w:val="auto"/>
          <w:szCs w:val="21"/>
          <w:highlight w:val="none"/>
          <w:lang w:val="en-US" w:eastAsia="zh-CN"/>
        </w:rPr>
        <w:t>8.投标人应提供本项目服务团队配置方案</w:t>
      </w:r>
      <w:r>
        <w:rPr>
          <w:rFonts w:hint="eastAsia" w:ascii="宋体" w:hAnsi="宋体" w:cs="宋体"/>
          <w:color w:val="auto"/>
          <w:szCs w:val="21"/>
          <w:highlight w:val="none"/>
          <w:lang w:val="en-US" w:eastAsia="zh-CN"/>
        </w:rPr>
        <w:t>。</w:t>
      </w:r>
    </w:p>
    <w:p w14:paraId="1E21C592">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cs="宋体"/>
          <w:color w:val="auto"/>
          <w:sz w:val="30"/>
          <w:szCs w:val="30"/>
          <w:highlight w:val="none"/>
        </w:rPr>
      </w:pPr>
      <w:r>
        <w:rPr>
          <w:rFonts w:ascii="Times New Roman Regular" w:hAnsi="Times New Roman Regular" w:eastAsia="宋体" w:cs="Times New Roman Regular"/>
          <w:b/>
          <w:color w:val="auto"/>
          <w:kern w:val="2"/>
          <w:sz w:val="21"/>
          <w:szCs w:val="20"/>
          <w:highlight w:val="none"/>
          <w:lang w:val="en-US" w:eastAsia="zh-CN" w:bidi="ar-SA"/>
        </w:rPr>
        <w:br w:type="page"/>
      </w:r>
      <w:bookmarkStart w:id="2" w:name="_Toc10417"/>
      <w:r>
        <w:rPr>
          <w:rFonts w:hint="eastAsia" w:ascii="宋体" w:hAnsi="宋体" w:eastAsia="宋体" w:cs="宋体"/>
          <w:b/>
          <w:bCs/>
          <w:color w:val="auto"/>
          <w:kern w:val="44"/>
          <w:sz w:val="28"/>
          <w:szCs w:val="28"/>
          <w:highlight w:val="none"/>
          <w:lang w:val="en-US" w:eastAsia="zh-CN" w:bidi="ar-SA"/>
        </w:rPr>
        <w:t>第三章  投标人须知</w:t>
      </w:r>
      <w:bookmarkEnd w:id="2"/>
    </w:p>
    <w:p w14:paraId="180F0C61">
      <w:pPr>
        <w:spacing w:line="320" w:lineRule="exact"/>
        <w:jc w:val="center"/>
        <w:rPr>
          <w:rFonts w:hint="eastAsia" w:ascii="宋体" w:hAnsi="宋体" w:cs="宋体"/>
          <w:color w:val="auto"/>
          <w:sz w:val="32"/>
          <w:szCs w:val="40"/>
          <w:highlight w:val="none"/>
        </w:rPr>
      </w:pPr>
    </w:p>
    <w:p w14:paraId="672F1890">
      <w:pPr>
        <w:spacing w:line="320" w:lineRule="exact"/>
        <w:jc w:val="center"/>
        <w:rPr>
          <w:rFonts w:hint="eastAsia" w:ascii="宋体" w:hAnsi="宋体" w:cs="宋体"/>
          <w:color w:val="auto"/>
          <w:sz w:val="32"/>
          <w:szCs w:val="40"/>
          <w:highlight w:val="none"/>
        </w:rPr>
      </w:pPr>
      <w:r>
        <w:rPr>
          <w:rFonts w:hint="eastAsia" w:ascii="宋体" w:hAnsi="宋体" w:cs="宋体"/>
          <w:color w:val="auto"/>
          <w:sz w:val="32"/>
          <w:szCs w:val="40"/>
          <w:highlight w:val="none"/>
        </w:rPr>
        <w:t>前附表</w:t>
      </w:r>
    </w:p>
    <w:tbl>
      <w:tblPr>
        <w:tblStyle w:val="33"/>
        <w:tblW w:w="851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4"/>
        <w:gridCol w:w="7695"/>
      </w:tblGrid>
      <w:tr w14:paraId="4107BA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00674E69">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076F79F8">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内容、要求</w:t>
            </w:r>
          </w:p>
        </w:tc>
      </w:tr>
      <w:tr w14:paraId="69F963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6"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2B82338D">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5AF8592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项目名称：</w:t>
            </w:r>
            <w:r>
              <w:rPr>
                <w:rFonts w:hint="eastAsia" w:ascii="宋体" w:hAnsi="宋体" w:cs="宋体"/>
                <w:i w:val="0"/>
                <w:iCs w:val="0"/>
                <w:color w:val="auto"/>
                <w:kern w:val="0"/>
                <w:sz w:val="21"/>
                <w:szCs w:val="21"/>
                <w:highlight w:val="none"/>
                <w:u w:val="none"/>
                <w:lang w:val="en-US" w:eastAsia="zh-CN" w:bidi="ar"/>
              </w:rPr>
              <w:t>2026年度宣传合作项目(重大主题宣传)</w:t>
            </w:r>
          </w:p>
        </w:tc>
      </w:tr>
      <w:tr w14:paraId="1936F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217CBE23">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35E9E42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招标数量及单位：1项</w:t>
            </w:r>
          </w:p>
        </w:tc>
      </w:tr>
      <w:tr w14:paraId="160A9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66B04703">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11091C9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招标范围：</w:t>
            </w:r>
            <w:r>
              <w:rPr>
                <w:rFonts w:hint="eastAsia" w:ascii="宋体" w:hAnsi="宋体" w:cs="宋体"/>
                <w:i w:val="0"/>
                <w:iCs w:val="0"/>
                <w:color w:val="auto"/>
                <w:kern w:val="0"/>
                <w:sz w:val="21"/>
                <w:szCs w:val="21"/>
                <w:highlight w:val="none"/>
                <w:u w:val="none"/>
                <w:lang w:val="en-US" w:eastAsia="zh-CN" w:bidi="ar"/>
              </w:rPr>
              <w:t>2026年度宣传合作项目(重大主题宣传)</w:t>
            </w:r>
          </w:p>
        </w:tc>
      </w:tr>
      <w:tr w14:paraId="315FFF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38"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670C407F">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65FA80FB">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Calibri" w:hAnsi="Calibri" w:eastAsia="宋体" w:cs="Times New Roman"/>
                <w:color w:val="auto"/>
                <w:sz w:val="21"/>
                <w:szCs w:val="21"/>
                <w:highlight w:val="none"/>
              </w:rPr>
              <w:t>本项目投标报价</w:t>
            </w:r>
            <w:r>
              <w:rPr>
                <w:rFonts w:hint="eastAsia" w:ascii="Calibri" w:hAnsi="Calibri" w:cs="Times New Roman"/>
                <w:color w:val="auto"/>
                <w:sz w:val="21"/>
                <w:szCs w:val="21"/>
                <w:highlight w:val="none"/>
                <w:lang w:val="en-US" w:eastAsia="zh-CN"/>
              </w:rPr>
              <w:t>采用人民币报价</w:t>
            </w:r>
            <w:r>
              <w:rPr>
                <w:rFonts w:hint="eastAsia" w:ascii="Calibri" w:hAnsi="Calibri" w:eastAsia="宋体" w:cs="Times New Roman"/>
                <w:color w:val="auto"/>
                <w:sz w:val="21"/>
                <w:szCs w:val="21"/>
                <w:highlight w:val="none"/>
              </w:rPr>
              <w:t>。</w:t>
            </w:r>
          </w:p>
          <w:p w14:paraId="747EEB7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本项目的报价是履行合同的最终价格，应包含本项目招标需求和服务要求的一切费用，包括</w:t>
            </w:r>
            <w:r>
              <w:rPr>
                <w:rFonts w:hint="eastAsia" w:ascii="宋体" w:hAnsi="宋体" w:cs="宋体"/>
                <w:color w:val="auto"/>
                <w:szCs w:val="21"/>
                <w:highlight w:val="none"/>
                <w:lang w:val="en-US" w:eastAsia="zh-CN"/>
              </w:rPr>
              <w:t>人员费用、管理费用、税金、利润等全部费用。</w:t>
            </w:r>
          </w:p>
          <w:p w14:paraId="4EA8C6BD">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3、不论投标结果如何，投标人均应自行承担所有与投标有关的全部费用；</w:t>
            </w:r>
          </w:p>
          <w:p w14:paraId="2BDC8A53">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、中标服务费的收取标准：</w:t>
            </w:r>
            <w:r>
              <w:rPr>
                <w:rFonts w:hint="eastAsia" w:ascii="宋体" w:hAnsi="宋体" w:cs="宋体"/>
                <w:i w:val="0"/>
                <w:iCs w:val="0"/>
                <w:color w:val="auto"/>
                <w:kern w:val="0"/>
                <w:sz w:val="21"/>
                <w:szCs w:val="21"/>
                <w:highlight w:val="none"/>
                <w:u w:val="none"/>
                <w:lang w:val="en-US" w:eastAsia="zh-CN" w:bidi="ar"/>
              </w:rPr>
              <w:t>招标代理公司向中标人收取招标代理服务费，参照国家发改委发改办价格[2003]857号通知和国家计委计价格[2002]1980号文件规定的服务招标收费标准计算。</w:t>
            </w:r>
          </w:p>
          <w:p w14:paraId="550BB9E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中标服务费只收现金、银行票汇款、电汇款。</w:t>
            </w:r>
          </w:p>
          <w:p w14:paraId="524FACD4">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w:t>
            </w:r>
            <w:r>
              <w:rPr>
                <w:rFonts w:hint="eastAsia" w:ascii="宋体" w:hAnsi="宋体" w:eastAsia="宋体" w:cs="宋体"/>
                <w:i w:val="0"/>
                <w:iCs w:val="0"/>
                <w:color w:val="auto"/>
                <w:kern w:val="0"/>
                <w:sz w:val="21"/>
                <w:szCs w:val="21"/>
                <w:highlight w:val="none"/>
                <w:u w:val="none"/>
                <w:lang w:val="en-US" w:eastAsia="zh-CN" w:bidi="ar"/>
              </w:rPr>
              <w:t>、关于本次采购的服务费汇入以下账户：</w:t>
            </w:r>
          </w:p>
          <w:p w14:paraId="39F55D86">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开户银行： 宁波银行科技支行</w:t>
            </w:r>
          </w:p>
          <w:p w14:paraId="09A8CBC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账    号： 31010122000005488</w:t>
            </w:r>
          </w:p>
          <w:p w14:paraId="1D0A53E7">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户    名： 宁波中基国际招标有限公司</w:t>
            </w:r>
          </w:p>
          <w:p w14:paraId="5541C980">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6</w:t>
            </w:r>
            <w:r>
              <w:rPr>
                <w:rFonts w:hint="eastAsia" w:ascii="宋体" w:hAnsi="宋体" w:eastAsia="宋体" w:cs="宋体"/>
                <w:i w:val="0"/>
                <w:iCs w:val="0"/>
                <w:color w:val="auto"/>
                <w:kern w:val="0"/>
                <w:sz w:val="21"/>
                <w:szCs w:val="21"/>
                <w:highlight w:val="none"/>
                <w:u w:val="none"/>
                <w:lang w:val="en-US" w:eastAsia="zh-CN" w:bidi="ar"/>
              </w:rPr>
              <w:t>、中标人接到本公司通知后5个工作日内向本招标代理机构领取中标通知书（根据中标人需求可采用邮寄或到招标代理机构现场领取）。</w:t>
            </w:r>
          </w:p>
        </w:tc>
      </w:tr>
      <w:tr w14:paraId="2552BC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684AB9FF">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4AF2861E">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现场踏勘：本项目不安排投标人统一现场踏勘，请各投标人自行现场踏勘。</w:t>
            </w:r>
          </w:p>
        </w:tc>
      </w:tr>
      <w:tr w14:paraId="280A0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7A177726">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7BC3FEBC">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演示时间及地点（如有）：无</w:t>
            </w:r>
          </w:p>
        </w:tc>
      </w:tr>
      <w:tr w14:paraId="6A4E94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5703AF33">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66007506">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投标文件组成：正本 1 份；副本4份；电子版 1 份。（电子版可与投标文件一起密封或单独密封）</w:t>
            </w:r>
          </w:p>
        </w:tc>
      </w:tr>
      <w:tr w14:paraId="001C09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352E8782">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359F8DE2">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投标截止时间及地点：详见《招标公告》</w:t>
            </w:r>
          </w:p>
        </w:tc>
      </w:tr>
      <w:tr w14:paraId="601D55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17A00D20">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665E0B5E">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开标时间及地点：详见《招标公告》</w:t>
            </w:r>
          </w:p>
        </w:tc>
      </w:tr>
      <w:tr w14:paraId="754BC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3760354B">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7B966B64">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评标办法及评分标准：详见第四章《评标办法及评分标准》。</w:t>
            </w:r>
          </w:p>
        </w:tc>
      </w:tr>
      <w:tr w14:paraId="7EB97D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6BB9843B">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31F27E9A">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评标结果公示：评标结束后，评标结果公示于</w:t>
            </w:r>
            <w:r>
              <w:rPr>
                <w:rFonts w:hint="eastAsia" w:ascii="宋体" w:hAnsi="宋体" w:cs="宋体"/>
                <w:i w:val="0"/>
                <w:iCs w:val="0"/>
                <w:color w:val="auto"/>
                <w:kern w:val="0"/>
                <w:sz w:val="21"/>
                <w:szCs w:val="21"/>
                <w:highlight w:val="none"/>
                <w:u w:val="none"/>
                <w:lang w:val="en-US" w:eastAsia="zh-CN" w:bidi="ar"/>
              </w:rPr>
              <w:t>宁波政府采购</w:t>
            </w:r>
            <w:r>
              <w:rPr>
                <w:rFonts w:hint="eastAsia" w:ascii="宋体" w:hAnsi="宋体" w:eastAsia="宋体" w:cs="宋体"/>
                <w:i w:val="0"/>
                <w:iCs w:val="0"/>
                <w:color w:val="auto"/>
                <w:kern w:val="0"/>
                <w:sz w:val="21"/>
                <w:szCs w:val="21"/>
                <w:highlight w:val="none"/>
                <w:u w:val="none"/>
                <w:lang w:val="en-US" w:eastAsia="zh-CN" w:bidi="ar"/>
              </w:rPr>
              <w:t>网、宁波中基国际招标有限公司网站。</w:t>
            </w:r>
          </w:p>
        </w:tc>
      </w:tr>
      <w:tr w14:paraId="360325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16A60007">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5F960AB5">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签订合同时间：中标通知书发出后30日内。</w:t>
            </w:r>
          </w:p>
        </w:tc>
      </w:tr>
      <w:tr w14:paraId="754E8C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02BF4AC2">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5CC1F2E1">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投标文件有效期：90天。</w:t>
            </w:r>
          </w:p>
        </w:tc>
      </w:tr>
      <w:tr w14:paraId="678EA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8" w:hRule="atLeast"/>
          <w:jc w:val="center"/>
        </w:trPr>
        <w:tc>
          <w:tcPr>
            <w:tcW w:w="824" w:type="dxa"/>
            <w:tcBorders>
              <w:top w:val="single" w:color="auto" w:sz="4" w:space="0"/>
              <w:left w:val="single" w:color="auto" w:sz="4" w:space="0"/>
              <w:bottom w:val="single" w:color="auto" w:sz="4" w:space="0"/>
              <w:right w:val="single" w:color="auto" w:sz="4" w:space="0"/>
            </w:tcBorders>
            <w:noWrap w:val="0"/>
            <w:vAlign w:val="center"/>
          </w:tcPr>
          <w:p w14:paraId="7B106213">
            <w:pPr>
              <w:keepNext w:val="0"/>
              <w:keepLines w:val="0"/>
              <w:pageBreakBefore w:val="0"/>
              <w:suppressLineNumbers w:val="0"/>
              <w:kinsoku/>
              <w:wordWrap/>
              <w:overflowPunct/>
              <w:topLinePunct w:val="0"/>
              <w:autoSpaceDE/>
              <w:autoSpaceDN/>
              <w:bidi w:val="0"/>
              <w:adjustRightInd/>
              <w:spacing w:before="0" w:beforeAutospacing="0" w:after="0" w:afterAutospacing="0" w:line="24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p>
        </w:tc>
        <w:tc>
          <w:tcPr>
            <w:tcW w:w="7695" w:type="dxa"/>
            <w:tcBorders>
              <w:top w:val="single" w:color="auto" w:sz="4" w:space="0"/>
              <w:left w:val="single" w:color="auto" w:sz="4" w:space="0"/>
              <w:bottom w:val="single" w:color="auto" w:sz="4" w:space="0"/>
              <w:right w:val="single" w:color="auto" w:sz="4" w:space="0"/>
            </w:tcBorders>
            <w:noWrap w:val="0"/>
            <w:vAlign w:val="center"/>
          </w:tcPr>
          <w:p w14:paraId="6E3977BE">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uto"/>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解释：本招标文件的解释权属于招标单位。</w:t>
            </w:r>
          </w:p>
        </w:tc>
      </w:tr>
    </w:tbl>
    <w:p w14:paraId="38110571">
      <w:pPr>
        <w:spacing w:line="360" w:lineRule="auto"/>
        <w:rPr>
          <w:rFonts w:hint="eastAsia" w:ascii="宋体" w:hAnsi="宋体" w:cs="宋体"/>
          <w:color w:val="auto"/>
          <w:szCs w:val="21"/>
          <w:highlight w:val="none"/>
        </w:rPr>
      </w:pPr>
    </w:p>
    <w:p w14:paraId="7AB673B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一、总  则</w:t>
      </w:r>
    </w:p>
    <w:p w14:paraId="4CAA964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 适用范围</w:t>
      </w:r>
    </w:p>
    <w:p w14:paraId="6B00154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本招标文件适用于本项目的招标、投标、评标、定标、验收、合同履约、付款等行为（</w:t>
      </w:r>
      <w:r>
        <w:rPr>
          <w:rFonts w:hint="eastAsia" w:ascii="宋体" w:hAnsi="宋体" w:cs="宋体"/>
          <w:color w:val="auto"/>
          <w:szCs w:val="21"/>
          <w:highlight w:val="none"/>
          <w:lang w:eastAsia="zh-CN"/>
        </w:rPr>
        <w:t>法律法规</w:t>
      </w:r>
      <w:r>
        <w:rPr>
          <w:rFonts w:hint="eastAsia" w:ascii="宋体" w:hAnsi="宋体" w:cs="宋体"/>
          <w:color w:val="auto"/>
          <w:szCs w:val="21"/>
          <w:highlight w:val="none"/>
        </w:rPr>
        <w:t>另有规定的，从其规定）。除非另有规定和说明，本须知中的“投标人”一词亦指联合体各方。</w:t>
      </w:r>
    </w:p>
    <w:p w14:paraId="014D545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（二）定义</w:t>
      </w:r>
    </w:p>
    <w:p w14:paraId="44ADC95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1.“招标单位”系指组织本次招标的代理机构和招标人。</w:t>
      </w:r>
    </w:p>
    <w:p w14:paraId="408186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2.“投标人”系指向招标人提交投标文件的单位或个人。</w:t>
      </w:r>
    </w:p>
    <w:p w14:paraId="593E624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3.“产品”系指投标人按招标文件规定，须向招标人提供的一切设备、保险、税金、备品备件、工具、手册</w:t>
      </w:r>
      <w:r>
        <w:rPr>
          <w:rFonts w:hint="eastAsia" w:ascii="宋体" w:hAnsi="宋体" w:cs="宋体"/>
          <w:color w:val="auto"/>
          <w:szCs w:val="21"/>
          <w:highlight w:val="none"/>
          <w:lang w:eastAsia="zh-CN"/>
        </w:rPr>
        <w:t>及其他有关</w:t>
      </w:r>
      <w:r>
        <w:rPr>
          <w:rFonts w:hint="eastAsia" w:ascii="宋体" w:hAnsi="宋体" w:cs="宋体"/>
          <w:color w:val="auto"/>
          <w:szCs w:val="21"/>
          <w:highlight w:val="none"/>
        </w:rPr>
        <w:t>技术资料和材料。</w:t>
      </w:r>
    </w:p>
    <w:p w14:paraId="7DC5BF9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4.“服务”系指招标文件规定投标人须承担的指导安装、技术协助、校准、培训、技术指导以及其他类似的义务。</w:t>
      </w:r>
    </w:p>
    <w:p w14:paraId="4D04F34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5.“项目”系指投标人按招标文件规定向招标人提供的产品和服务。</w:t>
      </w:r>
    </w:p>
    <w:p w14:paraId="470306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6.“书面形式”包括信函、传真、电报等。</w:t>
      </w:r>
    </w:p>
    <w:p w14:paraId="68953C33">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7.“</w:t>
      </w:r>
      <w:r>
        <w:rPr>
          <w:rFonts w:hint="eastAsia" w:ascii="宋体" w:hAnsi="宋体" w:cs="宋体"/>
          <w:color w:val="auto"/>
          <w:szCs w:val="21"/>
          <w:highlight w:val="none"/>
        </w:rPr>
        <w:t>★</w:t>
      </w:r>
      <w:r>
        <w:rPr>
          <w:rFonts w:hint="eastAsia" w:ascii="宋体" w:hAnsi="宋体" w:cs="宋体"/>
          <w:b/>
          <w:color w:val="auto"/>
          <w:szCs w:val="21"/>
          <w:highlight w:val="none"/>
        </w:rPr>
        <w:t>”系指实质性要求条款。</w:t>
      </w:r>
    </w:p>
    <w:p w14:paraId="4389CE1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（三）招标方式</w:t>
      </w:r>
    </w:p>
    <w:p w14:paraId="4949D9E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本次招标采用公开招标方式进行。</w:t>
      </w:r>
    </w:p>
    <w:p w14:paraId="73890B9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（四）投标委托</w:t>
      </w:r>
    </w:p>
    <w:p w14:paraId="2E7EAEC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投标人代表须携带有效身份证件。如投标人代表不是法定代表人，须有法定代表人出具的授权委托书（正本用原件，副本用复印件，格式见第六章）。</w:t>
      </w:r>
    </w:p>
    <w:p w14:paraId="25BEEFA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（五）投标费用</w:t>
      </w:r>
    </w:p>
    <w:p w14:paraId="584B58A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不论投标结果如何，投标人均应自行承担所有与投标有关的全部费用（招标文件有相</w:t>
      </w:r>
      <w:r>
        <w:rPr>
          <w:rFonts w:hint="eastAsia" w:ascii="宋体" w:hAnsi="宋体" w:cs="宋体"/>
          <w:color w:val="auto"/>
          <w:szCs w:val="21"/>
          <w:highlight w:val="none"/>
          <w:lang w:val="en-US" w:eastAsia="zh-CN"/>
        </w:rPr>
        <w:t>关</w:t>
      </w:r>
      <w:r>
        <w:rPr>
          <w:rFonts w:hint="eastAsia" w:ascii="宋体" w:hAnsi="宋体" w:cs="宋体"/>
          <w:color w:val="auto"/>
          <w:szCs w:val="21"/>
          <w:highlight w:val="none"/>
        </w:rPr>
        <w:t>规定除外）。</w:t>
      </w:r>
    </w:p>
    <w:p w14:paraId="75F77C1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（六）联合体投标</w:t>
      </w:r>
    </w:p>
    <w:p w14:paraId="5C84A1C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w:t>
      </w:r>
      <w:r>
        <w:rPr>
          <w:rFonts w:hint="eastAsia" w:ascii="宋体" w:hAnsi="宋体" w:cs="宋体"/>
          <w:color w:val="auto"/>
          <w:szCs w:val="21"/>
          <w:highlight w:val="none"/>
          <w:lang w:val="en-US" w:eastAsia="zh-CN"/>
        </w:rPr>
        <w:t>不</w:t>
      </w:r>
      <w:r>
        <w:rPr>
          <w:rFonts w:hint="eastAsia" w:ascii="宋体" w:hAnsi="宋体" w:cs="宋体"/>
          <w:color w:val="auto"/>
          <w:szCs w:val="21"/>
          <w:highlight w:val="none"/>
        </w:rPr>
        <w:t>接受联合体投标。</w:t>
      </w:r>
    </w:p>
    <w:p w14:paraId="37437F94">
      <w:pPr>
        <w:spacing w:line="360" w:lineRule="auto"/>
        <w:rPr>
          <w:rFonts w:hint="eastAsia" w:ascii="宋体" w:hAnsi="宋体" w:cs="宋体"/>
          <w:color w:val="auto"/>
          <w:kern w:val="0"/>
          <w:szCs w:val="21"/>
          <w:highlight w:val="none"/>
        </w:rPr>
      </w:pPr>
      <w:r>
        <w:rPr>
          <w:rFonts w:hint="eastAsia" w:ascii="宋体" w:hAnsi="宋体" w:cs="宋体"/>
          <w:color w:val="auto"/>
          <w:szCs w:val="21"/>
          <w:highlight w:val="none"/>
        </w:rPr>
        <w:t>（七）</w:t>
      </w:r>
      <w:r>
        <w:rPr>
          <w:rFonts w:hint="eastAsia" w:ascii="宋体" w:hAnsi="宋体" w:cs="宋体"/>
          <w:color w:val="auto"/>
          <w:kern w:val="0"/>
          <w:szCs w:val="21"/>
          <w:highlight w:val="none"/>
        </w:rPr>
        <w:t>转包与分包</w:t>
      </w:r>
    </w:p>
    <w:p w14:paraId="2087C4A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本项目不允许转包，未经招标人许可，不得分包。</w:t>
      </w:r>
    </w:p>
    <w:p w14:paraId="56AB63F0">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（八）</w:t>
      </w:r>
      <w:r>
        <w:rPr>
          <w:rFonts w:hint="eastAsia" w:ascii="宋体" w:hAnsi="宋体" w:cs="宋体"/>
          <w:bCs/>
          <w:color w:val="auto"/>
          <w:szCs w:val="21"/>
          <w:highlight w:val="none"/>
          <w:lang w:val="en-US" w:eastAsia="zh-CN"/>
        </w:rPr>
        <w:t>异议</w:t>
      </w:r>
      <w:r>
        <w:rPr>
          <w:rFonts w:hint="eastAsia" w:ascii="宋体" w:hAnsi="宋体" w:cs="宋体"/>
          <w:bCs/>
          <w:color w:val="auto"/>
          <w:szCs w:val="21"/>
          <w:highlight w:val="none"/>
        </w:rPr>
        <w:t>和投诉</w:t>
      </w:r>
    </w:p>
    <w:p w14:paraId="790D764F">
      <w:pPr>
        <w:tabs>
          <w:tab w:val="left" w:pos="518"/>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1.潜在投标人或者其他利害关系人对招标文件有异议的，应当在投标截止时间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日前提出。招标人应当自收到异议之日起3日内作出答复。</w:t>
      </w:r>
    </w:p>
    <w:p w14:paraId="7B5ABEFD">
      <w:pPr>
        <w:tabs>
          <w:tab w:val="left" w:pos="518"/>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2.投标人对开标有异议的，应当在开标现场提出，招标人应当当场作出答复，并制作记录。</w:t>
      </w:r>
    </w:p>
    <w:p w14:paraId="436638E0">
      <w:pPr>
        <w:tabs>
          <w:tab w:val="left" w:pos="518"/>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3.投标人或其他利害关系人对评标结果有异议的，应当在中标候选人公示期间提出。招标人应当自收到异议之日起3日内作出答复。</w:t>
      </w:r>
    </w:p>
    <w:p w14:paraId="022CC6AA">
      <w:pPr>
        <w:tabs>
          <w:tab w:val="left" w:pos="518"/>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rPr>
        <w:t>4.投标人或者其他利害关系人认为招标投标活动不符合法律、行政法规规定的，可以自知道或者应当知道之日</w:t>
      </w:r>
      <w:r>
        <w:rPr>
          <w:rFonts w:hint="eastAsia" w:ascii="宋体" w:hAnsi="宋体" w:eastAsia="宋体" w:cs="宋体"/>
          <w:color w:val="auto"/>
          <w:szCs w:val="21"/>
          <w:highlight w:val="none"/>
        </w:rPr>
        <w:t>起10日内向有关行政监督部门投诉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本项目监督单位为招标人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。投诉应当有明确的请求和必要的证明材料。</w:t>
      </w:r>
    </w:p>
    <w:p w14:paraId="75798023">
      <w:pPr>
        <w:tabs>
          <w:tab w:val="left" w:pos="518"/>
        </w:tabs>
        <w:adjustRightInd w:val="0"/>
        <w:snapToGrid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5.招标</w:t>
      </w:r>
      <w:r>
        <w:rPr>
          <w:rFonts w:hint="eastAsia" w:ascii="宋体" w:hAnsi="宋体" w:eastAsia="宋体" w:cs="宋体"/>
          <w:color w:val="auto"/>
          <w:szCs w:val="21"/>
          <w:highlight w:val="none"/>
        </w:rPr>
        <w:t>人和异议提出人本着友好协商的原则进行处理。双方就异议事项无法达成一致意见时，因本项目不属于行政监督部门监督的项目，双方可将争议提交给由</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人自行组织设立的招投标内部监督管理部门进行调解，或通过仲裁、诉讼等方式解决</w:t>
      </w:r>
      <w:r>
        <w:rPr>
          <w:rFonts w:hint="eastAsia" w:ascii="宋体" w:hAnsi="宋体" w:eastAsia="宋体" w:cs="宋体"/>
          <w:color w:val="auto"/>
          <w:szCs w:val="21"/>
          <w:highlight w:val="none"/>
          <w:lang w:eastAsia="zh-CN"/>
        </w:rPr>
        <w:t>。</w:t>
      </w:r>
    </w:p>
    <w:p w14:paraId="6CC8E8C1">
      <w:pPr>
        <w:tabs>
          <w:tab w:val="left" w:pos="518"/>
        </w:tabs>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就上述1</w:t>
      </w:r>
      <w:r>
        <w:rPr>
          <w:rFonts w:hint="eastAsia" w:ascii="宋体" w:hAnsi="宋体" w:cs="宋体"/>
          <w:color w:val="auto"/>
          <w:szCs w:val="21"/>
          <w:highlight w:val="none"/>
          <w:lang w:eastAsia="zh-CN"/>
        </w:rPr>
        <w:t>—</w:t>
      </w:r>
      <w:r>
        <w:rPr>
          <w:rFonts w:hint="eastAsia" w:ascii="宋体" w:hAnsi="宋体" w:cs="宋体"/>
          <w:color w:val="auto"/>
          <w:szCs w:val="21"/>
          <w:highlight w:val="none"/>
        </w:rPr>
        <w:t>3条规定事项投诉的，应当先向招标人提出异议，异议答复期间不计算在前款规定的期限内。</w:t>
      </w:r>
    </w:p>
    <w:p w14:paraId="2572879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二、招标文件</w:t>
      </w:r>
    </w:p>
    <w:p w14:paraId="15FD386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（一）招标文件的构成。本招标文件由以下部分组成：</w:t>
      </w:r>
    </w:p>
    <w:p w14:paraId="42B86EB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1.招标公告</w:t>
      </w:r>
    </w:p>
    <w:p w14:paraId="04A32E9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2.招标需求</w:t>
      </w:r>
    </w:p>
    <w:p w14:paraId="6613E6B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3.投标人须知</w:t>
      </w:r>
    </w:p>
    <w:p w14:paraId="2278696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4.评标办法及评分标准</w:t>
      </w:r>
    </w:p>
    <w:p w14:paraId="12B0C35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5.合同主要条款</w:t>
      </w:r>
    </w:p>
    <w:p w14:paraId="240FCD3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6.投标文件格式</w:t>
      </w:r>
    </w:p>
    <w:p w14:paraId="0FD8AEA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7.本项目招标文件的澄清、答复、修改、补充的内容</w:t>
      </w:r>
    </w:p>
    <w:p w14:paraId="0577EA4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（二）投标人的风险</w:t>
      </w:r>
    </w:p>
    <w:p w14:paraId="4CDA71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投标人没有按照招标文件要求提供全部资料，或者投标人没有对招标文件在各方面作出实质性响应是投标人的风险，并可能导致其投标被拒绝。</w:t>
      </w:r>
    </w:p>
    <w:p w14:paraId="71890E8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（三）招标文件的澄清与修改</w:t>
      </w:r>
    </w:p>
    <w:p w14:paraId="2F85833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1.招标代理机构对已发出的招标文件进行必要澄清、答复、修改或补充的，应当在招标文件要求提交投标文件截止时间十五日前，在采购信息发布媒体上发布更正公告，并以书面形式通知所有招标文件收受人。</w:t>
      </w:r>
    </w:p>
    <w:p w14:paraId="242A52B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2.招标代理机构必须以书面形式答复投标人要求澄清的问题，并将不包含问题来源的答复书面通知所有购买招标文件的投标人；除书面答复以外的其他澄清方式及澄清内容均无效。</w:t>
      </w:r>
    </w:p>
    <w:p w14:paraId="779631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3.招标文件澄清、答复、修改、补充的内容为招标文件的组成部分。当招标文件与招标文件的答复、澄清、修改、补充通知就同一内容的表述不一致时，以最后发出的书面文件为准。</w:t>
      </w:r>
    </w:p>
    <w:p w14:paraId="23A5F87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4.招标文件的澄清、答复、修改或补充都应该通过本代理机构以法定形式发布，招标人非通过本机构，不得擅自澄清、答复、修改或补充招标文件。</w:t>
      </w:r>
    </w:p>
    <w:p w14:paraId="7C80D1D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三、投标文件的编制</w:t>
      </w:r>
    </w:p>
    <w:p w14:paraId="33386D0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（一）投标文件的组成</w:t>
      </w:r>
    </w:p>
    <w:p w14:paraId="1030D54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（1）开标一览表（格式见第六章）；</w:t>
      </w:r>
    </w:p>
    <w:p w14:paraId="1A60BDF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）投标函（格式见第六章）；</w:t>
      </w:r>
    </w:p>
    <w:p w14:paraId="68EBAD7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）投标声明书 (格式见第六章)；</w:t>
      </w:r>
    </w:p>
    <w:p w14:paraId="3F4C013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）法定代表人授权委托书(格式见第六章</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若为法定代表人投标，则无需提供本委托书，仅提供法定代表人身份证正反面</w:t>
      </w:r>
      <w:r>
        <w:rPr>
          <w:rFonts w:hint="eastAsia" w:ascii="宋体" w:hAnsi="宋体" w:cs="宋体"/>
          <w:color w:val="auto"/>
          <w:szCs w:val="21"/>
          <w:highlight w:val="none"/>
        </w:rPr>
        <w:t>)；</w:t>
      </w:r>
    </w:p>
    <w:p w14:paraId="3C53545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）有效的营业执照（复印件加盖公章）；</w:t>
      </w:r>
    </w:p>
    <w:p w14:paraId="21D0BE4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）投标人基本情况表(格式见第六章)；</w:t>
      </w:r>
    </w:p>
    <w:p w14:paraId="053047F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）合格投标人的资格承诺书（格式见第六章）；</w:t>
      </w:r>
    </w:p>
    <w:p w14:paraId="55DEF6F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）投标人特定资格条件的证明文件：详见“第一章 招标公告  五、合格投标人的资格要求（本项目资格后审）2、特定资格条件”；</w:t>
      </w:r>
    </w:p>
    <w:p w14:paraId="6BC50ADB">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eastAsia="zh-CN"/>
        </w:rPr>
        <w:t>）联合体协议（如有）(格式见第六章)；</w:t>
      </w:r>
    </w:p>
    <w:p w14:paraId="749A929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）技术条款偏离表（格式见第六章）；</w:t>
      </w:r>
    </w:p>
    <w:p w14:paraId="2C25364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）商务条款偏离表（格式见第六章）；</w:t>
      </w:r>
    </w:p>
    <w:p w14:paraId="742CB30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）评标索引表（格式见第六章）；</w:t>
      </w:r>
    </w:p>
    <w:p w14:paraId="2091B28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）投标人针对本项目第二章招标需求及第四章评分标准中的条款拟定各种方案及相关证明文件（格式自拟）；</w:t>
      </w:r>
    </w:p>
    <w:p w14:paraId="71DADB8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）投标人认为需要的其他文件资料或说明（格式自拟）。</w:t>
      </w:r>
    </w:p>
    <w:p w14:paraId="5B27AFD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（二）投标文件的语言及计量</w:t>
      </w:r>
    </w:p>
    <w:p w14:paraId="0E4C4DB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★1.投标文件以及投标人与招标人就有关投标事宜的所有来往函电，均应以中文汉语书写。除签名、盖章、专用名称等特殊情形外，以中文汉语以外的文字表述的投标文件视同未提供。</w:t>
      </w:r>
    </w:p>
    <w:p w14:paraId="61CE62A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★2.投标计量单位，招标文件已有明确规定的，使用招标文件规定的计量单位；招标文件没有规定的，应采用中华人民共和国法定计量单位（货币单位：人民币元），否则视同未响应。</w:t>
      </w:r>
    </w:p>
    <w:p w14:paraId="76BE820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（三）投标报价</w:t>
      </w:r>
    </w:p>
    <w:p w14:paraId="49AD2EC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1.投标报价应按招标文件中相关附表格式填写。</w:t>
      </w:r>
    </w:p>
    <w:p w14:paraId="7FA3314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★2.投标报价是履行合同的最终价格，具体详见第三章 投标人须知。</w:t>
      </w:r>
    </w:p>
    <w:p w14:paraId="0C30844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★3.投标文件只允许有一个报价，有选择的或有条件的报价将不予接受。</w:t>
      </w:r>
    </w:p>
    <w:p w14:paraId="072F1D0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（四）投标文件的有效期</w:t>
      </w:r>
    </w:p>
    <w:p w14:paraId="3A7C3BA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★1.自投标截止日起90天投标文件应保持有效。</w:t>
      </w:r>
    </w:p>
    <w:p w14:paraId="3F18873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2.在特殊情况下，招标人可与投标人协商延长投标文件的有效期，这种要求和答复均以书面形式进行。</w:t>
      </w:r>
    </w:p>
    <w:p w14:paraId="2801894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3.投标人可拒绝接受延期要求。同意延长有效期的投标人不能修改投标文件。 </w:t>
      </w:r>
    </w:p>
    <w:p w14:paraId="0482B3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4.中标人的投标文件自开标之日起至合同履行完毕止均应保持有效。</w:t>
      </w:r>
    </w:p>
    <w:p w14:paraId="5C5EC19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五</w:t>
      </w:r>
      <w:r>
        <w:rPr>
          <w:rFonts w:hint="eastAsia" w:ascii="宋体" w:hAnsi="宋体" w:cs="宋体"/>
          <w:color w:val="auto"/>
          <w:szCs w:val="21"/>
          <w:highlight w:val="none"/>
        </w:rPr>
        <w:t>）投标文件的签署和份数</w:t>
      </w:r>
    </w:p>
    <w:p w14:paraId="100777B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1.投标人应按本招标文件规定的格式和顺序编制、装订投标文件并标注页码，投标文件内容不完整、编排混乱导致投标文件被误读、漏读或者查找不到相关内容的，是投标人的责任。</w:t>
      </w:r>
    </w:p>
    <w:p w14:paraId="7CC2B9F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2.投标人应按正本1份，副本4份分别编制并单独装订成册，投标文件的封面应注明“正本</w:t>
      </w:r>
      <w:r>
        <w:rPr>
          <w:rFonts w:hint="eastAsia" w:ascii="宋体" w:hAnsi="宋体" w:cs="宋体"/>
          <w:color w:val="auto"/>
          <w:szCs w:val="21"/>
          <w:highlight w:val="none"/>
          <w:lang w:eastAsia="zh-CN"/>
        </w:rPr>
        <w:t>”“</w:t>
      </w:r>
      <w:r>
        <w:rPr>
          <w:rFonts w:hint="eastAsia" w:ascii="宋体" w:hAnsi="宋体" w:cs="宋体"/>
          <w:color w:val="auto"/>
          <w:szCs w:val="21"/>
          <w:highlight w:val="none"/>
        </w:rPr>
        <w:t>副本”字样。</w:t>
      </w:r>
    </w:p>
    <w:p w14:paraId="0E75854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3.投标文件的正本需打印或用不褪色的墨水填写，投标文件正本除本《投标人须知》中规定的可提供复印件外均须提供原件。副本</w:t>
      </w:r>
      <w:r>
        <w:rPr>
          <w:rFonts w:hint="eastAsia" w:ascii="宋体" w:hAnsi="宋体" w:cs="宋体"/>
          <w:color w:val="auto"/>
          <w:szCs w:val="21"/>
          <w:highlight w:val="none"/>
          <w:lang w:val="en-US" w:eastAsia="zh-CN"/>
        </w:rPr>
        <w:t>可</w:t>
      </w:r>
      <w:r>
        <w:rPr>
          <w:rFonts w:hint="eastAsia" w:ascii="宋体" w:hAnsi="宋体" w:cs="宋体"/>
          <w:color w:val="auto"/>
          <w:szCs w:val="21"/>
          <w:highlight w:val="none"/>
        </w:rPr>
        <w:t>为正本的复印件。</w:t>
      </w:r>
    </w:p>
    <w:p w14:paraId="39ABE42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投标文件须由投标人在规定位置盖章并由法定代表人或法定代表人的授权委托人签署，投标人应写全称。如为联合体投标，除本招标文件有说明外，仅需加盖联合体牵头人的法人章并经其法定代表人（或其委托代理人）签字或盖章。</w:t>
      </w:r>
    </w:p>
    <w:p w14:paraId="6FAB1DB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5.投标文件不得涂改，若有修改错漏处，须加盖单位公章或者法定代表人或授权委托人签字或盖章。投标文件因字迹潦草或表达不清所引起的后果由投标人负责。</w:t>
      </w:r>
    </w:p>
    <w:p w14:paraId="70E37EC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六</w:t>
      </w:r>
      <w:r>
        <w:rPr>
          <w:rFonts w:hint="eastAsia" w:ascii="宋体" w:hAnsi="宋体" w:cs="宋体"/>
          <w:color w:val="auto"/>
          <w:szCs w:val="21"/>
          <w:highlight w:val="none"/>
        </w:rPr>
        <w:t>）投标文件的包装、递交、修改和撤回</w:t>
      </w:r>
    </w:p>
    <w:p w14:paraId="11C60E29">
      <w:pPr>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szCs w:val="21"/>
          <w:highlight w:val="none"/>
        </w:rPr>
        <w:t>1.投</w:t>
      </w:r>
      <w:r>
        <w:rPr>
          <w:rFonts w:hint="eastAsia" w:ascii="宋体" w:hAnsi="宋体" w:cs="宋体"/>
          <w:color w:val="auto"/>
          <w:szCs w:val="21"/>
          <w:highlight w:val="none"/>
        </w:rPr>
        <w:t>标文件密封袋内装投标文件正本一份、副本一式四份，电子文件一份。投标文件递交时应密封完好，封口处必须盖投标单位公章或由投标</w:t>
      </w:r>
      <w:r>
        <w:rPr>
          <w:rFonts w:hint="eastAsia" w:ascii="宋体" w:hAnsi="宋体" w:cs="宋体"/>
          <w:color w:val="auto"/>
          <w:szCs w:val="21"/>
          <w:highlight w:val="none"/>
          <w:lang w:eastAsia="zh-CN"/>
        </w:rPr>
        <w:t>单位被</w:t>
      </w:r>
      <w:r>
        <w:rPr>
          <w:rFonts w:hint="eastAsia" w:ascii="宋体" w:hAnsi="宋体" w:cs="宋体"/>
          <w:color w:val="auto"/>
          <w:szCs w:val="21"/>
          <w:highlight w:val="none"/>
        </w:rPr>
        <w:t>授权代表人签字。密封袋上注明项目编号、项目名称、投标人名称、投标人地址、子包号（如有），并注明“投标文件”字样。</w:t>
      </w:r>
    </w:p>
    <w:p w14:paraId="78CD521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2.未按规定密封或标记的投标文件将被拒绝，由此造成投标文件被误投或提前拆封的风险由投标人承担。</w:t>
      </w:r>
    </w:p>
    <w:p w14:paraId="010A288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人在投标截止时间之前，可以对已提交的投标文件进行修改或撤回，并书面通知招标人；投标截止时间后，投标人不得撤回、修改投标文件。修改后重新递交的投标文件应当按本招标文件的要求签署、盖章和密封。</w:t>
      </w:r>
    </w:p>
    <w:p w14:paraId="2DF438C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七</w:t>
      </w:r>
      <w:r>
        <w:rPr>
          <w:rFonts w:hint="eastAsia" w:ascii="宋体" w:hAnsi="宋体" w:cs="宋体"/>
          <w:color w:val="auto"/>
          <w:szCs w:val="21"/>
          <w:highlight w:val="none"/>
        </w:rPr>
        <w:t>）投标无效的情形</w:t>
      </w:r>
    </w:p>
    <w:p w14:paraId="0604A488">
      <w:pPr>
        <w:widowControl/>
        <w:spacing w:line="360" w:lineRule="auto"/>
        <w:ind w:firstLine="420" w:firstLineChars="200"/>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没有响应招标文件实质性要求的投标将被视为无效投标。投标人不得通过修正或</w:t>
      </w:r>
      <w:r>
        <w:rPr>
          <w:rFonts w:hint="eastAsia" w:ascii="宋体" w:hAnsi="宋体" w:cs="宋体"/>
          <w:color w:val="auto"/>
          <w:kern w:val="0"/>
          <w:szCs w:val="20"/>
          <w:highlight w:val="none"/>
          <w:lang w:eastAsia="zh-CN"/>
        </w:rPr>
        <w:t>撤销不符</w:t>
      </w:r>
      <w:r>
        <w:rPr>
          <w:rFonts w:hint="eastAsia" w:ascii="宋体" w:hAnsi="宋体" w:cs="宋体"/>
          <w:color w:val="auto"/>
          <w:kern w:val="0"/>
          <w:szCs w:val="20"/>
          <w:highlight w:val="none"/>
        </w:rPr>
        <w:t>合要求的偏离或保留从而使其投标成为实质上响应的投标，但经评标委员会认定属于投标人疏忽、笔误所造成的差错，可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14:paraId="35894519">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投标文件有重大偏差的将被直接作无效标处理。重大偏差指：</w:t>
      </w:r>
    </w:p>
    <w:p w14:paraId="52341F7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.投标有效期不足的；</w:t>
      </w:r>
    </w:p>
    <w:p w14:paraId="3000A25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val="en-US" w:eastAsia="zh-CN"/>
        </w:rPr>
        <w:t>2</w:t>
      </w:r>
      <w:r>
        <w:rPr>
          <w:rFonts w:hint="eastAsia" w:ascii="宋体" w:hAnsi="宋体" w:cs="宋体"/>
          <w:color w:val="auto"/>
          <w:szCs w:val="21"/>
          <w:highlight w:val="none"/>
          <w:shd w:val="clear" w:color="auto" w:fill="FFFFFF"/>
        </w:rPr>
        <w:t>.投</w:t>
      </w:r>
      <w:r>
        <w:rPr>
          <w:rFonts w:hint="eastAsia" w:ascii="宋体" w:hAnsi="宋体" w:cs="宋体"/>
          <w:color w:val="auto"/>
          <w:szCs w:val="21"/>
          <w:highlight w:val="none"/>
        </w:rPr>
        <w:t>标文件的组成或格式的盖章、签署、出具不符合本招标文件要求的。</w:t>
      </w:r>
    </w:p>
    <w:p w14:paraId="31BA03B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.投标文件无法定代表人或被授权代表签字及签字人无法定代表人有效授权的；</w:t>
      </w:r>
    </w:p>
    <w:p w14:paraId="09D825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.明显不符合招标文件对技术规格、技术标准的要求或国家实行注册证、许可证制度而未提供相关证书的；</w:t>
      </w:r>
    </w:p>
    <w:p w14:paraId="7A95CF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.资格证明文件不全的，或者不符合招标文件标明的资格要求的；</w:t>
      </w:r>
    </w:p>
    <w:p w14:paraId="1B00AD1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.评标委员会经过审查，认定投标单位未在实质上响应招标文件的要求的；</w:t>
      </w:r>
    </w:p>
    <w:p w14:paraId="03B94F8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w:t>
      </w:r>
      <w:r>
        <w:rPr>
          <w:rFonts w:hint="eastAsia" w:ascii="宋体" w:hAnsi="宋体" w:cs="宋体"/>
          <w:bCs/>
          <w:color w:val="auto"/>
          <w:szCs w:val="21"/>
          <w:highlight w:val="none"/>
        </w:rPr>
        <w:t>任何对招标文件带“★”号条款的负偏离或未作实质性响应</w:t>
      </w:r>
      <w:r>
        <w:rPr>
          <w:rFonts w:hint="eastAsia" w:ascii="宋体" w:hAnsi="宋体" w:cs="宋体"/>
          <w:color w:val="auto"/>
          <w:szCs w:val="21"/>
          <w:highlight w:val="none"/>
        </w:rPr>
        <w:t>或者投标文件有招标人不能接受的附加条件的</w:t>
      </w:r>
      <w:r>
        <w:rPr>
          <w:rFonts w:hint="eastAsia" w:ascii="宋体" w:hAnsi="宋体" w:cs="宋体"/>
          <w:bCs/>
          <w:color w:val="auto"/>
          <w:szCs w:val="21"/>
          <w:highlight w:val="none"/>
        </w:rPr>
        <w:t>，都将直接导致投标无效；</w:t>
      </w:r>
    </w:p>
    <w:p w14:paraId="07FBD05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.在评标期间，评标委员会若发现投标单位在投标中有腐败或欺诈行为或投标单位试图对评标委员会的评</w:t>
      </w:r>
      <w:r>
        <w:rPr>
          <w:rFonts w:hint="eastAsia" w:ascii="宋体" w:hAnsi="宋体" w:cs="宋体"/>
          <w:color w:val="auto"/>
          <w:szCs w:val="21"/>
          <w:highlight w:val="none"/>
          <w:lang w:eastAsia="zh-CN"/>
        </w:rPr>
        <w:t>标</w:t>
      </w:r>
      <w:r>
        <w:rPr>
          <w:rFonts w:hint="eastAsia" w:ascii="宋体" w:hAnsi="宋体" w:cs="宋体"/>
          <w:color w:val="auto"/>
          <w:szCs w:val="21"/>
          <w:highlight w:val="none"/>
        </w:rPr>
        <w:t>进行影响的，将依法否决其投标。</w:t>
      </w:r>
    </w:p>
    <w:p w14:paraId="265EF8E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.未采用招标文件要求的报价形式或超过采购预算（最高限价）的；</w:t>
      </w:r>
    </w:p>
    <w:p w14:paraId="2EDB7B4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.报价具有选择性；</w:t>
      </w:r>
    </w:p>
    <w:p w14:paraId="0C5DB91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.投标文件技术方案不明确，存在一个或一个以上备选（替代）方案的；</w:t>
      </w:r>
    </w:p>
    <w:p w14:paraId="7A0242E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.投标文件的实质性内容未使用中文表述、意思表述不明确、前后矛盾或者使用计量单位不符合招标文件要求的（经评标委员会认定并允许其当场更正的笔误除外）；</w:t>
      </w:r>
    </w:p>
    <w:p w14:paraId="2BCAEDB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对于投标文件在实质上响应招标文件要求，但个别地方属于明显笔误的，提供的技术信息和数据不够完整等细微偏差，在补正不会造成对</w:t>
      </w:r>
      <w:r>
        <w:rPr>
          <w:rFonts w:hint="eastAsia" w:ascii="宋体" w:hAnsi="宋体" w:cs="宋体"/>
          <w:color w:val="auto"/>
          <w:szCs w:val="21"/>
          <w:highlight w:val="none"/>
          <w:lang w:eastAsia="zh-CN"/>
        </w:rPr>
        <w:t>其他</w:t>
      </w:r>
      <w:r>
        <w:rPr>
          <w:rFonts w:hint="eastAsia" w:ascii="宋体" w:hAnsi="宋体" w:cs="宋体"/>
          <w:color w:val="auto"/>
          <w:szCs w:val="21"/>
          <w:highlight w:val="none"/>
        </w:rPr>
        <w:t>投标单位不公平结果的原则下，允许投标单位在询标时作出澄清和补正。</w:t>
      </w:r>
    </w:p>
    <w:p w14:paraId="1E9DF927">
      <w:pPr>
        <w:spacing w:line="360" w:lineRule="auto"/>
        <w:rPr>
          <w:rFonts w:hint="eastAsia" w:ascii="宋体" w:hAnsi="宋体" w:cs="宋体"/>
          <w:snapToGrid w:val="0"/>
          <w:color w:val="auto"/>
          <w:szCs w:val="21"/>
          <w:highlight w:val="none"/>
        </w:rPr>
      </w:pPr>
      <w:r>
        <w:rPr>
          <w:rFonts w:hint="eastAsia" w:ascii="宋体" w:hAnsi="宋体" w:cs="宋体"/>
          <w:color w:val="auto"/>
          <w:szCs w:val="21"/>
          <w:highlight w:val="none"/>
        </w:rPr>
        <w:t>四、开标</w:t>
      </w:r>
    </w:p>
    <w:p w14:paraId="5B041A7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（一）开标准备</w:t>
      </w:r>
    </w:p>
    <w:p w14:paraId="4B66DBB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招标代理机构将在规定的时间和地点进行开标，投标人的法定代表人或其授权代表应参加开标会并签到。投标人的法定代表人或其授权代表未按时签到的，视同放弃开标监督权利、认可开标结果。</w:t>
      </w:r>
    </w:p>
    <w:p w14:paraId="5AC77F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 开标程序：</w:t>
      </w:r>
    </w:p>
    <w:p w14:paraId="3D0E336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1.开标会由招标代理机构主持，主持人宣布开标会议开始；</w:t>
      </w:r>
    </w:p>
    <w:p w14:paraId="0C1CB4E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2.主持人介绍参加开标会的人员名单； </w:t>
      </w:r>
    </w:p>
    <w:p w14:paraId="59D67C5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3.主持人宣布评标期间的有关事项；告知应当回避的情形</w:t>
      </w:r>
      <w:r>
        <w:rPr>
          <w:rFonts w:hint="eastAsia" w:ascii="宋体" w:hAnsi="宋体" w:cs="宋体"/>
          <w:color w:val="auto"/>
          <w:szCs w:val="21"/>
          <w:highlight w:val="none"/>
          <w:lang w:eastAsia="zh-CN"/>
        </w:rPr>
        <w:t>，</w:t>
      </w:r>
      <w:r>
        <w:rPr>
          <w:rFonts w:hint="eastAsia" w:ascii="宋体" w:hAnsi="宋体" w:cs="宋体"/>
          <w:color w:val="auto"/>
          <w:szCs w:val="21"/>
          <w:highlight w:val="none"/>
        </w:rPr>
        <w:t>提请有关人员回避；</w:t>
      </w:r>
    </w:p>
    <w:p w14:paraId="03F9459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4.投标人或其当场推荐的代表，检查投标文件密封的完整性并签字确认；</w:t>
      </w:r>
    </w:p>
    <w:p w14:paraId="1A835B2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5.按各投标人提交投标文件的时间的先后顺序打开所有投标文件的外包装，清点投标文件正本、副本数量；</w:t>
      </w:r>
    </w:p>
    <w:p w14:paraId="65F6183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6.由主持人宣读投标人名称、投标报价及在其投标文件中承诺的投标内容，以及招标代理机构认为有必要宣读的其他内容。</w:t>
      </w:r>
    </w:p>
    <w:p w14:paraId="036B2B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7.招标代理机构做开标记录</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投标人代表对开标记录进行当场校核及勘误，并签字确认；同时由记录人当场签字确认。投标人代表未到场签字确认或者拒绝签字确认的，不影响评标过程。</w:t>
      </w:r>
    </w:p>
    <w:p w14:paraId="1BC1532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8.投标文件由评标委员会进行评审，评审结束后，由主持人公布无效投标的投标人名单、投标无效的原因及其他有效投标的评分结果。</w:t>
      </w:r>
    </w:p>
    <w:p w14:paraId="118ACB1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9.开标会议结束。</w:t>
      </w:r>
    </w:p>
    <w:p w14:paraId="6012B7D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五、评标</w:t>
      </w:r>
    </w:p>
    <w:p w14:paraId="58302FD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（一）组建评标委员会</w:t>
      </w:r>
    </w:p>
    <w:p w14:paraId="3C0E3EF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本项目评标委员会依法组建。</w:t>
      </w:r>
    </w:p>
    <w:p w14:paraId="7F93B70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（二）评标的方式</w:t>
      </w:r>
    </w:p>
    <w:p w14:paraId="17AFCF0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本项目采用不公开方式评标，评标的依据为招标文件和投标文件。</w:t>
      </w:r>
    </w:p>
    <w:p w14:paraId="7E6349E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（三）</w:t>
      </w:r>
      <w:r>
        <w:rPr>
          <w:rFonts w:hint="eastAsia" w:ascii="宋体" w:hAnsi="宋体" w:cs="宋体"/>
          <w:bCs/>
          <w:color w:val="auto"/>
          <w:szCs w:val="21"/>
          <w:highlight w:val="none"/>
        </w:rPr>
        <w:t>评标程序</w:t>
      </w:r>
    </w:p>
    <w:p w14:paraId="6935159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1.形式审查</w:t>
      </w:r>
    </w:p>
    <w:p w14:paraId="36D640C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招标人代表和代理机构工作人员协助评标委员会对投标人的资格和投标文件的完整性、合法性等进行审查。</w:t>
      </w:r>
    </w:p>
    <w:p w14:paraId="2448B42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2.实质审查与比较</w:t>
      </w:r>
    </w:p>
    <w:p w14:paraId="5DF96E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（1）评标委员会审查投标文件的实质性内容是否符合招标文件的实质性要求。</w:t>
      </w:r>
    </w:p>
    <w:p w14:paraId="7E2DFEC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（2）评标委员会将根据投标人的投标文件进行审查、核对</w:t>
      </w:r>
      <w:r>
        <w:rPr>
          <w:rFonts w:hint="eastAsia" w:ascii="宋体" w:hAnsi="宋体" w:cs="宋体"/>
          <w:color w:val="auto"/>
          <w:szCs w:val="21"/>
          <w:highlight w:val="none"/>
          <w:lang w:eastAsia="zh-CN"/>
        </w:rPr>
        <w:t>，</w:t>
      </w:r>
      <w:r>
        <w:rPr>
          <w:rFonts w:hint="eastAsia" w:ascii="宋体" w:hAnsi="宋体" w:cs="宋体"/>
          <w:color w:val="auto"/>
          <w:szCs w:val="21"/>
          <w:highlight w:val="none"/>
        </w:rPr>
        <w:t>如有疑问</w:t>
      </w:r>
      <w:r>
        <w:rPr>
          <w:rFonts w:hint="eastAsia" w:ascii="宋体" w:hAnsi="宋体" w:cs="宋体"/>
          <w:color w:val="auto"/>
          <w:szCs w:val="21"/>
          <w:highlight w:val="none"/>
          <w:lang w:eastAsia="zh-CN"/>
        </w:rPr>
        <w:t>，</w:t>
      </w:r>
      <w:r>
        <w:rPr>
          <w:rFonts w:hint="eastAsia" w:ascii="宋体" w:hAnsi="宋体" w:cs="宋体"/>
          <w:color w:val="auto"/>
          <w:szCs w:val="21"/>
          <w:highlight w:val="none"/>
        </w:rPr>
        <w:t>将对投标人进行询标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投标人要向评标委员会澄清有关问题</w:t>
      </w:r>
      <w:r>
        <w:rPr>
          <w:rFonts w:hint="eastAsia" w:ascii="宋体" w:hAnsi="宋体" w:cs="宋体"/>
          <w:color w:val="auto"/>
          <w:szCs w:val="21"/>
          <w:highlight w:val="none"/>
          <w:lang w:eastAsia="zh-CN"/>
        </w:rPr>
        <w:t>，</w:t>
      </w:r>
      <w:r>
        <w:rPr>
          <w:rFonts w:hint="eastAsia" w:ascii="宋体" w:hAnsi="宋体" w:cs="宋体"/>
          <w:color w:val="auto"/>
          <w:szCs w:val="21"/>
          <w:highlight w:val="none"/>
        </w:rPr>
        <w:t>并最终以书面形式进行答复。</w:t>
      </w:r>
    </w:p>
    <w:p w14:paraId="646B099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投标人代表未到场或者拒绝澄清或者澄清的内容改变了投标文件的实质性内容的，评标委员会有权对该投标文件作出不利于投标人的评判。</w:t>
      </w:r>
    </w:p>
    <w:p w14:paraId="69D0710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（3）评标委员会对初步审查合格的投标文件，依照本办法对其技术部分和商务部分</w:t>
      </w:r>
      <w:r>
        <w:rPr>
          <w:rFonts w:hint="eastAsia" w:ascii="宋体" w:hAnsi="宋体" w:cs="宋体"/>
          <w:color w:val="auto"/>
          <w:szCs w:val="21"/>
          <w:highlight w:val="none"/>
          <w:lang w:eastAsia="zh-CN"/>
        </w:rPr>
        <w:t>做</w:t>
      </w:r>
      <w:r>
        <w:rPr>
          <w:rFonts w:hint="eastAsia" w:ascii="宋体" w:hAnsi="宋体" w:cs="宋体"/>
          <w:color w:val="auto"/>
          <w:szCs w:val="21"/>
          <w:highlight w:val="none"/>
        </w:rPr>
        <w:t>进一步评审、比较，并按评分比例，由评标委员会各成员以记名方式独立评定打分。汇总各评委的评分，取算术平均值（小数点后保留</w:t>
      </w:r>
      <w:r>
        <w:rPr>
          <w:rFonts w:hint="eastAsia" w:ascii="宋体" w:hAnsi="宋体" w:cs="宋体"/>
          <w:color w:val="auto"/>
          <w:szCs w:val="21"/>
          <w:highlight w:val="none"/>
          <w:lang w:eastAsia="zh-CN"/>
        </w:rPr>
        <w:t>两位数</w:t>
      </w:r>
      <w:r>
        <w:rPr>
          <w:rFonts w:hint="eastAsia" w:ascii="宋体" w:hAnsi="宋体" w:cs="宋体"/>
          <w:color w:val="auto"/>
          <w:szCs w:val="21"/>
          <w:highlight w:val="none"/>
        </w:rPr>
        <w:t>）为该投标人的总得分。</w:t>
      </w:r>
    </w:p>
    <w:p w14:paraId="796EE24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（4）评标委员会按评标原则推荐中标候选人同时起草评标报告。</w:t>
      </w:r>
    </w:p>
    <w:p w14:paraId="1DFC58F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（四）澄清问题的形式</w:t>
      </w:r>
    </w:p>
    <w:p w14:paraId="478457B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对投标文件中含义不明确、同类问题表述不一致或者有明显文字和计算错误的内容，评标委员会</w:t>
      </w:r>
      <w:r>
        <w:rPr>
          <w:rFonts w:hint="eastAsia" w:ascii="宋体" w:hAnsi="宋体" w:cs="宋体"/>
          <w:color w:val="auto"/>
          <w:szCs w:val="21"/>
          <w:highlight w:val="none"/>
          <w:lang w:eastAsia="zh-CN"/>
        </w:rPr>
        <w:t>可以</w:t>
      </w:r>
      <w:r>
        <w:rPr>
          <w:rFonts w:hint="eastAsia" w:ascii="宋体" w:hAnsi="宋体" w:cs="宋体"/>
          <w:color w:val="auto"/>
          <w:szCs w:val="21"/>
          <w:highlight w:val="none"/>
        </w:rPr>
        <w:t>要求投标人作出必要的澄清、说明或者纠正。投标人的澄清、说明或者补正应当采用书面形式，由其授权代表签字或盖章确认，并不得超出投标文件的范围或者改变投标文件的实质性内容。</w:t>
      </w:r>
    </w:p>
    <w:p w14:paraId="29B366F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（五）错误修正</w:t>
      </w:r>
    </w:p>
    <w:p w14:paraId="0052FB06">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投标文件如果出现计算或表达上的错误，修正错误的原则如下：开标时，投标文件中开标一览表内容与投标报价明细表内容不一致的，以开标一览表为准。</w:t>
      </w:r>
    </w:p>
    <w:p w14:paraId="7109D444">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投标文件正本内容与副本内容不一致的，以正本内容为准；投标文件的大写金额和小写金额不一致的，以大写金额为准；总价金额与按单价汇总金额不一致的，以单价金额计算结果为准；单价金额小数点明显错位的，应以总价为准，并修改单价；对不同文字文本投标文件的解释发生异议的，以中文文本为准。</w:t>
      </w:r>
    </w:p>
    <w:p w14:paraId="4BBE7CA8">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14:paraId="1317A08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（六）评标原则和评标办法</w:t>
      </w:r>
    </w:p>
    <w:p w14:paraId="41B51A23">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1.评标原则：</w:t>
      </w:r>
    </w:p>
    <w:p w14:paraId="1F25EE38">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1）评标委员会必须公平、公正、客观，不带任何倾向性和启发性；不得向外界透露任何与评标有关的内容；任何单位和个人不得干扰、影响评标的正常进行；评标委员会及有关工作人员不得私下与投标人接触。</w:t>
      </w:r>
    </w:p>
    <w:p w14:paraId="59F09B3A">
      <w:pPr>
        <w:spacing w:line="360" w:lineRule="auto"/>
        <w:ind w:firstLine="378" w:firstLineChars="180"/>
        <w:rPr>
          <w:rFonts w:ascii="宋体" w:hAnsi="宋体"/>
          <w:color w:val="auto"/>
          <w:highlight w:val="none"/>
        </w:rPr>
      </w:pPr>
      <w:r>
        <w:rPr>
          <w:rFonts w:hint="eastAsia" w:ascii="宋体" w:hAnsi="宋体"/>
          <w:color w:val="auto"/>
          <w:highlight w:val="none"/>
        </w:rPr>
        <w:t>（2）评标委员会根据投标人的综合得分由高到低排定顺序，推荐综合得分排名第一的投标人为第一中标候选人。</w:t>
      </w:r>
      <w:r>
        <w:rPr>
          <w:rFonts w:hint="eastAsia" w:ascii="宋体" w:hAnsi="宋体"/>
          <w:b/>
          <w:bCs/>
          <w:color w:val="auto"/>
          <w:highlight w:val="none"/>
        </w:rPr>
        <w:t>如综合得分相同，按照</w:t>
      </w:r>
      <w:r>
        <w:rPr>
          <w:rFonts w:hint="eastAsia" w:ascii="宋体" w:hAnsi="宋体"/>
          <w:b/>
          <w:bCs/>
          <w:color w:val="auto"/>
          <w:highlight w:val="none"/>
          <w:lang w:val="en-US" w:eastAsia="zh-CN"/>
        </w:rPr>
        <w:t>投标报价</w:t>
      </w:r>
      <w:r>
        <w:rPr>
          <w:rFonts w:hint="eastAsia" w:ascii="宋体" w:hAnsi="宋体"/>
          <w:b/>
          <w:bCs/>
          <w:color w:val="auto"/>
          <w:highlight w:val="none"/>
        </w:rPr>
        <w:t>由</w:t>
      </w:r>
      <w:r>
        <w:rPr>
          <w:rFonts w:hint="eastAsia" w:ascii="宋体" w:hAnsi="宋体"/>
          <w:b/>
          <w:bCs/>
          <w:color w:val="auto"/>
          <w:highlight w:val="none"/>
          <w:lang w:val="en-US" w:eastAsia="zh-CN"/>
        </w:rPr>
        <w:t>低</w:t>
      </w:r>
      <w:r>
        <w:rPr>
          <w:rFonts w:hint="eastAsia" w:ascii="宋体" w:hAnsi="宋体"/>
          <w:b/>
          <w:bCs/>
          <w:color w:val="auto"/>
          <w:highlight w:val="none"/>
        </w:rPr>
        <w:t>到</w:t>
      </w:r>
      <w:r>
        <w:rPr>
          <w:rFonts w:hint="eastAsia" w:ascii="宋体" w:hAnsi="宋体"/>
          <w:b/>
          <w:bCs/>
          <w:color w:val="auto"/>
          <w:highlight w:val="none"/>
          <w:lang w:val="en-US" w:eastAsia="zh-CN"/>
        </w:rPr>
        <w:t>高</w:t>
      </w:r>
      <w:r>
        <w:rPr>
          <w:rFonts w:hint="eastAsia" w:ascii="宋体" w:hAnsi="宋体"/>
          <w:b/>
          <w:bCs/>
          <w:color w:val="auto"/>
          <w:highlight w:val="none"/>
        </w:rPr>
        <w:t>的顺序推荐。综合得分且投标报价相同的，则抽签决定，先抽中者排名在前。</w:t>
      </w:r>
    </w:p>
    <w:p w14:paraId="791064EA">
      <w:pPr>
        <w:spacing w:line="360" w:lineRule="auto"/>
        <w:ind w:firstLine="378" w:firstLineChars="180"/>
        <w:rPr>
          <w:rFonts w:hint="eastAsia" w:ascii="宋体" w:hAnsi="宋体"/>
          <w:color w:val="auto"/>
          <w:highlight w:val="none"/>
        </w:rPr>
      </w:pPr>
      <w:r>
        <w:rPr>
          <w:rFonts w:hint="eastAsia" w:ascii="宋体" w:hAnsi="宋体"/>
          <w:color w:val="auto"/>
          <w:highlight w:val="none"/>
        </w:rPr>
        <w:t>（3）具体评定原则如下：</w:t>
      </w:r>
    </w:p>
    <w:p w14:paraId="210B461D">
      <w:pPr>
        <w:spacing w:line="360" w:lineRule="auto"/>
        <w:ind w:firstLine="378" w:firstLineChars="180"/>
        <w:rPr>
          <w:rFonts w:hint="eastAsia" w:ascii="宋体" w:hAnsi="宋体"/>
          <w:color w:val="auto"/>
          <w:highlight w:val="none"/>
        </w:rPr>
      </w:pPr>
      <w:r>
        <w:rPr>
          <w:rFonts w:hint="eastAsia" w:ascii="宋体" w:hAnsi="宋体"/>
          <w:color w:val="auto"/>
          <w:highlight w:val="none"/>
        </w:rPr>
        <w:t>1）若本项目出现参与的投标人或者对招标文件作出实质性响应的投标人不足3家的情况，本项目招标采购活动终止。</w:t>
      </w:r>
    </w:p>
    <w:p w14:paraId="5C6E5517">
      <w:pPr>
        <w:spacing w:line="360" w:lineRule="auto"/>
        <w:ind w:firstLine="378" w:firstLineChars="180"/>
        <w:rPr>
          <w:rFonts w:hint="eastAsia" w:ascii="宋体" w:hAnsi="宋体"/>
          <w:color w:val="auto"/>
          <w:highlight w:val="none"/>
        </w:rPr>
      </w:pPr>
      <w:r>
        <w:rPr>
          <w:rFonts w:hint="eastAsia" w:ascii="宋体" w:hAnsi="宋体"/>
          <w:color w:val="auto"/>
          <w:highlight w:val="none"/>
        </w:rPr>
        <w:t>2）如评标过程中有特殊情况，由评标委员会讨论决定。</w:t>
      </w:r>
    </w:p>
    <w:p w14:paraId="2EE4447B">
      <w:pPr>
        <w:pStyle w:val="21"/>
        <w:snapToGrid/>
        <w:spacing w:line="360" w:lineRule="auto"/>
        <w:ind w:firstLine="420" w:firstLineChars="200"/>
        <w:rPr>
          <w:rFonts w:hint="eastAsia" w:ascii="宋体"/>
          <w:b w:val="0"/>
          <w:bCs w:val="0"/>
          <w:color w:val="auto"/>
          <w:sz w:val="21"/>
          <w:szCs w:val="21"/>
          <w:highlight w:val="none"/>
        </w:rPr>
      </w:pPr>
      <w:r>
        <w:rPr>
          <w:rFonts w:hint="eastAsia" w:ascii="宋体"/>
          <w:b w:val="0"/>
          <w:bCs w:val="0"/>
          <w:color w:val="auto"/>
          <w:sz w:val="21"/>
          <w:szCs w:val="21"/>
          <w:highlight w:val="none"/>
        </w:rPr>
        <w:t>（4）中标结果</w:t>
      </w:r>
    </w:p>
    <w:p w14:paraId="4FD82E08">
      <w:pPr>
        <w:spacing w:line="360" w:lineRule="auto"/>
        <w:ind w:firstLine="378" w:firstLineChars="180"/>
        <w:rPr>
          <w:rFonts w:hint="eastAsia" w:ascii="宋体" w:hAnsi="宋体"/>
          <w:color w:val="auto"/>
          <w:highlight w:val="none"/>
        </w:rPr>
      </w:pPr>
      <w:r>
        <w:rPr>
          <w:rFonts w:hint="eastAsia" w:ascii="宋体" w:hAnsi="宋体"/>
          <w:color w:val="auto"/>
          <w:highlight w:val="none"/>
        </w:rPr>
        <w:t>招标机构将中标结果在采购指定媒体上公示，公示期3个自然日，根据公示和决标结果，向中标人发出中标通知书。</w:t>
      </w:r>
    </w:p>
    <w:p w14:paraId="7F15CC5F">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2.评标办法：</w:t>
      </w:r>
    </w:p>
    <w:p w14:paraId="38A6BE91">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本项目评标办法是“综合评分法”，具体评标内容及评分标准等详见《第四章：评标办法及评分标准》。</w:t>
      </w:r>
    </w:p>
    <w:p w14:paraId="4259BD4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（七）评标过程的监控</w:t>
      </w:r>
    </w:p>
    <w:p w14:paraId="611A8C86">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投标人在评标过程中所进行的试图影响评标结果的不公正活动，可能导致其投标被拒绝。</w:t>
      </w:r>
    </w:p>
    <w:p w14:paraId="41BC043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六、定标</w:t>
      </w:r>
    </w:p>
    <w:p w14:paraId="422A17AF">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确定中标人。本项目由招标人（或招标人事先授权评标委员会）确定中标人。</w:t>
      </w:r>
    </w:p>
    <w:p w14:paraId="018E46FB">
      <w:pPr>
        <w:spacing w:line="360" w:lineRule="auto"/>
        <w:ind w:firstLine="420" w:firstLineChars="200"/>
        <w:rPr>
          <w:rFonts w:hint="eastAsia" w:ascii="宋体" w:hAnsi="宋体" w:cs="宋体"/>
          <w:bCs/>
          <w:color w:val="auto"/>
          <w:szCs w:val="21"/>
          <w:highlight w:val="none"/>
        </w:rPr>
      </w:pPr>
      <w:r>
        <w:rPr>
          <w:rFonts w:hint="eastAsia" w:ascii="宋体" w:hAnsi="宋体"/>
          <w:color w:val="auto"/>
          <w:szCs w:val="21"/>
          <w:highlight w:val="none"/>
        </w:rPr>
        <w:t>若中标人因投标过程中所提供的资料有失实或弄虚作假的或放弃中标或因不可抗力提出不能履行合同或未按规定提交履约保证金的，招标人可以确定排名次之的中标候选人为中标人或重新组织招标。</w:t>
      </w:r>
    </w:p>
    <w:p w14:paraId="41DE3ED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七、合同授予</w:t>
      </w:r>
    </w:p>
    <w:p w14:paraId="6A7D88D4">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（一）签订合同</w:t>
      </w:r>
    </w:p>
    <w:p w14:paraId="3E68AB4C">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1.招标人与中标人应当在《中标通知书》发出之日起30日内签订采购合同。同时，招标代理机构对合同内容进行审查，如发现与采购结果和投标承诺内容不一致的，应予以纠正。</w:t>
      </w:r>
    </w:p>
    <w:p w14:paraId="4716929A">
      <w:pPr>
        <w:pStyle w:val="19"/>
        <w:spacing w:beforeLines="0" w:afterLines="0" w:line="360" w:lineRule="auto"/>
        <w:ind w:firstLine="420"/>
        <w:rPr>
          <w:rFonts w:hint="eastAsia" w:hAnsi="宋体" w:cs="宋体"/>
          <w:color w:val="auto"/>
          <w:sz w:val="21"/>
          <w:szCs w:val="21"/>
          <w:highlight w:val="none"/>
        </w:rPr>
      </w:pPr>
      <w:r>
        <w:rPr>
          <w:rFonts w:hint="eastAsia" w:hAnsi="宋体" w:cs="宋体"/>
          <w:color w:val="auto"/>
          <w:sz w:val="21"/>
          <w:szCs w:val="21"/>
          <w:highlight w:val="none"/>
        </w:rPr>
        <w:t>2.中标人拖延、拒签合同的</w:t>
      </w:r>
      <w:r>
        <w:rPr>
          <w:rFonts w:hint="eastAsia" w:hAnsi="宋体" w:cs="宋体"/>
          <w:color w:val="auto"/>
          <w:sz w:val="21"/>
          <w:szCs w:val="21"/>
          <w:highlight w:val="none"/>
          <w:lang w:eastAsia="zh-CN"/>
        </w:rPr>
        <w:t>，</w:t>
      </w:r>
      <w:r>
        <w:rPr>
          <w:rFonts w:hint="eastAsia" w:hAnsi="宋体" w:cs="宋体"/>
          <w:color w:val="auto"/>
          <w:sz w:val="21"/>
          <w:szCs w:val="21"/>
          <w:highlight w:val="none"/>
        </w:rPr>
        <w:t>将被取消中标资格。</w:t>
      </w:r>
    </w:p>
    <w:p w14:paraId="36FDA713">
      <w:pPr>
        <w:pStyle w:val="5"/>
        <w:keepNext/>
        <w:keepLines/>
        <w:pageBreakBefore w:val="0"/>
        <w:widowControl w:val="0"/>
        <w:kinsoku/>
        <w:wordWrap/>
        <w:overflowPunct/>
        <w:topLinePunct w:val="0"/>
        <w:autoSpaceDE/>
        <w:autoSpaceDN/>
        <w:bidi w:val="0"/>
        <w:adjustRightInd/>
        <w:snapToGrid/>
        <w:spacing w:before="330" w:line="360" w:lineRule="auto"/>
        <w:jc w:val="center"/>
        <w:textAlignment w:val="auto"/>
        <w:rPr>
          <w:rFonts w:hint="eastAsia" w:ascii="宋体" w:hAnsi="宋体" w:cs="宋体"/>
          <w:color w:val="auto"/>
          <w:sz w:val="30"/>
          <w:szCs w:val="30"/>
          <w:highlight w:val="none"/>
        </w:rPr>
      </w:pPr>
      <w:r>
        <w:rPr>
          <w:rFonts w:hint="eastAsia" w:ascii="宋体" w:hAnsi="宋体" w:cs="宋体"/>
          <w:color w:val="auto"/>
          <w:sz w:val="28"/>
          <w:szCs w:val="28"/>
          <w:highlight w:val="none"/>
        </w:rPr>
        <w:br w:type="page"/>
      </w:r>
      <w:bookmarkStart w:id="3" w:name="_Toc6843"/>
      <w:r>
        <w:rPr>
          <w:rFonts w:hint="eastAsia" w:ascii="宋体" w:hAnsi="宋体" w:cs="宋体"/>
          <w:color w:val="auto"/>
          <w:sz w:val="28"/>
          <w:szCs w:val="28"/>
          <w:highlight w:val="none"/>
        </w:rPr>
        <w:t>第四章  评标办法及评分标准</w:t>
      </w:r>
      <w:bookmarkEnd w:id="3"/>
    </w:p>
    <w:p w14:paraId="5A669581">
      <w:pPr>
        <w:pStyle w:val="21"/>
        <w:snapToGrid/>
        <w:spacing w:line="360" w:lineRule="auto"/>
        <w:ind w:firstLine="417" w:firstLineChars="199"/>
        <w:rPr>
          <w:rFonts w:hint="eastAsia" w:ascii="宋体" w:cs="宋体"/>
          <w:b w:val="0"/>
          <w:color w:val="auto"/>
          <w:sz w:val="21"/>
          <w:szCs w:val="21"/>
          <w:highlight w:val="none"/>
        </w:rPr>
      </w:pPr>
      <w:r>
        <w:rPr>
          <w:rFonts w:hint="eastAsia" w:ascii="宋体" w:cs="宋体"/>
          <w:b w:val="0"/>
          <w:color w:val="auto"/>
          <w:sz w:val="21"/>
          <w:szCs w:val="21"/>
          <w:highlight w:val="none"/>
        </w:rPr>
        <w:t>本办法严格遵照《中华人民共和国招标投标法</w:t>
      </w:r>
      <w:r>
        <w:rPr>
          <w:rFonts w:hint="eastAsia" w:ascii="宋体" w:cs="宋体"/>
          <w:b w:val="0"/>
          <w:color w:val="auto"/>
          <w:sz w:val="21"/>
          <w:szCs w:val="21"/>
          <w:highlight w:val="none"/>
          <w:lang w:eastAsia="zh-CN"/>
        </w:rPr>
        <w:t>》《</w:t>
      </w:r>
      <w:r>
        <w:rPr>
          <w:rFonts w:hint="eastAsia" w:ascii="宋体" w:cs="宋体"/>
          <w:b w:val="0"/>
          <w:color w:val="auto"/>
          <w:sz w:val="21"/>
          <w:szCs w:val="21"/>
          <w:highlight w:val="none"/>
        </w:rPr>
        <w:t>中华人民共和国招标投标法实施条例》等规定，结合项目所在地政府有关采购规定和项目的实际情况制定。</w:t>
      </w:r>
    </w:p>
    <w:p w14:paraId="60EE871A">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一、总则</w:t>
      </w:r>
    </w:p>
    <w:p w14:paraId="4B90C01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招标活动遵循公平、公正、科学、择优的原则依法进行，招标活动及当事人接受依法实施的监督。本次招标采用综合评分法。</w:t>
      </w:r>
    </w:p>
    <w:p w14:paraId="11A9BF4A">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二、评标组织</w:t>
      </w:r>
    </w:p>
    <w:p w14:paraId="6418A1DF">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评标委员会：招标人和招标</w:t>
      </w:r>
      <w:r>
        <w:rPr>
          <w:rFonts w:hint="eastAsia" w:ascii="宋体" w:hAnsi="宋体" w:cs="宋体"/>
          <w:color w:val="auto"/>
          <w:highlight w:val="none"/>
          <w:lang w:val="en-US" w:eastAsia="zh-CN"/>
        </w:rPr>
        <w:t>代理</w:t>
      </w:r>
      <w:r>
        <w:rPr>
          <w:rFonts w:hint="eastAsia" w:ascii="宋体" w:hAnsi="宋体" w:cs="宋体"/>
          <w:color w:val="auto"/>
          <w:highlight w:val="none"/>
        </w:rPr>
        <w:t>机构根据招标项目的内</w:t>
      </w:r>
      <w:r>
        <w:rPr>
          <w:rFonts w:hint="eastAsia" w:ascii="宋体" w:hAnsi="宋体" w:cs="宋体"/>
          <w:color w:val="auto"/>
          <w:highlight w:val="none"/>
          <w:lang w:eastAsia="zh-CN"/>
        </w:rPr>
        <w:t>容和</w:t>
      </w:r>
      <w:r>
        <w:rPr>
          <w:rFonts w:hint="eastAsia" w:ascii="宋体" w:hAnsi="宋体" w:cs="宋体"/>
          <w:color w:val="auto"/>
          <w:highlight w:val="none"/>
        </w:rPr>
        <w:t>特点按照规定组建评标委员会。评标委员会由技术、经济方面专家等有关人员组成。</w:t>
      </w:r>
    </w:p>
    <w:p w14:paraId="019D61BA">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三、评标程序</w:t>
      </w:r>
    </w:p>
    <w:p w14:paraId="12D3C628">
      <w:pPr>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highlight w:val="none"/>
        </w:rPr>
        <w:t>详</w:t>
      </w:r>
      <w:r>
        <w:rPr>
          <w:rFonts w:hint="eastAsia" w:ascii="宋体" w:hAnsi="宋体" w:cs="宋体"/>
          <w:bCs/>
          <w:color w:val="auto"/>
          <w:szCs w:val="21"/>
          <w:highlight w:val="none"/>
        </w:rPr>
        <w:t>见第三章《投标人须知》五、评标</w:t>
      </w:r>
    </w:p>
    <w:p w14:paraId="68393BD5">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四、评分标准表</w:t>
      </w:r>
    </w:p>
    <w:p w14:paraId="29FD83F6">
      <w:pPr>
        <w:ind w:firstLine="723" w:firstLineChars="225"/>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评分标准</w:t>
      </w:r>
    </w:p>
    <w:tbl>
      <w:tblPr>
        <w:tblStyle w:val="33"/>
        <w:tblW w:w="985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449"/>
        <w:gridCol w:w="5879"/>
        <w:gridCol w:w="709"/>
        <w:gridCol w:w="1062"/>
      </w:tblGrid>
      <w:tr w14:paraId="016074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079" w:type="dxa"/>
            <w:gridSpan w:val="3"/>
            <w:noWrap w:val="0"/>
            <w:vAlign w:val="center"/>
          </w:tcPr>
          <w:p w14:paraId="6670E275">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b/>
                <w:bCs/>
                <w:color w:val="auto"/>
                <w:kern w:val="2"/>
                <w:sz w:val="21"/>
                <w:szCs w:val="21"/>
                <w:highlight w:val="none"/>
              </w:rPr>
            </w:pPr>
            <w:r>
              <w:rPr>
                <w:rFonts w:hint="eastAsia" w:ascii="宋体" w:hAnsi="宋体" w:eastAsia="宋体" w:cs="Times New Roman"/>
                <w:b/>
                <w:bCs/>
                <w:color w:val="auto"/>
                <w:kern w:val="2"/>
                <w:sz w:val="21"/>
                <w:szCs w:val="21"/>
                <w:highlight w:val="none"/>
                <w:lang w:val="en-US" w:eastAsia="zh-CN"/>
              </w:rPr>
              <w:t>评审</w:t>
            </w:r>
            <w:r>
              <w:rPr>
                <w:rFonts w:hint="eastAsia" w:ascii="宋体" w:hAnsi="宋体" w:eastAsia="宋体" w:cs="Times New Roman"/>
                <w:b/>
                <w:bCs/>
                <w:color w:val="auto"/>
                <w:kern w:val="2"/>
                <w:sz w:val="21"/>
                <w:szCs w:val="21"/>
                <w:highlight w:val="none"/>
              </w:rPr>
              <w:t>内容</w:t>
            </w:r>
          </w:p>
        </w:tc>
        <w:tc>
          <w:tcPr>
            <w:tcW w:w="709" w:type="dxa"/>
            <w:noWrap w:val="0"/>
            <w:vAlign w:val="center"/>
          </w:tcPr>
          <w:p w14:paraId="180C3B82">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b/>
                <w:bCs/>
                <w:color w:val="auto"/>
                <w:kern w:val="2"/>
                <w:sz w:val="21"/>
                <w:szCs w:val="21"/>
                <w:highlight w:val="none"/>
              </w:rPr>
            </w:pPr>
            <w:r>
              <w:rPr>
                <w:rFonts w:hint="eastAsia" w:ascii="宋体" w:hAnsi="宋体" w:eastAsia="宋体" w:cs="Times New Roman"/>
                <w:b/>
                <w:bCs/>
                <w:color w:val="auto"/>
                <w:kern w:val="2"/>
                <w:sz w:val="21"/>
                <w:szCs w:val="21"/>
                <w:highlight w:val="none"/>
              </w:rPr>
              <w:t>分值</w:t>
            </w:r>
          </w:p>
        </w:tc>
        <w:tc>
          <w:tcPr>
            <w:tcW w:w="1062" w:type="dxa"/>
            <w:noWrap w:val="0"/>
            <w:vAlign w:val="center"/>
          </w:tcPr>
          <w:p w14:paraId="7826EB01">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b/>
                <w:bCs/>
                <w:color w:val="auto"/>
                <w:kern w:val="2"/>
                <w:sz w:val="21"/>
                <w:szCs w:val="21"/>
                <w:highlight w:val="none"/>
              </w:rPr>
            </w:pPr>
            <w:r>
              <w:rPr>
                <w:rFonts w:hint="eastAsia" w:ascii="宋体" w:hAnsi="宋体" w:eastAsia="宋体" w:cs="Times New Roman"/>
                <w:b/>
                <w:bCs/>
                <w:color w:val="auto"/>
                <w:kern w:val="2"/>
                <w:sz w:val="21"/>
                <w:szCs w:val="21"/>
                <w:highlight w:val="none"/>
              </w:rPr>
              <w:t>评审形式</w:t>
            </w:r>
          </w:p>
        </w:tc>
      </w:tr>
      <w:tr w14:paraId="59697D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restart"/>
            <w:noWrap w:val="0"/>
            <w:vAlign w:val="center"/>
          </w:tcPr>
          <w:p w14:paraId="1EEF80EE">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商务技术分</w:t>
            </w:r>
          </w:p>
          <w:p w14:paraId="64EF11A7">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90分</w:t>
            </w:r>
          </w:p>
          <w:p w14:paraId="7D38534B">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noWrap w:val="0"/>
            <w:vAlign w:val="center"/>
          </w:tcPr>
          <w:p w14:paraId="42E8CF7E">
            <w:pPr>
              <w:keepNext w:val="0"/>
              <w:keepLines w:val="0"/>
              <w:suppressLineNumbers w:val="0"/>
              <w:adjustRightInd/>
              <w:spacing w:before="0" w:beforeAutospacing="0" w:after="0" w:afterAutospacing="0" w:line="240" w:lineRule="auto"/>
              <w:ind w:left="0" w:right="0"/>
              <w:jc w:val="left"/>
              <w:textAlignment w:val="auto"/>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1、项目理解与分析（5分）</w:t>
            </w:r>
          </w:p>
        </w:tc>
        <w:tc>
          <w:tcPr>
            <w:tcW w:w="5879" w:type="dxa"/>
            <w:noWrap w:val="0"/>
            <w:vAlign w:val="center"/>
          </w:tcPr>
          <w:p w14:paraId="40F343AB">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1.1根据投标人对本项目的背景分析、政策解读、对“新型工业化示范区建设”、“人工智能+制造”等重大主题宣传需求的理解是否全面、深入进行评议：</w:t>
            </w:r>
          </w:p>
          <w:p w14:paraId="39FF39B3">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①能准确提炼宁波工业经济发展核心亮点，对“新型工业化示范区建设”“人工智能+制造”等主题的政策背景和宣传价值理解深刻，并能提出具有针对性的宣传思路的，得5分；</w:t>
            </w:r>
          </w:p>
          <w:p w14:paraId="72F6C385">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②对项目背景有较全面了解，能基本把握主要宣传方向，但缺少独立见解或分析深度略显不足的，得4分；</w:t>
            </w:r>
          </w:p>
          <w:p w14:paraId="5DD09D74">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③对项目背景有一定了解，但解读存在部分偏差或遗漏，未能完全覆盖核心要求的，得3分；</w:t>
            </w:r>
          </w:p>
          <w:p w14:paraId="060498AF">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④对项目背景理解较为浅显，分析笼统，未体现对宁波工业和数字经济特点的认知的，得2分；</w:t>
            </w:r>
          </w:p>
          <w:p w14:paraId="6E79E385">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⑤对项目背景的理解存在明显偏差，分析内容与本项目关联度低的，得1分；</w:t>
            </w:r>
          </w:p>
          <w:p w14:paraId="41C3E903">
            <w:pPr>
              <w:keepNext w:val="0"/>
              <w:keepLines w:val="0"/>
              <w:suppressLineNumbers w:val="0"/>
              <w:adjustRightInd/>
              <w:spacing w:before="0" w:beforeAutospacing="0" w:after="0" w:afterAutospacing="0" w:line="240" w:lineRule="auto"/>
              <w:ind w:left="0" w:right="0"/>
              <w:jc w:val="left"/>
              <w:textAlignment w:val="auto"/>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⑥未提供相关内容不得分。</w:t>
            </w:r>
          </w:p>
        </w:tc>
        <w:tc>
          <w:tcPr>
            <w:tcW w:w="709" w:type="dxa"/>
            <w:noWrap w:val="0"/>
            <w:vAlign w:val="center"/>
          </w:tcPr>
          <w:p w14:paraId="2A613EE0">
            <w:pPr>
              <w:keepNext w:val="0"/>
              <w:keepLines w:val="0"/>
              <w:suppressLineNumbers w:val="0"/>
              <w:adjustRightInd/>
              <w:spacing w:before="0" w:beforeAutospacing="0" w:after="0" w:afterAutospacing="0" w:line="240" w:lineRule="auto"/>
              <w:ind w:left="0" w:right="0"/>
              <w:jc w:val="center"/>
              <w:textAlignment w:val="auto"/>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w:t>
            </w:r>
          </w:p>
        </w:tc>
        <w:tc>
          <w:tcPr>
            <w:tcW w:w="1062" w:type="dxa"/>
            <w:noWrap w:val="0"/>
            <w:vAlign w:val="center"/>
          </w:tcPr>
          <w:p w14:paraId="7829E2AB">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主观分</w:t>
            </w:r>
          </w:p>
        </w:tc>
      </w:tr>
      <w:tr w14:paraId="11F6A2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144AA12E">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restart"/>
            <w:noWrap w:val="0"/>
            <w:vAlign w:val="center"/>
          </w:tcPr>
          <w:p w14:paraId="51531586">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w:t>
            </w:r>
            <w:r>
              <w:rPr>
                <w:rFonts w:hint="eastAsia" w:ascii="Times New Roman" w:hAnsi="宋体" w:eastAsia="宋体" w:cs="宋体"/>
                <w:color w:val="auto"/>
                <w:kern w:val="2"/>
                <w:sz w:val="21"/>
                <w:szCs w:val="24"/>
                <w:highlight w:val="none"/>
                <w:lang w:val="en-US" w:eastAsia="zh-CN"/>
              </w:rPr>
              <w:t>宣传推广实施方案（</w:t>
            </w:r>
            <w:r>
              <w:rPr>
                <w:rFonts w:hint="eastAsia" w:hAnsi="宋体" w:cs="宋体"/>
                <w:color w:val="auto"/>
                <w:kern w:val="2"/>
                <w:sz w:val="21"/>
                <w:szCs w:val="24"/>
                <w:highlight w:val="none"/>
                <w:lang w:val="en-US" w:eastAsia="zh-CN"/>
              </w:rPr>
              <w:t>30</w:t>
            </w:r>
            <w:r>
              <w:rPr>
                <w:rFonts w:hint="eastAsia" w:ascii="Times New Roman" w:hAnsi="宋体" w:eastAsia="宋体" w:cs="宋体"/>
                <w:color w:val="auto"/>
                <w:kern w:val="2"/>
                <w:sz w:val="21"/>
                <w:szCs w:val="24"/>
                <w:highlight w:val="none"/>
                <w:lang w:val="en-US" w:eastAsia="zh-CN"/>
              </w:rPr>
              <w:t>分）</w:t>
            </w:r>
          </w:p>
        </w:tc>
        <w:tc>
          <w:tcPr>
            <w:tcW w:w="5879" w:type="dxa"/>
            <w:noWrap w:val="0"/>
            <w:vAlign w:val="center"/>
          </w:tcPr>
          <w:p w14:paraId="4D094195">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2.1根据投标人提供的</w:t>
            </w:r>
            <w:r>
              <w:rPr>
                <w:rFonts w:hint="eastAsia" w:ascii="宋体" w:hAnsi="宋体" w:eastAsia="宋体" w:cs="Times New Roman"/>
                <w:b w:val="0"/>
                <w:bCs w:val="0"/>
                <w:color w:val="auto"/>
                <w:kern w:val="2"/>
                <w:sz w:val="21"/>
                <w:szCs w:val="21"/>
                <w:highlight w:val="none"/>
                <w:lang w:val="en-US" w:eastAsia="zh-CN"/>
              </w:rPr>
              <w:t>央媒省媒联动及选题推送方案（包括整合央媒、省媒资源的能力及选题策划、素材推送的流程设计等）进行评议：</w:t>
            </w:r>
          </w:p>
          <w:p w14:paraId="7D271BE1">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①联动机制设计具体、成熟，能清晰说明央媒和省媒的合作路径；选题推送频率、审核流程、反馈闭环设计完整，具有较强操作性的，得5分；</w:t>
            </w:r>
          </w:p>
          <w:p w14:paraId="36B7FCD3">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b w:val="0"/>
                <w:bCs w:val="0"/>
                <w:color w:val="auto"/>
                <w:kern w:val="2"/>
                <w:sz w:val="21"/>
                <w:szCs w:val="21"/>
                <w:highlight w:val="none"/>
                <w:lang w:val="en-US" w:eastAsia="zh-CN"/>
              </w:rPr>
            </w:pPr>
            <w:r>
              <w:rPr>
                <w:rFonts w:hint="eastAsia" w:ascii="宋体" w:hAnsi="宋体" w:eastAsia="宋体" w:cs="Times New Roman"/>
                <w:b w:val="0"/>
                <w:bCs w:val="0"/>
                <w:color w:val="auto"/>
                <w:kern w:val="2"/>
                <w:sz w:val="21"/>
                <w:szCs w:val="21"/>
                <w:highlight w:val="none"/>
                <w:lang w:val="en-US" w:eastAsia="zh-CN"/>
              </w:rPr>
              <w:t>②联动机制基本合理，能说明主要合作媒体渠道，推送流程基本清晰但部分环节不够具体的，得4分；</w:t>
            </w:r>
          </w:p>
          <w:p w14:paraId="3F63B190">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③联动机制较为笼统，能说明部分媒体渠道但合作路径不够明确，或推送流程设计存在明显缺漏的，得3分；</w:t>
            </w:r>
          </w:p>
          <w:p w14:paraId="3DDE928A">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④联动机制模糊，推送流程简单粗糙，缺乏可操作性的，得2分；</w:t>
            </w:r>
          </w:p>
          <w:p w14:paraId="49610EBC">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⑤方案内容简单，未体现央媒省媒联动意识的，得1分；</w:t>
            </w:r>
          </w:p>
          <w:p w14:paraId="0B6A0B30">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⑥未提供相关内容不得分。</w:t>
            </w:r>
          </w:p>
        </w:tc>
        <w:tc>
          <w:tcPr>
            <w:tcW w:w="709" w:type="dxa"/>
            <w:noWrap w:val="0"/>
            <w:vAlign w:val="center"/>
          </w:tcPr>
          <w:p w14:paraId="677C9D59">
            <w:pPr>
              <w:keepNext w:val="0"/>
              <w:keepLines w:val="0"/>
              <w:suppressLineNumbers w:val="0"/>
              <w:adjustRightInd/>
              <w:spacing w:before="0" w:beforeAutospacing="0" w:after="0" w:afterAutospacing="0" w:line="240" w:lineRule="auto"/>
              <w:ind w:left="0" w:right="0"/>
              <w:jc w:val="center"/>
              <w:textAlignment w:val="auto"/>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w:t>
            </w:r>
          </w:p>
        </w:tc>
        <w:tc>
          <w:tcPr>
            <w:tcW w:w="1062" w:type="dxa"/>
            <w:noWrap w:val="0"/>
            <w:vAlign w:val="center"/>
          </w:tcPr>
          <w:p w14:paraId="73D6A066">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rPr>
              <w:t>主观分</w:t>
            </w:r>
          </w:p>
        </w:tc>
      </w:tr>
      <w:tr w14:paraId="0B1236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1E6355F7">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50A8A0D8">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p>
        </w:tc>
        <w:tc>
          <w:tcPr>
            <w:tcW w:w="5879" w:type="dxa"/>
            <w:noWrap w:val="0"/>
            <w:vAlign w:val="center"/>
          </w:tcPr>
          <w:p w14:paraId="4D7881FD">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2.2根据投标人提供的系列主题宣传策划方案（包括针对“新型工业化示范区建设”等指定主题进行系列宣传策划的创意能力与系统性等）进行评议：</w:t>
            </w:r>
          </w:p>
          <w:p w14:paraId="64DA1EA8">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①策划方案能围绕</w:t>
            </w:r>
            <w:r>
              <w:rPr>
                <w:rFonts w:hint="eastAsia" w:ascii="宋体" w:hAnsi="宋体" w:cs="Times New Roman"/>
                <w:color w:val="auto"/>
                <w:kern w:val="2"/>
                <w:sz w:val="21"/>
                <w:szCs w:val="21"/>
                <w:highlight w:val="none"/>
                <w:lang w:val="en-US" w:eastAsia="zh-CN"/>
              </w:rPr>
              <w:t>多个</w:t>
            </w:r>
            <w:r>
              <w:rPr>
                <w:rFonts w:hint="eastAsia" w:ascii="宋体" w:hAnsi="宋体" w:eastAsia="宋体" w:cs="Times New Roman"/>
                <w:color w:val="auto"/>
                <w:kern w:val="2"/>
                <w:sz w:val="21"/>
                <w:szCs w:val="21"/>
                <w:highlight w:val="none"/>
                <w:lang w:val="en-US" w:eastAsia="zh-CN"/>
              </w:rPr>
              <w:t>重大主题分别设计系列宣传主线，各系列之间逻辑清晰、层次分明，每个系列有明确的传播目标、内容规划和预期成果的，得5分；</w:t>
            </w:r>
          </w:p>
          <w:p w14:paraId="3DC8F08C">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②策划方案主题明确，系列结构基本完整，但系列之间的区分度或内在逻辑不够清晰的，得4分；</w:t>
            </w:r>
          </w:p>
          <w:p w14:paraId="045633A9">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③策划方案围绕的主题较为单一，或系列规划较为简单、缺乏层次感的，得3分；</w:t>
            </w:r>
          </w:p>
          <w:p w14:paraId="0491FA66">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④策划方案主题不明确，系列划分随意、缺乏逻辑关联的，得2分；</w:t>
            </w:r>
          </w:p>
          <w:p w14:paraId="189C4FA1">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⑤策划方案与本项目主题关联度很低，缺乏实质内容的，得1分；</w:t>
            </w:r>
          </w:p>
          <w:p w14:paraId="363462BB">
            <w:pPr>
              <w:pStyle w:val="2"/>
              <w:keepNext w:val="0"/>
              <w:keepLines w:val="0"/>
              <w:suppressLineNumbers w:val="0"/>
              <w:spacing w:before="0" w:beforeAutospacing="0" w:afterAutospacing="0"/>
              <w:ind w:left="0" w:right="0"/>
              <w:rPr>
                <w:rFonts w:hint="eastAsia"/>
                <w:highlight w:val="none"/>
                <w:lang w:val="en-US" w:eastAsia="zh-CN"/>
              </w:rPr>
            </w:pPr>
            <w:r>
              <w:rPr>
                <w:rFonts w:hint="eastAsia" w:ascii="宋体" w:hAnsi="宋体" w:eastAsia="宋体" w:cs="Times New Roman"/>
                <w:color w:val="auto"/>
                <w:kern w:val="2"/>
                <w:sz w:val="21"/>
                <w:szCs w:val="21"/>
                <w:highlight w:val="none"/>
                <w:lang w:val="en-US" w:eastAsia="zh-CN"/>
              </w:rPr>
              <w:t>⑥未提供相关内容不得分。</w:t>
            </w:r>
          </w:p>
        </w:tc>
        <w:tc>
          <w:tcPr>
            <w:tcW w:w="709" w:type="dxa"/>
            <w:noWrap w:val="0"/>
            <w:vAlign w:val="center"/>
          </w:tcPr>
          <w:p w14:paraId="02E341AD">
            <w:pPr>
              <w:keepNext w:val="0"/>
              <w:keepLines w:val="0"/>
              <w:suppressLineNumbers w:val="0"/>
              <w:adjustRightInd/>
              <w:spacing w:before="0" w:beforeAutospacing="0" w:after="0" w:afterAutospacing="0" w:line="240" w:lineRule="auto"/>
              <w:ind w:left="0" w:right="0"/>
              <w:jc w:val="center"/>
              <w:textAlignment w:val="auto"/>
              <w:rPr>
                <w:rFonts w:hint="default" w:ascii="宋体" w:hAnsi="宋体" w:eastAsia="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5</w:t>
            </w:r>
          </w:p>
        </w:tc>
        <w:tc>
          <w:tcPr>
            <w:tcW w:w="1062" w:type="dxa"/>
            <w:noWrap w:val="0"/>
            <w:vAlign w:val="center"/>
          </w:tcPr>
          <w:p w14:paraId="7C53726D">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主观分</w:t>
            </w:r>
          </w:p>
        </w:tc>
      </w:tr>
      <w:tr w14:paraId="774858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2FBB385E">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163ED17E">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p>
        </w:tc>
        <w:tc>
          <w:tcPr>
            <w:tcW w:w="5879" w:type="dxa"/>
            <w:shd w:val="clear" w:color="auto" w:fill="auto"/>
            <w:noWrap w:val="0"/>
            <w:vAlign w:val="center"/>
          </w:tcPr>
          <w:p w14:paraId="15A5AF67">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2.3根据投标人提供的深度</w:t>
            </w:r>
            <w:r>
              <w:rPr>
                <w:rFonts w:hint="eastAsia" w:ascii="宋体" w:hAnsi="宋体" w:cs="宋体"/>
                <w:kern w:val="2"/>
                <w:sz w:val="21"/>
                <w:szCs w:val="21"/>
                <w:highlight w:val="none"/>
                <w:lang w:val="en-US" w:eastAsia="zh-CN" w:bidi="ar"/>
              </w:rPr>
              <w:t>宣传</w:t>
            </w:r>
            <w:r>
              <w:rPr>
                <w:rFonts w:hint="eastAsia" w:ascii="宋体" w:hAnsi="宋体" w:eastAsia="宋体" w:cs="宋体"/>
                <w:kern w:val="2"/>
                <w:sz w:val="21"/>
                <w:szCs w:val="21"/>
                <w:highlight w:val="none"/>
                <w:lang w:val="en-US" w:eastAsia="zh-CN" w:bidi="ar"/>
              </w:rPr>
              <w:t>及专题策划方案（包括深度</w:t>
            </w:r>
            <w:r>
              <w:rPr>
                <w:rFonts w:hint="eastAsia" w:ascii="宋体" w:hAnsi="宋体" w:cs="宋体"/>
                <w:kern w:val="2"/>
                <w:sz w:val="21"/>
                <w:szCs w:val="21"/>
                <w:highlight w:val="none"/>
                <w:lang w:val="en-US" w:eastAsia="zh-CN" w:bidi="ar"/>
              </w:rPr>
              <w:t>宣传</w:t>
            </w:r>
            <w:r>
              <w:rPr>
                <w:rFonts w:hint="eastAsia" w:ascii="宋体" w:hAnsi="宋体" w:eastAsia="宋体" w:cs="宋体"/>
                <w:kern w:val="2"/>
                <w:sz w:val="21"/>
                <w:szCs w:val="21"/>
                <w:highlight w:val="none"/>
                <w:lang w:val="en-US" w:eastAsia="zh-CN" w:bidi="ar"/>
              </w:rPr>
              <w:t>及专题内容策划的深度、故事性及与宁波工业发展实际的结合能力等）进行评议：</w:t>
            </w:r>
          </w:p>
          <w:p w14:paraId="085CE7CF">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①策划方案能结合宁波制造业单项冠军、专精特新企业等典型案例，</w:t>
            </w:r>
            <w:r>
              <w:rPr>
                <w:rFonts w:hint="eastAsia" w:ascii="宋体" w:hAnsi="宋体" w:cs="宋体"/>
                <w:kern w:val="2"/>
                <w:sz w:val="21"/>
                <w:szCs w:val="21"/>
                <w:highlight w:val="none"/>
                <w:lang w:val="en-US" w:eastAsia="zh-CN" w:bidi="ar"/>
              </w:rPr>
              <w:t>宣传</w:t>
            </w:r>
            <w:r>
              <w:rPr>
                <w:rFonts w:hint="eastAsia" w:ascii="宋体" w:hAnsi="宋体" w:eastAsia="宋体" w:cs="宋体"/>
                <w:kern w:val="2"/>
                <w:sz w:val="21"/>
                <w:szCs w:val="21"/>
                <w:highlight w:val="none"/>
                <w:lang w:val="en-US" w:eastAsia="zh-CN" w:bidi="ar"/>
              </w:rPr>
              <w:t>角度新颖，结构设计专业，可读性强的，得5分；</w:t>
            </w:r>
          </w:p>
          <w:p w14:paraId="7D641628">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②策划方案能联系宁波工业实际，</w:t>
            </w:r>
            <w:r>
              <w:rPr>
                <w:rFonts w:hint="eastAsia" w:ascii="宋体" w:hAnsi="宋体" w:cs="宋体"/>
                <w:kern w:val="2"/>
                <w:sz w:val="21"/>
                <w:szCs w:val="21"/>
                <w:highlight w:val="none"/>
                <w:lang w:val="en-US" w:eastAsia="zh-CN" w:bidi="ar"/>
              </w:rPr>
              <w:t>宣传</w:t>
            </w:r>
            <w:r>
              <w:rPr>
                <w:rFonts w:hint="eastAsia" w:ascii="宋体" w:hAnsi="宋体" w:eastAsia="宋体" w:cs="宋体"/>
                <w:kern w:val="2"/>
                <w:sz w:val="21"/>
                <w:szCs w:val="21"/>
                <w:highlight w:val="none"/>
                <w:lang w:val="en-US" w:eastAsia="zh-CN" w:bidi="ar"/>
              </w:rPr>
              <w:t>结构基本合理，但选题深度或故事性一般的，得4分；</w:t>
            </w:r>
          </w:p>
          <w:p w14:paraId="6430A8FD">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③策划方案对宁波工业特色挖掘不够深入，内容较为常规，缺少亮点的，得3分；</w:t>
            </w:r>
          </w:p>
          <w:p w14:paraId="15125D81">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④策划方案内容笼统，与本项目核心要求关联度较低的，得2分；</w:t>
            </w:r>
          </w:p>
          <w:p w14:paraId="0285562B">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⑤策划方案简单，缺乏实质性内容的，得1分；</w:t>
            </w:r>
          </w:p>
          <w:p w14:paraId="04988D3B">
            <w:pPr>
              <w:keepNext w:val="0"/>
              <w:keepLines w:val="0"/>
              <w:widowControl w:val="0"/>
              <w:suppressLineNumbers w:val="0"/>
              <w:spacing w:before="0" w:beforeAutospacing="0" w:after="0" w:afterAutospacing="0"/>
              <w:ind w:left="0" w:right="0"/>
              <w:jc w:val="left"/>
              <w:rPr>
                <w:rFonts w:hint="eastAsia" w:ascii="Times New Roman"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6AA8BBF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74B2D92A">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5DE473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0DFAFA42">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62A91D1F">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p>
        </w:tc>
        <w:tc>
          <w:tcPr>
            <w:tcW w:w="5879" w:type="dxa"/>
            <w:shd w:val="clear" w:color="auto" w:fill="auto"/>
            <w:noWrap w:val="0"/>
            <w:vAlign w:val="center"/>
          </w:tcPr>
          <w:p w14:paraId="1D2549D2">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2.</w:t>
            </w:r>
            <w:r>
              <w:rPr>
                <w:rFonts w:hint="eastAsia" w:ascii="宋体" w:hAnsi="宋体" w:cs="宋体"/>
                <w:kern w:val="2"/>
                <w:sz w:val="21"/>
                <w:szCs w:val="21"/>
                <w:highlight w:val="none"/>
                <w:lang w:val="en-US" w:eastAsia="zh-CN" w:bidi="ar"/>
              </w:rPr>
              <w:t>4</w:t>
            </w:r>
            <w:r>
              <w:rPr>
                <w:rFonts w:hint="eastAsia" w:ascii="宋体" w:hAnsi="宋体" w:eastAsia="宋体" w:cs="宋体"/>
                <w:kern w:val="2"/>
                <w:sz w:val="21"/>
                <w:szCs w:val="21"/>
                <w:highlight w:val="none"/>
                <w:lang w:val="en-US" w:eastAsia="zh-CN" w:bidi="ar"/>
              </w:rPr>
              <w:t>根据投标人提供的原创内容与新媒体平台策划方案（包括原创内容的生产能力、新媒体平台内容适配策略及传播规划等）进行评议：</w:t>
            </w:r>
          </w:p>
          <w:p w14:paraId="2B655187">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①原创内容选题方向明确，针对报纸、客户端、门户网站等不同平台提出差异化内容策略，内容形式（图文、短视频、图解等）丰富且有创新的，得5分；</w:t>
            </w:r>
          </w:p>
          <w:p w14:paraId="4E5B3E66">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②原创内容策划能区分主要平台特性，内容形式较为丰富，但规划深度或创新性一般的，得4分；</w:t>
            </w:r>
          </w:p>
          <w:p w14:paraId="37F51897">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③原创内容策划未能充分体现平台差异化，内容形式较为单一的，得3分；</w:t>
            </w:r>
          </w:p>
          <w:p w14:paraId="7392318E">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④原创内容策划简单，缺乏系统性规划的，得2分；</w:t>
            </w:r>
          </w:p>
          <w:p w14:paraId="65C8CF63">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⑤原创内容策划与本项目需求严重脱节的，得1分；</w:t>
            </w:r>
          </w:p>
          <w:p w14:paraId="45A59EC3">
            <w:pPr>
              <w:keepNext w:val="0"/>
              <w:keepLines w:val="0"/>
              <w:widowControl w:val="0"/>
              <w:suppressLineNumbers w:val="0"/>
              <w:spacing w:before="0" w:beforeAutospacing="0" w:after="0" w:afterAutospacing="0"/>
              <w:ind w:left="0" w:leftChars="0" w:right="0" w:rightChars="0"/>
              <w:jc w:val="left"/>
              <w:rPr>
                <w:rFonts w:hint="eastAsia" w:ascii="Times New Roman"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339B137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510EA33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7CCB41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1EC86D43">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0CFAC094">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p>
        </w:tc>
        <w:tc>
          <w:tcPr>
            <w:tcW w:w="5879" w:type="dxa"/>
            <w:shd w:val="clear" w:color="auto" w:fill="auto"/>
            <w:noWrap w:val="0"/>
            <w:vAlign w:val="center"/>
          </w:tcPr>
          <w:p w14:paraId="352A4795">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2.</w:t>
            </w:r>
            <w:r>
              <w:rPr>
                <w:rFonts w:hint="eastAsia" w:ascii="宋体" w:hAnsi="宋体" w:cs="宋体"/>
                <w:kern w:val="2"/>
                <w:sz w:val="21"/>
                <w:szCs w:val="21"/>
                <w:highlight w:val="none"/>
                <w:lang w:val="en-US" w:eastAsia="zh-CN" w:bidi="ar"/>
              </w:rPr>
              <w:t>5</w:t>
            </w:r>
            <w:r>
              <w:rPr>
                <w:rFonts w:hint="eastAsia" w:ascii="宋体" w:hAnsi="宋体" w:eastAsia="宋体" w:cs="宋体"/>
                <w:kern w:val="2"/>
                <w:sz w:val="21"/>
                <w:szCs w:val="21"/>
                <w:highlight w:val="none"/>
                <w:lang w:val="en-US" w:eastAsia="zh-CN" w:bidi="ar"/>
              </w:rPr>
              <w:t>根据投标人提供的</w:t>
            </w:r>
            <w:r>
              <w:rPr>
                <w:rFonts w:hint="eastAsia" w:ascii="宋体" w:hAnsi="宋体" w:cs="宋体"/>
                <w:kern w:val="2"/>
                <w:sz w:val="21"/>
                <w:szCs w:val="21"/>
                <w:highlight w:val="none"/>
                <w:lang w:val="en-US" w:eastAsia="zh-CN" w:bidi="ar"/>
              </w:rPr>
              <w:t>宣传</w:t>
            </w:r>
            <w:r>
              <w:rPr>
                <w:rFonts w:hint="eastAsia" w:ascii="宋体" w:hAnsi="宋体" w:eastAsia="宋体" w:cs="宋体"/>
                <w:kern w:val="2"/>
                <w:sz w:val="21"/>
                <w:szCs w:val="21"/>
                <w:highlight w:val="none"/>
                <w:lang w:val="en-US" w:eastAsia="zh-CN" w:bidi="ar"/>
              </w:rPr>
              <w:t>素材采集与采写服务方案（包括</w:t>
            </w:r>
            <w:r>
              <w:rPr>
                <w:rFonts w:hint="eastAsia" w:ascii="宋体" w:hAnsi="宋体" w:cs="宋体"/>
                <w:kern w:val="2"/>
                <w:sz w:val="21"/>
                <w:szCs w:val="21"/>
                <w:highlight w:val="none"/>
                <w:lang w:val="en-US" w:eastAsia="zh-CN" w:bidi="ar"/>
              </w:rPr>
              <w:t>宣传</w:t>
            </w:r>
            <w:r>
              <w:rPr>
                <w:rFonts w:hint="eastAsia" w:ascii="宋体" w:hAnsi="宋体" w:eastAsia="宋体" w:cs="宋体"/>
                <w:kern w:val="2"/>
                <w:sz w:val="21"/>
                <w:szCs w:val="21"/>
                <w:highlight w:val="none"/>
                <w:lang w:val="en-US" w:eastAsia="zh-CN" w:bidi="ar"/>
              </w:rPr>
              <w:t>素材挖掘、深度采写及快速成稿的能力与流程设计等）进行评议：</w:t>
            </w:r>
          </w:p>
          <w:p w14:paraId="4D2246D4">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①素材采集渠道多元（企业一线、政府部门、数据报告等），采写流程规范（含选题报批、素材核实、多轮审核等），对突发素材能在约定时间内快速响应并完成采写的，得5分；</w:t>
            </w:r>
          </w:p>
          <w:p w14:paraId="105B8187">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②素材采集和采写流程基本完整，但响应时效或质量控制环节不够具体的，得4分；</w:t>
            </w:r>
          </w:p>
          <w:p w14:paraId="6974AD4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③采写方案较为笼统，素材来源渠道较少，质量把控措施不够明确的，得3分；</w:t>
            </w:r>
          </w:p>
          <w:p w14:paraId="42FA451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④方案简单粗糙，缺乏标准化采写流程的，得2分；</w:t>
            </w:r>
          </w:p>
          <w:p w14:paraId="3116A4D4">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⑤方案过于简略，不具备实际操作性的，得1分；</w:t>
            </w:r>
          </w:p>
          <w:p w14:paraId="0EE16FB9">
            <w:pPr>
              <w:keepNext w:val="0"/>
              <w:keepLines w:val="0"/>
              <w:widowControl w:val="0"/>
              <w:suppressLineNumbers w:val="0"/>
              <w:spacing w:before="0" w:beforeAutospacing="0" w:after="0" w:afterAutospacing="0"/>
              <w:ind w:left="0" w:leftChars="0" w:right="0" w:rightChars="0"/>
              <w:jc w:val="left"/>
              <w:rPr>
                <w:rFonts w:hint="eastAsia" w:ascii="Times New Roman"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68CF3DBF">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58996B1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1AB40F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23D51C22">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178DF0A7">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p>
        </w:tc>
        <w:tc>
          <w:tcPr>
            <w:tcW w:w="5879" w:type="dxa"/>
            <w:shd w:val="clear" w:color="auto" w:fill="auto"/>
            <w:noWrap w:val="0"/>
            <w:vAlign w:val="center"/>
          </w:tcPr>
          <w:p w14:paraId="5ED14241">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2.</w:t>
            </w:r>
            <w:r>
              <w:rPr>
                <w:rFonts w:hint="eastAsia" w:ascii="宋体" w:hAnsi="宋体" w:cs="宋体"/>
                <w:kern w:val="2"/>
                <w:sz w:val="21"/>
                <w:szCs w:val="21"/>
                <w:highlight w:val="none"/>
                <w:lang w:val="en-US" w:eastAsia="zh-CN" w:bidi="ar"/>
              </w:rPr>
              <w:t>6</w:t>
            </w:r>
            <w:r>
              <w:rPr>
                <w:rFonts w:hint="eastAsia" w:ascii="宋体" w:hAnsi="宋体" w:eastAsia="宋体" w:cs="宋体"/>
                <w:kern w:val="2"/>
                <w:sz w:val="21"/>
                <w:szCs w:val="21"/>
                <w:highlight w:val="none"/>
                <w:lang w:val="en-US" w:eastAsia="zh-CN" w:bidi="ar"/>
              </w:rPr>
              <w:t>根据投标人提供的宣传合规与风险防范方案（包括在宣传工作中的合规意识、政策导向把握能力及风险防范应对能力等）进行评议：</w:t>
            </w:r>
          </w:p>
          <w:p w14:paraId="1BE864D9">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①对政务宣传合规要求理解深入，政策导向把握准确，能针对可能出现的表述偏差、舆论风险等提出具体可行的防范措施和应对预案，风险防范体系完善的，得5分；</w:t>
            </w:r>
          </w:p>
          <w:p w14:paraId="7CC91671">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②对合规要求有较好理解，能提出基本的风险防范措施，体系较为完整但细节不够具体的，得4分；</w:t>
            </w:r>
          </w:p>
          <w:p w14:paraId="5FF709E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③对合规要求有一定了解，风险防范措施较为笼统，体系存在缺项的，得3分；</w:t>
            </w:r>
          </w:p>
          <w:p w14:paraId="288DACD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④合规意识薄弱，风险防范措施简单粗糙的，得2分；</w:t>
            </w:r>
          </w:p>
          <w:p w14:paraId="73CB5646">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⑤方案过于简略，缺乏实质性内容的，得1分；</w:t>
            </w:r>
          </w:p>
          <w:p w14:paraId="5D99CDD4">
            <w:pPr>
              <w:keepNext w:val="0"/>
              <w:keepLines w:val="0"/>
              <w:widowControl w:val="0"/>
              <w:suppressLineNumbers w:val="0"/>
              <w:spacing w:before="0" w:beforeAutospacing="0" w:after="0" w:afterAutospacing="0"/>
              <w:ind w:left="0" w:leftChars="0" w:right="0" w:rightChars="0"/>
              <w:jc w:val="left"/>
              <w:rPr>
                <w:rFonts w:hint="eastAsia" w:ascii="Times New Roman"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78557E89">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22C431E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1A856A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73BE4DCE">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restart"/>
            <w:noWrap w:val="0"/>
            <w:vAlign w:val="center"/>
          </w:tcPr>
          <w:p w14:paraId="16778FA1">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3、</w:t>
            </w:r>
            <w:r>
              <w:rPr>
                <w:rFonts w:hint="eastAsia" w:ascii="宋体" w:hAnsi="宋体" w:eastAsia="宋体" w:cs="Times New Roman"/>
                <w:color w:val="auto"/>
                <w:kern w:val="2"/>
                <w:sz w:val="21"/>
                <w:szCs w:val="21"/>
                <w:highlight w:val="none"/>
                <w:lang w:val="en-US" w:eastAsia="zh-CN"/>
              </w:rPr>
              <w:t>服务团队配置（1</w:t>
            </w:r>
            <w:r>
              <w:rPr>
                <w:rFonts w:hint="eastAsia" w:ascii="宋体" w:hAnsi="宋体" w:cs="Times New Roman"/>
                <w:color w:val="auto"/>
                <w:kern w:val="2"/>
                <w:sz w:val="21"/>
                <w:szCs w:val="21"/>
                <w:highlight w:val="none"/>
                <w:lang w:val="en-US" w:eastAsia="zh-CN"/>
              </w:rPr>
              <w:t>5</w:t>
            </w:r>
            <w:r>
              <w:rPr>
                <w:rFonts w:hint="eastAsia" w:ascii="宋体" w:hAnsi="宋体" w:eastAsia="宋体" w:cs="Times New Roman"/>
                <w:color w:val="auto"/>
                <w:kern w:val="2"/>
                <w:sz w:val="21"/>
                <w:szCs w:val="21"/>
                <w:highlight w:val="none"/>
                <w:lang w:val="en-US" w:eastAsia="zh-CN"/>
              </w:rPr>
              <w:t>分）</w:t>
            </w:r>
          </w:p>
        </w:tc>
        <w:tc>
          <w:tcPr>
            <w:tcW w:w="5879" w:type="dxa"/>
            <w:shd w:val="clear" w:color="auto" w:fill="auto"/>
            <w:noWrap w:val="0"/>
            <w:vAlign w:val="center"/>
          </w:tcPr>
          <w:p w14:paraId="5DD36D09">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3.1根据投标人提供的项目负责人能力与经验（包括项目负责人的从业资历、同类项目管理经验及专业能力等）进行评议：</w:t>
            </w:r>
          </w:p>
          <w:p w14:paraId="4297CBC6">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①项目负责人具有丰富的政务宣传或新闻媒体从业经验，主持过多个同类项目，且拟投入本项目的精力有明确保障的，得5分；</w:t>
            </w:r>
          </w:p>
          <w:p w14:paraId="383DAA1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②项目负责人具有较为丰富的相关经验，主持过同类项目，能力及经验能基本满足要求的，得4分；</w:t>
            </w:r>
          </w:p>
          <w:p w14:paraId="106C46A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③项目负责人具有一定相关经验，但主持同类项目的经历有限的，得3分；</w:t>
            </w:r>
          </w:p>
          <w:p w14:paraId="3A51AD7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④项目负责人相关从业经验较为欠缺，但明确了人员安排及基本信息的，得2分；</w:t>
            </w:r>
          </w:p>
          <w:p w14:paraId="476DBD0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⑤项目负责人安排不明确，信息模糊的，得1分；</w:t>
            </w:r>
          </w:p>
          <w:p w14:paraId="779B7564">
            <w:pPr>
              <w:keepNext w:val="0"/>
              <w:keepLines w:val="0"/>
              <w:widowControl w:val="0"/>
              <w:suppressLineNumbers w:val="0"/>
              <w:spacing w:before="0" w:beforeAutospacing="0" w:after="0" w:afterAutospacing="0"/>
              <w:ind w:left="0" w:leftChars="0" w:right="0" w:rightChars="0"/>
              <w:jc w:val="left"/>
              <w:rPr>
                <w:rFonts w:hint="eastAsia" w:ascii="Times New Roman"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69C51A1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3739204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231D24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09FC9A0D">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72554B9D">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cs="Times New Roman"/>
                <w:color w:val="auto"/>
                <w:kern w:val="2"/>
                <w:sz w:val="21"/>
                <w:szCs w:val="21"/>
                <w:highlight w:val="none"/>
                <w:lang w:val="en-US" w:eastAsia="zh-CN"/>
              </w:rPr>
            </w:pPr>
          </w:p>
        </w:tc>
        <w:tc>
          <w:tcPr>
            <w:tcW w:w="5879" w:type="dxa"/>
            <w:shd w:val="clear" w:color="auto" w:fill="auto"/>
            <w:noWrap w:val="0"/>
            <w:vAlign w:val="center"/>
          </w:tcPr>
          <w:p w14:paraId="166412D0">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3.2根据投标人提供的团队人员组成与分工（包括团队人员数量、岗位配置的完整性及分工合理性）进行评议：</w:t>
            </w:r>
          </w:p>
          <w:p w14:paraId="79284A6D">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①团队人员充足，文字编辑、视频编辑、美术编辑、摄影摄像、新媒体运营等岗位全部覆盖，人员分工明确且职责描述具体的，得5分；</w:t>
            </w:r>
          </w:p>
          <w:p w14:paraId="40DC1162">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②团队岗位配置基本齐全（覆盖主要岗位），分工基本明确，但人员数量或部分岗位职责描述不够细化的，得4分；</w:t>
            </w:r>
          </w:p>
          <w:p w14:paraId="279C5868">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③团队岗位配置存在一定缺项，或分工笼统的，得3分；</w:t>
            </w:r>
          </w:p>
          <w:p w14:paraId="4068A40A">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④团队岗位配置存在较多缺项，分工不明确的，得2分；</w:t>
            </w:r>
          </w:p>
          <w:p w14:paraId="1FBE0D58">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⑤团队组成过于简略，无法满足项目基本执行需要的，得1分；</w:t>
            </w:r>
          </w:p>
          <w:p w14:paraId="60FD1CAF">
            <w:pPr>
              <w:keepNext w:val="0"/>
              <w:keepLines w:val="0"/>
              <w:widowControl w:val="0"/>
              <w:suppressLineNumbers w:val="0"/>
              <w:spacing w:before="0" w:beforeAutospacing="0" w:after="0" w:afterAutospacing="0"/>
              <w:ind w:left="0" w:leftChars="0" w:right="0" w:rightChars="0"/>
              <w:jc w:val="left"/>
              <w:rPr>
                <w:rFonts w:hint="eastAsia" w:ascii="Times New Roman"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6BEE311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772D64B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199FBF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7621A30F">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2590387D">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cs="Times New Roman"/>
                <w:color w:val="auto"/>
                <w:kern w:val="2"/>
                <w:sz w:val="21"/>
                <w:szCs w:val="21"/>
                <w:highlight w:val="none"/>
                <w:lang w:val="en-US" w:eastAsia="zh-CN"/>
              </w:rPr>
            </w:pPr>
          </w:p>
        </w:tc>
        <w:tc>
          <w:tcPr>
            <w:tcW w:w="5879" w:type="dxa"/>
            <w:shd w:val="clear" w:color="auto" w:fill="auto"/>
            <w:noWrap w:val="0"/>
            <w:vAlign w:val="center"/>
          </w:tcPr>
          <w:p w14:paraId="5A81CD4A">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3.3根据投标人提供的团队人员专业能力（包括团队成员的学历层次、专业背景及从业经验与项目的匹配度）进行评议：</w:t>
            </w:r>
          </w:p>
          <w:p w14:paraId="4B5D653D">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①团队中本科及以上学历人员占比较高，且新闻传播、中文、广告学、影视编导、市场营销等相关专业背景人员充足，多数成员具有相关从业经验的，得5分；</w:t>
            </w:r>
          </w:p>
          <w:p w14:paraId="2CE2F523">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②团队中本科及以上学历人员占比较高，对口专业背景人员较为充足，部分成员具有相关从业经验的，得4分；</w:t>
            </w:r>
          </w:p>
          <w:p w14:paraId="1CC73CB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③团队中本科及以上学历人员有一定占比，对口专业背景人员基本满足需要，但从业经验普遍不足的，得3分；</w:t>
            </w:r>
          </w:p>
          <w:p w14:paraId="0958C5E5">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④团队中本科及以上学历人员占比一般，对口专业背景人员较少的，得2分；</w:t>
            </w:r>
          </w:p>
          <w:p w14:paraId="41CE058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⑤团队中学历层次及专业背景与项目需求严重不匹配的，得1分；</w:t>
            </w:r>
          </w:p>
          <w:p w14:paraId="47ACBCA6">
            <w:pPr>
              <w:keepNext w:val="0"/>
              <w:keepLines w:val="0"/>
              <w:widowControl w:val="0"/>
              <w:suppressLineNumbers w:val="0"/>
              <w:spacing w:before="0" w:beforeAutospacing="0" w:after="0" w:afterAutospacing="0"/>
              <w:ind w:left="0" w:leftChars="0" w:right="0" w:rightChars="0"/>
              <w:jc w:val="left"/>
              <w:rPr>
                <w:rFonts w:hint="eastAsia" w:ascii="Times New Roman"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61752E2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031A39AB">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175A9B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51" w:type="dxa"/>
            <w:vMerge w:val="continue"/>
            <w:noWrap w:val="0"/>
            <w:vAlign w:val="center"/>
          </w:tcPr>
          <w:p w14:paraId="565EF680">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restart"/>
            <w:noWrap w:val="0"/>
            <w:vAlign w:val="center"/>
          </w:tcPr>
          <w:p w14:paraId="699D3761">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4、服务保障与响应能力（</w:t>
            </w:r>
            <w:r>
              <w:rPr>
                <w:rFonts w:hint="eastAsia" w:ascii="宋体" w:hAnsi="宋体" w:cs="Times New Roman"/>
                <w:color w:val="auto"/>
                <w:kern w:val="2"/>
                <w:sz w:val="21"/>
                <w:szCs w:val="21"/>
                <w:highlight w:val="none"/>
                <w:lang w:val="en-US" w:eastAsia="zh-CN"/>
              </w:rPr>
              <w:t>15</w:t>
            </w:r>
            <w:r>
              <w:rPr>
                <w:rFonts w:hint="eastAsia" w:ascii="宋体" w:hAnsi="宋体" w:eastAsia="宋体" w:cs="Times New Roman"/>
                <w:color w:val="auto"/>
                <w:kern w:val="2"/>
                <w:sz w:val="21"/>
                <w:szCs w:val="21"/>
                <w:highlight w:val="none"/>
                <w:lang w:val="en-US" w:eastAsia="zh-CN"/>
              </w:rPr>
              <w:t>分）</w:t>
            </w:r>
          </w:p>
        </w:tc>
        <w:tc>
          <w:tcPr>
            <w:tcW w:w="5879" w:type="dxa"/>
            <w:shd w:val="clear" w:color="auto" w:fill="auto"/>
            <w:noWrap w:val="0"/>
            <w:vAlign w:val="center"/>
          </w:tcPr>
          <w:p w14:paraId="6C8F59E7">
            <w:pPr>
              <w:keepNext w:val="0"/>
              <w:keepLines w:val="0"/>
              <w:suppressLineNumbers w:val="0"/>
              <w:spacing w:before="0" w:beforeLines="0" w:beforeAutospacing="0" w:after="0" w:afterLines="0" w:afterAutospacing="0"/>
              <w:ind w:left="0" w:right="0"/>
              <w:jc w:val="left"/>
              <w:rPr>
                <w:rFonts w:hint="default" w:ascii="宋体" w:hAnsi="宋体"/>
                <w:sz w:val="21"/>
                <w:szCs w:val="21"/>
                <w:highlight w:val="none"/>
              </w:rPr>
            </w:pPr>
            <w:r>
              <w:rPr>
                <w:rFonts w:hint="eastAsia" w:ascii="宋体" w:hAnsi="宋体" w:cs="宋体"/>
                <w:sz w:val="21"/>
                <w:szCs w:val="21"/>
                <w:highlight w:val="none"/>
                <w:lang w:val="en-US" w:eastAsia="zh-CN" w:bidi="ar"/>
              </w:rPr>
              <w:t>4.1</w:t>
            </w:r>
            <w:r>
              <w:rPr>
                <w:rFonts w:hint="default" w:ascii="宋体" w:hAnsi="宋体" w:cs="宋体"/>
                <w:sz w:val="21"/>
                <w:szCs w:val="21"/>
                <w:highlight w:val="none"/>
                <w:lang w:bidi="ar"/>
              </w:rPr>
              <w:t>根据投标人提供的项目进度管理与质量保障方案（包括项目实施计划的合理性、阶段性交付物的明确性及质量内控措施）进行评议：</w:t>
            </w:r>
          </w:p>
          <w:p w14:paraId="0B1A570F">
            <w:pPr>
              <w:keepNext w:val="0"/>
              <w:keepLines w:val="0"/>
              <w:suppressLineNumbers w:val="0"/>
              <w:spacing w:before="0" w:beforeLines="0" w:beforeAutospacing="0" w:after="0" w:afterLines="0" w:afterAutospacing="0"/>
              <w:ind w:left="0" w:right="0"/>
              <w:jc w:val="left"/>
              <w:rPr>
                <w:rFonts w:hint="default" w:ascii="宋体" w:hAnsi="宋体"/>
                <w:sz w:val="21"/>
                <w:szCs w:val="21"/>
                <w:highlight w:val="none"/>
              </w:rPr>
            </w:pPr>
            <w:r>
              <w:rPr>
                <w:rFonts w:hint="default" w:ascii="宋体" w:hAnsi="宋体" w:cs="宋体"/>
                <w:sz w:val="21"/>
                <w:szCs w:val="21"/>
                <w:highlight w:val="none"/>
                <w:lang w:bidi="ar"/>
              </w:rPr>
              <w:t>①项目各阶段时间节点明确，里程碑交付物清晰，质量内控包含</w:t>
            </w:r>
            <w:r>
              <w:rPr>
                <w:rFonts w:hint="eastAsia" w:ascii="宋体" w:hAnsi="宋体" w:cs="宋体"/>
                <w:sz w:val="21"/>
                <w:szCs w:val="21"/>
                <w:highlight w:val="none"/>
                <w:lang w:val="en-US" w:eastAsia="zh-CN" w:bidi="ar"/>
              </w:rPr>
              <w:t>多</w:t>
            </w:r>
            <w:r>
              <w:rPr>
                <w:rFonts w:hint="default" w:ascii="宋体" w:hAnsi="宋体" w:cs="宋体"/>
                <w:sz w:val="21"/>
                <w:szCs w:val="21"/>
                <w:highlight w:val="none"/>
                <w:lang w:bidi="ar"/>
              </w:rPr>
              <w:t>级审核制度且有具体执行规范的，得5分；</w:t>
            </w:r>
          </w:p>
          <w:p w14:paraId="5C66C68E">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②项目进度安排基本合理，有阶段性交付物，质量保障措施基本明确但不够具体的，得4分；</w:t>
            </w:r>
          </w:p>
          <w:p w14:paraId="39EA0B6B">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③项目进度安排较为粗略，交付物及质量标准不够清晰的，得3分；</w:t>
            </w:r>
          </w:p>
          <w:p w14:paraId="02FCD2D7">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④项目计划简单，缺乏时间节点和质量控制措施的，得2分；</w:t>
            </w:r>
          </w:p>
          <w:p w14:paraId="65B6FEAC">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⑤项目计划过于简略，不具备指导意义的，得1分；</w:t>
            </w:r>
          </w:p>
          <w:p w14:paraId="4FB2E6DF">
            <w:pPr>
              <w:keepNext w:val="0"/>
              <w:keepLines w:val="0"/>
              <w:suppressLineNumbers w:val="0"/>
              <w:spacing w:before="0" w:beforeLines="0" w:beforeAutospacing="0" w:after="0" w:afterLines="0" w:afterAutospacing="0"/>
              <w:ind w:left="0" w:right="0"/>
              <w:jc w:val="left"/>
              <w:rPr>
                <w:rFonts w:hint="eastAsia" w:ascii="宋体" w:hAnsi="Times New Roman" w:eastAsia="宋体" w:cs="Times New Roman"/>
                <w:kern w:val="2"/>
                <w:sz w:val="28"/>
                <w:szCs w:val="28"/>
                <w:highlight w:val="none"/>
                <w:lang w:val="en-US" w:eastAsia="zh-CN" w:bidi="ar-SA"/>
              </w:rPr>
            </w:pPr>
            <w:r>
              <w:rPr>
                <w:rFonts w:hint="default" w:ascii="宋体" w:hAnsi="宋体" w:cs="宋体"/>
                <w:sz w:val="21"/>
                <w:szCs w:val="21"/>
                <w:highlight w:val="none"/>
                <w:lang w:bidi="ar"/>
              </w:rPr>
              <w:t>⑥未提供相关内容不得分。</w:t>
            </w:r>
          </w:p>
        </w:tc>
        <w:tc>
          <w:tcPr>
            <w:tcW w:w="709" w:type="dxa"/>
            <w:shd w:val="clear" w:color="auto" w:fill="auto"/>
            <w:noWrap w:val="0"/>
            <w:vAlign w:val="center"/>
          </w:tcPr>
          <w:p w14:paraId="2F96B808">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kern w:val="2"/>
                <w:sz w:val="21"/>
                <w:szCs w:val="21"/>
                <w:highlight w:val="none"/>
                <w:lang w:val="en-US" w:eastAsia="zh-CN" w:bidi="ar-SA"/>
              </w:rPr>
            </w:pPr>
            <w:r>
              <w:rPr>
                <w:rFonts w:hint="default" w:ascii="宋体" w:hAnsi="宋体" w:cs="宋体"/>
                <w:sz w:val="21"/>
                <w:szCs w:val="21"/>
                <w:highlight w:val="none"/>
                <w:lang w:bidi="ar"/>
              </w:rPr>
              <w:t>5</w:t>
            </w:r>
          </w:p>
        </w:tc>
        <w:tc>
          <w:tcPr>
            <w:tcW w:w="1062" w:type="dxa"/>
            <w:shd w:val="clear" w:color="auto" w:fill="auto"/>
            <w:noWrap w:val="0"/>
            <w:vAlign w:val="center"/>
          </w:tcPr>
          <w:p w14:paraId="3A664DCD">
            <w:pPr>
              <w:keepNext w:val="0"/>
              <w:keepLines w:val="0"/>
              <w:suppressLineNumbers w:val="0"/>
              <w:spacing w:before="0" w:beforeLines="0" w:beforeAutospacing="0" w:after="0" w:afterLines="0" w:afterAutospacing="0"/>
              <w:ind w:left="0" w:right="0"/>
              <w:jc w:val="center"/>
              <w:rPr>
                <w:rFonts w:hint="eastAsia" w:ascii="宋体" w:hAnsi="宋体" w:eastAsia="宋体" w:cs="Times New Roman"/>
                <w:kern w:val="2"/>
                <w:sz w:val="21"/>
                <w:szCs w:val="21"/>
                <w:highlight w:val="none"/>
                <w:lang w:val="en-US" w:eastAsia="zh-CN" w:bidi="ar-SA"/>
              </w:rPr>
            </w:pPr>
            <w:r>
              <w:rPr>
                <w:rFonts w:hint="default" w:ascii="宋体" w:hAnsi="宋体" w:cs="宋体"/>
                <w:sz w:val="21"/>
                <w:szCs w:val="21"/>
                <w:highlight w:val="none"/>
                <w:lang w:bidi="ar"/>
              </w:rPr>
              <w:t>主观分</w:t>
            </w:r>
          </w:p>
        </w:tc>
      </w:tr>
      <w:tr w14:paraId="3CD1F9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43731FF6">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31B759B0">
            <w:pPr>
              <w:keepNext w:val="0"/>
              <w:keepLines w:val="0"/>
              <w:widowControl/>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rPr>
            </w:pPr>
          </w:p>
        </w:tc>
        <w:tc>
          <w:tcPr>
            <w:tcW w:w="5879" w:type="dxa"/>
            <w:shd w:val="clear" w:color="auto" w:fill="auto"/>
            <w:noWrap w:val="0"/>
            <w:vAlign w:val="center"/>
          </w:tcPr>
          <w:p w14:paraId="4BBFABB6">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4.2根据投标人提供的沟通协调与问题反馈机制（包括与招标人的日常沟通流程、响应时效及问题解决的闭环管理）进行评议：</w:t>
            </w:r>
          </w:p>
          <w:p w14:paraId="7C525E66">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①日常沟通机制明确，问题反馈分级响应，有完整的记录和跟踪流程的，得5分；</w:t>
            </w:r>
          </w:p>
          <w:p w14:paraId="49E14F37">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②沟通机制基本明确，响应时效承诺合理但流程设计不够完善的，得4分；</w:t>
            </w:r>
          </w:p>
          <w:p w14:paraId="23A60D57">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③沟通机制笼统，响应时效承诺不明确或反馈流程存在断点的，得3分；</w:t>
            </w:r>
          </w:p>
          <w:p w14:paraId="72D98F02">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④沟通机制简单，缺乏制度性安排的，得2分；</w:t>
            </w:r>
          </w:p>
          <w:p w14:paraId="3976037B">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⑤沟通机制模糊，响应时效无法保证的，得1分；</w:t>
            </w:r>
          </w:p>
          <w:p w14:paraId="20DE8019">
            <w:pPr>
              <w:keepNext w:val="0"/>
              <w:keepLines w:val="0"/>
              <w:widowControl w:val="0"/>
              <w:suppressLineNumbers w:val="0"/>
              <w:spacing w:before="0" w:beforeLines="0" w:beforeAutospacing="0" w:after="0" w:afterLines="0" w:afterAutospacing="0"/>
              <w:ind w:left="0" w:leftChars="0" w:right="0" w:rightChars="0"/>
              <w:jc w:val="left"/>
              <w:rPr>
                <w:rFonts w:hint="eastAsia" w:ascii="宋体"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0977899D">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65D967A4">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7A4C18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12B27CF5">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17711D77">
            <w:pPr>
              <w:keepNext w:val="0"/>
              <w:keepLines w:val="0"/>
              <w:widowControl/>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rPr>
            </w:pPr>
          </w:p>
        </w:tc>
        <w:tc>
          <w:tcPr>
            <w:tcW w:w="5879" w:type="dxa"/>
            <w:shd w:val="clear" w:color="auto" w:fill="auto"/>
            <w:noWrap w:val="0"/>
            <w:vAlign w:val="center"/>
          </w:tcPr>
          <w:p w14:paraId="5241FE2A">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4.3根据投标人提供的应急响应与突发事件处置方案（包括对突发舆情或紧急宣传任务的应急预案完整性及快速反应能力）进行评议：</w:t>
            </w:r>
          </w:p>
          <w:p w14:paraId="39972D5A">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①应急预案覆盖多种突发场景，各类场景均有明确的启动条件、响应时限、人员分工和处置流程的，得5分；</w:t>
            </w:r>
          </w:p>
          <w:p w14:paraId="369BA6D6">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②应急预案能覆盖主要突发场景，流程基本清晰但细节或响应时效有待完善的，得4分；</w:t>
            </w:r>
          </w:p>
          <w:p w14:paraId="26C5B4D3">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③应急预案场景覆盖不够全面，流程描述较为笼统的，得3分；</w:t>
            </w:r>
          </w:p>
          <w:p w14:paraId="216140B1">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④应急预案场景单一，缺乏具体处置措施的，得2分；</w:t>
            </w:r>
          </w:p>
          <w:p w14:paraId="65B7511E">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⑤应急预案过于简单，不具备实际应对能力的，得1分；</w:t>
            </w:r>
          </w:p>
          <w:p w14:paraId="430D8B10">
            <w:pPr>
              <w:keepNext w:val="0"/>
              <w:keepLines w:val="0"/>
              <w:widowControl w:val="0"/>
              <w:suppressLineNumbers w:val="0"/>
              <w:spacing w:before="0" w:beforeLines="0" w:beforeAutospacing="0" w:after="0" w:afterLines="0" w:afterAutospacing="0"/>
              <w:ind w:left="0" w:leftChars="0" w:right="0" w:rightChars="0"/>
              <w:jc w:val="left"/>
              <w:rPr>
                <w:rFonts w:hint="eastAsia" w:ascii="宋体"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2F82012B">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5</w:t>
            </w:r>
          </w:p>
        </w:tc>
        <w:tc>
          <w:tcPr>
            <w:tcW w:w="1062" w:type="dxa"/>
            <w:shd w:val="clear" w:color="auto" w:fill="auto"/>
            <w:noWrap w:val="0"/>
            <w:vAlign w:val="center"/>
          </w:tcPr>
          <w:p w14:paraId="51C0C004">
            <w:pPr>
              <w:keepNext w:val="0"/>
              <w:keepLines w:val="0"/>
              <w:widowControl w:val="0"/>
              <w:suppressLineNumbers w:val="0"/>
              <w:spacing w:before="0" w:beforeLines="0" w:beforeAutospacing="0" w:after="0" w:afterLines="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4B5AF6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7AE92A99">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restart"/>
            <w:noWrap w:val="0"/>
            <w:vAlign w:val="center"/>
          </w:tcPr>
          <w:p w14:paraId="0A99EA21">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5、媒体资源（1</w:t>
            </w:r>
            <w:r>
              <w:rPr>
                <w:rFonts w:hint="eastAsia" w:ascii="宋体" w:hAnsi="宋体" w:cs="Times New Roman"/>
                <w:color w:val="auto"/>
                <w:kern w:val="2"/>
                <w:sz w:val="21"/>
                <w:szCs w:val="21"/>
                <w:highlight w:val="none"/>
                <w:lang w:val="en-US" w:eastAsia="zh-CN"/>
              </w:rPr>
              <w:t>0</w:t>
            </w:r>
            <w:r>
              <w:rPr>
                <w:rFonts w:hint="eastAsia" w:ascii="宋体" w:hAnsi="宋体" w:eastAsia="宋体" w:cs="Times New Roman"/>
                <w:color w:val="auto"/>
                <w:kern w:val="2"/>
                <w:sz w:val="21"/>
                <w:szCs w:val="21"/>
                <w:highlight w:val="none"/>
                <w:lang w:val="en-US" w:eastAsia="zh-CN"/>
              </w:rPr>
              <w:t>分）</w:t>
            </w:r>
          </w:p>
        </w:tc>
        <w:tc>
          <w:tcPr>
            <w:tcW w:w="5879" w:type="dxa"/>
            <w:shd w:val="clear" w:color="auto" w:fill="auto"/>
            <w:noWrap w:val="0"/>
            <w:vAlign w:val="center"/>
          </w:tcPr>
          <w:p w14:paraId="0738021A">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5.1根据投标人提供的中央级主流媒体资源（包括与中央级媒体的合作基础及渠道覆盖面等）进行评议：</w:t>
            </w:r>
          </w:p>
          <w:p w14:paraId="7CD26FE8">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①与多家中央级媒体有明确合作基础，能提供合作协议、刊播案例等证明，合作紧密度高，渠道成熟稳定的，得5分；</w:t>
            </w:r>
          </w:p>
          <w:p w14:paraId="52230E15">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②与部分中央级媒体有明确合作基础，能提供相关证明材料，渠道可用性较好的，得4分；</w:t>
            </w:r>
          </w:p>
          <w:p w14:paraId="0E608EDD">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③与中央级媒体有合作基础，能提供基本证明，渠道可用性一般的，得3分；</w:t>
            </w:r>
          </w:p>
          <w:p w14:paraId="6CD8719A">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④与中央级媒体的合作基础较为薄弱，证明材料不充分，或仅有间接合作渠道的，得2分；</w:t>
            </w:r>
          </w:p>
          <w:p w14:paraId="3A9FF9BC">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⑤无明显中央级媒体合作基础，仅做意向性描述的，得1分；</w:t>
            </w:r>
          </w:p>
          <w:p w14:paraId="6DFAB197">
            <w:pPr>
              <w:keepNext w:val="0"/>
              <w:keepLines w:val="0"/>
              <w:widowControl w:val="0"/>
              <w:suppressLineNumbers w:val="0"/>
              <w:spacing w:before="0" w:beforeLines="0" w:beforeAutospacing="0" w:after="0" w:afterLines="0" w:afterAutospacing="0"/>
              <w:ind w:left="0" w:leftChars="0" w:right="0" w:rightChars="0"/>
              <w:jc w:val="left"/>
              <w:rPr>
                <w:rFonts w:hint="eastAsia" w:ascii="宋体"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noWrap w:val="0"/>
            <w:vAlign w:val="center"/>
          </w:tcPr>
          <w:p w14:paraId="0CF19902">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w:t>
            </w:r>
          </w:p>
        </w:tc>
        <w:tc>
          <w:tcPr>
            <w:tcW w:w="1062" w:type="dxa"/>
            <w:noWrap w:val="0"/>
            <w:vAlign w:val="center"/>
          </w:tcPr>
          <w:p w14:paraId="5CFC6552">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主观分</w:t>
            </w:r>
          </w:p>
        </w:tc>
      </w:tr>
      <w:tr w14:paraId="0E94F3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505CD9BE">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vMerge w:val="continue"/>
            <w:noWrap w:val="0"/>
            <w:vAlign w:val="center"/>
          </w:tcPr>
          <w:p w14:paraId="67D9154E">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p>
        </w:tc>
        <w:tc>
          <w:tcPr>
            <w:tcW w:w="5879" w:type="dxa"/>
            <w:shd w:val="clear" w:color="auto" w:fill="auto"/>
            <w:noWrap w:val="0"/>
            <w:vAlign w:val="center"/>
          </w:tcPr>
          <w:p w14:paraId="34EF5A22">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5.2根据投标人提供的省级主流媒体资源（包括与省级媒体的合作基础及渠道覆盖面）进行评议：</w:t>
            </w:r>
          </w:p>
          <w:p w14:paraId="2990349B">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①与多家省级主流媒体有明确合作基础，能提供合作协议、刊播案例等证明，合作紧密度高，渠道成熟稳定的，得5分；</w:t>
            </w:r>
          </w:p>
          <w:p w14:paraId="47B3F45A">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②与部分省级媒体有明确合作基础，能提供相关证明材料，渠道可用性较好的，得4分；</w:t>
            </w:r>
          </w:p>
          <w:p w14:paraId="6E460FD8">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③与省级媒体有合作基础，能提供基本证明，渠道可用性一般的，得3分；</w:t>
            </w:r>
          </w:p>
          <w:p w14:paraId="3AED550D">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④与省级媒体的合作基础较为薄弱，证明材料不充分，或仅有间接合作渠道的，得2分；</w:t>
            </w:r>
          </w:p>
          <w:p w14:paraId="7D123526">
            <w:pPr>
              <w:keepNext w:val="0"/>
              <w:keepLines w:val="0"/>
              <w:widowControl w:val="0"/>
              <w:suppressLineNumbers w:val="0"/>
              <w:spacing w:before="0" w:beforeLines="0" w:beforeAutospacing="0" w:after="0" w:afterLines="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⑤无明显省级媒体合作基础，仅做意向性描述的，得1分；</w:t>
            </w:r>
          </w:p>
          <w:p w14:paraId="7F06E6BC">
            <w:pPr>
              <w:keepNext w:val="0"/>
              <w:keepLines w:val="0"/>
              <w:widowControl w:val="0"/>
              <w:suppressLineNumbers w:val="0"/>
              <w:spacing w:before="0" w:beforeLines="0" w:beforeAutospacing="0" w:after="0" w:afterLines="0" w:afterAutospacing="0"/>
              <w:ind w:left="0" w:leftChars="0" w:right="0" w:rightChars="0"/>
              <w:jc w:val="left"/>
              <w:rPr>
                <w:rFonts w:hint="eastAsia" w:ascii="宋体"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noWrap w:val="0"/>
            <w:vAlign w:val="center"/>
          </w:tcPr>
          <w:p w14:paraId="13551309">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5</w:t>
            </w:r>
          </w:p>
        </w:tc>
        <w:tc>
          <w:tcPr>
            <w:tcW w:w="1062" w:type="dxa"/>
            <w:noWrap w:val="0"/>
            <w:vAlign w:val="center"/>
          </w:tcPr>
          <w:p w14:paraId="3751E37D">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rPr>
              <w:t>主观分</w:t>
            </w:r>
          </w:p>
        </w:tc>
      </w:tr>
      <w:tr w14:paraId="5B6534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233D310C">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noWrap w:val="0"/>
            <w:vAlign w:val="center"/>
          </w:tcPr>
          <w:p w14:paraId="7830D2C8">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lang w:val="en-US" w:eastAsia="zh-CN"/>
              </w:rPr>
              <w:t>宣传创新与传播策略（5分）</w:t>
            </w:r>
          </w:p>
        </w:tc>
        <w:tc>
          <w:tcPr>
            <w:tcW w:w="5879" w:type="dxa"/>
            <w:shd w:val="clear" w:color="auto" w:fill="auto"/>
            <w:noWrap w:val="0"/>
            <w:vAlign w:val="center"/>
          </w:tcPr>
          <w:p w14:paraId="32BBE0E6">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6.1根据投标人提供的宣传创新与传播策略（包括在宣传形式、传播技术、叙事方式等方面的创新能力和差异化传播策略）进行评议：</w:t>
            </w:r>
          </w:p>
          <w:p w14:paraId="2135B64B">
            <w:pPr>
              <w:keepNext w:val="0"/>
              <w:keepLines w:val="0"/>
              <w:widowControl w:val="0"/>
              <w:suppressLineNumbers w:val="0"/>
              <w:spacing w:before="0" w:beforeAutospacing="0" w:after="0" w:afterAutospacing="0"/>
              <w:ind w:left="0" w:right="0"/>
              <w:jc w:val="left"/>
              <w:rPr>
                <w:rFonts w:hint="eastAsia" w:ascii="宋体" w:hAnsi="宋体"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①能提出多种创新传播形式（如数据新闻、交互式内容、沉浸式直播等），并能针对不同受众群体设计差异化的传播话术与触达路径，创新方案具有可落地性的，得5分；</w:t>
            </w:r>
          </w:p>
          <w:p w14:paraId="65E02756">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②能提出若干种创新传播形式，能区分主要受众群体设计传播策略，创新方案基本可行但细节不够完善的，得4分；</w:t>
            </w:r>
          </w:p>
          <w:p w14:paraId="32D7736C">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③能提出创新传播形式，传播策略有一定差异化但较为常规，创新方案的落地性一般的，得3分；</w:t>
            </w:r>
          </w:p>
          <w:p w14:paraId="0E1219A2">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④创新传播形式较为普通，传播策略缺乏差异化设计，与本项目需求契合度不高的，得2分；</w:t>
            </w:r>
          </w:p>
          <w:p w14:paraId="021C714E">
            <w:pPr>
              <w:keepNext w:val="0"/>
              <w:keepLines w:val="0"/>
              <w:widowControl w:val="0"/>
              <w:suppressLineNumbers w:val="0"/>
              <w:spacing w:before="0" w:beforeAutospacing="0" w:after="0" w:afterAutospacing="0"/>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⑤创新方案与本项目关联度低，或仅做概念性描述缺乏具体内容的，得1分；</w:t>
            </w:r>
          </w:p>
          <w:p w14:paraId="0B9E20EC">
            <w:pPr>
              <w:keepNext w:val="0"/>
              <w:keepLines w:val="0"/>
              <w:widowControl w:val="0"/>
              <w:suppressLineNumbers w:val="0"/>
              <w:spacing w:before="0" w:beforeAutospacing="0" w:after="0" w:afterAutospacing="0"/>
              <w:ind w:left="0" w:leftChars="0" w:right="0" w:rightChars="0"/>
              <w:jc w:val="left"/>
              <w:rPr>
                <w:rFonts w:hint="default" w:ascii="宋体" w:hAnsi="Times New Roman" w:eastAsia="宋体" w:cs="Times New Roman"/>
                <w:kern w:val="2"/>
                <w:sz w:val="28"/>
                <w:szCs w:val="28"/>
                <w:highlight w:val="none"/>
                <w:lang w:val="en-US" w:eastAsia="zh-CN" w:bidi="ar-SA"/>
              </w:rPr>
            </w:pPr>
            <w:r>
              <w:rPr>
                <w:rFonts w:hint="eastAsia" w:ascii="宋体" w:hAnsi="宋体" w:eastAsia="宋体" w:cs="宋体"/>
                <w:kern w:val="2"/>
                <w:sz w:val="21"/>
                <w:szCs w:val="21"/>
                <w:highlight w:val="none"/>
                <w:lang w:val="en-US" w:eastAsia="zh-CN" w:bidi="ar"/>
              </w:rPr>
              <w:t>⑥未提供相关内容不得分。</w:t>
            </w:r>
          </w:p>
        </w:tc>
        <w:tc>
          <w:tcPr>
            <w:tcW w:w="709" w:type="dxa"/>
            <w:shd w:val="clear" w:color="auto" w:fill="auto"/>
            <w:noWrap w:val="0"/>
            <w:vAlign w:val="center"/>
          </w:tcPr>
          <w:p w14:paraId="4682BD63">
            <w:pPr>
              <w:keepNext w:val="0"/>
              <w:keepLines w:val="0"/>
              <w:widowControl w:val="0"/>
              <w:suppressLineNumbers w:val="0"/>
              <w:spacing w:before="0" w:beforeLines="0" w:beforeAutospacing="0" w:after="0" w:afterLines="0" w:afterAutospacing="0"/>
              <w:ind w:left="0" w:leftChars="0" w:right="0" w:rightChars="0"/>
              <w:jc w:val="center"/>
              <w:rPr>
                <w:rFonts w:hint="default"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
              </w:rPr>
              <w:t>5</w:t>
            </w:r>
          </w:p>
        </w:tc>
        <w:tc>
          <w:tcPr>
            <w:tcW w:w="1062" w:type="dxa"/>
            <w:shd w:val="clear" w:color="auto" w:fill="auto"/>
            <w:noWrap w:val="0"/>
            <w:vAlign w:val="center"/>
          </w:tcPr>
          <w:p w14:paraId="4DE574AB">
            <w:pPr>
              <w:keepNext w:val="0"/>
              <w:keepLines w:val="0"/>
              <w:widowControl w:val="0"/>
              <w:suppressLineNumbers w:val="0"/>
              <w:spacing w:before="0" w:beforeLines="0" w:beforeAutospacing="0" w:after="0" w:afterLines="0" w:afterAutospacing="0"/>
              <w:ind w:left="0" w:leftChars="0" w:right="0" w:rightChars="0"/>
              <w:jc w:val="center"/>
              <w:rPr>
                <w:rFonts w:hint="default" w:ascii="宋体" w:hAnsi="宋体" w:eastAsia="宋体" w:cs="Times New Roman"/>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主观分</w:t>
            </w:r>
          </w:p>
        </w:tc>
      </w:tr>
      <w:tr w14:paraId="6C02A1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351DB69E">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shd w:val="clear" w:color="auto" w:fill="auto"/>
            <w:noWrap w:val="0"/>
            <w:vAlign w:val="center"/>
          </w:tcPr>
          <w:p w14:paraId="2E6A9DF2">
            <w:pPr>
              <w:keepNext w:val="0"/>
              <w:keepLines w:val="0"/>
              <w:suppressLineNumbers w:val="0"/>
              <w:spacing w:before="0" w:beforeLines="0" w:beforeAutospacing="0" w:after="0" w:afterLines="0" w:afterAutospacing="0"/>
              <w:ind w:left="0" w:right="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lang w:val="en-US" w:eastAsia="zh-CN"/>
              </w:rPr>
              <w:t>7</w:t>
            </w:r>
            <w:r>
              <w:rPr>
                <w:rFonts w:hint="default" w:ascii="宋体" w:hAnsi="宋体"/>
                <w:color w:val="auto"/>
                <w:sz w:val="21"/>
                <w:szCs w:val="21"/>
                <w:highlight w:val="none"/>
              </w:rPr>
              <w:t>、绩效目标达成方案（</w:t>
            </w:r>
            <w:r>
              <w:rPr>
                <w:rFonts w:hint="eastAsia" w:ascii="宋体" w:hAnsi="宋体"/>
                <w:color w:val="auto"/>
                <w:sz w:val="21"/>
                <w:szCs w:val="21"/>
                <w:highlight w:val="none"/>
                <w:lang w:val="en-US" w:eastAsia="zh-CN"/>
              </w:rPr>
              <w:t>5</w:t>
            </w:r>
            <w:r>
              <w:rPr>
                <w:rFonts w:hint="default" w:ascii="宋体" w:hAnsi="宋体"/>
                <w:color w:val="auto"/>
                <w:sz w:val="21"/>
                <w:szCs w:val="21"/>
                <w:highlight w:val="none"/>
              </w:rPr>
              <w:t>分）</w:t>
            </w:r>
          </w:p>
        </w:tc>
        <w:tc>
          <w:tcPr>
            <w:tcW w:w="5879" w:type="dxa"/>
            <w:shd w:val="clear" w:color="auto" w:fill="auto"/>
            <w:noWrap w:val="0"/>
            <w:vAlign w:val="center"/>
          </w:tcPr>
          <w:p w14:paraId="7F0647E1">
            <w:pPr>
              <w:keepNext w:val="0"/>
              <w:keepLines w:val="0"/>
              <w:suppressLineNumbers w:val="0"/>
              <w:spacing w:before="0" w:beforeLines="0" w:beforeAutospacing="0" w:after="0" w:afterLines="0" w:afterAutospacing="0"/>
              <w:ind w:left="0" w:right="0"/>
              <w:jc w:val="left"/>
              <w:rPr>
                <w:rFonts w:hint="default" w:ascii="宋体" w:hAnsi="宋体"/>
                <w:sz w:val="21"/>
                <w:szCs w:val="21"/>
                <w:highlight w:val="none"/>
              </w:rPr>
            </w:pPr>
            <w:r>
              <w:rPr>
                <w:rFonts w:hint="eastAsia" w:ascii="宋体" w:hAnsi="宋体" w:cs="宋体"/>
                <w:sz w:val="21"/>
                <w:szCs w:val="21"/>
                <w:highlight w:val="none"/>
                <w:lang w:val="en-US" w:eastAsia="zh-CN" w:bidi="ar"/>
              </w:rPr>
              <w:t>7</w:t>
            </w:r>
            <w:r>
              <w:rPr>
                <w:rFonts w:hint="default" w:ascii="宋体" w:hAnsi="宋体" w:cs="宋体"/>
                <w:sz w:val="21"/>
                <w:szCs w:val="21"/>
                <w:highlight w:val="none"/>
                <w:lang w:bidi="ar"/>
              </w:rPr>
              <w:t>.1根据投标人提供</w:t>
            </w:r>
            <w:r>
              <w:rPr>
                <w:rFonts w:hint="eastAsia" w:ascii="宋体" w:hAnsi="宋体" w:cs="宋体"/>
                <w:sz w:val="21"/>
                <w:szCs w:val="21"/>
                <w:highlight w:val="none"/>
                <w:lang w:eastAsia="zh-CN" w:bidi="ar"/>
              </w:rPr>
              <w:t>的</w:t>
            </w:r>
            <w:r>
              <w:rPr>
                <w:rFonts w:hint="default" w:ascii="宋体" w:hAnsi="宋体" w:cs="宋体"/>
                <w:sz w:val="21"/>
                <w:szCs w:val="21"/>
                <w:highlight w:val="none"/>
                <w:lang w:bidi="ar"/>
              </w:rPr>
              <w:t>绩效目标达成方案（包括对绩效指标的理解程度及绩效目标达成的保障措施）进行评议：</w:t>
            </w:r>
          </w:p>
          <w:p w14:paraId="346A4198">
            <w:pPr>
              <w:keepNext w:val="0"/>
              <w:keepLines w:val="0"/>
              <w:suppressLineNumbers w:val="0"/>
              <w:spacing w:before="0" w:beforeLines="0" w:beforeAutospacing="0" w:after="0" w:afterLines="0" w:afterAutospacing="0"/>
              <w:ind w:left="0" w:right="0"/>
              <w:jc w:val="left"/>
              <w:rPr>
                <w:rFonts w:hint="default" w:ascii="宋体" w:hAnsi="宋体"/>
                <w:sz w:val="21"/>
                <w:szCs w:val="21"/>
                <w:highlight w:val="none"/>
              </w:rPr>
            </w:pPr>
            <w:r>
              <w:rPr>
                <w:rFonts w:hint="default" w:ascii="宋体" w:hAnsi="宋体" w:cs="宋体"/>
                <w:sz w:val="21"/>
                <w:szCs w:val="21"/>
                <w:highlight w:val="none"/>
                <w:lang w:bidi="ar"/>
              </w:rPr>
              <w:t>①对各绩效指标项理解准确，预期目标值设定合理，数据采集与统计方法明确，自评机制完善的，得</w:t>
            </w:r>
            <w:r>
              <w:rPr>
                <w:rFonts w:hint="eastAsia" w:ascii="宋体" w:hAnsi="宋体" w:cs="宋体"/>
                <w:sz w:val="21"/>
                <w:szCs w:val="21"/>
                <w:highlight w:val="none"/>
                <w:lang w:val="en-US" w:eastAsia="zh-CN" w:bidi="ar"/>
              </w:rPr>
              <w:t>5</w:t>
            </w:r>
            <w:r>
              <w:rPr>
                <w:rFonts w:hint="default" w:ascii="宋体" w:hAnsi="宋体" w:cs="宋体"/>
                <w:sz w:val="21"/>
                <w:szCs w:val="21"/>
                <w:highlight w:val="none"/>
                <w:lang w:bidi="ar"/>
              </w:rPr>
              <w:t>分；</w:t>
            </w:r>
          </w:p>
          <w:p w14:paraId="53601E65">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②对各绩效指标项理解基本准确，预期目标值设定基本合理，数据采集方法可行但不够具体的，得</w:t>
            </w:r>
            <w:r>
              <w:rPr>
                <w:rFonts w:hint="eastAsia" w:ascii="宋体" w:hAnsi="宋体" w:cs="宋体"/>
                <w:sz w:val="21"/>
                <w:szCs w:val="21"/>
                <w:highlight w:val="none"/>
                <w:lang w:val="en-US" w:eastAsia="zh-CN" w:bidi="ar"/>
              </w:rPr>
              <w:t>4</w:t>
            </w:r>
            <w:r>
              <w:rPr>
                <w:rFonts w:hint="default" w:ascii="宋体" w:hAnsi="宋体" w:cs="宋体"/>
                <w:sz w:val="21"/>
                <w:szCs w:val="21"/>
                <w:highlight w:val="none"/>
                <w:lang w:bidi="ar"/>
              </w:rPr>
              <w:t>分；</w:t>
            </w:r>
          </w:p>
          <w:p w14:paraId="6508A1F0">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③对绩效指标理解存在部分偏差，预期目标值设定不够合理，数据采集方法笼统的，得</w:t>
            </w:r>
            <w:r>
              <w:rPr>
                <w:rFonts w:hint="eastAsia" w:ascii="宋体" w:hAnsi="宋体" w:cs="宋体"/>
                <w:sz w:val="21"/>
                <w:szCs w:val="21"/>
                <w:highlight w:val="none"/>
                <w:lang w:val="en-US" w:eastAsia="zh-CN" w:bidi="ar"/>
              </w:rPr>
              <w:t>3</w:t>
            </w:r>
            <w:r>
              <w:rPr>
                <w:rFonts w:hint="default" w:ascii="宋体" w:hAnsi="宋体" w:cs="宋体"/>
                <w:sz w:val="21"/>
                <w:szCs w:val="21"/>
                <w:highlight w:val="none"/>
                <w:lang w:bidi="ar"/>
              </w:rPr>
              <w:t>分；</w:t>
            </w:r>
          </w:p>
          <w:p w14:paraId="77C071C8">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④对绩效指标理解偏差较大，缺乏数据采集方案和自评机制的，得</w:t>
            </w:r>
            <w:r>
              <w:rPr>
                <w:rFonts w:hint="eastAsia" w:ascii="宋体" w:hAnsi="宋体" w:cs="宋体"/>
                <w:sz w:val="21"/>
                <w:szCs w:val="21"/>
                <w:highlight w:val="none"/>
                <w:lang w:val="en-US" w:eastAsia="zh-CN" w:bidi="ar"/>
              </w:rPr>
              <w:t>2</w:t>
            </w:r>
            <w:r>
              <w:rPr>
                <w:rFonts w:hint="default" w:ascii="宋体" w:hAnsi="宋体" w:cs="宋体"/>
                <w:sz w:val="21"/>
                <w:szCs w:val="21"/>
                <w:highlight w:val="none"/>
                <w:lang w:bidi="ar"/>
              </w:rPr>
              <w:t>分；</w:t>
            </w:r>
          </w:p>
          <w:p w14:paraId="785323D8">
            <w:pPr>
              <w:keepNext w:val="0"/>
              <w:keepLines w:val="0"/>
              <w:suppressLineNumbers w:val="0"/>
              <w:spacing w:before="0" w:beforeLines="0" w:beforeAutospacing="0" w:after="0" w:afterLines="0" w:afterAutospacing="0"/>
              <w:ind w:left="0" w:right="0"/>
              <w:jc w:val="left"/>
              <w:rPr>
                <w:rFonts w:hint="eastAsia" w:ascii="宋体" w:hAnsi="宋体" w:cs="宋体"/>
                <w:sz w:val="21"/>
                <w:szCs w:val="21"/>
                <w:highlight w:val="none"/>
                <w:lang w:val="en-US" w:eastAsia="zh-CN" w:bidi="ar"/>
              </w:rPr>
            </w:pPr>
            <w:r>
              <w:rPr>
                <w:rFonts w:hint="eastAsia" w:ascii="宋体" w:hAnsi="宋体" w:cs="宋体"/>
                <w:sz w:val="21"/>
                <w:szCs w:val="21"/>
                <w:highlight w:val="none"/>
                <w:lang w:val="en-US" w:eastAsia="zh-CN" w:bidi="ar"/>
              </w:rPr>
              <w:t>⑤提供了绩效目标达成方案，但内容过于简略、缺乏实质性内容或与本项目关联度低的，得1分；</w:t>
            </w:r>
          </w:p>
          <w:p w14:paraId="155DFEDF">
            <w:pPr>
              <w:keepNext w:val="0"/>
              <w:keepLines w:val="0"/>
              <w:suppressLineNumbers w:val="0"/>
              <w:spacing w:before="0" w:beforeLines="0" w:beforeAutospacing="0" w:after="0" w:afterLines="0" w:afterAutospacing="0"/>
              <w:ind w:left="0" w:right="0"/>
              <w:jc w:val="left"/>
              <w:rPr>
                <w:rFonts w:hint="eastAsia" w:ascii="宋体" w:hAnsi="Times New Roman" w:eastAsia="宋体" w:cs="Times New Roman"/>
                <w:kern w:val="2"/>
                <w:sz w:val="28"/>
                <w:szCs w:val="28"/>
                <w:highlight w:val="none"/>
                <w:lang w:val="en-US" w:eastAsia="zh-CN" w:bidi="ar-SA"/>
              </w:rPr>
            </w:pPr>
            <w:r>
              <w:rPr>
                <w:rFonts w:hint="eastAsia" w:ascii="宋体" w:hAnsi="宋体" w:cs="宋体"/>
                <w:sz w:val="21"/>
                <w:szCs w:val="21"/>
                <w:highlight w:val="none"/>
                <w:lang w:val="en-US" w:eastAsia="zh-CN" w:bidi="ar"/>
              </w:rPr>
              <w:t>⑥</w:t>
            </w:r>
            <w:r>
              <w:rPr>
                <w:rFonts w:hint="default" w:ascii="宋体" w:hAnsi="宋体" w:cs="宋体"/>
                <w:sz w:val="21"/>
                <w:szCs w:val="21"/>
                <w:highlight w:val="none"/>
                <w:lang w:bidi="ar"/>
              </w:rPr>
              <w:t>未提供相关内容不得分。</w:t>
            </w:r>
          </w:p>
        </w:tc>
        <w:tc>
          <w:tcPr>
            <w:tcW w:w="709" w:type="dxa"/>
            <w:shd w:val="clear" w:color="auto" w:fill="auto"/>
            <w:noWrap w:val="0"/>
            <w:vAlign w:val="center"/>
          </w:tcPr>
          <w:p w14:paraId="6379A2BB">
            <w:pPr>
              <w:keepNext w:val="0"/>
              <w:keepLines w:val="0"/>
              <w:suppressLineNumbers w:val="0"/>
              <w:spacing w:before="0" w:beforeAutospacing="0" w:after="0" w:afterAutospacing="0"/>
              <w:ind w:left="0" w:right="0"/>
              <w:jc w:val="center"/>
              <w:rPr>
                <w:rFonts w:hint="eastAsia" w:ascii="宋体" w:hAnsi="宋体" w:eastAsia="宋体" w:cs="Times New Roman"/>
                <w:kern w:val="2"/>
                <w:sz w:val="21"/>
                <w:szCs w:val="21"/>
                <w:highlight w:val="none"/>
                <w:lang w:val="en-US" w:eastAsia="zh-CN" w:bidi="ar-SA"/>
              </w:rPr>
            </w:pPr>
            <w:r>
              <w:rPr>
                <w:rFonts w:hint="eastAsia" w:ascii="宋体" w:hAnsi="宋体"/>
                <w:sz w:val="21"/>
                <w:szCs w:val="21"/>
                <w:highlight w:val="none"/>
                <w:lang w:val="en-US" w:eastAsia="zh-CN" w:bidi="ar"/>
              </w:rPr>
              <w:t>5</w:t>
            </w:r>
          </w:p>
        </w:tc>
        <w:tc>
          <w:tcPr>
            <w:tcW w:w="1062" w:type="dxa"/>
            <w:shd w:val="clear" w:color="auto" w:fill="auto"/>
            <w:noWrap w:val="0"/>
            <w:vAlign w:val="center"/>
          </w:tcPr>
          <w:p w14:paraId="7DE7EC14">
            <w:pPr>
              <w:keepNext w:val="0"/>
              <w:keepLines w:val="0"/>
              <w:suppressLineNumbers w:val="0"/>
              <w:spacing w:before="0" w:beforeAutospacing="0" w:after="0" w:afterAutospacing="0"/>
              <w:ind w:left="0" w:right="0"/>
              <w:jc w:val="center"/>
              <w:rPr>
                <w:rFonts w:hint="eastAsia" w:ascii="宋体" w:hAnsi="宋体" w:eastAsia="宋体" w:cs="Times New Roman"/>
                <w:kern w:val="2"/>
                <w:sz w:val="21"/>
                <w:szCs w:val="21"/>
                <w:highlight w:val="none"/>
                <w:lang w:val="en-US" w:eastAsia="zh-CN" w:bidi="ar-SA"/>
              </w:rPr>
            </w:pPr>
            <w:r>
              <w:rPr>
                <w:rFonts w:hint="default" w:ascii="宋体" w:hAnsi="宋体" w:cs="宋体"/>
                <w:sz w:val="21"/>
                <w:szCs w:val="21"/>
                <w:highlight w:val="none"/>
                <w:lang w:bidi="ar"/>
              </w:rPr>
              <w:t>主观分</w:t>
            </w:r>
          </w:p>
        </w:tc>
      </w:tr>
      <w:tr w14:paraId="5E78D8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76E96B51">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shd w:val="clear" w:color="auto" w:fill="auto"/>
            <w:noWrap w:val="0"/>
            <w:vAlign w:val="center"/>
          </w:tcPr>
          <w:p w14:paraId="27EC4753">
            <w:pPr>
              <w:keepNext w:val="0"/>
              <w:keepLines w:val="0"/>
              <w:suppressLineNumbers w:val="0"/>
              <w:spacing w:before="0" w:beforeLines="0" w:beforeAutospacing="0" w:after="0" w:afterLines="0" w:afterAutospacing="0"/>
              <w:ind w:left="0" w:leftChars="0" w:right="0" w:rightChars="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lang w:val="en-US" w:eastAsia="zh-CN"/>
              </w:rPr>
              <w:t>8</w:t>
            </w:r>
            <w:r>
              <w:rPr>
                <w:rFonts w:hint="default" w:ascii="宋体" w:hAnsi="宋体"/>
                <w:color w:val="auto"/>
                <w:sz w:val="21"/>
                <w:szCs w:val="21"/>
                <w:highlight w:val="none"/>
              </w:rPr>
              <w:t>、宣传效果评估与数据监测方案（</w:t>
            </w:r>
            <w:r>
              <w:rPr>
                <w:rFonts w:hint="eastAsia" w:ascii="宋体" w:hAnsi="宋体"/>
                <w:color w:val="auto"/>
                <w:sz w:val="21"/>
                <w:szCs w:val="21"/>
                <w:highlight w:val="none"/>
                <w:lang w:val="en-US" w:eastAsia="zh-CN"/>
              </w:rPr>
              <w:t>4</w:t>
            </w:r>
            <w:r>
              <w:rPr>
                <w:rFonts w:hint="default" w:ascii="宋体" w:hAnsi="宋体"/>
                <w:color w:val="auto"/>
                <w:sz w:val="21"/>
                <w:szCs w:val="21"/>
                <w:highlight w:val="none"/>
              </w:rPr>
              <w:t>分）</w:t>
            </w:r>
          </w:p>
        </w:tc>
        <w:tc>
          <w:tcPr>
            <w:tcW w:w="5879" w:type="dxa"/>
            <w:shd w:val="clear" w:color="auto" w:fill="auto"/>
            <w:noWrap w:val="0"/>
            <w:vAlign w:val="center"/>
          </w:tcPr>
          <w:p w14:paraId="6044369E">
            <w:pPr>
              <w:keepNext w:val="0"/>
              <w:keepLines w:val="0"/>
              <w:suppressLineNumbers w:val="0"/>
              <w:spacing w:before="0" w:beforeLines="0" w:beforeAutospacing="0" w:after="0" w:afterLines="0" w:afterAutospacing="0"/>
              <w:ind w:left="0" w:right="0"/>
              <w:jc w:val="left"/>
              <w:rPr>
                <w:rFonts w:hint="default" w:ascii="宋体" w:hAnsi="宋体"/>
                <w:sz w:val="21"/>
                <w:szCs w:val="21"/>
                <w:highlight w:val="none"/>
              </w:rPr>
            </w:pPr>
            <w:r>
              <w:rPr>
                <w:rFonts w:hint="eastAsia" w:ascii="宋体" w:hAnsi="宋体" w:cs="宋体"/>
                <w:sz w:val="21"/>
                <w:szCs w:val="21"/>
                <w:highlight w:val="none"/>
                <w:lang w:val="en-US" w:eastAsia="zh-CN" w:bidi="ar"/>
              </w:rPr>
              <w:t>8</w:t>
            </w:r>
            <w:r>
              <w:rPr>
                <w:rFonts w:hint="default" w:ascii="宋体" w:hAnsi="宋体" w:cs="宋体"/>
                <w:sz w:val="21"/>
                <w:szCs w:val="21"/>
                <w:highlight w:val="none"/>
                <w:lang w:bidi="ar"/>
              </w:rPr>
              <w:t>.1根据投标人提供</w:t>
            </w:r>
            <w:r>
              <w:rPr>
                <w:rFonts w:hint="eastAsia" w:ascii="宋体" w:hAnsi="宋体" w:cs="宋体"/>
                <w:sz w:val="21"/>
                <w:szCs w:val="21"/>
                <w:highlight w:val="none"/>
                <w:lang w:eastAsia="zh-CN" w:bidi="ar"/>
              </w:rPr>
              <w:t>的</w:t>
            </w:r>
            <w:r>
              <w:rPr>
                <w:rFonts w:hint="default" w:ascii="宋体" w:hAnsi="宋体" w:cs="宋体"/>
                <w:sz w:val="21"/>
                <w:szCs w:val="21"/>
                <w:highlight w:val="none"/>
                <w:lang w:bidi="ar"/>
              </w:rPr>
              <w:t>宣传效果评估与数据监测方案（包括对宣传效果的评估方法、数据监测工具与复盘机制的设计能力）进行评议：</w:t>
            </w:r>
          </w:p>
          <w:p w14:paraId="631B8F63">
            <w:pPr>
              <w:keepNext w:val="0"/>
              <w:keepLines w:val="0"/>
              <w:suppressLineNumbers w:val="0"/>
              <w:spacing w:before="0" w:beforeLines="0" w:beforeAutospacing="0" w:after="0" w:afterLines="0" w:afterAutospacing="0"/>
              <w:ind w:left="0" w:right="0"/>
              <w:jc w:val="left"/>
              <w:rPr>
                <w:rFonts w:hint="default" w:ascii="宋体" w:hAnsi="宋体"/>
                <w:sz w:val="21"/>
                <w:szCs w:val="21"/>
                <w:highlight w:val="none"/>
              </w:rPr>
            </w:pPr>
            <w:r>
              <w:rPr>
                <w:rFonts w:hint="default" w:ascii="宋体" w:hAnsi="宋体" w:cs="宋体"/>
                <w:sz w:val="21"/>
                <w:szCs w:val="21"/>
                <w:highlight w:val="none"/>
                <w:lang w:bidi="ar"/>
              </w:rPr>
              <w:t>①评估指标体系完整（含阅读量、互动率、转载率、触达人群画像、媒体</w:t>
            </w:r>
            <w:r>
              <w:rPr>
                <w:rFonts w:hint="eastAsia" w:ascii="宋体" w:hAnsi="宋体" w:cs="宋体"/>
                <w:sz w:val="21"/>
                <w:szCs w:val="21"/>
                <w:highlight w:val="none"/>
                <w:lang w:val="en-US" w:eastAsia="zh-CN" w:bidi="ar"/>
              </w:rPr>
              <w:t>宣传</w:t>
            </w:r>
            <w:r>
              <w:rPr>
                <w:rFonts w:hint="default" w:ascii="宋体" w:hAnsi="宋体" w:cs="宋体"/>
                <w:sz w:val="21"/>
                <w:szCs w:val="21"/>
                <w:highlight w:val="none"/>
                <w:lang w:bidi="ar"/>
              </w:rPr>
              <w:t>层级等多维度），数据采集与监测工具明确，能提出定期复盘及策略优化机制的，得</w:t>
            </w:r>
            <w:r>
              <w:rPr>
                <w:rFonts w:hint="eastAsia" w:ascii="宋体" w:hAnsi="宋体" w:cs="宋体"/>
                <w:sz w:val="21"/>
                <w:szCs w:val="21"/>
                <w:highlight w:val="none"/>
                <w:lang w:val="en-US" w:eastAsia="zh-CN" w:bidi="ar"/>
              </w:rPr>
              <w:t>4</w:t>
            </w:r>
            <w:r>
              <w:rPr>
                <w:rFonts w:hint="default" w:ascii="宋体" w:hAnsi="宋体" w:cs="宋体"/>
                <w:sz w:val="21"/>
                <w:szCs w:val="21"/>
                <w:highlight w:val="none"/>
                <w:lang w:bidi="ar"/>
              </w:rPr>
              <w:t>分；</w:t>
            </w:r>
          </w:p>
          <w:p w14:paraId="76A99E46">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②评估指标基本覆盖主要维度，数据监测工具有明确指向，复盘机制基本可行但频率或深度不够具体的，得</w:t>
            </w:r>
            <w:r>
              <w:rPr>
                <w:rFonts w:hint="eastAsia" w:ascii="宋体" w:hAnsi="宋体" w:cs="宋体"/>
                <w:sz w:val="21"/>
                <w:szCs w:val="21"/>
                <w:highlight w:val="none"/>
                <w:lang w:val="en-US" w:eastAsia="zh-CN" w:bidi="ar"/>
              </w:rPr>
              <w:t>3</w:t>
            </w:r>
            <w:r>
              <w:rPr>
                <w:rFonts w:hint="default" w:ascii="宋体" w:hAnsi="宋体" w:cs="宋体"/>
                <w:sz w:val="21"/>
                <w:szCs w:val="21"/>
                <w:highlight w:val="none"/>
                <w:lang w:bidi="ar"/>
              </w:rPr>
              <w:t>分；</w:t>
            </w:r>
          </w:p>
          <w:p w14:paraId="56CC502C">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③评估指标较为单一，数据监测方式笼统，复盘机制缺失或描述模糊的，得</w:t>
            </w:r>
            <w:r>
              <w:rPr>
                <w:rFonts w:hint="eastAsia" w:ascii="宋体" w:hAnsi="宋体" w:cs="宋体"/>
                <w:sz w:val="21"/>
                <w:szCs w:val="21"/>
                <w:highlight w:val="none"/>
                <w:lang w:val="en-US" w:eastAsia="zh-CN" w:bidi="ar"/>
              </w:rPr>
              <w:t>2</w:t>
            </w:r>
            <w:r>
              <w:rPr>
                <w:rFonts w:hint="default" w:ascii="宋体" w:hAnsi="宋体" w:cs="宋体"/>
                <w:sz w:val="21"/>
                <w:szCs w:val="21"/>
                <w:highlight w:val="none"/>
                <w:lang w:bidi="ar"/>
              </w:rPr>
              <w:t>分；</w:t>
            </w:r>
          </w:p>
          <w:p w14:paraId="28DAE555">
            <w:pPr>
              <w:keepNext w:val="0"/>
              <w:keepLines w:val="0"/>
              <w:suppressLineNumbers w:val="0"/>
              <w:spacing w:before="0" w:beforeLines="0" w:beforeAutospacing="0" w:after="0" w:afterLines="0" w:afterAutospacing="0"/>
              <w:ind w:left="0" w:right="0"/>
              <w:jc w:val="left"/>
              <w:rPr>
                <w:rFonts w:hint="default" w:ascii="宋体" w:hAnsi="宋体" w:cs="宋体"/>
                <w:sz w:val="21"/>
                <w:szCs w:val="21"/>
                <w:highlight w:val="none"/>
              </w:rPr>
            </w:pPr>
            <w:r>
              <w:rPr>
                <w:rFonts w:hint="default" w:ascii="宋体" w:hAnsi="宋体" w:cs="宋体"/>
                <w:sz w:val="21"/>
                <w:szCs w:val="21"/>
                <w:highlight w:val="none"/>
                <w:lang w:bidi="ar"/>
              </w:rPr>
              <w:t>④提供了评估方案，但内容过于简略、缺乏实质性内容或与本项目关联度低的，得1分；</w:t>
            </w:r>
          </w:p>
          <w:p w14:paraId="5214EEA9">
            <w:pPr>
              <w:keepNext w:val="0"/>
              <w:keepLines w:val="0"/>
              <w:suppressLineNumbers w:val="0"/>
              <w:spacing w:before="0" w:beforeLines="0" w:beforeAutospacing="0" w:after="0" w:afterLines="0" w:afterAutospacing="0"/>
              <w:ind w:left="0" w:leftChars="0" w:right="0" w:rightChars="0"/>
              <w:jc w:val="left"/>
              <w:rPr>
                <w:rFonts w:hint="eastAsia" w:ascii="宋体" w:hAnsi="Times New Roman" w:eastAsia="宋体" w:cs="Times New Roman"/>
                <w:kern w:val="2"/>
                <w:sz w:val="28"/>
                <w:szCs w:val="28"/>
                <w:highlight w:val="none"/>
                <w:lang w:val="en-US" w:eastAsia="zh-CN" w:bidi="ar-SA"/>
              </w:rPr>
            </w:pPr>
            <w:r>
              <w:rPr>
                <w:rFonts w:hint="eastAsia" w:ascii="宋体" w:hAnsi="宋体" w:cs="宋体"/>
                <w:sz w:val="21"/>
                <w:szCs w:val="21"/>
                <w:highlight w:val="none"/>
                <w:lang w:val="en-US" w:eastAsia="zh-CN" w:bidi="ar"/>
              </w:rPr>
              <w:t>⑤</w:t>
            </w:r>
            <w:r>
              <w:rPr>
                <w:rFonts w:hint="default" w:ascii="宋体" w:hAnsi="宋体" w:cs="宋体"/>
                <w:sz w:val="21"/>
                <w:szCs w:val="21"/>
                <w:highlight w:val="none"/>
                <w:lang w:bidi="ar"/>
              </w:rPr>
              <w:t>未提供相关内容不得分。</w:t>
            </w:r>
          </w:p>
        </w:tc>
        <w:tc>
          <w:tcPr>
            <w:tcW w:w="709" w:type="dxa"/>
            <w:shd w:val="clear" w:color="auto" w:fill="auto"/>
            <w:noWrap w:val="0"/>
            <w:vAlign w:val="center"/>
          </w:tcPr>
          <w:p w14:paraId="5753F3DB">
            <w:pPr>
              <w:keepNext w:val="0"/>
              <w:keepLines w:val="0"/>
              <w:suppressLineNumbers w:val="0"/>
              <w:spacing w:before="0" w:beforeAutospacing="0" w:after="0" w:afterAutospacing="0"/>
              <w:ind w:left="0" w:leftChars="0" w:right="0" w:rightChars="0"/>
              <w:jc w:val="center"/>
              <w:rPr>
                <w:rFonts w:hint="eastAsia" w:ascii="宋体" w:hAnsi="宋体" w:eastAsia="宋体" w:cs="Times New Roman"/>
                <w:kern w:val="2"/>
                <w:sz w:val="21"/>
                <w:szCs w:val="21"/>
                <w:highlight w:val="none"/>
                <w:lang w:val="en-US" w:eastAsia="zh-CN" w:bidi="ar-SA"/>
              </w:rPr>
            </w:pPr>
            <w:r>
              <w:rPr>
                <w:rFonts w:hint="eastAsia" w:ascii="宋体" w:hAnsi="宋体"/>
                <w:sz w:val="21"/>
                <w:szCs w:val="21"/>
                <w:highlight w:val="none"/>
                <w:lang w:val="en-US" w:eastAsia="zh-CN" w:bidi="ar"/>
              </w:rPr>
              <w:t>4</w:t>
            </w:r>
          </w:p>
        </w:tc>
        <w:tc>
          <w:tcPr>
            <w:tcW w:w="1062" w:type="dxa"/>
            <w:shd w:val="clear" w:color="auto" w:fill="auto"/>
            <w:noWrap w:val="0"/>
            <w:vAlign w:val="center"/>
          </w:tcPr>
          <w:p w14:paraId="1134824C">
            <w:pPr>
              <w:keepNext w:val="0"/>
              <w:keepLines w:val="0"/>
              <w:suppressLineNumbers w:val="0"/>
              <w:spacing w:before="0" w:beforeAutospacing="0" w:after="0" w:afterAutospacing="0"/>
              <w:ind w:left="0" w:leftChars="0" w:right="0" w:rightChars="0"/>
              <w:jc w:val="center"/>
              <w:rPr>
                <w:rFonts w:hint="default" w:ascii="宋体" w:hAnsi="宋体" w:eastAsia="宋体" w:cs="Times New Roman"/>
                <w:kern w:val="2"/>
                <w:sz w:val="21"/>
                <w:szCs w:val="21"/>
                <w:highlight w:val="none"/>
                <w:lang w:val="en-US" w:eastAsia="zh-CN" w:bidi="ar-SA"/>
              </w:rPr>
            </w:pPr>
            <w:r>
              <w:rPr>
                <w:rFonts w:hint="default" w:ascii="宋体" w:hAnsi="宋体" w:cs="宋体"/>
                <w:sz w:val="21"/>
                <w:szCs w:val="21"/>
                <w:highlight w:val="none"/>
                <w:lang w:bidi="ar"/>
              </w:rPr>
              <w:t>主观分</w:t>
            </w:r>
          </w:p>
        </w:tc>
      </w:tr>
      <w:tr w14:paraId="6CC9A0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Merge w:val="continue"/>
            <w:noWrap w:val="0"/>
            <w:vAlign w:val="center"/>
          </w:tcPr>
          <w:p w14:paraId="196E5F38">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p>
        </w:tc>
        <w:tc>
          <w:tcPr>
            <w:tcW w:w="1449" w:type="dxa"/>
            <w:noWrap w:val="0"/>
            <w:vAlign w:val="center"/>
          </w:tcPr>
          <w:p w14:paraId="0ED542AE">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rPr>
              <w:t>9</w:t>
            </w:r>
            <w:r>
              <w:rPr>
                <w:rFonts w:hint="eastAsia" w:ascii="宋体" w:hAnsi="宋体" w:eastAsia="宋体" w:cs="Times New Roman"/>
                <w:color w:val="auto"/>
                <w:kern w:val="2"/>
                <w:sz w:val="21"/>
                <w:szCs w:val="21"/>
                <w:highlight w:val="none"/>
                <w:lang w:val="en-US" w:eastAsia="zh-CN"/>
              </w:rPr>
              <w:t>、业绩（1分）</w:t>
            </w:r>
          </w:p>
        </w:tc>
        <w:tc>
          <w:tcPr>
            <w:tcW w:w="5879" w:type="dxa"/>
            <w:noWrap w:val="0"/>
            <w:vAlign w:val="center"/>
          </w:tcPr>
          <w:p w14:paraId="0737D7D4">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rPr>
              <w:t>9</w:t>
            </w:r>
            <w:r>
              <w:rPr>
                <w:rFonts w:hint="eastAsia" w:ascii="宋体" w:hAnsi="宋体" w:eastAsia="宋体" w:cs="Times New Roman"/>
                <w:color w:val="auto"/>
                <w:kern w:val="2"/>
                <w:sz w:val="21"/>
                <w:szCs w:val="21"/>
                <w:highlight w:val="none"/>
                <w:lang w:val="en-US" w:eastAsia="zh-CN"/>
              </w:rPr>
              <w:t>.1 自2023年1月1日以来（以合同签订时间为准），投标人承担过类似宣传推广项目的，得1分。（投标文件中需提供合同复印件加盖公章，未提供或提供内容不符的不得分）</w:t>
            </w:r>
          </w:p>
        </w:tc>
        <w:tc>
          <w:tcPr>
            <w:tcW w:w="709" w:type="dxa"/>
            <w:noWrap w:val="0"/>
            <w:vAlign w:val="center"/>
          </w:tcPr>
          <w:p w14:paraId="1A7E054C">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1</w:t>
            </w:r>
          </w:p>
        </w:tc>
        <w:tc>
          <w:tcPr>
            <w:tcW w:w="1062" w:type="dxa"/>
            <w:noWrap w:val="0"/>
            <w:vAlign w:val="center"/>
          </w:tcPr>
          <w:p w14:paraId="5F013283">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rPr>
              <w:t>客观分</w:t>
            </w:r>
          </w:p>
        </w:tc>
      </w:tr>
      <w:tr w14:paraId="6F5879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751" w:type="dxa"/>
            <w:noWrap w:val="0"/>
            <w:vAlign w:val="center"/>
          </w:tcPr>
          <w:p w14:paraId="5148E4B6">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价格分</w:t>
            </w:r>
          </w:p>
          <w:p w14:paraId="731E8BCA">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10分</w:t>
            </w:r>
          </w:p>
        </w:tc>
        <w:tc>
          <w:tcPr>
            <w:tcW w:w="8037" w:type="dxa"/>
            <w:gridSpan w:val="3"/>
            <w:noWrap w:val="0"/>
            <w:vAlign w:val="center"/>
          </w:tcPr>
          <w:p w14:paraId="49324028">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参与评审的价格=投标报价</w:t>
            </w:r>
          </w:p>
          <w:p w14:paraId="6E1F2824">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基准价=满足</w:t>
            </w:r>
            <w:r>
              <w:rPr>
                <w:rFonts w:hint="eastAsia" w:ascii="宋体" w:hAnsi="宋体" w:eastAsia="宋体" w:cs="Times New Roman"/>
                <w:color w:val="auto"/>
                <w:kern w:val="2"/>
                <w:sz w:val="21"/>
                <w:szCs w:val="21"/>
                <w:highlight w:val="none"/>
                <w:lang w:val="en-US" w:eastAsia="zh-CN"/>
              </w:rPr>
              <w:t>招标</w:t>
            </w:r>
            <w:r>
              <w:rPr>
                <w:rFonts w:hint="eastAsia" w:ascii="宋体" w:hAnsi="宋体" w:eastAsia="宋体" w:cs="Times New Roman"/>
                <w:color w:val="auto"/>
                <w:kern w:val="2"/>
                <w:sz w:val="21"/>
                <w:szCs w:val="21"/>
                <w:highlight w:val="none"/>
              </w:rPr>
              <w:t>文件要求且最低的参与评审的价格，基准价得</w:t>
            </w:r>
            <w:r>
              <w:rPr>
                <w:rFonts w:hint="eastAsia" w:ascii="宋体" w:hAnsi="宋体" w:eastAsia="宋体" w:cs="Times New Roman"/>
                <w:color w:val="auto"/>
                <w:kern w:val="2"/>
                <w:sz w:val="21"/>
                <w:szCs w:val="21"/>
                <w:highlight w:val="none"/>
                <w:lang w:val="en-US" w:eastAsia="zh-CN"/>
              </w:rPr>
              <w:t>10</w:t>
            </w:r>
            <w:r>
              <w:rPr>
                <w:rFonts w:hint="eastAsia" w:ascii="宋体" w:hAnsi="宋体" w:eastAsia="宋体" w:cs="Times New Roman"/>
                <w:color w:val="auto"/>
                <w:kern w:val="2"/>
                <w:sz w:val="21"/>
                <w:szCs w:val="21"/>
                <w:highlight w:val="none"/>
              </w:rPr>
              <w:t>分；</w:t>
            </w:r>
          </w:p>
          <w:p w14:paraId="3DF9922F">
            <w:pPr>
              <w:keepNext w:val="0"/>
              <w:keepLines w:val="0"/>
              <w:suppressLineNumbers w:val="0"/>
              <w:adjustRightInd/>
              <w:spacing w:before="0" w:beforeAutospacing="0" w:after="0" w:afterAutospacing="0" w:line="240" w:lineRule="auto"/>
              <w:ind w:left="0" w:right="0"/>
              <w:jc w:val="left"/>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其余</w:t>
            </w:r>
            <w:r>
              <w:rPr>
                <w:rFonts w:hint="eastAsia" w:ascii="宋体" w:hAnsi="宋体" w:eastAsia="宋体" w:cs="Times New Roman"/>
                <w:color w:val="auto"/>
                <w:kern w:val="2"/>
                <w:sz w:val="21"/>
                <w:szCs w:val="21"/>
                <w:highlight w:val="none"/>
                <w:lang w:val="en-US" w:eastAsia="zh-CN"/>
              </w:rPr>
              <w:t>投标人</w:t>
            </w:r>
            <w:r>
              <w:rPr>
                <w:rFonts w:hint="eastAsia" w:ascii="宋体" w:hAnsi="宋体" w:eastAsia="宋体" w:cs="Times New Roman"/>
                <w:color w:val="auto"/>
                <w:kern w:val="2"/>
                <w:sz w:val="21"/>
                <w:szCs w:val="21"/>
                <w:highlight w:val="none"/>
              </w:rPr>
              <w:t>得分为：报价得分=（基准价/参与评审的价格）×</w:t>
            </w:r>
            <w:r>
              <w:rPr>
                <w:rFonts w:hint="eastAsia" w:ascii="宋体" w:hAnsi="宋体" w:eastAsia="宋体" w:cs="Times New Roman"/>
                <w:color w:val="auto"/>
                <w:kern w:val="2"/>
                <w:sz w:val="21"/>
                <w:szCs w:val="21"/>
                <w:highlight w:val="none"/>
                <w:lang w:val="en-US" w:eastAsia="zh-CN"/>
              </w:rPr>
              <w:t>10</w:t>
            </w:r>
            <w:r>
              <w:rPr>
                <w:rFonts w:hint="eastAsia" w:ascii="宋体" w:hAnsi="宋体" w:eastAsia="宋体" w:cs="Times New Roman"/>
                <w:color w:val="auto"/>
                <w:kern w:val="2"/>
                <w:sz w:val="21"/>
                <w:szCs w:val="21"/>
                <w:highlight w:val="none"/>
              </w:rPr>
              <w:t>%×100。</w:t>
            </w:r>
          </w:p>
        </w:tc>
        <w:tc>
          <w:tcPr>
            <w:tcW w:w="1062" w:type="dxa"/>
            <w:noWrap w:val="0"/>
            <w:vAlign w:val="center"/>
          </w:tcPr>
          <w:p w14:paraId="5E0DC991">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客观分</w:t>
            </w:r>
          </w:p>
        </w:tc>
      </w:tr>
      <w:tr w14:paraId="12983A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50" w:type="dxa"/>
            <w:gridSpan w:val="5"/>
            <w:noWrap w:val="0"/>
            <w:vAlign w:val="center"/>
          </w:tcPr>
          <w:p w14:paraId="3B0A380E">
            <w:pPr>
              <w:keepNext w:val="0"/>
              <w:keepLines w:val="0"/>
              <w:suppressLineNumbers w:val="0"/>
              <w:adjustRightInd/>
              <w:spacing w:before="0" w:beforeAutospacing="0" w:after="0" w:afterAutospacing="0" w:line="240" w:lineRule="auto"/>
              <w:ind w:left="0" w:right="0"/>
              <w:jc w:val="center"/>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总分（100分）</w:t>
            </w:r>
          </w:p>
        </w:tc>
      </w:tr>
    </w:tbl>
    <w:p w14:paraId="54B946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atLeas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注：1、小数点后保留</w:t>
      </w:r>
      <w:r>
        <w:rPr>
          <w:rFonts w:hint="eastAsia" w:ascii="宋体" w:hAnsi="宋体" w:cs="宋体"/>
          <w:color w:val="auto"/>
          <w:szCs w:val="21"/>
          <w:highlight w:val="none"/>
          <w:lang w:eastAsia="zh-CN"/>
        </w:rPr>
        <w:t>两位数</w:t>
      </w:r>
      <w:r>
        <w:rPr>
          <w:rFonts w:hint="eastAsia" w:ascii="宋体" w:hAnsi="宋体" w:cs="宋体"/>
          <w:color w:val="auto"/>
          <w:szCs w:val="21"/>
          <w:highlight w:val="none"/>
        </w:rPr>
        <w:t>。2、各评标委员会成员自行按以上参考分值评分。3、重大事件由评标委员会集体讨论。</w:t>
      </w:r>
      <w:r>
        <w:rPr>
          <w:rFonts w:hint="eastAsia" w:ascii="宋体" w:hAnsi="宋体" w:cs="宋体"/>
          <w:b/>
          <w:bCs/>
          <w:color w:val="auto"/>
          <w:szCs w:val="21"/>
          <w:highlight w:val="none"/>
        </w:rPr>
        <w:t>4、如中标人在合同履行过程中未按照投标承诺提供相关服务，招标人有权终止合同，中标人承担由此造成的一切损失。</w:t>
      </w:r>
    </w:p>
    <w:p w14:paraId="531715DC">
      <w:pPr>
        <w:keepNext w:val="0"/>
        <w:keepLines w:val="0"/>
        <w:pageBreakBefore w:val="0"/>
        <w:widowControl w:val="0"/>
        <w:kinsoku/>
        <w:wordWrap/>
        <w:overflowPunct/>
        <w:topLinePunct w:val="0"/>
        <w:autoSpaceDE/>
        <w:autoSpaceDN/>
        <w:bidi w:val="0"/>
        <w:adjustRightInd/>
        <w:snapToGrid/>
        <w:spacing w:line="320" w:lineRule="atLeast"/>
        <w:textAlignment w:val="auto"/>
        <w:rPr>
          <w:rFonts w:hint="eastAsia" w:ascii="宋体" w:hAnsi="宋体" w:cs="宋体"/>
          <w:color w:val="auto"/>
          <w:sz w:val="28"/>
          <w:szCs w:val="28"/>
          <w:highlight w:val="none"/>
        </w:rPr>
      </w:pPr>
      <w:r>
        <w:rPr>
          <w:rFonts w:hint="eastAsia" w:ascii="宋体" w:hAnsi="宋体" w:cs="宋体"/>
          <w:color w:val="auto"/>
          <w:szCs w:val="21"/>
          <w:highlight w:val="none"/>
        </w:rPr>
        <w:t>评委签名：                                                日期：</w:t>
      </w:r>
    </w:p>
    <w:p w14:paraId="2A2F2F8B">
      <w:pPr>
        <w:pStyle w:val="5"/>
        <w:spacing w:line="360" w:lineRule="auto"/>
        <w:jc w:val="center"/>
        <w:rPr>
          <w:rFonts w:hint="eastAsia" w:ascii="宋体" w:hAnsi="宋体" w:cs="宋体"/>
          <w:b w:val="0"/>
          <w:color w:val="auto"/>
          <w:sz w:val="30"/>
          <w:szCs w:val="30"/>
          <w:highlight w:val="none"/>
        </w:rPr>
      </w:pPr>
      <w:r>
        <w:rPr>
          <w:rFonts w:hint="eastAsia" w:ascii="宋体" w:hAnsi="宋体" w:cs="宋体"/>
          <w:color w:val="auto"/>
          <w:sz w:val="28"/>
          <w:szCs w:val="28"/>
          <w:highlight w:val="none"/>
        </w:rPr>
        <w:br w:type="page"/>
      </w:r>
      <w:bookmarkStart w:id="4" w:name="_Toc19760"/>
      <w:r>
        <w:rPr>
          <w:rFonts w:hint="eastAsia" w:ascii="宋体" w:hAnsi="宋体" w:cs="宋体"/>
          <w:color w:val="auto"/>
          <w:sz w:val="28"/>
          <w:szCs w:val="28"/>
          <w:highlight w:val="none"/>
        </w:rPr>
        <w:t>第五章 合同主要条款</w:t>
      </w:r>
      <w:bookmarkEnd w:id="4"/>
    </w:p>
    <w:p w14:paraId="56D8C9BE">
      <w:pPr>
        <w:snapToGrid w:val="0"/>
        <w:spacing w:before="120" w:beforeLines="50" w:after="120" w:after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xml:space="preserve">（供参考）   </w:t>
      </w:r>
    </w:p>
    <w:p w14:paraId="732B8A6E">
      <w:pPr>
        <w:jc w:val="center"/>
        <w:rPr>
          <w:rFonts w:hint="default" w:ascii="宋体" w:hAnsi="宋体" w:cs="宋体"/>
          <w:color w:val="auto"/>
          <w:szCs w:val="21"/>
          <w:highlight w:val="none"/>
          <w:lang w:val="en-US"/>
        </w:rPr>
      </w:pPr>
      <w:r>
        <w:rPr>
          <w:rFonts w:hint="eastAsia" w:ascii="宋体" w:hAnsi="宋体" w:cs="宋体"/>
          <w:b/>
          <w:bCs/>
          <w:color w:val="auto"/>
          <w:sz w:val="30"/>
          <w:szCs w:val="30"/>
          <w:highlight w:val="none"/>
          <w:u w:val="none"/>
          <w:lang w:eastAsia="zh-CN"/>
        </w:rPr>
        <w:t>2026年度宣传合作项目(重大主题宣传)</w:t>
      </w:r>
      <w:r>
        <w:rPr>
          <w:rFonts w:hint="eastAsia" w:ascii="宋体" w:hAnsi="宋体" w:cs="宋体"/>
          <w:b/>
          <w:bCs/>
          <w:color w:val="auto"/>
          <w:sz w:val="30"/>
          <w:szCs w:val="30"/>
          <w:highlight w:val="none"/>
          <w:u w:val="none"/>
          <w:lang w:val="en-US" w:eastAsia="zh-CN"/>
        </w:rPr>
        <w:t>合同</w:t>
      </w:r>
    </w:p>
    <w:p w14:paraId="7A05A7FE">
      <w:pPr>
        <w:jc w:val="center"/>
        <w:rPr>
          <w:rFonts w:hint="eastAsia" w:ascii="宋体" w:hAnsi="宋体" w:eastAsia="宋体" w:cs="宋体"/>
          <w:b/>
          <w:bCs/>
          <w:color w:val="auto"/>
          <w:sz w:val="30"/>
          <w:szCs w:val="30"/>
          <w:highlight w:val="none"/>
        </w:rPr>
      </w:pPr>
    </w:p>
    <w:p w14:paraId="21E5F979">
      <w:pPr>
        <w:spacing w:line="360" w:lineRule="exact"/>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根据《中华人民共和国</w:t>
      </w:r>
      <w:r>
        <w:rPr>
          <w:rFonts w:hint="eastAsia" w:ascii="Times New Roman" w:hAnsi="Times New Roman" w:eastAsia="宋体" w:cs="Times New Roman"/>
          <w:color w:val="auto"/>
          <w:szCs w:val="21"/>
          <w:highlight w:val="none"/>
          <w:lang w:val="en-US" w:eastAsia="zh-CN"/>
        </w:rPr>
        <w:t>招标投标</w:t>
      </w:r>
      <w:r>
        <w:rPr>
          <w:rFonts w:ascii="Times New Roman" w:hAnsi="Times New Roman" w:eastAsia="宋体" w:cs="Times New Roman"/>
          <w:color w:val="auto"/>
          <w:szCs w:val="21"/>
          <w:highlight w:val="none"/>
        </w:rPr>
        <w:t>法</w:t>
      </w:r>
      <w:r>
        <w:rPr>
          <w:rFonts w:hint="eastAsia" w:cs="Times New Roman"/>
          <w:color w:val="auto"/>
          <w:szCs w:val="21"/>
          <w:highlight w:val="none"/>
          <w:lang w:eastAsia="zh-CN"/>
        </w:rPr>
        <w:t>》《</w:t>
      </w:r>
      <w:r>
        <w:rPr>
          <w:rFonts w:ascii="Times New Roman" w:hAnsi="Times New Roman" w:eastAsia="宋体" w:cs="Times New Roman"/>
          <w:color w:val="auto"/>
          <w:szCs w:val="21"/>
          <w:highlight w:val="none"/>
        </w:rPr>
        <w:t>中华人民共和国</w:t>
      </w:r>
      <w:r>
        <w:rPr>
          <w:rFonts w:hint="eastAsia" w:ascii="Times New Roman" w:hAnsi="Times New Roman" w:eastAsia="宋体" w:cs="Times New Roman"/>
          <w:color w:val="auto"/>
          <w:szCs w:val="21"/>
          <w:highlight w:val="none"/>
          <w:lang w:val="en-US" w:eastAsia="zh-CN"/>
        </w:rPr>
        <w:t>招标投标</w:t>
      </w:r>
      <w:r>
        <w:rPr>
          <w:rFonts w:ascii="Times New Roman" w:hAnsi="Times New Roman" w:eastAsia="宋体" w:cs="Times New Roman"/>
          <w:color w:val="auto"/>
          <w:szCs w:val="21"/>
          <w:highlight w:val="none"/>
        </w:rPr>
        <w:t>法实施条例》等法律法规，</w:t>
      </w:r>
      <w:r>
        <w:rPr>
          <w:rFonts w:ascii="Times New Roman" w:hAnsi="Times New Roman" w:eastAsia="宋体" w:cs="Times New Roman"/>
          <w:color w:val="auto"/>
          <w:szCs w:val="21"/>
          <w:highlight w:val="none"/>
          <w:u w:val="single"/>
        </w:rPr>
        <w:t>项目名称</w:t>
      </w:r>
      <w:r>
        <w:rPr>
          <w:rFonts w:hint="eastAsia" w:ascii="Times New Roman" w:hAnsi="Times New Roman" w:eastAsia="宋体" w:cs="Times New Roman"/>
          <w:color w:val="auto"/>
          <w:szCs w:val="21"/>
          <w:highlight w:val="none"/>
          <w:u w:val="single"/>
          <w:lang w:eastAsia="zh-CN"/>
        </w:rPr>
        <w:t>：</w:t>
      </w:r>
      <w:r>
        <w:rPr>
          <w:rFonts w:hint="eastAsia" w:cs="Times New Roman"/>
          <w:color w:val="auto"/>
          <w:szCs w:val="21"/>
          <w:highlight w:val="none"/>
          <w:u w:val="single"/>
          <w:lang w:eastAsia="zh-CN"/>
        </w:rPr>
        <w:t>2026年度宣传合作项目(重大主题宣传)</w:t>
      </w:r>
      <w:r>
        <w:rPr>
          <w:rFonts w:ascii="Times New Roman" w:hAnsi="Times New Roman" w:eastAsia="宋体" w:cs="Times New Roman"/>
          <w:color w:val="auto"/>
          <w:szCs w:val="21"/>
          <w:highlight w:val="none"/>
          <w:u w:val="single"/>
        </w:rPr>
        <w:t>（项目编号：）</w:t>
      </w:r>
      <w:r>
        <w:rPr>
          <w:rFonts w:ascii="Times New Roman" w:hAnsi="Times New Roman" w:eastAsia="宋体" w:cs="Times New Roman"/>
          <w:color w:val="auto"/>
          <w:szCs w:val="21"/>
          <w:highlight w:val="none"/>
        </w:rPr>
        <w:t xml:space="preserve">于 </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年</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月</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rPr>
        <w:t>日进行公开招标，确定由乙方中标。按照《中华人民共和国民法典》的有关规定，在自愿、平等、公平、诚信的基础上，经双方协商一致，签订本合同。</w:t>
      </w:r>
    </w:p>
    <w:p w14:paraId="12827408">
      <w:pPr>
        <w:widowControl w:val="0"/>
        <w:spacing w:beforeLines="0" w:afterLines="0" w:line="360" w:lineRule="exact"/>
        <w:ind w:firstLine="420" w:firstLineChars="200"/>
        <w:jc w:val="both"/>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下述文件作为附件，是合同的一部分，并与本合同一起阅读和解释：</w:t>
      </w:r>
    </w:p>
    <w:p w14:paraId="0F07C87C">
      <w:pPr>
        <w:widowControl w:val="0"/>
        <w:spacing w:beforeLines="0" w:afterLines="0" w:line="360" w:lineRule="exact"/>
        <w:ind w:firstLine="420" w:firstLineChars="200"/>
        <w:jc w:val="both"/>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a.招标文件；</w:t>
      </w:r>
    </w:p>
    <w:p w14:paraId="30028921">
      <w:pPr>
        <w:widowControl w:val="0"/>
        <w:spacing w:beforeLines="0" w:afterLines="0" w:line="360" w:lineRule="exact"/>
        <w:ind w:firstLine="420" w:firstLineChars="200"/>
        <w:jc w:val="both"/>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b.投标文件及澄清文件；</w:t>
      </w:r>
    </w:p>
    <w:p w14:paraId="1867F748">
      <w:pPr>
        <w:widowControl w:val="0"/>
        <w:spacing w:beforeLines="0" w:afterLines="0" w:line="360" w:lineRule="exact"/>
        <w:ind w:firstLine="420" w:firstLineChars="200"/>
        <w:jc w:val="both"/>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c.中标通知书；</w:t>
      </w:r>
    </w:p>
    <w:p w14:paraId="2580A783">
      <w:pPr>
        <w:widowControl w:val="0"/>
        <w:spacing w:beforeLines="0" w:afterLines="0" w:line="360" w:lineRule="exact"/>
        <w:ind w:firstLine="420" w:firstLineChars="200"/>
        <w:jc w:val="both"/>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上述文件与合同若有不一致之处，优先次序第一应为合同、第二应为附件(附件的优先次序为 c,b,a)。</w:t>
      </w:r>
    </w:p>
    <w:p w14:paraId="15CB5FC2">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一、项目名称、服务期限、服务内容</w:t>
      </w:r>
    </w:p>
    <w:p w14:paraId="69552AC5">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1.1项目名称：</w:t>
      </w:r>
      <w:r>
        <w:rPr>
          <w:rFonts w:hint="eastAsia" w:cs="Times New Roman"/>
          <w:color w:val="auto"/>
          <w:kern w:val="0"/>
          <w:sz w:val="21"/>
          <w:szCs w:val="21"/>
          <w:highlight w:val="none"/>
          <w:lang w:val="en-US" w:eastAsia="zh-CN" w:bidi="ar-SA"/>
        </w:rPr>
        <w:t>2026年度宣传合作项目(重大主题宣传)</w:t>
      </w:r>
    </w:p>
    <w:p w14:paraId="0C890F05">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1.2服务期限：自合同签订之日起至2027年5月30日。</w:t>
      </w:r>
    </w:p>
    <w:p w14:paraId="578BCB4D">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1.3服务内容：</w:t>
      </w:r>
    </w:p>
    <w:p w14:paraId="21C298A4">
      <w:pPr>
        <w:widowControl w:val="0"/>
        <w:spacing w:beforeLines="0" w:afterLines="0" w:line="360" w:lineRule="exact"/>
        <w:ind w:firstLine="420" w:firstLineChars="200"/>
        <w:jc w:val="both"/>
        <w:rPr>
          <w:rFonts w:hint="eastAsia"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围绕工业和数字经济发展年度工作安排，深度挖掘我市企业在技术攻关、产品创新、场景落地、模式变革、标准创制等方面的实践和成果，总结提炼全市经信系统推进工业提质、数字赋能、服务企业等工作的典型经验与实践案例，通过省级以上媒体面向国内、国外开展宣传推广，累计开展宣传推广不少于50次。</w:t>
      </w:r>
    </w:p>
    <w:p w14:paraId="62B1D9AA">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聚焦新型工业化示范区建设、“人工智能+制造”全场景开放创新等重大主题，开展系列宣传策划，通过省级以上主流媒体的报纸、客户端、门户网站等多渠道开展宣传推广，持续唱响宁波工业和数字经济高质量发展主旋律。累计策划不少于5个主题宣传系列，形成一批高质量系列宣传成果。</w:t>
      </w:r>
    </w:p>
    <w:p w14:paraId="53E7C0B9">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二、合同金额</w:t>
      </w:r>
    </w:p>
    <w:p w14:paraId="4661295C">
      <w:pPr>
        <w:widowControl w:val="0"/>
        <w:spacing w:beforeLines="0" w:afterLines="0" w:line="360" w:lineRule="exact"/>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2.1本合同金额为（大写）：</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元</w:t>
      </w:r>
      <w:r>
        <w:rPr>
          <w:rFonts w:hint="eastAsia" w:ascii="宋体" w:hAnsi="宋体" w:eastAsia="宋体" w:cs="宋体"/>
          <w:color w:val="auto"/>
          <w:kern w:val="2"/>
          <w:sz w:val="21"/>
          <w:szCs w:val="21"/>
          <w:highlight w:val="none"/>
          <w:u w:val="single"/>
          <w:lang w:val="en-US" w:eastAsia="zh-CN" w:bidi="ar-SA"/>
        </w:rPr>
        <w:t>（￥      元）</w:t>
      </w:r>
      <w:r>
        <w:rPr>
          <w:rFonts w:hint="eastAsia" w:ascii="宋体" w:hAnsi="宋体" w:eastAsia="宋体" w:cs="宋体"/>
          <w:color w:val="auto"/>
          <w:kern w:val="2"/>
          <w:sz w:val="21"/>
          <w:szCs w:val="21"/>
          <w:highlight w:val="none"/>
          <w:lang w:val="en-US" w:eastAsia="zh-CN" w:bidi="ar-SA"/>
        </w:rPr>
        <w:t>人民币。本合同金额已包含人员费用、管理费用、税金、利润等全部费用，除合同另有约定外，甲方无其他付款义务。</w:t>
      </w:r>
    </w:p>
    <w:p w14:paraId="1297219F">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三、履约保证金（不收取）</w:t>
      </w:r>
    </w:p>
    <w:p w14:paraId="08413DB5">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四、转包或分包</w:t>
      </w:r>
    </w:p>
    <w:p w14:paraId="215A78C9">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4.1本合同范围的服务，应由乙方直接提供，不得转让他人；</w:t>
      </w:r>
    </w:p>
    <w:p w14:paraId="2F32FC85">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4.2 除非得到甲方的书面同意，乙方不得部分分包给他人。甲方有权阻止分包。</w:t>
      </w:r>
    </w:p>
    <w:p w14:paraId="6280B5A3">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4.3如有转让和未经甲方同意的分包行为，甲方有权终止合同。</w:t>
      </w:r>
    </w:p>
    <w:p w14:paraId="5855925D">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五、合同付款方法</w:t>
      </w:r>
    </w:p>
    <w:p w14:paraId="4217D49E">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5.1付款方式：</w:t>
      </w:r>
    </w:p>
    <w:p w14:paraId="49A4FAA0">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（1）合同签订且具备实施条件后，支付合同总价70%的预付款。</w:t>
      </w:r>
    </w:p>
    <w:p w14:paraId="16E392BE">
      <w:pPr>
        <w:widowControl w:val="0"/>
        <w:spacing w:beforeLines="0" w:afterLines="0" w:line="360" w:lineRule="exact"/>
        <w:ind w:left="0" w:leftChars="0"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（2）完成全部服务工作，根据绩效评价结果，支付全部尾款。</w:t>
      </w:r>
    </w:p>
    <w:p w14:paraId="57304EC9">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甲方付款前至少7个工作日，乙方应提供正规足额的增值税发票，否则甲方有权拒绝付款。</w:t>
      </w:r>
    </w:p>
    <w:p w14:paraId="5930A0A9">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六、税</w:t>
      </w:r>
    </w:p>
    <w:p w14:paraId="5D2996CD">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6.1本合同执行中相关的一切税费均由乙方负担。</w:t>
      </w:r>
    </w:p>
    <w:p w14:paraId="5D90829F">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七、完成质量要求</w:t>
      </w:r>
    </w:p>
    <w:p w14:paraId="7ED8EB05">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7.1 服务期间乙方不得随意更换项目负责人，如有特殊情况需要更换，须经甲方同意确认。</w:t>
      </w:r>
    </w:p>
    <w:p w14:paraId="24F065FF">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7.2服务期间，乙方须配备足够的人员和设备。</w:t>
      </w:r>
    </w:p>
    <w:p w14:paraId="355365F7">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7.3合同执行过程中，乙方如有弄虚作假行为，甲方有权单方面解除合同，由此引起的所有损失由乙方承担。</w:t>
      </w:r>
    </w:p>
    <w:p w14:paraId="4EFB6D01">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八、知识产权归属</w:t>
      </w:r>
    </w:p>
    <w:p w14:paraId="58F53F7B">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因履行本合同所产生的所有成果的知识产权、所有权等均归属于甲方所有。乙方应保证本项目的技术、服务或货物的任何一部分不会产生因第三方提出侵犯其专利权、商标权或其他知识产权而引起的法律和经济纠纷；如因第三方提出其专利权、商标权或其他知识产权的侵权之诉，则一切法律责任由乙方承担。如因此给甲方造成损害的，乙方应当消除影响，并赔偿由此给甲方造成的全部损失，包括但不限于律师费、公证费、鉴定费、调查费、诉讼费、仲裁费、停工停业损失、向第三方支付违约金或赔偿金。</w:t>
      </w:r>
    </w:p>
    <w:p w14:paraId="3BCA22B2">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九、保密</w:t>
      </w:r>
    </w:p>
    <w:p w14:paraId="4E8F6D1A">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乙方在本协议履行期间获悉的甲方未向社会公开或只在一定范围内公开的信息、经验、技术、资料等，均为甲方秘密。在项目实施过程中，乙方及其雇员对甲方所提供的秘密负有严格保密义务，未经甲方书面同意不得向任何第三人泄露，也不得用于本合同以外的其他任何目的，且保密责任不因合同的终止或解除而失效。乙方须无条件与甲方签定单独的保密协议。项目完成后，乙方须把甲方提供的所有资料、数据完整归还甲方，并不得留存任何形式的复制品。</w:t>
      </w:r>
    </w:p>
    <w:p w14:paraId="6278E9B1">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十、违约责任</w:t>
      </w:r>
    </w:p>
    <w:p w14:paraId="3DD780BC">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10.1乙方未能如期提供服务的，每日向甲方支付合同款项的千分之</w:t>
      </w:r>
      <w:r>
        <w:rPr>
          <w:rFonts w:hint="eastAsia" w:cs="Times New Roman"/>
          <w:color w:val="auto"/>
          <w:kern w:val="0"/>
          <w:sz w:val="21"/>
          <w:szCs w:val="21"/>
          <w:highlight w:val="none"/>
          <w:lang w:val="en-US" w:eastAsia="zh-CN" w:bidi="ar-SA"/>
        </w:rPr>
        <w:t>一</w:t>
      </w:r>
      <w:r>
        <w:rPr>
          <w:rFonts w:hint="eastAsia" w:ascii="Times New Roman" w:hAnsi="Times New Roman" w:eastAsia="宋体" w:cs="Times New Roman"/>
          <w:color w:val="auto"/>
          <w:kern w:val="0"/>
          <w:sz w:val="21"/>
          <w:szCs w:val="21"/>
          <w:highlight w:val="none"/>
          <w:lang w:val="en-US" w:eastAsia="zh-CN" w:bidi="ar-SA"/>
        </w:rPr>
        <w:t xml:space="preserve">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341BA78D">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10.2乙方违反本合同约定，未约定违约金或者违约金不足以赔偿甲方损失的，乙方应当赔偿由此给甲方造成的全部损失。本合同项下损失包括直接损失与间接损失，包括但不限于：另行采购的费用、另行采购费的差额、向第三人支付的赔付款以及为主张自身权利所支出的律师费、诉讼费、鉴定费、调查取证费、保全费、担保费、公证费、检测费、差旅费等。</w:t>
      </w:r>
    </w:p>
    <w:p w14:paraId="1B9A3629">
      <w:pPr>
        <w:widowControl w:val="0"/>
        <w:spacing w:beforeLines="0" w:afterLines="0" w:line="360" w:lineRule="exact"/>
        <w:ind w:firstLine="420" w:firstLineChars="200"/>
        <w:jc w:val="both"/>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10.3甲方有权直接从未支付的款项中直接扣除乙方应当承担的违约金和赔偿款，如不足以赔偿给甲方造成损失的，甲方有权向乙方追偿。</w:t>
      </w:r>
    </w:p>
    <w:p w14:paraId="73169AA9">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十一、不可抗力事件处理</w:t>
      </w:r>
    </w:p>
    <w:p w14:paraId="61097C38">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11.1 在合同有效期内，任何一方因不可抗力事件导致不能履行合同，则合同履行期可延长，其延长期与不可抗力影响期相同。</w:t>
      </w:r>
    </w:p>
    <w:p w14:paraId="74F8AD97">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11.2 不可抗力事件发生后，应立即通知对方，并寄送有关权威机构出具的证明。</w:t>
      </w:r>
    </w:p>
    <w:p w14:paraId="2C74643A">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11.3 不可抗力事件延续120天以上，双方应通过友好协商，确定是否继续履行合同。</w:t>
      </w:r>
    </w:p>
    <w:p w14:paraId="0F1C0EA7">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十二、诉讼</w:t>
      </w:r>
    </w:p>
    <w:p w14:paraId="57FE2C5D">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12.1 双方在执行合同中所发生的一切争议，应通过协商解决。如协商不成，可向甲方所在地法院起诉。</w:t>
      </w:r>
    </w:p>
    <w:p w14:paraId="7C093340">
      <w:pPr>
        <w:keepNext w:val="0"/>
        <w:keepLines w:val="0"/>
        <w:pageBreakBefore w:val="0"/>
        <w:widowControl w:val="0"/>
        <w:kinsoku/>
        <w:wordWrap/>
        <w:overflowPunct/>
        <w:topLinePunct w:val="0"/>
        <w:autoSpaceDE/>
        <w:autoSpaceDN/>
        <w:bidi w:val="0"/>
        <w:adjustRightInd/>
        <w:snapToGrid/>
        <w:spacing w:line="460" w:lineRule="exact"/>
        <w:ind w:firstLine="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十三、合同生效及其他</w:t>
      </w:r>
    </w:p>
    <w:p w14:paraId="63A5C12B">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13.1合同经双方法定代表人或授权委托代理人签字并加盖单位公章后生效。</w:t>
      </w:r>
    </w:p>
    <w:p w14:paraId="3D3EDC08">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13.2合同执行中涉及采购资金和采购内容修改或补充的，须签书面补充协议，方可作为主合同不可分割的一部分。</w:t>
      </w:r>
    </w:p>
    <w:p w14:paraId="52EB6A94">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13.3本合同未尽事宜，遵照《中华人民共和国民法典》有关条文、补充协议、投标承诺、</w:t>
      </w:r>
      <w:r>
        <w:rPr>
          <w:rFonts w:hint="eastAsia" w:eastAsia="宋体" w:cs="Times New Roman"/>
          <w:color w:val="auto"/>
          <w:kern w:val="0"/>
          <w:sz w:val="21"/>
          <w:szCs w:val="21"/>
          <w:highlight w:val="none"/>
          <w:lang w:val="en-US" w:eastAsia="zh-CN" w:bidi="ar-SA"/>
        </w:rPr>
        <w:t>投标</w:t>
      </w:r>
      <w:r>
        <w:rPr>
          <w:rFonts w:hint="eastAsia" w:ascii="Times New Roman" w:hAnsi="Times New Roman" w:eastAsia="宋体" w:cs="Times New Roman"/>
          <w:color w:val="auto"/>
          <w:kern w:val="0"/>
          <w:sz w:val="21"/>
          <w:szCs w:val="21"/>
          <w:highlight w:val="none"/>
          <w:lang w:val="en-US" w:eastAsia="zh-CN" w:bidi="ar-SA"/>
        </w:rPr>
        <w:t>文件、</w:t>
      </w:r>
      <w:r>
        <w:rPr>
          <w:rFonts w:hint="eastAsia" w:eastAsia="宋体" w:cs="Times New Roman"/>
          <w:color w:val="auto"/>
          <w:kern w:val="0"/>
          <w:sz w:val="21"/>
          <w:szCs w:val="21"/>
          <w:highlight w:val="none"/>
          <w:lang w:val="en-US" w:eastAsia="zh-CN" w:bidi="ar-SA"/>
        </w:rPr>
        <w:t>招标</w:t>
      </w:r>
      <w:r>
        <w:rPr>
          <w:rFonts w:hint="eastAsia" w:ascii="Times New Roman" w:hAnsi="Times New Roman" w:eastAsia="宋体" w:cs="Times New Roman"/>
          <w:color w:val="auto"/>
          <w:kern w:val="0"/>
          <w:sz w:val="21"/>
          <w:szCs w:val="21"/>
          <w:highlight w:val="none"/>
          <w:lang w:val="en-US" w:eastAsia="zh-CN" w:bidi="ar-SA"/>
        </w:rPr>
        <w:t>文件及补充执行。</w:t>
      </w:r>
    </w:p>
    <w:p w14:paraId="050A5016">
      <w:pPr>
        <w:widowControl w:val="0"/>
        <w:spacing w:beforeLines="0" w:afterLines="0" w:line="360" w:lineRule="exact"/>
        <w:ind w:firstLine="420" w:firstLineChars="200"/>
        <w:jc w:val="both"/>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13.4本合同一式肆份，甲乙双方各执贰份，具有同等法律效力。</w:t>
      </w:r>
    </w:p>
    <w:p w14:paraId="7996C6BF">
      <w:pPr>
        <w:widowControl w:val="0"/>
        <w:adjustRightInd/>
        <w:spacing w:line="360" w:lineRule="auto"/>
        <w:jc w:val="both"/>
        <w:textAlignment w:val="auto"/>
        <w:rPr>
          <w:rFonts w:hint="eastAsia" w:ascii="宋体" w:hAnsi="宋体" w:eastAsia="宋体" w:cs="宋体"/>
          <w:color w:val="auto"/>
          <w:kern w:val="2"/>
          <w:sz w:val="21"/>
          <w:szCs w:val="21"/>
          <w:highlight w:val="none"/>
          <w:lang w:val="en-US" w:eastAsia="zh-CN" w:bidi="ar-SA"/>
        </w:rPr>
      </w:pPr>
    </w:p>
    <w:p w14:paraId="10F27EDC">
      <w:pPr>
        <w:widowControl w:val="0"/>
        <w:adjustRightInd/>
        <w:spacing w:line="36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甲方：</w:t>
      </w:r>
      <w:r>
        <w:rPr>
          <w:rFonts w:hint="eastAsia" w:ascii="宋体" w:hAnsi="宋体" w:cs="Times New Roman"/>
          <w:color w:val="auto"/>
          <w:kern w:val="2"/>
          <w:sz w:val="21"/>
          <w:szCs w:val="21"/>
          <w:highlight w:val="none"/>
          <w:lang w:eastAsia="zh-CN"/>
        </w:rPr>
        <w:t>宁波市经济和信息化局</w:t>
      </w:r>
      <w:r>
        <w:rPr>
          <w:rFonts w:hint="eastAsia" w:ascii="宋体" w:hAnsi="宋体" w:eastAsia="宋体" w:cs="宋体"/>
          <w:color w:val="auto"/>
          <w:kern w:val="2"/>
          <w:sz w:val="21"/>
          <w:szCs w:val="21"/>
          <w:highlight w:val="none"/>
          <w:lang w:val="en-US" w:eastAsia="zh-CN" w:bidi="ar-SA"/>
        </w:rPr>
        <w:t xml:space="preserve">（公章） </w:t>
      </w:r>
    </w:p>
    <w:p w14:paraId="3DD84B5A">
      <w:pPr>
        <w:widowControl w:val="0"/>
        <w:adjustRightInd/>
        <w:spacing w:line="36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地址：</w:t>
      </w:r>
      <w:r>
        <w:rPr>
          <w:rFonts w:hint="eastAsia" w:ascii="宋体" w:hAnsi="宋体" w:eastAsia="宋体" w:cs="Times New Roman"/>
          <w:color w:val="auto"/>
          <w:kern w:val="2"/>
          <w:sz w:val="21"/>
          <w:szCs w:val="21"/>
          <w:highlight w:val="none"/>
        </w:rPr>
        <w:t>宁波市鄞州区宁穿路2001号2号楼</w:t>
      </w:r>
      <w:r>
        <w:rPr>
          <w:rFonts w:hint="eastAsia" w:ascii="宋体" w:hAnsi="宋体" w:eastAsia="宋体" w:cs="宋体"/>
          <w:color w:val="auto"/>
          <w:kern w:val="2"/>
          <w:sz w:val="21"/>
          <w:szCs w:val="21"/>
          <w:highlight w:val="none"/>
          <w:lang w:val="en-US" w:eastAsia="zh-CN" w:bidi="ar-SA"/>
        </w:rPr>
        <w:t xml:space="preserve"> </w:t>
      </w:r>
    </w:p>
    <w:p w14:paraId="67171C70">
      <w:pPr>
        <w:widowControl w:val="0"/>
        <w:adjustRightInd/>
        <w:spacing w:line="48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法定代表人：                       （签字） </w:t>
      </w:r>
    </w:p>
    <w:p w14:paraId="45027530">
      <w:pPr>
        <w:widowControl w:val="0"/>
        <w:adjustRightInd/>
        <w:spacing w:line="48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委托代理人：                       （签字） </w:t>
      </w:r>
    </w:p>
    <w:p w14:paraId="16CBD14F">
      <w:pPr>
        <w:widowControl w:val="0"/>
        <w:adjustRightInd/>
        <w:spacing w:line="360" w:lineRule="auto"/>
        <w:jc w:val="both"/>
        <w:textAlignment w:val="auto"/>
        <w:rPr>
          <w:rFonts w:ascii="宋体" w:hAnsi="宋体" w:eastAsia="宋体" w:cs="Times New Roman"/>
          <w:b/>
          <w:bCs/>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电话：</w:t>
      </w:r>
    </w:p>
    <w:p w14:paraId="4AF27A76">
      <w:pPr>
        <w:widowControl w:val="0"/>
        <w:adjustRightInd/>
        <w:spacing w:line="360" w:lineRule="auto"/>
        <w:jc w:val="both"/>
        <w:textAlignment w:val="auto"/>
        <w:rPr>
          <w:rFonts w:hint="eastAsia" w:ascii="宋体" w:hAnsi="宋体" w:eastAsia="宋体" w:cs="宋体"/>
          <w:color w:val="auto"/>
          <w:kern w:val="2"/>
          <w:sz w:val="21"/>
          <w:szCs w:val="21"/>
          <w:highlight w:val="none"/>
          <w:lang w:val="en-US" w:eastAsia="zh-CN" w:bidi="ar-SA"/>
        </w:rPr>
      </w:pPr>
    </w:p>
    <w:p w14:paraId="3FE62B80">
      <w:pPr>
        <w:widowControl w:val="0"/>
        <w:adjustRightInd/>
        <w:spacing w:line="36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乙方：（公章）</w:t>
      </w:r>
    </w:p>
    <w:p w14:paraId="438788C8">
      <w:pPr>
        <w:widowControl w:val="0"/>
        <w:adjustRightInd/>
        <w:spacing w:line="360" w:lineRule="auto"/>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地址：</w:t>
      </w:r>
    </w:p>
    <w:p w14:paraId="3DFF8CFA">
      <w:pPr>
        <w:widowControl w:val="0"/>
        <w:adjustRightInd/>
        <w:spacing w:line="48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法定代表人：                       （签字） </w:t>
      </w:r>
    </w:p>
    <w:p w14:paraId="6009AAC7">
      <w:pPr>
        <w:widowControl w:val="0"/>
        <w:adjustRightInd/>
        <w:spacing w:line="48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委托代理人：                       （签字） </w:t>
      </w:r>
    </w:p>
    <w:p w14:paraId="4AAA6E1C">
      <w:pPr>
        <w:widowControl w:val="0"/>
        <w:adjustRightInd/>
        <w:spacing w:line="480" w:lineRule="auto"/>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电话：</w:t>
      </w:r>
    </w:p>
    <w:p w14:paraId="2695BEE1">
      <w:pPr>
        <w:widowControl w:val="0"/>
        <w:adjustRightInd/>
        <w:spacing w:line="480" w:lineRule="auto"/>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开户银行：</w:t>
      </w:r>
    </w:p>
    <w:p w14:paraId="39188F8D">
      <w:pPr>
        <w:widowControl w:val="0"/>
        <w:adjustRightInd/>
        <w:spacing w:line="480" w:lineRule="auto"/>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账号：</w:t>
      </w:r>
    </w:p>
    <w:p w14:paraId="1076B96C">
      <w:pPr>
        <w:pStyle w:val="5"/>
        <w:spacing w:line="360" w:lineRule="auto"/>
        <w:jc w:val="center"/>
        <w:rPr>
          <w:rFonts w:hint="eastAsia" w:ascii="宋体" w:hAnsi="宋体" w:cs="宋体"/>
          <w:color w:val="auto"/>
          <w:sz w:val="24"/>
          <w:szCs w:val="24"/>
          <w:highlight w:val="none"/>
        </w:rPr>
      </w:pPr>
      <w:bookmarkStart w:id="5" w:name="_Toc4931"/>
      <w:r>
        <w:rPr>
          <w:rFonts w:hint="eastAsia" w:ascii="宋体" w:hAnsi="宋体" w:cs="宋体"/>
          <w:color w:val="auto"/>
          <w:sz w:val="24"/>
          <w:szCs w:val="24"/>
          <w:highlight w:val="none"/>
        </w:rPr>
        <w:t>第六章　投标文件格式</w:t>
      </w:r>
      <w:bookmarkEnd w:id="5"/>
    </w:p>
    <w:p w14:paraId="6C21CB2D">
      <w:pPr>
        <w:snapToGrid w:val="0"/>
        <w:spacing w:before="50" w:after="50"/>
        <w:outlineLvl w:val="1"/>
        <w:rPr>
          <w:rFonts w:hint="eastAsia" w:ascii="宋体" w:hAnsi="宋体" w:cs="宋体"/>
          <w:color w:val="auto"/>
          <w:sz w:val="32"/>
          <w:szCs w:val="20"/>
          <w:highlight w:val="none"/>
        </w:rPr>
      </w:pPr>
    </w:p>
    <w:p w14:paraId="3F2C126E">
      <w:pPr>
        <w:jc w:val="center"/>
        <w:rPr>
          <w:rFonts w:hint="eastAsia" w:ascii="宋体" w:hAnsi="宋体" w:cs="宋体"/>
          <w:color w:val="auto"/>
          <w:highlight w:val="none"/>
        </w:rPr>
      </w:pPr>
      <w:r>
        <w:rPr>
          <w:rFonts w:hint="eastAsia" w:ascii="宋体" w:hAnsi="宋体" w:cs="宋体"/>
          <w:color w:val="auto"/>
          <w:highlight w:val="none"/>
        </w:rPr>
        <w:t>一、投标文件外层包装封面格式</w:t>
      </w:r>
    </w:p>
    <w:p w14:paraId="6FF0D39D">
      <w:pPr>
        <w:snapToGrid w:val="0"/>
        <w:spacing w:before="120" w:beforeLines="50" w:after="50" w:line="360" w:lineRule="auto"/>
        <w:rPr>
          <w:rFonts w:hint="eastAsia" w:ascii="宋体" w:hAnsi="宋体" w:cs="宋体"/>
          <w:color w:val="auto"/>
          <w:szCs w:val="21"/>
          <w:highlight w:val="none"/>
        </w:rPr>
      </w:pPr>
      <w:r>
        <w:rPr>
          <w:rFonts w:hint="eastAsia" w:ascii="宋体" w:hAnsi="宋体" w:cs="宋体"/>
          <w:color w:val="auto"/>
          <w:szCs w:val="21"/>
          <w:highlight w:val="none"/>
        </w:rPr>
        <w:t>1.所有投标文件的外包装封面格式：(可选用)</w:t>
      </w:r>
    </w:p>
    <w:p w14:paraId="0F195311">
      <w:pPr>
        <w:snapToGrid w:val="0"/>
        <w:spacing w:before="120" w:beforeLines="50" w:after="50" w:line="360" w:lineRule="auto"/>
        <w:jc w:val="center"/>
        <w:rPr>
          <w:rFonts w:hint="eastAsia" w:ascii="宋体" w:hAnsi="宋体" w:cs="宋体"/>
          <w:bCs/>
          <w:color w:val="auto"/>
          <w:szCs w:val="21"/>
          <w:highlight w:val="none"/>
        </w:rPr>
      </w:pPr>
    </w:p>
    <w:p w14:paraId="692C4CC6">
      <w:pPr>
        <w:snapToGrid w:val="0"/>
        <w:spacing w:before="120" w:beforeLines="50" w:after="50"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投 标 文 件</w:t>
      </w:r>
    </w:p>
    <w:p w14:paraId="28378133">
      <w:pPr>
        <w:snapToGrid w:val="0"/>
        <w:spacing w:before="120" w:beforeLines="50" w:after="50" w:line="360" w:lineRule="auto"/>
        <w:rPr>
          <w:rFonts w:hint="eastAsia" w:ascii="宋体" w:hAnsi="宋体" w:cs="宋体"/>
          <w:bCs/>
          <w:color w:val="auto"/>
          <w:szCs w:val="21"/>
          <w:highlight w:val="none"/>
        </w:rPr>
      </w:pPr>
    </w:p>
    <w:p w14:paraId="11FCB25D">
      <w:pPr>
        <w:snapToGrid w:val="0"/>
        <w:spacing w:before="120" w:beforeLines="50" w:after="50" w:line="360" w:lineRule="auto"/>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 xml:space="preserve">项目名称：  </w:t>
      </w:r>
    </w:p>
    <w:p w14:paraId="49482606">
      <w:pPr>
        <w:snapToGrid w:val="0"/>
        <w:spacing w:before="120" w:beforeLines="50" w:after="50" w:line="360" w:lineRule="auto"/>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项目编号：</w:t>
      </w:r>
    </w:p>
    <w:p w14:paraId="6620A1DC">
      <w:pPr>
        <w:snapToGrid w:val="0"/>
        <w:spacing w:before="120" w:beforeLines="50" w:after="50" w:line="360" w:lineRule="auto"/>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子包号：</w:t>
      </w:r>
    </w:p>
    <w:p w14:paraId="68A78BF5">
      <w:pPr>
        <w:pStyle w:val="10"/>
        <w:snapToGrid w:val="0"/>
        <w:spacing w:before="50" w:after="50" w:line="360" w:lineRule="auto"/>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投标人名称：</w:t>
      </w:r>
    </w:p>
    <w:p w14:paraId="6F03D8EC">
      <w:pPr>
        <w:pStyle w:val="10"/>
        <w:snapToGrid w:val="0"/>
        <w:spacing w:before="50" w:after="50" w:line="360" w:lineRule="auto"/>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投标人地址：</w:t>
      </w:r>
    </w:p>
    <w:p w14:paraId="59CE91D5">
      <w:pPr>
        <w:snapToGrid w:val="0"/>
        <w:spacing w:before="120" w:beforeLines="50" w:after="50" w:line="360" w:lineRule="auto"/>
        <w:ind w:firstLine="3570" w:firstLineChars="1700"/>
        <w:rPr>
          <w:rFonts w:hint="eastAsia" w:ascii="宋体" w:hAnsi="宋体" w:cs="宋体"/>
          <w:bCs/>
          <w:color w:val="auto"/>
          <w:szCs w:val="21"/>
          <w:highlight w:val="none"/>
        </w:rPr>
      </w:pPr>
      <w:r>
        <w:rPr>
          <w:rFonts w:hint="eastAsia" w:ascii="宋体" w:hAnsi="宋体" w:cs="宋体"/>
          <w:color w:val="auto"/>
          <w:highlight w:val="none"/>
        </w:rPr>
        <w:t>开标时启封</w:t>
      </w:r>
    </w:p>
    <w:p w14:paraId="61A417F5">
      <w:pPr>
        <w:snapToGrid w:val="0"/>
        <w:spacing w:before="120" w:beforeLines="50" w:after="50" w:line="360" w:lineRule="auto"/>
        <w:ind w:firstLine="645"/>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                        年  月  日</w:t>
      </w:r>
    </w:p>
    <w:p w14:paraId="4A989BA4">
      <w:pPr>
        <w:snapToGrid w:val="0"/>
        <w:spacing w:before="120" w:beforeLines="50" w:after="50" w:line="360" w:lineRule="auto"/>
        <w:jc w:val="center"/>
        <w:outlineLvl w:val="1"/>
        <w:rPr>
          <w:rFonts w:hint="eastAsia" w:ascii="宋体" w:hAnsi="宋体" w:cs="宋体"/>
          <w:color w:val="auto"/>
          <w:szCs w:val="21"/>
          <w:highlight w:val="none"/>
        </w:rPr>
      </w:pPr>
    </w:p>
    <w:p w14:paraId="1B688F75">
      <w:pPr>
        <w:snapToGrid w:val="0"/>
        <w:spacing w:before="120" w:beforeLines="50" w:after="50"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 xml:space="preserve">2. 投标文件封面格式： </w:t>
      </w:r>
    </w:p>
    <w:p w14:paraId="485FC1EA">
      <w:pPr>
        <w:snapToGrid w:val="0"/>
        <w:spacing w:before="120" w:beforeLines="50" w:after="50"/>
        <w:rPr>
          <w:rFonts w:hint="eastAsia" w:ascii="宋体" w:hAnsi="宋体" w:cs="宋体"/>
          <w:b/>
          <w:bCs/>
          <w:color w:val="auto"/>
          <w:szCs w:val="21"/>
          <w:highlight w:val="none"/>
        </w:rPr>
      </w:pPr>
      <w:r>
        <w:rPr>
          <w:rFonts w:hint="eastAsia" w:ascii="宋体" w:hAnsi="宋体" w:cs="宋体"/>
          <w:color w:val="auto"/>
          <w:szCs w:val="21"/>
          <w:highlight w:val="none"/>
        </w:rPr>
        <w:t xml:space="preserve">                                                    </w:t>
      </w:r>
      <w:r>
        <w:rPr>
          <w:rFonts w:hint="eastAsia" w:ascii="宋体" w:hAnsi="宋体" w:cs="宋体"/>
          <w:b/>
          <w:bCs/>
          <w:color w:val="auto"/>
          <w:szCs w:val="21"/>
          <w:highlight w:val="none"/>
        </w:rPr>
        <w:t>正本/或副本</w:t>
      </w:r>
    </w:p>
    <w:p w14:paraId="7C540024">
      <w:pPr>
        <w:snapToGrid w:val="0"/>
        <w:spacing w:before="120" w:beforeLines="50" w:after="50"/>
        <w:rPr>
          <w:rFonts w:hint="eastAsia" w:ascii="宋体" w:hAnsi="宋体" w:cs="宋体"/>
          <w:color w:val="auto"/>
          <w:szCs w:val="21"/>
          <w:highlight w:val="none"/>
        </w:rPr>
      </w:pPr>
    </w:p>
    <w:p w14:paraId="2585D2BB">
      <w:pPr>
        <w:snapToGrid w:val="0"/>
        <w:spacing w:before="120" w:beforeLines="50" w:after="50"/>
        <w:jc w:val="center"/>
        <w:rPr>
          <w:rFonts w:hint="eastAsia" w:ascii="宋体" w:hAnsi="宋体" w:cs="宋体"/>
          <w:bCs/>
          <w:color w:val="auto"/>
          <w:szCs w:val="21"/>
          <w:highlight w:val="none"/>
        </w:rPr>
      </w:pPr>
    </w:p>
    <w:p w14:paraId="446181CC">
      <w:pPr>
        <w:snapToGrid w:val="0"/>
        <w:spacing w:before="120" w:beforeLines="50" w:after="50"/>
        <w:ind w:firstLine="3255" w:firstLineChars="1550"/>
        <w:rPr>
          <w:rFonts w:hint="eastAsia" w:ascii="宋体" w:hAnsi="宋体" w:cs="宋体"/>
          <w:bCs/>
          <w:color w:val="auto"/>
          <w:szCs w:val="21"/>
          <w:highlight w:val="none"/>
        </w:rPr>
      </w:pPr>
      <w:r>
        <w:rPr>
          <w:rFonts w:hint="eastAsia" w:ascii="宋体" w:hAnsi="宋体" w:cs="宋体"/>
          <w:color w:val="auto"/>
          <w:szCs w:val="21"/>
          <w:highlight w:val="none"/>
        </w:rPr>
        <w:t>投标文件</w:t>
      </w:r>
    </w:p>
    <w:p w14:paraId="20F58DE3">
      <w:pPr>
        <w:snapToGrid w:val="0"/>
        <w:spacing w:before="120" w:beforeLines="50" w:after="50"/>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项目名称：</w:t>
      </w:r>
    </w:p>
    <w:p w14:paraId="31784C71">
      <w:pPr>
        <w:snapToGrid w:val="0"/>
        <w:spacing w:before="120" w:beforeLines="50" w:after="50"/>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项目编号：</w:t>
      </w:r>
    </w:p>
    <w:p w14:paraId="710096AC">
      <w:pPr>
        <w:snapToGrid w:val="0"/>
        <w:spacing w:before="120" w:beforeLines="50" w:after="50"/>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子包号：</w:t>
      </w:r>
    </w:p>
    <w:p w14:paraId="709B5F67">
      <w:pPr>
        <w:snapToGrid w:val="0"/>
        <w:spacing w:before="120" w:beforeLines="50" w:after="50"/>
        <w:ind w:firstLine="932" w:firstLineChars="444"/>
        <w:rPr>
          <w:rFonts w:hint="eastAsia" w:ascii="宋体" w:hAnsi="宋体" w:cs="宋体"/>
          <w:bCs/>
          <w:color w:val="auto"/>
          <w:szCs w:val="21"/>
          <w:highlight w:val="none"/>
        </w:rPr>
      </w:pPr>
    </w:p>
    <w:p w14:paraId="3450D445">
      <w:pPr>
        <w:snapToGrid w:val="0"/>
        <w:spacing w:before="120" w:beforeLines="50" w:after="50"/>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投标人名称（盖章）：</w:t>
      </w:r>
    </w:p>
    <w:p w14:paraId="716F473E">
      <w:pPr>
        <w:pStyle w:val="10"/>
        <w:snapToGrid w:val="0"/>
        <w:spacing w:before="50" w:after="50"/>
        <w:ind w:firstLine="932" w:firstLineChars="444"/>
        <w:rPr>
          <w:rFonts w:hint="eastAsia" w:ascii="宋体" w:hAnsi="宋体" w:cs="宋体"/>
          <w:bCs/>
          <w:color w:val="auto"/>
          <w:szCs w:val="21"/>
          <w:highlight w:val="none"/>
        </w:rPr>
      </w:pPr>
      <w:r>
        <w:rPr>
          <w:rFonts w:hint="eastAsia" w:ascii="宋体" w:hAnsi="宋体" w:cs="宋体"/>
          <w:bCs/>
          <w:color w:val="auto"/>
          <w:szCs w:val="21"/>
          <w:highlight w:val="none"/>
        </w:rPr>
        <w:t>投标人地址：</w:t>
      </w:r>
    </w:p>
    <w:p w14:paraId="37DF5F25">
      <w:pPr>
        <w:pStyle w:val="10"/>
        <w:snapToGrid w:val="0"/>
        <w:spacing w:before="50" w:after="50"/>
        <w:ind w:firstLine="840" w:firstLineChars="400"/>
        <w:rPr>
          <w:rFonts w:hint="eastAsia" w:ascii="宋体" w:hAnsi="宋体" w:cs="宋体"/>
          <w:bCs/>
          <w:color w:val="auto"/>
          <w:szCs w:val="21"/>
          <w:highlight w:val="none"/>
        </w:rPr>
      </w:pPr>
    </w:p>
    <w:p w14:paraId="56A2718E">
      <w:pPr>
        <w:pStyle w:val="10"/>
        <w:snapToGrid w:val="0"/>
        <w:spacing w:before="50" w:after="50"/>
        <w:ind w:firstLine="873" w:firstLineChars="416"/>
        <w:rPr>
          <w:rFonts w:hint="eastAsia" w:ascii="宋体" w:hAnsi="宋体" w:cs="宋体"/>
          <w:color w:val="auto"/>
          <w:szCs w:val="21"/>
          <w:highlight w:val="none"/>
        </w:rPr>
      </w:pPr>
    </w:p>
    <w:p w14:paraId="21ACE6BB">
      <w:pPr>
        <w:snapToGrid w:val="0"/>
        <w:spacing w:before="120" w:beforeLines="50" w:after="50"/>
        <w:ind w:firstLine="645"/>
        <w:jc w:val="center"/>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19ADBC62">
      <w:pPr>
        <w:snapToGrid w:val="0"/>
        <w:spacing w:before="120" w:beforeLines="50" w:after="50"/>
        <w:rPr>
          <w:rFonts w:hint="eastAsia" w:ascii="宋体" w:hAnsi="宋体" w:cs="宋体"/>
          <w:color w:val="auto"/>
          <w:szCs w:val="21"/>
          <w:highlight w:val="none"/>
        </w:rPr>
      </w:pPr>
    </w:p>
    <w:p w14:paraId="22E92A1F">
      <w:pPr>
        <w:snapToGrid w:val="0"/>
        <w:spacing w:before="50" w:after="50"/>
        <w:rPr>
          <w:rFonts w:hint="eastAsia" w:ascii="宋体" w:hAnsi="宋体" w:cs="宋体"/>
          <w:color w:val="auto"/>
          <w:szCs w:val="21"/>
          <w:highlight w:val="none"/>
        </w:rPr>
      </w:pPr>
    </w:p>
    <w:p w14:paraId="1392AA02">
      <w:pPr>
        <w:snapToGrid w:val="0"/>
        <w:spacing w:before="120" w:beforeLines="50" w:after="50"/>
        <w:rPr>
          <w:rFonts w:hint="eastAsia" w:ascii="宋体" w:hAnsi="宋体" w:cs="宋体"/>
          <w:color w:val="auto"/>
          <w:kern w:val="0"/>
          <w:szCs w:val="21"/>
          <w:highlight w:val="none"/>
          <w:u w:val="single"/>
        </w:rPr>
      </w:pPr>
      <w:r>
        <w:rPr>
          <w:rFonts w:hint="eastAsia" w:ascii="宋体" w:hAnsi="宋体" w:cs="宋体"/>
          <w:color w:val="auto"/>
          <w:szCs w:val="21"/>
          <w:highlight w:val="none"/>
        </w:rPr>
        <w:br w:type="page"/>
      </w:r>
      <w:r>
        <w:rPr>
          <w:rFonts w:hint="eastAsia" w:ascii="宋体" w:hAnsi="宋体" w:cs="宋体"/>
          <w:color w:val="auto"/>
          <w:szCs w:val="21"/>
          <w:highlight w:val="none"/>
        </w:rPr>
        <w:t>3. 开标一览表</w:t>
      </w:r>
    </w:p>
    <w:p w14:paraId="5E8015B6">
      <w:pPr>
        <w:widowControl/>
        <w:snapToGrid w:val="0"/>
        <w:spacing w:before="120" w:beforeLines="50" w:after="50"/>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开标一览表</w:t>
      </w:r>
    </w:p>
    <w:p w14:paraId="527359D8">
      <w:pPr>
        <w:widowControl/>
        <w:snapToGrid w:val="0"/>
        <w:spacing w:before="50" w:after="50"/>
        <w:jc w:val="center"/>
        <w:rPr>
          <w:rFonts w:hint="eastAsia" w:ascii="宋体" w:hAnsi="宋体" w:cs="宋体"/>
          <w:b/>
          <w:color w:val="auto"/>
          <w:kern w:val="0"/>
          <w:szCs w:val="21"/>
          <w:highlight w:val="none"/>
        </w:rPr>
      </w:pPr>
    </w:p>
    <w:p w14:paraId="2AE91934">
      <w:pPr>
        <w:widowControl/>
        <w:snapToGrid w:val="0"/>
        <w:spacing w:before="50" w:after="50"/>
        <w:ind w:firstLine="210" w:firstLineChars="1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  项目编号：                   项目名称： </w:t>
      </w:r>
    </w:p>
    <w:tbl>
      <w:tblPr>
        <w:tblStyle w:val="33"/>
        <w:tblW w:w="8680" w:type="dxa"/>
        <w:tblInd w:w="11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918"/>
        <w:gridCol w:w="2529"/>
        <w:gridCol w:w="2740"/>
        <w:gridCol w:w="1493"/>
      </w:tblGrid>
      <w:tr w14:paraId="523218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918" w:type="dxa"/>
            <w:noWrap w:val="0"/>
            <w:vAlign w:val="center"/>
          </w:tcPr>
          <w:p w14:paraId="41C7168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内容</w:t>
            </w:r>
          </w:p>
        </w:tc>
        <w:tc>
          <w:tcPr>
            <w:tcW w:w="2529" w:type="dxa"/>
            <w:noWrap w:val="0"/>
            <w:vAlign w:val="center"/>
          </w:tcPr>
          <w:p w14:paraId="7DFB2ECC">
            <w:pPr>
              <w:keepNext w:val="0"/>
              <w:keepLines w:val="0"/>
              <w:suppressLineNumbers w:val="0"/>
              <w:spacing w:before="0" w:beforeAutospacing="0" w:after="0" w:afterAutospacing="0" w:line="400" w:lineRule="exact"/>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740" w:type="dxa"/>
            <w:noWrap w:val="0"/>
            <w:vAlign w:val="center"/>
          </w:tcPr>
          <w:p w14:paraId="602AB764">
            <w:pPr>
              <w:keepNext w:val="0"/>
              <w:keepLines w:val="0"/>
              <w:suppressLineNumbers w:val="0"/>
              <w:spacing w:before="0" w:beforeAutospacing="0" w:after="0" w:afterAutospacing="0" w:line="400" w:lineRule="exact"/>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投标总价</w:t>
            </w:r>
          </w:p>
        </w:tc>
        <w:tc>
          <w:tcPr>
            <w:tcW w:w="1493" w:type="dxa"/>
            <w:noWrap w:val="0"/>
            <w:vAlign w:val="center"/>
          </w:tcPr>
          <w:p w14:paraId="06C67E35">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1B865E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1918" w:type="dxa"/>
            <w:noWrap w:val="0"/>
            <w:vAlign w:val="center"/>
          </w:tcPr>
          <w:p w14:paraId="54287A70">
            <w:pPr>
              <w:keepNext w:val="0"/>
              <w:keepLines w:val="0"/>
              <w:suppressLineNumbers w:val="0"/>
              <w:spacing w:before="0" w:beforeAutospacing="0" w:after="0" w:afterAutospacing="0" w:line="300" w:lineRule="exact"/>
              <w:ind w:left="0" w:right="0"/>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2026年度宣传合作项目(重大主题宣传)</w:t>
            </w:r>
          </w:p>
        </w:tc>
        <w:tc>
          <w:tcPr>
            <w:tcW w:w="2529" w:type="dxa"/>
            <w:noWrap w:val="0"/>
            <w:vAlign w:val="center"/>
          </w:tcPr>
          <w:p w14:paraId="2E85A2F5">
            <w:pPr>
              <w:keepNext w:val="0"/>
              <w:keepLines w:val="0"/>
              <w:widowControl/>
              <w:suppressLineNumbers w:val="0"/>
              <w:spacing w:before="0" w:beforeAutospacing="0" w:after="0" w:afterAutospacing="0" w:line="300" w:lineRule="exact"/>
              <w:ind w:left="0" w:right="0"/>
              <w:jc w:val="both"/>
              <w:rPr>
                <w:rFonts w:hint="eastAsia" w:ascii="宋体" w:hAnsi="宋体" w:eastAsia="宋体" w:cs="宋体"/>
                <w:color w:val="auto"/>
                <w:highlight w:val="none"/>
              </w:rPr>
            </w:pPr>
            <w:r>
              <w:rPr>
                <w:rFonts w:hint="eastAsia" w:ascii="宋体" w:hAnsi="宋体" w:cs="宋体"/>
                <w:bCs/>
                <w:color w:val="auto"/>
                <w:szCs w:val="21"/>
                <w:highlight w:val="none"/>
                <w:u w:val="none"/>
                <w:lang w:val="en-US" w:eastAsia="zh-CN"/>
              </w:rPr>
              <w:t>自合同签订之日起至2027年5月30日。</w:t>
            </w:r>
          </w:p>
        </w:tc>
        <w:tc>
          <w:tcPr>
            <w:tcW w:w="2740" w:type="dxa"/>
            <w:noWrap w:val="0"/>
            <w:vAlign w:val="center"/>
          </w:tcPr>
          <w:p w14:paraId="57728974">
            <w:pPr>
              <w:keepNext w:val="0"/>
              <w:keepLines w:val="0"/>
              <w:widowControl/>
              <w:suppressLineNumbers w:val="0"/>
              <w:spacing w:before="0" w:beforeAutospacing="0" w:after="0" w:afterAutospacing="0" w:line="300" w:lineRule="exact"/>
              <w:ind w:left="0" w:right="0"/>
              <w:jc w:val="lef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小写</w:t>
            </w:r>
            <w:r>
              <w:rPr>
                <w:rFonts w:hint="eastAsia" w:ascii="宋体" w:hAnsi="宋体" w:eastAsia="宋体" w:cs="宋体"/>
                <w:color w:val="auto"/>
                <w:highlight w:val="none"/>
                <w:lang w:val="en-US" w:eastAsia="zh-CN"/>
              </w:rPr>
              <w:t>：</w:t>
            </w:r>
          </w:p>
          <w:p w14:paraId="054C34B4">
            <w:pPr>
              <w:keepNext w:val="0"/>
              <w:keepLines w:val="0"/>
              <w:widowControl/>
              <w:suppressLineNumbers w:val="0"/>
              <w:spacing w:before="0" w:beforeAutospacing="0" w:after="0" w:afterAutospacing="0" w:line="300" w:lineRule="exact"/>
              <w:ind w:left="0" w:right="0"/>
              <w:jc w:val="left"/>
              <w:rPr>
                <w:rFonts w:hint="default"/>
                <w:color w:val="auto"/>
                <w:highlight w:val="none"/>
                <w:lang w:val="en-US" w:eastAsia="zh-CN"/>
              </w:rPr>
            </w:pPr>
            <w:r>
              <w:rPr>
                <w:rFonts w:hint="eastAsia" w:ascii="宋体" w:hAnsi="宋体" w:eastAsia="宋体" w:cs="宋体"/>
                <w:color w:val="auto"/>
                <w:highlight w:val="none"/>
                <w:lang w:val="en-US" w:eastAsia="zh-CN"/>
              </w:rPr>
              <w:t>大写：</w:t>
            </w:r>
          </w:p>
        </w:tc>
        <w:tc>
          <w:tcPr>
            <w:tcW w:w="1493" w:type="dxa"/>
            <w:noWrap w:val="0"/>
            <w:vAlign w:val="center"/>
          </w:tcPr>
          <w:p w14:paraId="6CB6CA96">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lang w:eastAsia="zh-CN"/>
              </w:rPr>
            </w:pPr>
          </w:p>
        </w:tc>
      </w:tr>
    </w:tbl>
    <w:p w14:paraId="663E9D8D">
      <w:pPr>
        <w:widowControl/>
        <w:spacing w:line="360" w:lineRule="auto"/>
        <w:jc w:val="left"/>
        <w:rPr>
          <w:rFonts w:hint="eastAsia" w:ascii="宋体" w:hAnsi="宋体" w:cs="宋体"/>
          <w:color w:val="auto"/>
          <w:kern w:val="0"/>
          <w:szCs w:val="21"/>
          <w:highlight w:val="none"/>
        </w:rPr>
      </w:pPr>
    </w:p>
    <w:p w14:paraId="79F17F71">
      <w:pPr>
        <w:widowControl/>
        <w:snapToGrid w:val="0"/>
        <w:spacing w:before="50" w:after="50" w:line="360" w:lineRule="auto"/>
        <w:ind w:right="-817" w:rightChars="-389"/>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法定代表人或授权代表（签名或印章）：                    </w:t>
      </w:r>
    </w:p>
    <w:p w14:paraId="0713A3A6">
      <w:pPr>
        <w:widowControl/>
        <w:snapToGrid w:val="0"/>
        <w:spacing w:before="50" w:after="50" w:line="360" w:lineRule="auto"/>
        <w:ind w:right="-817" w:rightChars="-389"/>
        <w:jc w:val="left"/>
        <w:rPr>
          <w:rFonts w:hint="eastAsia" w:ascii="宋体" w:hAnsi="宋体" w:cs="宋体"/>
          <w:b/>
          <w:bCs/>
          <w:color w:val="auto"/>
          <w:szCs w:val="21"/>
          <w:highlight w:val="none"/>
        </w:rPr>
      </w:pPr>
      <w:r>
        <w:rPr>
          <w:rFonts w:hint="eastAsia" w:ascii="宋体" w:hAnsi="宋体" w:cs="宋体"/>
          <w:color w:val="auto"/>
          <w:kern w:val="0"/>
          <w:szCs w:val="21"/>
          <w:highlight w:val="none"/>
        </w:rPr>
        <w:t>投标人名称（盖章）：                                     日期：    年   月   日</w:t>
      </w:r>
    </w:p>
    <w:p w14:paraId="141D7936">
      <w:pPr>
        <w:snapToGrid w:val="0"/>
        <w:spacing w:before="120" w:beforeLines="50" w:after="50"/>
        <w:rPr>
          <w:rFonts w:hint="eastAsia" w:ascii="宋体" w:hAnsi="宋体" w:cs="宋体"/>
          <w:color w:val="auto"/>
          <w:szCs w:val="21"/>
          <w:highlight w:val="none"/>
        </w:rPr>
      </w:pPr>
    </w:p>
    <w:p w14:paraId="23D63064">
      <w:pPr>
        <w:snapToGrid w:val="0"/>
        <w:spacing w:before="120" w:beforeLines="50" w:after="50"/>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 投标函格式：</w:t>
      </w:r>
    </w:p>
    <w:p w14:paraId="1B04807E">
      <w:pPr>
        <w:snapToGrid w:val="0"/>
        <w:spacing w:before="120" w:beforeLines="50" w:after="50"/>
        <w:jc w:val="center"/>
        <w:rPr>
          <w:rFonts w:hint="eastAsia" w:ascii="宋体" w:hAnsi="宋体" w:cs="宋体"/>
          <w:b/>
          <w:color w:val="auto"/>
          <w:szCs w:val="21"/>
          <w:highlight w:val="none"/>
        </w:rPr>
      </w:pPr>
      <w:r>
        <w:rPr>
          <w:rFonts w:hint="eastAsia" w:ascii="宋体" w:hAnsi="宋体" w:cs="宋体"/>
          <w:b/>
          <w:color w:val="auto"/>
          <w:szCs w:val="21"/>
          <w:highlight w:val="none"/>
        </w:rPr>
        <w:t>投 标 函</w:t>
      </w:r>
    </w:p>
    <w:p w14:paraId="0773AEDC">
      <w:pPr>
        <w:snapToGrid w:val="0"/>
        <w:spacing w:before="120" w:beforeLines="50" w:after="50"/>
        <w:jc w:val="center"/>
        <w:rPr>
          <w:rFonts w:hint="eastAsia" w:ascii="宋体" w:hAnsi="宋体" w:cs="宋体"/>
          <w:b/>
          <w:color w:val="auto"/>
          <w:szCs w:val="21"/>
          <w:highlight w:val="none"/>
        </w:rPr>
      </w:pPr>
    </w:p>
    <w:p w14:paraId="7F6951A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5115EA18">
      <w:pPr>
        <w:snapToGrid w:val="0"/>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根据贵方为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项目的招标公告（项目编号：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），签字代表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（全名）经正式授权并代表投标人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（投标人名称）提交投标文件正本各一份、副本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份，电子文件一份。</w:t>
      </w:r>
    </w:p>
    <w:p w14:paraId="263E155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据此函，签字代表宣布同意如下：</w:t>
      </w:r>
    </w:p>
    <w:p w14:paraId="1C5C5BB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1.投标人已详细审查全部“招标文件”，包括修改文件（如有的话）以及全部参考资料和有关附件，已经了解我方对于招标文件、采购过程、采购结果有依法进行询问、质疑、投诉的权利及相关渠道和要求。</w:t>
      </w:r>
    </w:p>
    <w:p w14:paraId="4487BD2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2.投标人在投标之前已经与贵方进行了充分的沟通，完全理解并接受招标文件的各项规定和要求，对招标文件的合理性、合法性不再有异议。</w:t>
      </w:r>
    </w:p>
    <w:p w14:paraId="7241EE1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3.本投标有效期自开标日起</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个日。</w:t>
      </w:r>
    </w:p>
    <w:p w14:paraId="7A998FDF">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4.如中标，本投标文件至本项目合同履行完毕止均保持有效，本投标人将按“招标文件”及采购</w:t>
      </w:r>
      <w:r>
        <w:rPr>
          <w:rFonts w:hint="eastAsia" w:ascii="宋体" w:hAnsi="宋体" w:cs="宋体"/>
          <w:color w:val="auto"/>
          <w:szCs w:val="21"/>
          <w:highlight w:val="none"/>
          <w:lang w:eastAsia="zh-CN"/>
        </w:rPr>
        <w:t>法律法规</w:t>
      </w:r>
      <w:r>
        <w:rPr>
          <w:rFonts w:hint="eastAsia" w:ascii="宋体" w:hAnsi="宋体" w:cs="宋体"/>
          <w:color w:val="auto"/>
          <w:szCs w:val="21"/>
          <w:highlight w:val="none"/>
        </w:rPr>
        <w:t>的规定履行合同责任和义务。</w:t>
      </w:r>
    </w:p>
    <w:p w14:paraId="626C6F11">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5.投标人同意按照贵方要求提供与投标有关的一切数据或资料。</w:t>
      </w:r>
    </w:p>
    <w:p w14:paraId="2B0FE07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6.与</w:t>
      </w:r>
      <w:r>
        <w:rPr>
          <w:rFonts w:hint="eastAsia" w:ascii="宋体" w:hAnsi="宋体" w:cs="宋体"/>
          <w:color w:val="auto"/>
          <w:szCs w:val="21"/>
          <w:highlight w:val="none"/>
          <w:lang w:eastAsia="zh-CN"/>
        </w:rPr>
        <w:t>本次</w:t>
      </w:r>
      <w:r>
        <w:rPr>
          <w:rFonts w:hint="eastAsia" w:ascii="宋体" w:hAnsi="宋体" w:cs="宋体"/>
          <w:color w:val="auto"/>
          <w:szCs w:val="21"/>
          <w:highlight w:val="none"/>
        </w:rPr>
        <w:t>投标有关的一切正式往来信函请寄：</w:t>
      </w:r>
    </w:p>
    <w:p w14:paraId="6D57705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邮编：__________   电话：______________</w:t>
      </w:r>
    </w:p>
    <w:p w14:paraId="32A8F084">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传真：______________投标人代表姓名 ___________  职务：______</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_______</w:t>
      </w:r>
    </w:p>
    <w:p w14:paraId="15E98903">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投标人名称(公章):___________________</w:t>
      </w:r>
    </w:p>
    <w:p w14:paraId="6F2B0E56">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银行账号：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63ADC2C">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法定代表或授权代表（签名或印章）</w:t>
      </w:r>
      <w:r>
        <w:rPr>
          <w:rFonts w:hint="eastAsia" w:ascii="宋体" w:hAnsi="宋体" w:cs="宋体"/>
          <w:color w:val="auto"/>
          <w:szCs w:val="21"/>
          <w:highlight w:val="none"/>
          <w:lang w:eastAsia="zh-CN"/>
        </w:rPr>
        <w:t>：</w:t>
      </w:r>
      <w:r>
        <w:rPr>
          <w:rFonts w:hint="eastAsia" w:ascii="宋体" w:hAnsi="宋体" w:cs="宋体"/>
          <w:color w:val="auto"/>
          <w:szCs w:val="21"/>
          <w:highlight w:val="none"/>
        </w:rPr>
        <w:t>___________             日期</w:t>
      </w:r>
      <w:r>
        <w:rPr>
          <w:rFonts w:hint="eastAsia" w:ascii="宋体" w:hAnsi="宋体" w:cs="宋体"/>
          <w:color w:val="auto"/>
          <w:szCs w:val="21"/>
          <w:highlight w:val="none"/>
          <w:lang w:eastAsia="zh-CN"/>
        </w:rPr>
        <w:t>：</w:t>
      </w:r>
      <w:r>
        <w:rPr>
          <w:rFonts w:hint="eastAsia" w:ascii="宋体" w:hAnsi="宋体" w:cs="宋体"/>
          <w:color w:val="auto"/>
          <w:szCs w:val="21"/>
          <w:highlight w:val="none"/>
        </w:rPr>
        <w:t>_____年___月___日</w:t>
      </w:r>
    </w:p>
    <w:p w14:paraId="6F439046">
      <w:pPr>
        <w:pStyle w:val="58"/>
        <w:spacing w:before="120" w:after="120"/>
        <w:rPr>
          <w:rFonts w:hint="eastAsia" w:ascii="宋体" w:hAnsi="宋体" w:cs="宋体"/>
          <w:color w:val="auto"/>
          <w:szCs w:val="21"/>
          <w:highlight w:val="none"/>
        </w:rPr>
      </w:pPr>
    </w:p>
    <w:p w14:paraId="366D1868">
      <w:pPr>
        <w:rPr>
          <w:rFonts w:hint="eastAsia" w:ascii="宋体" w:hAnsi="宋体" w:cs="宋体"/>
          <w:color w:val="auto"/>
          <w:szCs w:val="21"/>
          <w:highlight w:val="none"/>
        </w:rPr>
      </w:pPr>
    </w:p>
    <w:p w14:paraId="5260794B">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br w:type="page"/>
      </w:r>
      <w:r>
        <w:rPr>
          <w:rFonts w:hint="eastAsia" w:ascii="宋体" w:hAnsi="宋体" w:cs="宋体"/>
          <w:bCs/>
          <w:color w:val="auto"/>
          <w:szCs w:val="21"/>
          <w:highlight w:val="none"/>
          <w:lang w:val="en-US" w:eastAsia="zh-CN"/>
        </w:rPr>
        <w:t>5</w:t>
      </w:r>
      <w:r>
        <w:rPr>
          <w:rFonts w:hint="eastAsia" w:ascii="宋体" w:hAnsi="宋体" w:cs="宋体"/>
          <w:color w:val="auto"/>
          <w:szCs w:val="21"/>
          <w:highlight w:val="none"/>
        </w:rPr>
        <w:t>. 投标声明书格式：</w:t>
      </w:r>
    </w:p>
    <w:p w14:paraId="322BE69B">
      <w:pPr>
        <w:snapToGrid w:val="0"/>
        <w:spacing w:before="120" w:beforeLines="50" w:after="50"/>
        <w:jc w:val="center"/>
        <w:rPr>
          <w:rFonts w:hint="eastAsia" w:ascii="宋体" w:hAnsi="宋体" w:cs="宋体"/>
          <w:color w:val="auto"/>
          <w:szCs w:val="21"/>
          <w:highlight w:val="none"/>
        </w:rPr>
      </w:pPr>
      <w:r>
        <w:rPr>
          <w:rFonts w:hint="eastAsia" w:ascii="宋体" w:hAnsi="宋体" w:cs="宋体"/>
          <w:color w:val="auto"/>
          <w:szCs w:val="21"/>
          <w:highlight w:val="none"/>
        </w:rPr>
        <w:t>投标声明书</w:t>
      </w:r>
    </w:p>
    <w:p w14:paraId="6D50527D">
      <w:pPr>
        <w:snapToGrid w:val="0"/>
        <w:spacing w:before="120" w:beforeLines="50" w:after="50"/>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71F7E3FF">
      <w:pPr>
        <w:snapToGrid w:val="0"/>
        <w:spacing w:before="120" w:beforeLines="50" w:after="50"/>
        <w:ind w:firstLine="630" w:firstLineChars="300"/>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（投标人名称）系中华人民共和国合法企业，经营地址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05D9F93">
      <w:pPr>
        <w:snapToGrid w:val="0"/>
        <w:spacing w:before="120" w:beforeLines="50" w:after="50"/>
        <w:ind w:firstLine="645"/>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（投标人名称）的法定代表人，我方愿意参加贵方组织的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项目的投标，为便于贵方公正、择优地确定中标人及其投标产品和服务，我方就本次投标有关事项郑重声明如下：</w:t>
      </w:r>
    </w:p>
    <w:p w14:paraId="62BC9D0D">
      <w:pPr>
        <w:snapToGri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1.我方向贵方提交的所有投标文件、资料都是准确的和真实的。</w:t>
      </w:r>
    </w:p>
    <w:p w14:paraId="629C1046">
      <w:pPr>
        <w:snapToGrid w:val="0"/>
        <w:spacing w:before="120" w:beforeLines="5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2.我方不是招标人的附属机构；在获知本项目采购信息后，与招标人聘请的为此项目提供咨询服务的公司及其附属机构没有任何联系。</w:t>
      </w:r>
    </w:p>
    <w:p w14:paraId="16CD480E">
      <w:pPr>
        <w:snapToGrid w:val="0"/>
        <w:spacing w:before="120" w:beforeLines="5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3.我方及由本人担任法定代表人的其他机构最近三年内在经营活动中重大违法记录有：</w:t>
      </w:r>
    </w:p>
    <w:p w14:paraId="6CFAA25B">
      <w:pPr>
        <w:snapToGrid w:val="0"/>
        <w:spacing w:before="120" w:beforeLines="50"/>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　　　　　　　　　　　　　　　　　　　　　　　　　　　</w:t>
      </w:r>
    </w:p>
    <w:p w14:paraId="327002C7">
      <w:pPr>
        <w:snapToGrid w:val="0"/>
        <w:spacing w:before="120" w:beforeLines="50"/>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　　　　　　　　　　　　　　　　　　　　　　　　　　　</w:t>
      </w:r>
    </w:p>
    <w:p w14:paraId="6B5F2554">
      <w:pPr>
        <w:snapToGri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4.以上事项如有虚假或隐瞒，我方愿意承担一切后果，并不再寻求任何旨在减轻或免除法律责任的辩解。</w:t>
      </w:r>
    </w:p>
    <w:p w14:paraId="3177EF04">
      <w:pPr>
        <w:pStyle w:val="17"/>
        <w:tabs>
          <w:tab w:val="left" w:pos="939"/>
        </w:tabs>
        <w:snapToGrid w:val="0"/>
        <w:ind w:left="716" w:leftChars="150" w:hanging="401" w:hangingChars="191"/>
        <w:rPr>
          <w:rFonts w:hint="eastAsia" w:ascii="宋体" w:hAnsi="宋体" w:cs="宋体"/>
          <w:color w:val="auto"/>
          <w:sz w:val="21"/>
          <w:szCs w:val="21"/>
          <w:highlight w:val="none"/>
        </w:rPr>
      </w:pPr>
    </w:p>
    <w:p w14:paraId="013A3275">
      <w:pPr>
        <w:pStyle w:val="106"/>
        <w:snapToGrid w:val="0"/>
        <w:spacing w:before="120" w:beforeLines="50"/>
        <w:ind w:firstLine="200"/>
        <w:rPr>
          <w:rFonts w:hint="eastAsia" w:ascii="宋体" w:hAnsi="宋体" w:cs="宋体"/>
          <w:color w:val="auto"/>
          <w:sz w:val="21"/>
          <w:szCs w:val="21"/>
          <w:highlight w:val="none"/>
        </w:rPr>
      </w:pPr>
    </w:p>
    <w:p w14:paraId="5A541610">
      <w:pPr>
        <w:snapToGrid w:val="0"/>
        <w:spacing w:before="120" w:beforeLines="50"/>
        <w:ind w:firstLine="200"/>
        <w:rPr>
          <w:rFonts w:hint="eastAsia" w:ascii="宋体" w:hAnsi="宋体" w:cs="宋体"/>
          <w:color w:val="auto"/>
          <w:szCs w:val="21"/>
          <w:highlight w:val="none"/>
          <w:u w:val="single"/>
        </w:rPr>
      </w:pPr>
      <w:r>
        <w:rPr>
          <w:rFonts w:hint="eastAsia" w:ascii="宋体" w:hAnsi="宋体" w:cs="宋体"/>
          <w:color w:val="auto"/>
          <w:szCs w:val="21"/>
          <w:highlight w:val="none"/>
        </w:rPr>
        <w:t>法定代表或授权代表（签名或印章）：</w:t>
      </w:r>
      <w:r>
        <w:rPr>
          <w:rFonts w:hint="eastAsia" w:ascii="宋体" w:hAnsi="宋体" w:cs="宋体"/>
          <w:color w:val="auto"/>
          <w:szCs w:val="21"/>
          <w:highlight w:val="none"/>
          <w:u w:val="single"/>
        </w:rPr>
        <w:t xml:space="preserve">             </w:t>
      </w:r>
    </w:p>
    <w:p w14:paraId="275750CE">
      <w:pPr>
        <w:snapToGrid w:val="0"/>
        <w:spacing w:before="120" w:beforeLines="50" w:after="50"/>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投标人公章：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    月    日</w:t>
      </w:r>
    </w:p>
    <w:p w14:paraId="7541922C">
      <w:pPr>
        <w:pStyle w:val="58"/>
        <w:spacing w:before="120" w:after="120"/>
        <w:rPr>
          <w:rFonts w:hint="eastAsia" w:ascii="宋体" w:hAnsi="宋体" w:cs="宋体"/>
          <w:color w:val="auto"/>
          <w:szCs w:val="21"/>
          <w:highlight w:val="none"/>
        </w:rPr>
      </w:pPr>
    </w:p>
    <w:p w14:paraId="35EC8213">
      <w:pPr>
        <w:snapToGrid w:val="0"/>
        <w:spacing w:before="120" w:beforeLines="50" w:after="50"/>
        <w:ind w:firstLine="4200" w:firstLineChars="2000"/>
        <w:rPr>
          <w:rFonts w:hint="eastAsia" w:ascii="宋体" w:hAnsi="宋体" w:cs="宋体"/>
          <w:color w:val="auto"/>
          <w:szCs w:val="21"/>
          <w:highlight w:val="none"/>
        </w:rPr>
      </w:pPr>
    </w:p>
    <w:p w14:paraId="11DA02E2">
      <w:pPr>
        <w:pStyle w:val="19"/>
        <w:snapToGrid w:val="0"/>
        <w:spacing w:before="120" w:after="120" w:line="240" w:lineRule="auto"/>
        <w:rPr>
          <w:rFonts w:hint="eastAsia" w:hAnsi="宋体" w:cs="宋体"/>
          <w:color w:val="auto"/>
          <w:sz w:val="21"/>
          <w:szCs w:val="21"/>
          <w:highlight w:val="none"/>
        </w:rPr>
      </w:pPr>
    </w:p>
    <w:p w14:paraId="7C793849">
      <w:pPr>
        <w:snapToGrid w:val="0"/>
        <w:spacing w:before="120" w:beforeLines="50" w:after="50"/>
        <w:jc w:val="left"/>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.法定代表人授权委托书格式：</w:t>
      </w:r>
    </w:p>
    <w:p w14:paraId="0F719AE2">
      <w:pPr>
        <w:snapToGrid w:val="0"/>
        <w:spacing w:before="120" w:beforeLines="50" w:after="50"/>
        <w:jc w:val="center"/>
        <w:rPr>
          <w:rFonts w:hint="eastAsia" w:ascii="宋体" w:hAnsi="宋体" w:cs="宋体"/>
          <w:color w:val="auto"/>
          <w:szCs w:val="21"/>
          <w:highlight w:val="none"/>
        </w:rPr>
      </w:pPr>
    </w:p>
    <w:p w14:paraId="209D0D76">
      <w:pPr>
        <w:snapToGrid w:val="0"/>
        <w:spacing w:before="120" w:beforeLines="50" w:after="50"/>
        <w:jc w:val="center"/>
        <w:rPr>
          <w:rFonts w:hint="eastAsia" w:ascii="宋体" w:hAnsi="宋体" w:cs="宋体"/>
          <w:b/>
          <w:color w:val="auto"/>
          <w:szCs w:val="21"/>
          <w:highlight w:val="none"/>
        </w:rPr>
      </w:pPr>
      <w:r>
        <w:rPr>
          <w:rFonts w:hint="eastAsia" w:ascii="宋体" w:hAnsi="宋体" w:cs="宋体"/>
          <w:b/>
          <w:color w:val="auto"/>
          <w:szCs w:val="21"/>
          <w:highlight w:val="none"/>
        </w:rPr>
        <w:t>法定代表人授权委托书</w:t>
      </w:r>
    </w:p>
    <w:p w14:paraId="75037F6D">
      <w:pPr>
        <w:snapToGrid w:val="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致：</w:t>
      </w:r>
      <w:r>
        <w:rPr>
          <w:rFonts w:hint="eastAsia" w:ascii="宋体" w:hAnsi="宋体" w:cs="宋体"/>
          <w:color w:val="auto"/>
          <w:highlight w:val="none"/>
          <w:u w:val="single"/>
        </w:rPr>
        <w:t xml:space="preserve">                </w:t>
      </w:r>
      <w:r>
        <w:rPr>
          <w:rFonts w:hint="eastAsia" w:ascii="宋体" w:hAnsi="宋体" w:cs="宋体"/>
          <w:color w:val="auto"/>
          <w:szCs w:val="21"/>
          <w:highlight w:val="none"/>
        </w:rPr>
        <w:t>（招标人名称）：</w:t>
      </w:r>
    </w:p>
    <w:p w14:paraId="4A640ECD">
      <w:pPr>
        <w:snapToGrid w:val="0"/>
        <w:spacing w:line="360" w:lineRule="auto"/>
        <w:ind w:firstLine="403" w:firstLineChars="192"/>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color w:val="auto"/>
          <w:highlight w:val="none"/>
          <w:u w:val="single"/>
        </w:rPr>
        <w:t xml:space="preserve">                </w:t>
      </w:r>
      <w:r>
        <w:rPr>
          <w:rFonts w:hint="eastAsia" w:ascii="宋体" w:hAnsi="宋体" w:cs="宋体"/>
          <w:color w:val="auto"/>
          <w:szCs w:val="21"/>
          <w:highlight w:val="none"/>
        </w:rPr>
        <w:t>（姓名）系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（投标人名称）的法定代表人，现授权委托本单位在职职工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（姓名）以我方的名义参加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项目的投标活动，并代表我方全权办理针对上述项目的投标、开标、评标、签约等具体事务和签署相关文件。</w:t>
      </w:r>
    </w:p>
    <w:p w14:paraId="604A66A1">
      <w:pPr>
        <w:snapToGrid w:val="0"/>
        <w:spacing w:line="360" w:lineRule="auto"/>
        <w:ind w:firstLine="403" w:firstLineChars="192"/>
        <w:rPr>
          <w:rFonts w:hint="eastAsia" w:ascii="宋体" w:hAnsi="宋体" w:cs="宋体"/>
          <w:color w:val="auto"/>
          <w:szCs w:val="21"/>
          <w:highlight w:val="none"/>
        </w:rPr>
      </w:pPr>
      <w:r>
        <w:rPr>
          <w:rFonts w:hint="eastAsia" w:ascii="宋体" w:hAnsi="宋体" w:cs="宋体"/>
          <w:color w:val="auto"/>
          <w:szCs w:val="21"/>
          <w:highlight w:val="none"/>
        </w:rPr>
        <w:t>我方对被授权人的签名事项负全部责任。</w:t>
      </w:r>
    </w:p>
    <w:p w14:paraId="79EA758A">
      <w:pPr>
        <w:snapToGrid w:val="0"/>
        <w:spacing w:line="360" w:lineRule="auto"/>
        <w:ind w:firstLine="403" w:firstLineChars="192"/>
        <w:rPr>
          <w:rFonts w:hint="eastAsia" w:ascii="宋体" w:hAnsi="宋体" w:cs="宋体"/>
          <w:color w:val="auto"/>
          <w:szCs w:val="21"/>
          <w:highlight w:val="none"/>
        </w:rPr>
      </w:pPr>
      <w:r>
        <w:rPr>
          <w:rFonts w:hint="eastAsia" w:ascii="宋体" w:hAnsi="宋体" w:cs="宋体"/>
          <w:color w:val="auto"/>
          <w:szCs w:val="21"/>
          <w:highlight w:val="none"/>
          <w:u w:val="single"/>
        </w:rPr>
        <w:t>在撤销授权的书面通知以前，本授权书一直有效。</w:t>
      </w:r>
      <w:r>
        <w:rPr>
          <w:rFonts w:hint="eastAsia" w:ascii="宋体" w:hAnsi="宋体" w:cs="宋体"/>
          <w:color w:val="auto"/>
          <w:szCs w:val="21"/>
          <w:highlight w:val="none"/>
        </w:rPr>
        <w:t>被授权人在授权书有效期内签署的所有文件不因授权的撤销而失效。</w:t>
      </w:r>
    </w:p>
    <w:p w14:paraId="28D28FCD">
      <w:pPr>
        <w:snapToGrid w:val="0"/>
        <w:spacing w:line="360" w:lineRule="auto"/>
        <w:ind w:firstLine="403" w:firstLineChars="192"/>
        <w:rPr>
          <w:rFonts w:hint="eastAsia" w:ascii="宋体" w:hAnsi="宋体" w:cs="宋体"/>
          <w:color w:val="auto"/>
          <w:szCs w:val="21"/>
          <w:highlight w:val="none"/>
        </w:rPr>
      </w:pPr>
      <w:r>
        <w:rPr>
          <w:rFonts w:hint="eastAsia" w:ascii="宋体" w:hAnsi="宋体" w:cs="宋体"/>
          <w:color w:val="auto"/>
          <w:szCs w:val="21"/>
          <w:highlight w:val="none"/>
        </w:rPr>
        <w:t>被授权人无转委托权，特此委托。</w:t>
      </w:r>
    </w:p>
    <w:p w14:paraId="215ED589">
      <w:pPr>
        <w:snapToGrid w:val="0"/>
        <w:spacing w:before="120" w:beforeLines="50" w:after="50"/>
        <w:rPr>
          <w:rFonts w:hint="eastAsia" w:ascii="宋体" w:hAnsi="宋体" w:cs="宋体"/>
          <w:color w:val="auto"/>
          <w:szCs w:val="21"/>
          <w:highlight w:val="none"/>
        </w:rPr>
      </w:pPr>
    </w:p>
    <w:p w14:paraId="7DA5BA68">
      <w:pPr>
        <w:snapToGrid w:val="0"/>
        <w:spacing w:before="120" w:beforeLines="50" w:after="50"/>
        <w:rPr>
          <w:rFonts w:hint="eastAsia" w:ascii="宋体" w:hAnsi="宋体" w:cs="宋体"/>
          <w:color w:val="auto"/>
          <w:szCs w:val="21"/>
          <w:highlight w:val="none"/>
          <w:u w:val="single"/>
        </w:rPr>
      </w:pPr>
      <w:r>
        <w:rPr>
          <w:rFonts w:hint="eastAsia" w:ascii="宋体" w:hAnsi="宋体" w:cs="宋体"/>
          <w:color w:val="auto"/>
          <w:szCs w:val="21"/>
          <w:highlight w:val="none"/>
        </w:rPr>
        <w:t>被授权人（签名或印章）：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法定代表人（签名或印章）：</w:t>
      </w:r>
      <w:r>
        <w:rPr>
          <w:rFonts w:hint="eastAsia" w:ascii="宋体" w:hAnsi="宋体" w:cs="宋体"/>
          <w:color w:val="auto"/>
          <w:szCs w:val="21"/>
          <w:highlight w:val="none"/>
          <w:u w:val="single"/>
        </w:rPr>
        <w:t xml:space="preserve">          </w:t>
      </w:r>
    </w:p>
    <w:p w14:paraId="302EFC2C">
      <w:pPr>
        <w:snapToGrid w:val="0"/>
        <w:spacing w:before="120" w:beforeLines="50" w:after="50"/>
        <w:ind w:firstLine="840" w:firstLineChars="400"/>
        <w:rPr>
          <w:rFonts w:hint="eastAsia" w:ascii="宋体" w:hAnsi="宋体" w:cs="宋体"/>
          <w:color w:val="auto"/>
          <w:szCs w:val="21"/>
          <w:highlight w:val="none"/>
        </w:rPr>
      </w:pP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p>
    <w:p w14:paraId="2A666864">
      <w:pPr>
        <w:snapToGrid w:val="0"/>
        <w:spacing w:before="120" w:beforeLines="50" w:after="50"/>
        <w:rPr>
          <w:rFonts w:hint="eastAsia" w:ascii="宋体" w:hAnsi="宋体" w:cs="宋体"/>
          <w:color w:val="auto"/>
          <w:szCs w:val="21"/>
          <w:highlight w:val="none"/>
        </w:rPr>
      </w:pPr>
      <w:r>
        <w:rPr>
          <w:rFonts w:hint="eastAsia" w:ascii="宋体" w:hAnsi="宋体" w:cs="宋体"/>
          <w:color w:val="auto"/>
          <w:szCs w:val="21"/>
          <w:highlight w:val="none"/>
        </w:rPr>
        <w:t>被授权人身份证号码：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3A99D4FF">
      <w:pPr>
        <w:snapToGrid w:val="0"/>
        <w:spacing w:before="120" w:beforeLines="50" w:after="50"/>
        <w:rPr>
          <w:rFonts w:hint="eastAsia" w:ascii="宋体" w:hAnsi="宋体" w:cs="宋体"/>
          <w:color w:val="auto"/>
          <w:szCs w:val="21"/>
          <w:highlight w:val="none"/>
        </w:rPr>
      </w:pPr>
      <w:r>
        <w:rPr>
          <w:rFonts w:hint="eastAsia" w:ascii="宋体" w:hAnsi="宋体" w:cs="宋体"/>
          <w:color w:val="auto"/>
          <w:szCs w:val="21"/>
          <w:highlight w:val="none"/>
        </w:rPr>
        <w:t xml:space="preserve">                                     投标人公章：</w:t>
      </w:r>
    </w:p>
    <w:p w14:paraId="2BA17CFB">
      <w:pPr>
        <w:snapToGrid w:val="0"/>
        <w:spacing w:before="120" w:beforeLines="50" w:after="50"/>
        <w:jc w:val="center"/>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1D065FB7">
      <w:pPr>
        <w:snapToGrid w:val="0"/>
        <w:spacing w:before="120" w:beforeLines="50" w:after="50"/>
        <w:jc w:val="left"/>
        <w:rPr>
          <w:rFonts w:hint="eastAsia" w:ascii="宋体" w:hAnsi="宋体" w:cs="宋体"/>
          <w:b/>
          <w:color w:val="auto"/>
          <w:szCs w:val="21"/>
          <w:highlight w:val="none"/>
        </w:rPr>
      </w:pPr>
    </w:p>
    <w:p w14:paraId="1E241A06">
      <w:pPr>
        <w:snapToGrid w:val="0"/>
        <w:spacing w:before="120" w:beforeLines="50" w:after="50"/>
        <w:jc w:val="left"/>
        <w:rPr>
          <w:rFonts w:hint="eastAsia" w:ascii="宋体" w:hAnsi="宋体" w:cs="宋体"/>
          <w:b/>
          <w:color w:val="auto"/>
          <w:szCs w:val="21"/>
          <w:highlight w:val="none"/>
        </w:rPr>
      </w:pPr>
    </w:p>
    <w:p w14:paraId="23EFBF34">
      <w:pPr>
        <w:snapToGrid w:val="0"/>
        <w:spacing w:before="120" w:beforeLines="50" w:after="50"/>
        <w:jc w:val="left"/>
        <w:rPr>
          <w:rFonts w:hint="eastAsia" w:ascii="宋体" w:hAnsi="宋体" w:cs="宋体"/>
          <w:b/>
          <w:color w:val="auto"/>
          <w:szCs w:val="21"/>
          <w:highlight w:val="none"/>
        </w:rPr>
      </w:pPr>
      <w:r>
        <w:rPr>
          <w:rFonts w:hint="eastAsia" w:ascii="宋体" w:hAnsi="宋体" w:cs="宋体"/>
          <w:b/>
          <w:color w:val="auto"/>
          <w:szCs w:val="21"/>
          <w:highlight w:val="none"/>
        </w:rPr>
        <w:t>附：1、法定代表人身份证复印件（正反面）；</w:t>
      </w:r>
    </w:p>
    <w:p w14:paraId="3E3A5281">
      <w:pPr>
        <w:numPr>
          <w:ilvl w:val="0"/>
          <w:numId w:val="6"/>
        </w:numPr>
        <w:snapToGrid w:val="0"/>
        <w:spacing w:before="120" w:beforeLines="50" w:after="50"/>
        <w:jc w:val="left"/>
        <w:rPr>
          <w:rFonts w:hint="eastAsia" w:ascii="宋体" w:hAnsi="宋体" w:cs="宋体"/>
          <w:b/>
          <w:color w:val="auto"/>
          <w:szCs w:val="21"/>
          <w:highlight w:val="none"/>
        </w:rPr>
      </w:pPr>
      <w:r>
        <w:rPr>
          <w:rFonts w:hint="eastAsia" w:ascii="宋体" w:hAnsi="宋体" w:cs="宋体"/>
          <w:b/>
          <w:color w:val="auto"/>
          <w:szCs w:val="21"/>
          <w:highlight w:val="none"/>
        </w:rPr>
        <w:t>授权代表身份证复印件（正反面）及开标前近3个月</w:t>
      </w:r>
      <w:r>
        <w:rPr>
          <w:rFonts w:hint="eastAsia" w:ascii="宋体" w:hAnsi="宋体" w:cs="宋体"/>
          <w:b/>
          <w:color w:val="auto"/>
          <w:szCs w:val="21"/>
          <w:highlight w:val="none"/>
          <w:lang w:val="en-US" w:eastAsia="zh-CN"/>
        </w:rPr>
        <w:t>任意一个月</w:t>
      </w:r>
      <w:r>
        <w:rPr>
          <w:rFonts w:hint="eastAsia" w:ascii="宋体" w:hAnsi="宋体" w:cs="宋体"/>
          <w:b/>
          <w:color w:val="auto"/>
          <w:szCs w:val="21"/>
          <w:highlight w:val="none"/>
        </w:rPr>
        <w:t>相关部门出具的社保证明。</w:t>
      </w:r>
    </w:p>
    <w:p w14:paraId="1970D598">
      <w:pPr>
        <w:snapToGrid w:val="0"/>
        <w:spacing w:before="120" w:beforeLines="50" w:after="50"/>
        <w:rPr>
          <w:rFonts w:hint="eastAsia" w:ascii="宋体" w:hAnsi="宋体"/>
          <w:color w:val="auto"/>
          <w:szCs w:val="21"/>
          <w:highlight w:val="none"/>
        </w:rPr>
      </w:pPr>
      <w:r>
        <w:rPr>
          <w:rFonts w:hint="eastAsia" w:ascii="宋体" w:hAnsi="宋体" w:cs="宋体"/>
          <w:color w:val="auto"/>
          <w:szCs w:val="21"/>
          <w:highlight w:val="none"/>
        </w:rPr>
        <w:br w:type="page"/>
      </w:r>
      <w:r>
        <w:rPr>
          <w:rFonts w:hint="eastAsia" w:ascii="宋体" w:hAnsi="宋体"/>
          <w:color w:val="auto"/>
          <w:szCs w:val="21"/>
          <w:highlight w:val="none"/>
          <w:lang w:val="en-US" w:eastAsia="zh-CN"/>
        </w:rPr>
        <w:t>7</w:t>
      </w:r>
      <w:r>
        <w:rPr>
          <w:rFonts w:hint="eastAsia" w:ascii="宋体" w:hAnsi="宋体"/>
          <w:color w:val="auto"/>
          <w:szCs w:val="21"/>
          <w:highlight w:val="none"/>
        </w:rPr>
        <w:t>.有效的营业执照（复印件加盖公章）；</w:t>
      </w:r>
    </w:p>
    <w:p w14:paraId="0D7036CF">
      <w:pPr>
        <w:snapToGrid w:val="0"/>
        <w:spacing w:before="120" w:beforeLines="50" w:after="50"/>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.投标人基本情况表</w:t>
      </w:r>
    </w:p>
    <w:p w14:paraId="0940E302">
      <w:pPr>
        <w:snapToGrid w:val="0"/>
        <w:spacing w:before="120" w:beforeLines="50" w:after="50"/>
        <w:rPr>
          <w:rFonts w:hint="eastAsia" w:ascii="宋体" w:hAnsi="宋体" w:cs="宋体"/>
          <w:color w:val="auto"/>
          <w:szCs w:val="21"/>
          <w:highlight w:val="none"/>
        </w:rPr>
      </w:pPr>
    </w:p>
    <w:p w14:paraId="68F1A1EB">
      <w:pPr>
        <w:snapToGrid w:val="0"/>
        <w:spacing w:before="50" w:after="120" w:afterLines="50" w:line="360" w:lineRule="auto"/>
        <w:jc w:val="center"/>
        <w:rPr>
          <w:rFonts w:hint="eastAsia" w:ascii="宋体" w:hAnsi="宋体" w:cs="宋体"/>
          <w:b/>
          <w:bCs/>
          <w:color w:val="auto"/>
          <w:highlight w:val="none"/>
        </w:rPr>
      </w:pPr>
      <w:r>
        <w:rPr>
          <w:rFonts w:hint="eastAsia" w:ascii="宋体" w:hAnsi="宋体" w:cs="宋体"/>
          <w:b/>
          <w:bCs/>
          <w:color w:val="auto"/>
          <w:highlight w:val="none"/>
        </w:rPr>
        <w:t>投标人基本情况表</w:t>
      </w:r>
    </w:p>
    <w:tbl>
      <w:tblPr>
        <w:tblStyle w:val="33"/>
        <w:tblW w:w="90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974"/>
        <w:gridCol w:w="309"/>
        <w:gridCol w:w="1352"/>
        <w:gridCol w:w="1012"/>
        <w:gridCol w:w="349"/>
        <w:gridCol w:w="1074"/>
        <w:gridCol w:w="179"/>
        <w:gridCol w:w="352"/>
        <w:gridCol w:w="285"/>
        <w:gridCol w:w="1416"/>
      </w:tblGrid>
      <w:tr w14:paraId="0107C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63C4CF2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申请人名称</w:t>
            </w:r>
          </w:p>
        </w:tc>
        <w:tc>
          <w:tcPr>
            <w:tcW w:w="7302" w:type="dxa"/>
            <w:gridSpan w:val="10"/>
            <w:noWrap w:val="0"/>
            <w:vAlign w:val="center"/>
          </w:tcPr>
          <w:p w14:paraId="66AEDF0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26306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2590431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647" w:type="dxa"/>
            <w:gridSpan w:val="4"/>
            <w:noWrap w:val="0"/>
            <w:vAlign w:val="center"/>
          </w:tcPr>
          <w:p w14:paraId="29DDC3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602" w:type="dxa"/>
            <w:gridSpan w:val="3"/>
            <w:noWrap w:val="0"/>
            <w:vAlign w:val="center"/>
          </w:tcPr>
          <w:p w14:paraId="16F3759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053" w:type="dxa"/>
            <w:gridSpan w:val="3"/>
            <w:noWrap w:val="0"/>
            <w:vAlign w:val="center"/>
          </w:tcPr>
          <w:p w14:paraId="28BAF0A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7BD5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vMerge w:val="restart"/>
            <w:noWrap w:val="0"/>
            <w:vAlign w:val="center"/>
          </w:tcPr>
          <w:p w14:paraId="62BF9D5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1283" w:type="dxa"/>
            <w:gridSpan w:val="2"/>
            <w:noWrap w:val="0"/>
            <w:vAlign w:val="center"/>
          </w:tcPr>
          <w:p w14:paraId="60FB27D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364" w:type="dxa"/>
            <w:gridSpan w:val="2"/>
            <w:noWrap w:val="0"/>
            <w:vAlign w:val="center"/>
          </w:tcPr>
          <w:p w14:paraId="0B83845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602" w:type="dxa"/>
            <w:gridSpan w:val="3"/>
            <w:noWrap w:val="0"/>
            <w:vAlign w:val="center"/>
          </w:tcPr>
          <w:p w14:paraId="77E2295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053" w:type="dxa"/>
            <w:gridSpan w:val="3"/>
            <w:noWrap w:val="0"/>
            <w:vAlign w:val="center"/>
          </w:tcPr>
          <w:p w14:paraId="510F02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019F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vMerge w:val="continue"/>
            <w:noWrap w:val="0"/>
            <w:vAlign w:val="center"/>
          </w:tcPr>
          <w:p w14:paraId="6257D49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283" w:type="dxa"/>
            <w:gridSpan w:val="2"/>
            <w:noWrap w:val="0"/>
            <w:vAlign w:val="center"/>
          </w:tcPr>
          <w:p w14:paraId="670AD3F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364" w:type="dxa"/>
            <w:gridSpan w:val="2"/>
            <w:noWrap w:val="0"/>
            <w:vAlign w:val="center"/>
          </w:tcPr>
          <w:p w14:paraId="053A59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602" w:type="dxa"/>
            <w:gridSpan w:val="3"/>
            <w:noWrap w:val="0"/>
            <w:vAlign w:val="center"/>
          </w:tcPr>
          <w:p w14:paraId="78C2DF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053" w:type="dxa"/>
            <w:gridSpan w:val="3"/>
            <w:noWrap w:val="0"/>
            <w:vAlign w:val="center"/>
          </w:tcPr>
          <w:p w14:paraId="0896BC0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4499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45C078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02" w:type="dxa"/>
            <w:gridSpan w:val="10"/>
            <w:noWrap w:val="0"/>
            <w:vAlign w:val="center"/>
          </w:tcPr>
          <w:p w14:paraId="7E51737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29E7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0FE1A8C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74" w:type="dxa"/>
            <w:noWrap w:val="0"/>
            <w:vAlign w:val="center"/>
          </w:tcPr>
          <w:p w14:paraId="2E048FD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661" w:type="dxa"/>
            <w:gridSpan w:val="2"/>
            <w:noWrap w:val="0"/>
            <w:vAlign w:val="center"/>
          </w:tcPr>
          <w:p w14:paraId="2FE5948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361" w:type="dxa"/>
            <w:gridSpan w:val="2"/>
            <w:noWrap w:val="0"/>
            <w:vAlign w:val="center"/>
          </w:tcPr>
          <w:p w14:paraId="0A7D35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074" w:type="dxa"/>
            <w:noWrap w:val="0"/>
            <w:vAlign w:val="center"/>
          </w:tcPr>
          <w:p w14:paraId="6844670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816" w:type="dxa"/>
            <w:gridSpan w:val="3"/>
            <w:noWrap w:val="0"/>
            <w:vAlign w:val="center"/>
          </w:tcPr>
          <w:p w14:paraId="36B9C78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416" w:type="dxa"/>
            <w:noWrap w:val="0"/>
            <w:vAlign w:val="center"/>
          </w:tcPr>
          <w:p w14:paraId="7DDC2F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5DE0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0583BB3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74" w:type="dxa"/>
            <w:noWrap w:val="0"/>
            <w:vAlign w:val="center"/>
          </w:tcPr>
          <w:p w14:paraId="4E2C18E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661" w:type="dxa"/>
            <w:gridSpan w:val="2"/>
            <w:noWrap w:val="0"/>
            <w:vAlign w:val="center"/>
          </w:tcPr>
          <w:p w14:paraId="6256A03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361" w:type="dxa"/>
            <w:gridSpan w:val="2"/>
            <w:noWrap w:val="0"/>
            <w:vAlign w:val="center"/>
          </w:tcPr>
          <w:p w14:paraId="0CB7559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074" w:type="dxa"/>
            <w:noWrap w:val="0"/>
            <w:vAlign w:val="center"/>
          </w:tcPr>
          <w:p w14:paraId="34AFD20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816" w:type="dxa"/>
            <w:gridSpan w:val="3"/>
            <w:noWrap w:val="0"/>
            <w:vAlign w:val="center"/>
          </w:tcPr>
          <w:p w14:paraId="38C0076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416" w:type="dxa"/>
            <w:noWrap w:val="0"/>
            <w:vAlign w:val="center"/>
          </w:tcPr>
          <w:p w14:paraId="579AF95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0213D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3FE7A6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635" w:type="dxa"/>
            <w:gridSpan w:val="3"/>
            <w:noWrap w:val="0"/>
            <w:vAlign w:val="center"/>
          </w:tcPr>
          <w:p w14:paraId="4C9231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67" w:type="dxa"/>
            <w:gridSpan w:val="7"/>
            <w:noWrap w:val="0"/>
            <w:vAlign w:val="center"/>
          </w:tcPr>
          <w:p w14:paraId="401D49C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028BC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4F4611A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635" w:type="dxa"/>
            <w:gridSpan w:val="3"/>
            <w:noWrap w:val="0"/>
            <w:vAlign w:val="center"/>
          </w:tcPr>
          <w:p w14:paraId="116D3D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012" w:type="dxa"/>
            <w:vMerge w:val="restart"/>
            <w:noWrap w:val="0"/>
            <w:vAlign w:val="center"/>
          </w:tcPr>
          <w:p w14:paraId="42FC7C3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954" w:type="dxa"/>
            <w:gridSpan w:val="4"/>
            <w:noWrap w:val="0"/>
            <w:vAlign w:val="center"/>
          </w:tcPr>
          <w:p w14:paraId="65083A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1701" w:type="dxa"/>
            <w:gridSpan w:val="2"/>
            <w:noWrap w:val="0"/>
            <w:vAlign w:val="center"/>
          </w:tcPr>
          <w:p w14:paraId="3111B9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5D2C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72F0EFE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注册资金（或开办资金）</w:t>
            </w:r>
          </w:p>
        </w:tc>
        <w:tc>
          <w:tcPr>
            <w:tcW w:w="2635" w:type="dxa"/>
            <w:gridSpan w:val="3"/>
            <w:noWrap w:val="0"/>
            <w:vAlign w:val="center"/>
          </w:tcPr>
          <w:p w14:paraId="2CC588A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012" w:type="dxa"/>
            <w:vMerge w:val="continue"/>
            <w:noWrap w:val="0"/>
            <w:vAlign w:val="center"/>
          </w:tcPr>
          <w:p w14:paraId="57A892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954" w:type="dxa"/>
            <w:gridSpan w:val="4"/>
            <w:noWrap w:val="0"/>
            <w:vAlign w:val="center"/>
          </w:tcPr>
          <w:p w14:paraId="77E578C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1701" w:type="dxa"/>
            <w:gridSpan w:val="2"/>
            <w:noWrap w:val="0"/>
            <w:vAlign w:val="center"/>
          </w:tcPr>
          <w:p w14:paraId="2008549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33D3D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0FD449A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635" w:type="dxa"/>
            <w:gridSpan w:val="3"/>
            <w:noWrap w:val="0"/>
            <w:vAlign w:val="center"/>
          </w:tcPr>
          <w:p w14:paraId="22B23B4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012" w:type="dxa"/>
            <w:vMerge w:val="continue"/>
            <w:noWrap w:val="0"/>
            <w:vAlign w:val="center"/>
          </w:tcPr>
          <w:p w14:paraId="04DFC47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954" w:type="dxa"/>
            <w:gridSpan w:val="4"/>
            <w:noWrap w:val="0"/>
            <w:vAlign w:val="center"/>
          </w:tcPr>
          <w:p w14:paraId="551CAB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1701" w:type="dxa"/>
            <w:gridSpan w:val="2"/>
            <w:noWrap w:val="0"/>
            <w:vAlign w:val="center"/>
          </w:tcPr>
          <w:p w14:paraId="2FC9D8F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704E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14:paraId="405206B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635" w:type="dxa"/>
            <w:gridSpan w:val="3"/>
            <w:noWrap w:val="0"/>
            <w:vAlign w:val="center"/>
          </w:tcPr>
          <w:p w14:paraId="45F86CB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012" w:type="dxa"/>
            <w:vMerge w:val="continue"/>
            <w:noWrap w:val="0"/>
            <w:vAlign w:val="center"/>
          </w:tcPr>
          <w:p w14:paraId="154B587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954" w:type="dxa"/>
            <w:gridSpan w:val="4"/>
            <w:noWrap w:val="0"/>
            <w:vAlign w:val="center"/>
          </w:tcPr>
          <w:p w14:paraId="464D639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1701" w:type="dxa"/>
            <w:gridSpan w:val="2"/>
            <w:noWrap w:val="0"/>
            <w:vAlign w:val="center"/>
          </w:tcPr>
          <w:p w14:paraId="16D1253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r w14:paraId="3363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9" w:hRule="atLeast"/>
        </w:trPr>
        <w:tc>
          <w:tcPr>
            <w:tcW w:w="1771" w:type="dxa"/>
            <w:noWrap w:val="0"/>
            <w:vAlign w:val="center"/>
          </w:tcPr>
          <w:p w14:paraId="73AFDA3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经营范围</w:t>
            </w:r>
          </w:p>
        </w:tc>
        <w:tc>
          <w:tcPr>
            <w:tcW w:w="7302" w:type="dxa"/>
            <w:gridSpan w:val="10"/>
            <w:noWrap w:val="0"/>
            <w:vAlign w:val="center"/>
          </w:tcPr>
          <w:p w14:paraId="2B0DBCB1">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r>
      <w:tr w14:paraId="76C2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771" w:type="dxa"/>
            <w:noWrap w:val="0"/>
            <w:vAlign w:val="center"/>
          </w:tcPr>
          <w:p w14:paraId="5D13020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7302" w:type="dxa"/>
            <w:gridSpan w:val="10"/>
            <w:noWrap w:val="0"/>
            <w:vAlign w:val="center"/>
          </w:tcPr>
          <w:p w14:paraId="7C9827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r>
    </w:tbl>
    <w:p w14:paraId="7875DBCA">
      <w:pPr>
        <w:snapToGrid w:val="0"/>
        <w:spacing w:before="50" w:after="120" w:afterLines="50"/>
        <w:jc w:val="left"/>
        <w:rPr>
          <w:rFonts w:hint="eastAsia" w:ascii="宋体" w:hAnsi="宋体" w:cs="宋体"/>
          <w:color w:val="auto"/>
          <w:szCs w:val="21"/>
          <w:highlight w:val="none"/>
        </w:rPr>
      </w:pPr>
    </w:p>
    <w:p w14:paraId="428C1666">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.合格投标人的资格承诺书格式：</w:t>
      </w:r>
    </w:p>
    <w:p w14:paraId="753A4722">
      <w:pPr>
        <w:snapToGrid w:val="0"/>
        <w:spacing w:before="50" w:after="120" w:afterLines="50"/>
        <w:jc w:val="left"/>
        <w:rPr>
          <w:rFonts w:hint="eastAsia" w:ascii="宋体" w:hAnsi="宋体" w:cs="宋体"/>
          <w:color w:val="auto"/>
          <w:szCs w:val="21"/>
          <w:highlight w:val="none"/>
        </w:rPr>
      </w:pPr>
    </w:p>
    <w:p w14:paraId="3BB58925">
      <w:pPr>
        <w:snapToGrid w:val="0"/>
        <w:spacing w:before="50" w:after="120" w:afterLines="50"/>
        <w:jc w:val="left"/>
        <w:rPr>
          <w:rFonts w:hint="eastAsia" w:ascii="宋体" w:hAnsi="宋体" w:cs="宋体"/>
          <w:color w:val="auto"/>
          <w:szCs w:val="21"/>
          <w:highlight w:val="none"/>
        </w:rPr>
      </w:pPr>
    </w:p>
    <w:p w14:paraId="7A7457CE">
      <w:pPr>
        <w:widowControl/>
        <w:spacing w:line="360" w:lineRule="auto"/>
        <w:ind w:firstLine="422" w:firstLineChars="20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合格投标人的资格承诺书</w:t>
      </w:r>
    </w:p>
    <w:p w14:paraId="0323C9BC">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（一）我公司（单位）符合一般资格条件：</w:t>
      </w:r>
    </w:p>
    <w:p w14:paraId="6A072220">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1、具有独立承担民事责任的能力；</w:t>
      </w:r>
    </w:p>
    <w:p w14:paraId="1E8CB026">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2、具有良好的商业信誉和健全的财务会计制度；</w:t>
      </w:r>
    </w:p>
    <w:p w14:paraId="56167B38">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3、具有履行合同所必需的设备和专业技术能力；</w:t>
      </w:r>
    </w:p>
    <w:p w14:paraId="3ACC8362">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4、有依法缴纳税收和社会保障资金的良好记录；</w:t>
      </w:r>
    </w:p>
    <w:p w14:paraId="3DFAD4EF">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5、参加采购活动前三年内，在经营活动中没有重大违法记录；</w:t>
      </w:r>
    </w:p>
    <w:p w14:paraId="154C657D">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6、法律、行政法规规定的其他条件。</w:t>
      </w:r>
    </w:p>
    <w:p w14:paraId="0CE73498">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（二）我公司（单位）承诺遵守以下要求：</w:t>
      </w:r>
    </w:p>
    <w:p w14:paraId="0A2F6715">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1、单位负责人为同一人或者存在控股、管理关系的不同单位，不得参加同一标段投标或者未划分标段的同一招标项目投标。</w:t>
      </w:r>
    </w:p>
    <w:p w14:paraId="31F385DC">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特此承诺！</w:t>
      </w:r>
    </w:p>
    <w:p w14:paraId="35B3D2A0">
      <w:pPr>
        <w:widowControl/>
        <w:spacing w:line="360" w:lineRule="auto"/>
        <w:ind w:firstLine="420" w:firstLineChars="200"/>
        <w:rPr>
          <w:rFonts w:hint="eastAsia" w:ascii="宋体" w:hAnsi="宋体" w:cs="宋体"/>
          <w:color w:val="auto"/>
          <w:kern w:val="0"/>
          <w:szCs w:val="21"/>
          <w:highlight w:val="none"/>
        </w:rPr>
      </w:pPr>
    </w:p>
    <w:p w14:paraId="60B8D30A">
      <w:pPr>
        <w:widowControl/>
        <w:wordWrap w:val="0"/>
        <w:spacing w:line="360" w:lineRule="auto"/>
        <w:ind w:firstLine="420" w:firstLineChars="200"/>
        <w:jc w:val="righ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投标人（盖章）：        </w:t>
      </w:r>
    </w:p>
    <w:p w14:paraId="25CDE6D9">
      <w:pPr>
        <w:widowControl/>
        <w:wordWrap w:val="0"/>
        <w:spacing w:line="360" w:lineRule="auto"/>
        <w:ind w:firstLine="420" w:firstLineChars="200"/>
        <w:jc w:val="righ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投标人的法定代表人或其授权委托人(签字或印章)：        </w:t>
      </w:r>
    </w:p>
    <w:p w14:paraId="3D63A3ED">
      <w:pPr>
        <w:spacing w:line="360" w:lineRule="auto"/>
        <w:jc w:val="left"/>
        <w:rPr>
          <w:rFonts w:hint="eastAsia" w:ascii="宋体" w:hAnsi="宋体" w:cs="宋体"/>
          <w:color w:val="auto"/>
          <w:szCs w:val="21"/>
          <w:highlight w:val="none"/>
        </w:rPr>
      </w:pPr>
      <w:r>
        <w:rPr>
          <w:rFonts w:hint="eastAsia" w:ascii="宋体" w:hAnsi="宋体" w:cs="宋体"/>
          <w:color w:val="auto"/>
          <w:kern w:val="0"/>
          <w:szCs w:val="21"/>
          <w:highlight w:val="none"/>
        </w:rPr>
        <w:t xml:space="preserve">                                                           日  期：    </w:t>
      </w:r>
    </w:p>
    <w:p w14:paraId="3D952F0A">
      <w:pPr>
        <w:spacing w:line="360" w:lineRule="auto"/>
        <w:rPr>
          <w:rFonts w:hint="eastAsia" w:ascii="宋体" w:hAnsi="宋体" w:cs="宋体"/>
          <w:color w:val="auto"/>
          <w:szCs w:val="21"/>
          <w:highlight w:val="none"/>
        </w:rPr>
      </w:pPr>
    </w:p>
    <w:p w14:paraId="16BBE049">
      <w:pPr>
        <w:pStyle w:val="58"/>
        <w:spacing w:before="120" w:after="120"/>
        <w:rPr>
          <w:rFonts w:hint="eastAsia" w:ascii="宋体" w:hAnsi="宋体" w:cs="宋体"/>
          <w:color w:val="auto"/>
          <w:szCs w:val="21"/>
          <w:highlight w:val="none"/>
        </w:rPr>
      </w:pPr>
    </w:p>
    <w:p w14:paraId="24D4C727">
      <w:pPr>
        <w:spacing w:line="360" w:lineRule="auto"/>
        <w:rPr>
          <w:rFonts w:hint="eastAsia" w:ascii="宋体" w:hAnsi="宋体" w:cs="宋体"/>
          <w:color w:val="auto"/>
          <w:szCs w:val="21"/>
          <w:highlight w:val="none"/>
        </w:rPr>
      </w:pPr>
    </w:p>
    <w:p w14:paraId="5687ECF9">
      <w:pPr>
        <w:spacing w:line="360" w:lineRule="auto"/>
        <w:rPr>
          <w:rFonts w:hint="eastAsia" w:ascii="宋体" w:hAnsi="宋体" w:cs="宋体"/>
          <w:color w:val="auto"/>
          <w:szCs w:val="21"/>
          <w:highlight w:val="none"/>
        </w:rPr>
      </w:pPr>
    </w:p>
    <w:p w14:paraId="76D07542">
      <w:pPr>
        <w:numPr>
          <w:ilvl w:val="0"/>
          <w:numId w:val="7"/>
        </w:numPr>
        <w:snapToGrid w:val="0"/>
        <w:spacing w:before="50"/>
        <w:jc w:val="left"/>
        <w:rPr>
          <w:rFonts w:hint="eastAsia" w:ascii="宋体" w:hAnsi="宋体" w:cs="宋体"/>
          <w:color w:val="auto"/>
          <w:szCs w:val="21"/>
          <w:highlight w:val="none"/>
          <w:lang w:eastAsia="zh-CN"/>
        </w:rPr>
      </w:pPr>
      <w:r>
        <w:rPr>
          <w:rFonts w:hint="eastAsia" w:ascii="宋体" w:hAnsi="宋体" w:cs="宋体"/>
          <w:color w:val="auto"/>
          <w:szCs w:val="21"/>
          <w:highlight w:val="none"/>
        </w:rPr>
        <w:br w:type="page"/>
      </w:r>
      <w:r>
        <w:rPr>
          <w:rFonts w:hint="eastAsia" w:ascii="宋体" w:hAnsi="宋体" w:cs="宋体"/>
          <w:color w:val="auto"/>
          <w:szCs w:val="21"/>
          <w:highlight w:val="none"/>
        </w:rPr>
        <w:t>投标人特定资格条件的证明文件：详见“第一章 招标公告  五、合格投标人的资格要求（本项目资格后审）  2、特定资格条件”。</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w:t>
      </w:r>
      <w:r>
        <w:rPr>
          <w:rFonts w:hint="eastAsia" w:ascii="宋体" w:hAnsi="宋体" w:cs="宋体"/>
          <w:color w:val="auto"/>
          <w:szCs w:val="21"/>
          <w:highlight w:val="none"/>
          <w:lang w:eastAsia="zh-CN"/>
        </w:rPr>
        <w:t>）</w:t>
      </w:r>
    </w:p>
    <w:p w14:paraId="7462634D">
      <w:pPr>
        <w:numPr>
          <w:ilvl w:val="0"/>
          <w:numId w:val="0"/>
        </w:numPr>
        <w:snapToGrid w:val="0"/>
        <w:spacing w:before="50"/>
        <w:jc w:val="left"/>
        <w:rPr>
          <w:rFonts w:hint="eastAsia" w:ascii="宋体" w:hAnsi="宋体" w:cs="宋体"/>
          <w:color w:val="auto"/>
          <w:szCs w:val="21"/>
          <w:highlight w:val="none"/>
        </w:rPr>
      </w:pPr>
    </w:p>
    <w:p w14:paraId="4D1A257E">
      <w:pPr>
        <w:numPr>
          <w:ilvl w:val="0"/>
          <w:numId w:val="0"/>
        </w:numPr>
        <w:snapToGrid w:val="0"/>
        <w:spacing w:before="50"/>
        <w:jc w:val="left"/>
        <w:rPr>
          <w:rFonts w:hint="eastAsia" w:ascii="宋体" w:hAnsi="宋体" w:cs="宋体"/>
          <w:color w:val="auto"/>
          <w:szCs w:val="21"/>
          <w:highlight w:val="none"/>
        </w:rPr>
      </w:pPr>
    </w:p>
    <w:p w14:paraId="06F7F6C0">
      <w:pPr>
        <w:keepNext w:val="0"/>
        <w:keepLines w:val="0"/>
        <w:pageBreakBefore w:val="0"/>
        <w:widowControl w:val="0"/>
        <w:numPr>
          <w:ilvl w:val="0"/>
          <w:numId w:val="0"/>
        </w:numPr>
        <w:kinsoku/>
        <w:wordWrap/>
        <w:overflowPunct/>
        <w:topLinePunct w:val="0"/>
        <w:autoSpaceDE/>
        <w:autoSpaceDN/>
        <w:bidi w:val="0"/>
        <w:adjustRightInd/>
        <w:snapToGrid w:val="0"/>
        <w:spacing w:before="50" w:after="190" w:afterLines="50" w:line="360" w:lineRule="auto"/>
        <w:jc w:val="left"/>
        <w:textAlignment w:val="auto"/>
        <w:rPr>
          <w:rFonts w:hint="eastAsia" w:ascii="Times New Roman" w:hAnsi="宋体" w:eastAsia="宋体" w:cs="宋体"/>
          <w:color w:val="auto"/>
          <w:kern w:val="2"/>
          <w:sz w:val="21"/>
          <w:szCs w:val="24"/>
          <w:highlight w:val="none"/>
        </w:rPr>
      </w:pPr>
      <w:r>
        <w:rPr>
          <w:rFonts w:hint="eastAsia" w:ascii="宋体" w:hAnsi="宋体" w:cs="宋体"/>
          <w:color w:val="auto"/>
          <w:kern w:val="2"/>
          <w:sz w:val="21"/>
          <w:szCs w:val="21"/>
          <w:highlight w:val="none"/>
          <w:lang w:val="en-US" w:eastAsia="zh-CN"/>
        </w:rPr>
        <w:t>11.</w:t>
      </w:r>
      <w:r>
        <w:rPr>
          <w:rFonts w:hint="eastAsia" w:ascii="宋体" w:hAnsi="宋体" w:eastAsia="宋体" w:cs="宋体"/>
          <w:color w:val="auto"/>
          <w:kern w:val="2"/>
          <w:sz w:val="21"/>
          <w:szCs w:val="21"/>
          <w:highlight w:val="none"/>
          <w:lang w:val="en-US" w:eastAsia="zh-CN"/>
        </w:rPr>
        <w:t>联合体协议</w:t>
      </w:r>
      <w:r>
        <w:rPr>
          <w:rFonts w:hint="eastAsia" w:ascii="Times New Roman" w:hAnsi="宋体" w:eastAsia="宋体" w:cs="宋体"/>
          <w:color w:val="auto"/>
          <w:kern w:val="2"/>
          <w:sz w:val="21"/>
          <w:szCs w:val="24"/>
          <w:highlight w:val="none"/>
          <w:lang w:val="en-US" w:eastAsia="zh-CN"/>
        </w:rPr>
        <w:t>（如有）；</w:t>
      </w:r>
    </w:p>
    <w:p w14:paraId="063E3C40">
      <w:pPr>
        <w:adjustRightInd/>
        <w:snapToGrid w:val="0"/>
        <w:spacing w:before="120" w:beforeLines="50" w:after="50" w:line="240" w:lineRule="auto"/>
        <w:jc w:val="center"/>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联合体协议书</w:t>
      </w:r>
    </w:p>
    <w:p w14:paraId="4D3A4DED">
      <w:pPr>
        <w:widowControl w:val="0"/>
        <w:adjustRightInd/>
        <w:spacing w:line="240" w:lineRule="auto"/>
        <w:jc w:val="both"/>
        <w:textAlignment w:val="auto"/>
        <w:rPr>
          <w:rFonts w:hint="eastAsia" w:ascii="宋体" w:hAnsi="宋体" w:eastAsia="宋体" w:cs="宋体"/>
          <w:color w:val="auto"/>
          <w:kern w:val="2"/>
          <w:sz w:val="21"/>
          <w:szCs w:val="20"/>
          <w:highlight w:val="none"/>
          <w:lang w:val="en-US" w:eastAsia="zh-CN" w:bidi="ar-SA"/>
        </w:rPr>
      </w:pPr>
    </w:p>
    <w:p w14:paraId="102FBF09">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（所有成员单位名称）自愿组成</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（联合体名称），共同参加</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（项目名称）。现就联合体投标事宜订立如下协议。</w:t>
      </w:r>
    </w:p>
    <w:p w14:paraId="0705370B">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（某成员单位名称）为</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（联合体名称）牵头人。</w:t>
      </w:r>
    </w:p>
    <w:p w14:paraId="5B9ED0FB">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2．联合体各成员授权牵头人代表联合体参加投标活动，签署文件，提交和接收相关的资料、信息及指示，进行合同谈判活动，负责合同实施阶段的组织和协调工作，以及处理与本招</w:t>
      </w:r>
      <w:r>
        <w:rPr>
          <w:rFonts w:hint="eastAsia" w:ascii="宋体" w:hAnsi="宋体" w:eastAsia="宋体" w:cs="宋体"/>
          <w:color w:val="auto"/>
          <w:kern w:val="2"/>
          <w:sz w:val="21"/>
          <w:szCs w:val="21"/>
          <w:highlight w:val="none"/>
          <w:lang w:eastAsia="zh-CN"/>
        </w:rPr>
        <w:t>标段</w:t>
      </w:r>
      <w:r>
        <w:rPr>
          <w:rFonts w:hint="eastAsia" w:ascii="宋体" w:hAnsi="宋体" w:eastAsia="宋体" w:cs="宋体"/>
          <w:color w:val="auto"/>
          <w:kern w:val="2"/>
          <w:sz w:val="21"/>
          <w:szCs w:val="21"/>
          <w:highlight w:val="none"/>
        </w:rPr>
        <w:t>目有关的一切事宜。</w:t>
      </w:r>
    </w:p>
    <w:p w14:paraId="6DD30FC4">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3．联合体牵头人在本项目中签署的一切文件和处理的一切事宜，联合体各成员均予以承认。联合体各成员将严格按照</w:t>
      </w:r>
      <w:r>
        <w:rPr>
          <w:rFonts w:hint="eastAsia" w:ascii="宋体" w:hAnsi="宋体" w:eastAsia="宋体" w:cs="宋体"/>
          <w:color w:val="auto"/>
          <w:kern w:val="2"/>
          <w:sz w:val="21"/>
          <w:szCs w:val="21"/>
          <w:highlight w:val="none"/>
          <w:lang w:val="en-US" w:eastAsia="zh-CN"/>
        </w:rPr>
        <w:t>磋商</w:t>
      </w:r>
      <w:r>
        <w:rPr>
          <w:rFonts w:hint="eastAsia" w:ascii="宋体" w:hAnsi="宋体" w:eastAsia="宋体" w:cs="宋体"/>
          <w:color w:val="auto"/>
          <w:kern w:val="2"/>
          <w:sz w:val="21"/>
          <w:szCs w:val="21"/>
          <w:highlight w:val="none"/>
        </w:rPr>
        <w:t>文件、</w:t>
      </w:r>
      <w:r>
        <w:rPr>
          <w:rFonts w:hint="eastAsia" w:ascii="宋体" w:hAnsi="宋体" w:eastAsia="宋体" w:cs="宋体"/>
          <w:color w:val="auto"/>
          <w:kern w:val="2"/>
          <w:sz w:val="21"/>
          <w:szCs w:val="21"/>
          <w:highlight w:val="none"/>
          <w:lang w:val="en-US" w:eastAsia="zh-CN"/>
        </w:rPr>
        <w:t>响应</w:t>
      </w:r>
      <w:r>
        <w:rPr>
          <w:rFonts w:hint="eastAsia" w:ascii="宋体" w:hAnsi="宋体" w:eastAsia="宋体" w:cs="宋体"/>
          <w:color w:val="auto"/>
          <w:kern w:val="2"/>
          <w:sz w:val="21"/>
          <w:szCs w:val="21"/>
          <w:highlight w:val="none"/>
        </w:rPr>
        <w:t>文件和合同的要求全面履行义务，并向招标人承担连带责任。</w:t>
      </w:r>
    </w:p>
    <w:p w14:paraId="11C0E472">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4．联合体各成员单位内部的职责分工如下：</w:t>
      </w:r>
    </w:p>
    <w:p w14:paraId="2D8C342C">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（1）由联合体牵头人承担</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3AF13307">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（2）由联合体成员承担</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p w14:paraId="549DCDEB">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5．投标工作和联合体在中标后实施过程中的有关费用按各自承担的工作量分摊。</w:t>
      </w:r>
    </w:p>
    <w:p w14:paraId="0D2E2814">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6．本协议书自所有成员单位法定代表人签字或盖章并加盖单位章之日起生效，合同履行完毕后自动失效。 </w:t>
      </w:r>
    </w:p>
    <w:p w14:paraId="199299BD">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7．本协议书一式</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份，联合体成员和招标人各执一份。</w:t>
      </w:r>
    </w:p>
    <w:p w14:paraId="03333CCD">
      <w:pPr>
        <w:topLinePunct/>
        <w:adjustRightInd/>
        <w:spacing w:line="440" w:lineRule="exact"/>
        <w:textAlignment w:val="auto"/>
        <w:rPr>
          <w:rFonts w:hint="eastAsia" w:ascii="宋体" w:hAnsi="宋体" w:eastAsia="宋体" w:cs="宋体"/>
          <w:color w:val="auto"/>
          <w:kern w:val="2"/>
          <w:sz w:val="21"/>
          <w:szCs w:val="21"/>
          <w:highlight w:val="none"/>
        </w:rPr>
      </w:pPr>
    </w:p>
    <w:p w14:paraId="664E43AD">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联合体牵头人名称：</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（盖单位章）</w:t>
      </w:r>
    </w:p>
    <w:p w14:paraId="7FC3B0DD">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（签字或盖章）</w:t>
      </w:r>
    </w:p>
    <w:p w14:paraId="276999AE">
      <w:pPr>
        <w:topLinePunct/>
        <w:adjustRightInd/>
        <w:spacing w:line="440" w:lineRule="exact"/>
        <w:textAlignment w:val="auto"/>
        <w:rPr>
          <w:rFonts w:hint="eastAsia" w:ascii="宋体" w:hAnsi="宋体" w:eastAsia="宋体" w:cs="宋体"/>
          <w:color w:val="auto"/>
          <w:kern w:val="2"/>
          <w:sz w:val="21"/>
          <w:szCs w:val="21"/>
          <w:highlight w:val="none"/>
        </w:rPr>
      </w:pPr>
    </w:p>
    <w:p w14:paraId="24308D1D">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联合体成员名称：</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（盖单位章）</w:t>
      </w:r>
    </w:p>
    <w:p w14:paraId="6608BD46">
      <w:pPr>
        <w:topLinePunct/>
        <w:adjustRightIn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（签字或盖章）</w:t>
      </w:r>
    </w:p>
    <w:p w14:paraId="0DEC8CDB">
      <w:pPr>
        <w:topLinePunct/>
        <w:adjustRightInd/>
        <w:spacing w:line="44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 </w:t>
      </w:r>
    </w:p>
    <w:p w14:paraId="7A411A43">
      <w:pPr>
        <w:widowControl/>
        <w:adjustRightInd/>
        <w:spacing w:line="360" w:lineRule="auto"/>
        <w:jc w:val="left"/>
        <w:textAlignment w:val="auto"/>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u w:val="single"/>
        </w:rPr>
        <w:t xml:space="preserve">        </w:t>
      </w:r>
      <w:r>
        <w:rPr>
          <w:rFonts w:hint="eastAsia" w:ascii="宋体" w:hAnsi="宋体" w:eastAsia="宋体" w:cs="宋体"/>
          <w:color w:val="auto"/>
          <w:kern w:val="2"/>
          <w:sz w:val="21"/>
          <w:szCs w:val="24"/>
          <w:highlight w:val="none"/>
        </w:rPr>
        <w:t>年</w:t>
      </w:r>
      <w:r>
        <w:rPr>
          <w:rFonts w:hint="eastAsia" w:ascii="宋体" w:hAnsi="宋体" w:eastAsia="宋体" w:cs="宋体"/>
          <w:color w:val="auto"/>
          <w:kern w:val="2"/>
          <w:sz w:val="21"/>
          <w:szCs w:val="24"/>
          <w:highlight w:val="none"/>
          <w:u w:val="single"/>
        </w:rPr>
        <w:t xml:space="preserve">     </w:t>
      </w:r>
      <w:r>
        <w:rPr>
          <w:rFonts w:hint="eastAsia" w:ascii="宋体" w:hAnsi="宋体" w:eastAsia="宋体" w:cs="宋体"/>
          <w:color w:val="auto"/>
          <w:kern w:val="2"/>
          <w:sz w:val="21"/>
          <w:szCs w:val="24"/>
          <w:highlight w:val="none"/>
        </w:rPr>
        <w:t>月</w:t>
      </w:r>
      <w:r>
        <w:rPr>
          <w:rFonts w:hint="eastAsia" w:ascii="宋体" w:hAnsi="宋体" w:eastAsia="宋体" w:cs="宋体"/>
          <w:color w:val="auto"/>
          <w:kern w:val="2"/>
          <w:sz w:val="21"/>
          <w:szCs w:val="24"/>
          <w:highlight w:val="none"/>
          <w:u w:val="single"/>
        </w:rPr>
        <w:t xml:space="preserve">    </w:t>
      </w:r>
      <w:r>
        <w:rPr>
          <w:rFonts w:hint="eastAsia" w:ascii="宋体" w:hAnsi="宋体" w:eastAsia="宋体" w:cs="宋体"/>
          <w:color w:val="auto"/>
          <w:kern w:val="2"/>
          <w:sz w:val="21"/>
          <w:szCs w:val="24"/>
          <w:highlight w:val="none"/>
        </w:rPr>
        <w:t>日</w:t>
      </w:r>
    </w:p>
    <w:p w14:paraId="57136720">
      <w:pPr>
        <w:numPr>
          <w:ilvl w:val="0"/>
          <w:numId w:val="0"/>
        </w:num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.技术条款偏离表</w:t>
      </w:r>
    </w:p>
    <w:p w14:paraId="3B212FD1">
      <w:pPr>
        <w:snapToGrid w:val="0"/>
        <w:spacing w:before="50" w:after="120" w:afterLines="50" w:line="360" w:lineRule="auto"/>
        <w:jc w:val="center"/>
        <w:rPr>
          <w:rFonts w:hint="eastAsia" w:ascii="宋体" w:hAnsi="宋体" w:cs="宋体"/>
          <w:b/>
          <w:bCs/>
          <w:color w:val="auto"/>
          <w:highlight w:val="none"/>
        </w:rPr>
      </w:pPr>
      <w:r>
        <w:rPr>
          <w:rFonts w:hint="eastAsia" w:ascii="宋体" w:hAnsi="宋体" w:cs="宋体"/>
          <w:b/>
          <w:bCs/>
          <w:color w:val="auto"/>
          <w:highlight w:val="none"/>
        </w:rPr>
        <w:t>技术条款偏离表</w:t>
      </w:r>
    </w:p>
    <w:p w14:paraId="101699C6">
      <w:pPr>
        <w:snapToGrid w:val="0"/>
        <w:spacing w:before="5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项目名称：                       项目编号：                  </w:t>
      </w:r>
    </w:p>
    <w:tbl>
      <w:tblPr>
        <w:tblStyle w:val="33"/>
        <w:tblW w:w="84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4647"/>
        <w:gridCol w:w="1575"/>
        <w:gridCol w:w="1185"/>
      </w:tblGrid>
      <w:tr w14:paraId="0696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026" w:type="dxa"/>
            <w:noWrap w:val="0"/>
            <w:vAlign w:val="center"/>
          </w:tcPr>
          <w:p w14:paraId="711A805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4647" w:type="dxa"/>
            <w:noWrap w:val="0"/>
            <w:vAlign w:val="center"/>
          </w:tcPr>
          <w:p w14:paraId="41CCC5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招标文件的技术条款</w:t>
            </w:r>
          </w:p>
        </w:tc>
        <w:tc>
          <w:tcPr>
            <w:tcW w:w="1575" w:type="dxa"/>
            <w:noWrap w:val="0"/>
            <w:vAlign w:val="center"/>
          </w:tcPr>
          <w:p w14:paraId="358ECCC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w:t>
            </w:r>
          </w:p>
          <w:p w14:paraId="21FC5F5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响应情况</w:t>
            </w:r>
          </w:p>
        </w:tc>
        <w:tc>
          <w:tcPr>
            <w:tcW w:w="1185" w:type="dxa"/>
            <w:noWrap w:val="0"/>
            <w:vAlign w:val="center"/>
          </w:tcPr>
          <w:p w14:paraId="768C877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说明（偏离/响应）</w:t>
            </w:r>
          </w:p>
        </w:tc>
      </w:tr>
      <w:tr w14:paraId="3811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98AD59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083FA1FD">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7019BA7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0725DB6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59500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0335706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64C7DBA3">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1D88D27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654F14C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5FAC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5BCC6EC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1CB839A2">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4D1D6DC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374EF43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7843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59E8BD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7774BB8D">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0463F6A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7A60062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6DE28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41BFCDD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3A3E1D81">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18D413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7B89A06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284DA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51D2C62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233C1444">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49C14C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0DCEDC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BE7C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1331388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4B000830">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150EB0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0A3069F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2594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CB9CEC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737B39AD">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3A2DBF5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2F12B69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5B1C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6AEB440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364A0965">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0D36F0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2CD38DB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54C69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533F74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44B6E1FC">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6AE962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4355A0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576BB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01EC37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21A8CEF0">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03C4BD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3A7F2FD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675F7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30C3047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10B801DC">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1D44D6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39B6EE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B66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653ACA5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13BB6A91">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0FA4556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7C2F463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64F3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5301DE1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4683F818">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68BEE9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268DDC2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bl>
    <w:p w14:paraId="4A7871E0">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注：无偏离应在本表空白处醒目地注明“无技术条款偏离”的字样。</w:t>
      </w:r>
    </w:p>
    <w:p w14:paraId="46AC6DCB">
      <w:pPr>
        <w:snapToGrid w:val="0"/>
        <w:spacing w:before="50"/>
        <w:jc w:val="left"/>
        <w:rPr>
          <w:rFonts w:hint="eastAsia" w:ascii="宋体" w:hAnsi="宋体" w:cs="宋体"/>
          <w:color w:val="auto"/>
          <w:szCs w:val="21"/>
          <w:highlight w:val="none"/>
        </w:rPr>
      </w:pPr>
    </w:p>
    <w:p w14:paraId="5BC40E2C">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投标人（公章）：</w:t>
      </w:r>
    </w:p>
    <w:p w14:paraId="67EE33A1">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法定代表或授权代表（签名或印章）：</w:t>
      </w:r>
    </w:p>
    <w:p w14:paraId="09EE35FF">
      <w:pPr>
        <w:snapToGrid w:val="0"/>
        <w:spacing w:before="50"/>
        <w:jc w:val="left"/>
        <w:rPr>
          <w:rFonts w:hint="eastAsia" w:ascii="宋体" w:hAnsi="宋体" w:cs="宋体"/>
          <w:color w:val="auto"/>
          <w:szCs w:val="21"/>
          <w:highlight w:val="none"/>
        </w:rPr>
      </w:pPr>
    </w:p>
    <w:p w14:paraId="44867389">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667A9F2F">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.商务条款偏离表</w:t>
      </w:r>
    </w:p>
    <w:p w14:paraId="4C6C85E0">
      <w:pPr>
        <w:snapToGrid w:val="0"/>
        <w:spacing w:before="50" w:after="120" w:afterLines="50" w:line="360" w:lineRule="auto"/>
        <w:jc w:val="center"/>
        <w:rPr>
          <w:rFonts w:hint="eastAsia" w:ascii="宋体" w:hAnsi="宋体" w:cs="宋体"/>
          <w:b/>
          <w:bCs/>
          <w:color w:val="auto"/>
          <w:highlight w:val="none"/>
        </w:rPr>
      </w:pPr>
      <w:r>
        <w:rPr>
          <w:rFonts w:hint="eastAsia" w:ascii="宋体" w:hAnsi="宋体" w:cs="宋体"/>
          <w:b/>
          <w:bCs/>
          <w:color w:val="auto"/>
          <w:highlight w:val="none"/>
        </w:rPr>
        <w:t>商务条款偏离表</w:t>
      </w:r>
    </w:p>
    <w:p w14:paraId="42812779">
      <w:pPr>
        <w:snapToGrid w:val="0"/>
        <w:spacing w:before="5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项目名称：                       项目编号：                 </w:t>
      </w:r>
    </w:p>
    <w:tbl>
      <w:tblPr>
        <w:tblStyle w:val="33"/>
        <w:tblW w:w="84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4647"/>
        <w:gridCol w:w="1575"/>
        <w:gridCol w:w="1185"/>
      </w:tblGrid>
      <w:tr w14:paraId="6BA7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026" w:type="dxa"/>
            <w:noWrap w:val="0"/>
            <w:vAlign w:val="center"/>
          </w:tcPr>
          <w:p w14:paraId="01733D5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4647" w:type="dxa"/>
            <w:noWrap w:val="0"/>
            <w:vAlign w:val="center"/>
          </w:tcPr>
          <w:p w14:paraId="64359B1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招标文件的商务条款</w:t>
            </w:r>
          </w:p>
        </w:tc>
        <w:tc>
          <w:tcPr>
            <w:tcW w:w="1575" w:type="dxa"/>
            <w:noWrap w:val="0"/>
            <w:vAlign w:val="center"/>
          </w:tcPr>
          <w:p w14:paraId="57EF5C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投标文件的</w:t>
            </w:r>
          </w:p>
          <w:p w14:paraId="41271CF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响应情况</w:t>
            </w:r>
          </w:p>
        </w:tc>
        <w:tc>
          <w:tcPr>
            <w:tcW w:w="1185" w:type="dxa"/>
            <w:noWrap w:val="0"/>
            <w:vAlign w:val="center"/>
          </w:tcPr>
          <w:p w14:paraId="4D10E4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说明（偏离/响应）</w:t>
            </w:r>
          </w:p>
        </w:tc>
      </w:tr>
      <w:tr w14:paraId="6E85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0465DFD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5E5866FD">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27B417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7125015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5E66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CF1467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5701D449">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6A9F8B6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255919A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51EE8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05B3B4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0A269CD6">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5D8A4CF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5022C0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0B09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19D39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78F930D1">
            <w:pPr>
              <w:keepNext w:val="0"/>
              <w:keepLines w:val="0"/>
              <w:suppressLineNumbers w:val="0"/>
              <w:spacing w:before="0" w:beforeAutospacing="0" w:after="0" w:afterAutospacing="0" w:line="360" w:lineRule="auto"/>
              <w:ind w:left="0" w:right="0"/>
              <w:rPr>
                <w:rFonts w:hint="eastAsia" w:ascii="宋体" w:hAnsi="宋体" w:eastAsia="宋体" w:cs="宋体"/>
                <w:b/>
                <w:bCs/>
                <w:color w:val="auto"/>
                <w:highlight w:val="none"/>
              </w:rPr>
            </w:pPr>
          </w:p>
        </w:tc>
        <w:tc>
          <w:tcPr>
            <w:tcW w:w="1575" w:type="dxa"/>
            <w:noWrap w:val="0"/>
            <w:vAlign w:val="center"/>
          </w:tcPr>
          <w:p w14:paraId="7DCA0EF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315F858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4A235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5C11E7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58A5A738">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0FEC5D4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2D70AAC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3043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3B5FA5C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6B05672F">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5DE0B47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4ED42B1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A7B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083BF05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7A5C0EC5">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3B10D8C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3FF1602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7457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1B68D52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471C52C6">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6832270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3960B6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907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0ADC3D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30ED6B83">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0582F7C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5EC881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EB98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F1BC49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0A957DC6">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391DFA3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0FC6A0F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1AF5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5A56C98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0A148E9F">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2A02441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0976C11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7887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23038C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605EAEBF">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167A073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54ADA6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34568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48AEC88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0283B7C0">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1C43FA8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39D287E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r w14:paraId="0950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26" w:type="dxa"/>
            <w:noWrap w:val="0"/>
            <w:vAlign w:val="center"/>
          </w:tcPr>
          <w:p w14:paraId="7548265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p>
        </w:tc>
        <w:tc>
          <w:tcPr>
            <w:tcW w:w="4647" w:type="dxa"/>
            <w:noWrap w:val="0"/>
            <w:vAlign w:val="center"/>
          </w:tcPr>
          <w:p w14:paraId="41D03BD1">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p>
        </w:tc>
        <w:tc>
          <w:tcPr>
            <w:tcW w:w="1575" w:type="dxa"/>
            <w:noWrap w:val="0"/>
            <w:vAlign w:val="center"/>
          </w:tcPr>
          <w:p w14:paraId="1A16A4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c>
          <w:tcPr>
            <w:tcW w:w="1185" w:type="dxa"/>
            <w:noWrap w:val="0"/>
            <w:vAlign w:val="center"/>
          </w:tcPr>
          <w:p w14:paraId="015944E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p>
        </w:tc>
      </w:tr>
    </w:tbl>
    <w:p w14:paraId="4359098A">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注：无偏离应在本表空白处醒目地注明“无商务条款偏离”的字样。</w:t>
      </w:r>
    </w:p>
    <w:p w14:paraId="162DBD5F">
      <w:pPr>
        <w:snapToGrid w:val="0"/>
        <w:spacing w:before="50"/>
        <w:jc w:val="left"/>
        <w:rPr>
          <w:rFonts w:hint="eastAsia" w:ascii="宋体" w:hAnsi="宋体" w:cs="宋体"/>
          <w:color w:val="auto"/>
          <w:szCs w:val="21"/>
          <w:highlight w:val="none"/>
        </w:rPr>
      </w:pPr>
    </w:p>
    <w:p w14:paraId="518CC080">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投标人（公章）：</w:t>
      </w:r>
    </w:p>
    <w:p w14:paraId="0D84D6CC">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法定代表或授权代表（签名或印章）：</w:t>
      </w:r>
    </w:p>
    <w:p w14:paraId="1BF5E51C">
      <w:pPr>
        <w:snapToGrid w:val="0"/>
        <w:spacing w:before="50"/>
        <w:jc w:val="left"/>
        <w:rPr>
          <w:rFonts w:hint="eastAsia" w:ascii="宋体" w:hAnsi="宋体" w:cs="宋体"/>
          <w:color w:val="auto"/>
          <w:szCs w:val="21"/>
          <w:highlight w:val="none"/>
        </w:rPr>
      </w:pPr>
    </w:p>
    <w:p w14:paraId="28FCC9FF">
      <w:pPr>
        <w:snapToGrid w:val="0"/>
        <w:spacing w:before="50"/>
        <w:jc w:val="left"/>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19F0B80D">
      <w:pPr>
        <w:spacing w:line="360" w:lineRule="auto"/>
        <w:rPr>
          <w:rFonts w:hint="eastAsia" w:ascii="宋体" w:hAnsi="宋体" w:cs="宋体"/>
          <w:color w:val="auto"/>
          <w:szCs w:val="21"/>
          <w:highlight w:val="none"/>
        </w:rPr>
      </w:pPr>
    </w:p>
    <w:p w14:paraId="59A6C836">
      <w:pPr>
        <w:spacing w:line="360" w:lineRule="auto"/>
        <w:rPr>
          <w:rFonts w:hint="eastAsia" w:ascii="宋体" w:hAnsi="宋体" w:cs="宋体"/>
          <w:color w:val="auto"/>
          <w:szCs w:val="21"/>
          <w:highlight w:val="none"/>
        </w:rPr>
      </w:pPr>
    </w:p>
    <w:p w14:paraId="46C82AC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.评标索引表格式：</w:t>
      </w:r>
    </w:p>
    <w:p w14:paraId="22CB5DA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评标索引表</w:t>
      </w:r>
    </w:p>
    <w:tbl>
      <w:tblPr>
        <w:tblStyle w:val="33"/>
        <w:tblW w:w="8717"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5733"/>
        <w:gridCol w:w="1172"/>
        <w:gridCol w:w="1040"/>
      </w:tblGrid>
      <w:tr w14:paraId="2E1A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4" w:hRule="atLeast"/>
        </w:trPr>
        <w:tc>
          <w:tcPr>
            <w:tcW w:w="772" w:type="dxa"/>
            <w:noWrap w:val="0"/>
            <w:vAlign w:val="center"/>
          </w:tcPr>
          <w:p w14:paraId="4CD67A2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5733" w:type="dxa"/>
            <w:noWrap w:val="0"/>
            <w:vAlign w:val="center"/>
          </w:tcPr>
          <w:p w14:paraId="37F4B6D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评标内容</w:t>
            </w:r>
          </w:p>
        </w:tc>
        <w:tc>
          <w:tcPr>
            <w:tcW w:w="1172" w:type="dxa"/>
            <w:noWrap w:val="0"/>
            <w:vAlign w:val="center"/>
          </w:tcPr>
          <w:p w14:paraId="282D820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投标文件响应页码</w:t>
            </w:r>
          </w:p>
        </w:tc>
        <w:tc>
          <w:tcPr>
            <w:tcW w:w="1040" w:type="dxa"/>
            <w:noWrap w:val="0"/>
            <w:vAlign w:val="center"/>
          </w:tcPr>
          <w:p w14:paraId="53FEDFE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投标人自评分</w:t>
            </w:r>
          </w:p>
        </w:tc>
      </w:tr>
      <w:tr w14:paraId="457F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trPr>
        <w:tc>
          <w:tcPr>
            <w:tcW w:w="772" w:type="dxa"/>
            <w:noWrap w:val="0"/>
            <w:vAlign w:val="center"/>
          </w:tcPr>
          <w:p w14:paraId="51FD0AE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5733" w:type="dxa"/>
            <w:noWrap w:val="0"/>
            <w:vAlign w:val="center"/>
          </w:tcPr>
          <w:p w14:paraId="7DF33E1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172" w:type="dxa"/>
            <w:noWrap w:val="0"/>
            <w:vAlign w:val="center"/>
          </w:tcPr>
          <w:p w14:paraId="4555926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040" w:type="dxa"/>
            <w:noWrap w:val="0"/>
            <w:vAlign w:val="center"/>
          </w:tcPr>
          <w:p w14:paraId="3B4F36B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4041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trPr>
        <w:tc>
          <w:tcPr>
            <w:tcW w:w="772" w:type="dxa"/>
            <w:noWrap w:val="0"/>
            <w:vAlign w:val="center"/>
          </w:tcPr>
          <w:p w14:paraId="0FB12D1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5733" w:type="dxa"/>
            <w:noWrap w:val="0"/>
            <w:vAlign w:val="center"/>
          </w:tcPr>
          <w:p w14:paraId="402A25F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172" w:type="dxa"/>
            <w:noWrap w:val="0"/>
            <w:vAlign w:val="center"/>
          </w:tcPr>
          <w:p w14:paraId="5F72170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040" w:type="dxa"/>
            <w:noWrap w:val="0"/>
            <w:vAlign w:val="center"/>
          </w:tcPr>
          <w:p w14:paraId="695D075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42A8F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trPr>
        <w:tc>
          <w:tcPr>
            <w:tcW w:w="772" w:type="dxa"/>
            <w:noWrap w:val="0"/>
            <w:vAlign w:val="center"/>
          </w:tcPr>
          <w:p w14:paraId="3D00E78F">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5733" w:type="dxa"/>
            <w:noWrap w:val="0"/>
            <w:vAlign w:val="center"/>
          </w:tcPr>
          <w:p w14:paraId="31EDD58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172" w:type="dxa"/>
            <w:noWrap w:val="0"/>
            <w:vAlign w:val="center"/>
          </w:tcPr>
          <w:p w14:paraId="70FE41D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040" w:type="dxa"/>
            <w:noWrap w:val="0"/>
            <w:vAlign w:val="center"/>
          </w:tcPr>
          <w:p w14:paraId="1AF6E2A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6932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trPr>
        <w:tc>
          <w:tcPr>
            <w:tcW w:w="772" w:type="dxa"/>
            <w:noWrap w:val="0"/>
            <w:vAlign w:val="center"/>
          </w:tcPr>
          <w:p w14:paraId="74F84A2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5733" w:type="dxa"/>
            <w:noWrap w:val="0"/>
            <w:vAlign w:val="center"/>
          </w:tcPr>
          <w:p w14:paraId="5786542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172" w:type="dxa"/>
            <w:noWrap w:val="0"/>
            <w:vAlign w:val="center"/>
          </w:tcPr>
          <w:p w14:paraId="4A03F405">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040" w:type="dxa"/>
            <w:noWrap w:val="0"/>
            <w:vAlign w:val="center"/>
          </w:tcPr>
          <w:p w14:paraId="16DF7B68">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0452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trPr>
        <w:tc>
          <w:tcPr>
            <w:tcW w:w="772" w:type="dxa"/>
            <w:noWrap w:val="0"/>
            <w:vAlign w:val="center"/>
          </w:tcPr>
          <w:p w14:paraId="149A731F">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5733" w:type="dxa"/>
            <w:noWrap w:val="0"/>
            <w:vAlign w:val="center"/>
          </w:tcPr>
          <w:p w14:paraId="1B699E95">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172" w:type="dxa"/>
            <w:noWrap w:val="0"/>
            <w:vAlign w:val="center"/>
          </w:tcPr>
          <w:p w14:paraId="4645E8E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040" w:type="dxa"/>
            <w:noWrap w:val="0"/>
            <w:vAlign w:val="center"/>
          </w:tcPr>
          <w:p w14:paraId="6D9D11C2">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bl>
    <w:p w14:paraId="27F3BF32">
      <w:pPr>
        <w:spacing w:line="360" w:lineRule="auto"/>
        <w:rPr>
          <w:rFonts w:hint="eastAsia" w:ascii="宋体" w:hAnsi="宋体" w:cs="宋体"/>
          <w:color w:val="auto"/>
          <w:szCs w:val="21"/>
          <w:highlight w:val="none"/>
        </w:rPr>
      </w:pPr>
    </w:p>
    <w:p w14:paraId="2935FA61">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注：请各投标人将评分标准对应本表放在投标文件目录前。</w:t>
      </w:r>
    </w:p>
    <w:p w14:paraId="141A5E9F">
      <w:pPr>
        <w:pStyle w:val="2"/>
        <w:rPr>
          <w:rFonts w:hint="eastAsia" w:ascii="宋体" w:hAnsi="宋体" w:cs="宋体"/>
          <w:b/>
          <w:bCs/>
          <w:color w:val="auto"/>
          <w:sz w:val="21"/>
          <w:szCs w:val="21"/>
          <w:highlight w:val="none"/>
        </w:rPr>
      </w:pPr>
    </w:p>
    <w:sectPr>
      <w:headerReference r:id="rId5" w:type="default"/>
      <w:footerReference r:id="rId6" w:type="default"/>
      <w:pgSz w:w="11906" w:h="16838"/>
      <w:pgMar w:top="1985" w:right="1531" w:bottom="1588" w:left="1644" w:header="851" w:footer="992" w:gutter="0"/>
      <w:pgNumType w:fmt="decimal" w:start="1"/>
      <w:cols w:space="720" w:num="1"/>
      <w:rtlGutter w:val="1"/>
      <w:docGrid w:linePitch="602" w:charSpace="-16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SimSun-ExtB">
    <w:panose1 w:val="02010609060101010101"/>
    <w:charset w:val="86"/>
    <w:family w:val="modern"/>
    <w:pitch w:val="default"/>
    <w:sig w:usb0="00000001" w:usb1="02000000" w:usb2="00000000" w:usb3="00000000" w:csb0="00040001" w:csb1="00000000"/>
  </w:font>
  <w:font w:name="MS PGothic">
    <w:panose1 w:val="020B0600070205080204"/>
    <w:charset w:val="80"/>
    <w:family w:val="swiss"/>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swiss"/>
    <w:pitch w:val="default"/>
    <w:sig w:usb0="00000000" w:usb1="00000000" w:usb2="00000000" w:usb3="00000000" w:csb0="2000019F" w:csb1="4F010000"/>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2020503050405090304"/>
    <w:charset w:val="00"/>
    <w:family w:val="auto"/>
    <w:pitch w:val="default"/>
    <w:sig w:usb0="00000000" w:usb1="00000000" w:usb2="00000001" w:usb3="00000000" w:csb0="400001BF" w:csb1="DFF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CDE9A">
    <w:pPr>
      <w:pStyle w:val="2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9A04B">
    <w:pPr>
      <w:pStyle w:val="23"/>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7FA7CE">
                          <w:pPr>
                            <w:pStyle w:val="23"/>
                          </w:pPr>
                          <w:r>
                            <w:fldChar w:fldCharType="begin"/>
                          </w:r>
                          <w:r>
                            <w:instrText xml:space="preserve"> PAGE  \* MERGEFORMAT </w:instrText>
                          </w:r>
                          <w:r>
                            <w:fldChar w:fldCharType="separate"/>
                          </w:r>
                          <w:r>
                            <w:t>36</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A0Lq3gEAAL4DAAAOAAAAAAAA&#10;AAEAIAAAAB4BAABkcnMvZTJvRG9jLnhtbFBLBQYAAAAABgAGAFkBAABuBQAAAAA=&#10;">
              <v:fill on="f" focussize="0,0"/>
              <v:stroke on="f"/>
              <v:imagedata o:title=""/>
              <o:lock v:ext="edit" aspectratio="f"/>
              <v:textbox inset="0mm,0mm,0mm,0mm" style="mso-fit-shape-to-text:t;">
                <w:txbxContent>
                  <w:p w14:paraId="5F7FA7CE">
                    <w:pPr>
                      <w:pStyle w:val="23"/>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DB502">
    <w:pPr>
      <w:pStyle w:val="2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2444E">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B28795"/>
    <w:multiLevelType w:val="singleLevel"/>
    <w:tmpl w:val="8CB28795"/>
    <w:lvl w:ilvl="0" w:tentative="0">
      <w:start w:val="2"/>
      <w:numFmt w:val="decimal"/>
      <w:suff w:val="nothing"/>
      <w:lvlText w:val="%1、"/>
      <w:lvlJc w:val="left"/>
    </w:lvl>
  </w:abstractNum>
  <w:abstractNum w:abstractNumId="1">
    <w:nsid w:val="D694CBCD"/>
    <w:multiLevelType w:val="singleLevel"/>
    <w:tmpl w:val="D694CBCD"/>
    <w:lvl w:ilvl="0" w:tentative="0">
      <w:start w:val="10"/>
      <w:numFmt w:val="decimal"/>
      <w:lvlText w:val="%1."/>
      <w:lvlJc w:val="left"/>
      <w:pPr>
        <w:tabs>
          <w:tab w:val="left" w:pos="312"/>
        </w:tabs>
      </w:pPr>
    </w:lvl>
  </w:abstractNum>
  <w:abstractNum w:abstractNumId="2">
    <w:nsid w:val="00000008"/>
    <w:multiLevelType w:val="singleLevel"/>
    <w:tmpl w:val="00000008"/>
    <w:lvl w:ilvl="0" w:tentative="0">
      <w:start w:val="1"/>
      <w:numFmt w:val="decimal"/>
      <w:pStyle w:val="16"/>
      <w:lvlText w:val="%1."/>
      <w:lvlJc w:val="left"/>
      <w:pPr>
        <w:tabs>
          <w:tab w:val="left" w:pos="1200"/>
        </w:tabs>
        <w:ind w:left="1200" w:hanging="360"/>
      </w:pPr>
    </w:lvl>
  </w:abstractNum>
  <w:abstractNum w:abstractNumId="3">
    <w:nsid w:val="00000009"/>
    <w:multiLevelType w:val="multilevel"/>
    <w:tmpl w:val="00000009"/>
    <w:lvl w:ilvl="0" w:tentative="0">
      <w:start w:val="9"/>
      <w:numFmt w:val="decimal"/>
      <w:pStyle w:val="47"/>
      <w:suff w:val="space"/>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FFFFF7C"/>
    <w:multiLevelType w:val="singleLevel"/>
    <w:tmpl w:val="0FFFFF7C"/>
    <w:lvl w:ilvl="0" w:tentative="0">
      <w:start w:val="1"/>
      <w:numFmt w:val="decimal"/>
      <w:lvlText w:val="%1."/>
      <w:lvlJc w:val="left"/>
      <w:pPr>
        <w:tabs>
          <w:tab w:val="left" w:pos="2040"/>
        </w:tabs>
        <w:ind w:left="2040" w:hanging="360"/>
      </w:pPr>
    </w:lvl>
  </w:abstractNum>
  <w:abstractNum w:abstractNumId="5">
    <w:nsid w:val="339BD4C3"/>
    <w:multiLevelType w:val="singleLevel"/>
    <w:tmpl w:val="339BD4C3"/>
    <w:lvl w:ilvl="0" w:tentative="0">
      <w:start w:val="1"/>
      <w:numFmt w:val="decimal"/>
      <w:suff w:val="nothing"/>
      <w:lvlText w:val="（%1）"/>
      <w:lvlJc w:val="left"/>
    </w:lvl>
  </w:abstractNum>
  <w:abstractNum w:abstractNumId="6">
    <w:nsid w:val="70B81545"/>
    <w:multiLevelType w:val="multilevel"/>
    <w:tmpl w:val="70B81545"/>
    <w:lvl w:ilvl="0" w:tentative="0">
      <w:start w:val="1"/>
      <w:numFmt w:val="lowerLetter"/>
      <w:pStyle w:val="110"/>
      <w:lvlText w:val="%1)"/>
      <w:lvlJc w:val="left"/>
      <w:pPr>
        <w:ind w:left="903" w:hanging="477"/>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6"/>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1"/>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mMTZlMjE2ZmExNzFhMTBiNDQ4MmNjYmEzMWUxZjQifQ=="/>
    <w:docVar w:name="KSO_WPS_MARK_KEY" w:val="4276f090-9eeb-47b2-a721-b22cf063445c"/>
  </w:docVars>
  <w:rsids>
    <w:rsidRoot w:val="00172A27"/>
    <w:rsid w:val="00005925"/>
    <w:rsid w:val="0002716F"/>
    <w:rsid w:val="00043D0E"/>
    <w:rsid w:val="00054D3F"/>
    <w:rsid w:val="000550CC"/>
    <w:rsid w:val="000978B3"/>
    <w:rsid w:val="000E5BA3"/>
    <w:rsid w:val="00114FB4"/>
    <w:rsid w:val="001D77E0"/>
    <w:rsid w:val="0021533F"/>
    <w:rsid w:val="00220EDF"/>
    <w:rsid w:val="00226F68"/>
    <w:rsid w:val="00227A11"/>
    <w:rsid w:val="0025293D"/>
    <w:rsid w:val="002675B5"/>
    <w:rsid w:val="00280AE7"/>
    <w:rsid w:val="002849C0"/>
    <w:rsid w:val="00290432"/>
    <w:rsid w:val="00307978"/>
    <w:rsid w:val="00354039"/>
    <w:rsid w:val="00363F37"/>
    <w:rsid w:val="003A5DDB"/>
    <w:rsid w:val="003A6AAE"/>
    <w:rsid w:val="00407A4C"/>
    <w:rsid w:val="00441398"/>
    <w:rsid w:val="005162A2"/>
    <w:rsid w:val="005312AC"/>
    <w:rsid w:val="0053652C"/>
    <w:rsid w:val="00546996"/>
    <w:rsid w:val="00577431"/>
    <w:rsid w:val="005B7C4C"/>
    <w:rsid w:val="00604C3D"/>
    <w:rsid w:val="00614C3F"/>
    <w:rsid w:val="00646808"/>
    <w:rsid w:val="00654909"/>
    <w:rsid w:val="0071436D"/>
    <w:rsid w:val="007A4B06"/>
    <w:rsid w:val="007C7931"/>
    <w:rsid w:val="0082665B"/>
    <w:rsid w:val="00873E35"/>
    <w:rsid w:val="0088487B"/>
    <w:rsid w:val="0089354F"/>
    <w:rsid w:val="008B52C1"/>
    <w:rsid w:val="008D3B15"/>
    <w:rsid w:val="00A263C0"/>
    <w:rsid w:val="00A33431"/>
    <w:rsid w:val="00A5752A"/>
    <w:rsid w:val="00A82E9F"/>
    <w:rsid w:val="00A904F2"/>
    <w:rsid w:val="00AB47F2"/>
    <w:rsid w:val="00AF06DE"/>
    <w:rsid w:val="00B058E6"/>
    <w:rsid w:val="00B10ECE"/>
    <w:rsid w:val="00B13789"/>
    <w:rsid w:val="00B328CF"/>
    <w:rsid w:val="00B75F11"/>
    <w:rsid w:val="00B80F26"/>
    <w:rsid w:val="00BF4A2D"/>
    <w:rsid w:val="00CD1699"/>
    <w:rsid w:val="00CD4852"/>
    <w:rsid w:val="00CD6A94"/>
    <w:rsid w:val="00CF62AA"/>
    <w:rsid w:val="00D60C95"/>
    <w:rsid w:val="00D7407A"/>
    <w:rsid w:val="00D772A5"/>
    <w:rsid w:val="00DC20BF"/>
    <w:rsid w:val="00DF0ACD"/>
    <w:rsid w:val="00E244A0"/>
    <w:rsid w:val="00E54B96"/>
    <w:rsid w:val="00ED003F"/>
    <w:rsid w:val="00ED2D0D"/>
    <w:rsid w:val="00EF3694"/>
    <w:rsid w:val="00F07EFD"/>
    <w:rsid w:val="00F52B53"/>
    <w:rsid w:val="00F92B57"/>
    <w:rsid w:val="00FB0670"/>
    <w:rsid w:val="00FD4A18"/>
    <w:rsid w:val="01285A29"/>
    <w:rsid w:val="01557E4C"/>
    <w:rsid w:val="0185498B"/>
    <w:rsid w:val="018D23D0"/>
    <w:rsid w:val="019C7AF3"/>
    <w:rsid w:val="02D212D8"/>
    <w:rsid w:val="02E212F5"/>
    <w:rsid w:val="03317E61"/>
    <w:rsid w:val="036B28DE"/>
    <w:rsid w:val="039C5AD7"/>
    <w:rsid w:val="03D40EF1"/>
    <w:rsid w:val="040A3AF2"/>
    <w:rsid w:val="040C0EB2"/>
    <w:rsid w:val="041D26FB"/>
    <w:rsid w:val="04377778"/>
    <w:rsid w:val="04660B90"/>
    <w:rsid w:val="046F7EE3"/>
    <w:rsid w:val="04923543"/>
    <w:rsid w:val="04BB6D08"/>
    <w:rsid w:val="04E27C10"/>
    <w:rsid w:val="04FC32A7"/>
    <w:rsid w:val="05325B08"/>
    <w:rsid w:val="060924BB"/>
    <w:rsid w:val="06260A13"/>
    <w:rsid w:val="06303F45"/>
    <w:rsid w:val="06977416"/>
    <w:rsid w:val="069F66F2"/>
    <w:rsid w:val="06CF625A"/>
    <w:rsid w:val="07776294"/>
    <w:rsid w:val="07942A55"/>
    <w:rsid w:val="079D469A"/>
    <w:rsid w:val="07D61756"/>
    <w:rsid w:val="07FEFEA1"/>
    <w:rsid w:val="08012593"/>
    <w:rsid w:val="08073379"/>
    <w:rsid w:val="084C4CE6"/>
    <w:rsid w:val="08A5324B"/>
    <w:rsid w:val="08B767C5"/>
    <w:rsid w:val="08DB4AB2"/>
    <w:rsid w:val="08EE6006"/>
    <w:rsid w:val="08EE6E9C"/>
    <w:rsid w:val="08EF0E12"/>
    <w:rsid w:val="09594C9C"/>
    <w:rsid w:val="098637B0"/>
    <w:rsid w:val="09E0043F"/>
    <w:rsid w:val="0A0C67D6"/>
    <w:rsid w:val="0A1A1F41"/>
    <w:rsid w:val="0A257B66"/>
    <w:rsid w:val="0A305BFF"/>
    <w:rsid w:val="0A7B0493"/>
    <w:rsid w:val="0AE56D51"/>
    <w:rsid w:val="0BB56F8C"/>
    <w:rsid w:val="0BCD6199"/>
    <w:rsid w:val="0BD729B7"/>
    <w:rsid w:val="0C013FEF"/>
    <w:rsid w:val="0C082400"/>
    <w:rsid w:val="0C0D03D8"/>
    <w:rsid w:val="0C7015F6"/>
    <w:rsid w:val="0C9600FF"/>
    <w:rsid w:val="0CA7008F"/>
    <w:rsid w:val="0CD27B67"/>
    <w:rsid w:val="0D3E3118"/>
    <w:rsid w:val="0D684BE2"/>
    <w:rsid w:val="0D69371B"/>
    <w:rsid w:val="0D733D1A"/>
    <w:rsid w:val="0D8818E3"/>
    <w:rsid w:val="0EC75C36"/>
    <w:rsid w:val="0F0373B1"/>
    <w:rsid w:val="0F095A37"/>
    <w:rsid w:val="0F103DDF"/>
    <w:rsid w:val="0F34522D"/>
    <w:rsid w:val="0F5150B7"/>
    <w:rsid w:val="0F5C08A7"/>
    <w:rsid w:val="10065C25"/>
    <w:rsid w:val="103F6690"/>
    <w:rsid w:val="10571A06"/>
    <w:rsid w:val="10617134"/>
    <w:rsid w:val="11131439"/>
    <w:rsid w:val="11251F55"/>
    <w:rsid w:val="118512DA"/>
    <w:rsid w:val="118C636C"/>
    <w:rsid w:val="11CE4C2B"/>
    <w:rsid w:val="12970740"/>
    <w:rsid w:val="12E23DB4"/>
    <w:rsid w:val="13244B1B"/>
    <w:rsid w:val="13951D55"/>
    <w:rsid w:val="13ED3490"/>
    <w:rsid w:val="146E015A"/>
    <w:rsid w:val="1489739B"/>
    <w:rsid w:val="14C56C73"/>
    <w:rsid w:val="15387789"/>
    <w:rsid w:val="159D51A8"/>
    <w:rsid w:val="15A71B13"/>
    <w:rsid w:val="16014EA7"/>
    <w:rsid w:val="161B13B8"/>
    <w:rsid w:val="164B1D39"/>
    <w:rsid w:val="165618E0"/>
    <w:rsid w:val="16880DEA"/>
    <w:rsid w:val="16B07922"/>
    <w:rsid w:val="16C34F93"/>
    <w:rsid w:val="16C87EA9"/>
    <w:rsid w:val="16E24EFE"/>
    <w:rsid w:val="16EA31A7"/>
    <w:rsid w:val="170B1AC4"/>
    <w:rsid w:val="179B48F8"/>
    <w:rsid w:val="179E360F"/>
    <w:rsid w:val="17B34D32"/>
    <w:rsid w:val="17B86064"/>
    <w:rsid w:val="17C36820"/>
    <w:rsid w:val="1836455E"/>
    <w:rsid w:val="18700844"/>
    <w:rsid w:val="192501A9"/>
    <w:rsid w:val="19374F52"/>
    <w:rsid w:val="19403060"/>
    <w:rsid w:val="196514D9"/>
    <w:rsid w:val="19ED7494"/>
    <w:rsid w:val="1A191CE0"/>
    <w:rsid w:val="1A585C89"/>
    <w:rsid w:val="1A8978C8"/>
    <w:rsid w:val="1AC76095"/>
    <w:rsid w:val="1B240721"/>
    <w:rsid w:val="1B3A47C6"/>
    <w:rsid w:val="1B3C1720"/>
    <w:rsid w:val="1B3E235B"/>
    <w:rsid w:val="1BD141B1"/>
    <w:rsid w:val="1C321457"/>
    <w:rsid w:val="1C537A03"/>
    <w:rsid w:val="1C9A6B24"/>
    <w:rsid w:val="1CB56451"/>
    <w:rsid w:val="1CD912C1"/>
    <w:rsid w:val="1CED1157"/>
    <w:rsid w:val="1D1D32E0"/>
    <w:rsid w:val="1D347560"/>
    <w:rsid w:val="1D9A0635"/>
    <w:rsid w:val="1DEE34AF"/>
    <w:rsid w:val="1E26608E"/>
    <w:rsid w:val="1E575BC4"/>
    <w:rsid w:val="1EB244FD"/>
    <w:rsid w:val="1EBE0CB0"/>
    <w:rsid w:val="1F31709F"/>
    <w:rsid w:val="1F376A90"/>
    <w:rsid w:val="1F516372"/>
    <w:rsid w:val="1F6D61B8"/>
    <w:rsid w:val="1F772206"/>
    <w:rsid w:val="1F943D47"/>
    <w:rsid w:val="1FBF453A"/>
    <w:rsid w:val="20484273"/>
    <w:rsid w:val="2052555B"/>
    <w:rsid w:val="20595D7C"/>
    <w:rsid w:val="20827A42"/>
    <w:rsid w:val="20DB54DB"/>
    <w:rsid w:val="214719FA"/>
    <w:rsid w:val="2151770C"/>
    <w:rsid w:val="21743C22"/>
    <w:rsid w:val="2223400D"/>
    <w:rsid w:val="22901410"/>
    <w:rsid w:val="22B12A4B"/>
    <w:rsid w:val="22C62308"/>
    <w:rsid w:val="232A6D8A"/>
    <w:rsid w:val="232C356D"/>
    <w:rsid w:val="23891784"/>
    <w:rsid w:val="241943A3"/>
    <w:rsid w:val="25142870"/>
    <w:rsid w:val="253E6E85"/>
    <w:rsid w:val="256B48AB"/>
    <w:rsid w:val="257C3418"/>
    <w:rsid w:val="262D4516"/>
    <w:rsid w:val="264E2936"/>
    <w:rsid w:val="26586FB0"/>
    <w:rsid w:val="26A60524"/>
    <w:rsid w:val="26F4462D"/>
    <w:rsid w:val="27305D74"/>
    <w:rsid w:val="273E5829"/>
    <w:rsid w:val="27D22B63"/>
    <w:rsid w:val="280E054E"/>
    <w:rsid w:val="284952E9"/>
    <w:rsid w:val="289B1FE8"/>
    <w:rsid w:val="28C36468"/>
    <w:rsid w:val="291C64AE"/>
    <w:rsid w:val="295E3833"/>
    <w:rsid w:val="29FD7285"/>
    <w:rsid w:val="2A3519BF"/>
    <w:rsid w:val="2A5127BB"/>
    <w:rsid w:val="2A58206F"/>
    <w:rsid w:val="2A77784D"/>
    <w:rsid w:val="2ABD343D"/>
    <w:rsid w:val="2AFA053A"/>
    <w:rsid w:val="2B0E388C"/>
    <w:rsid w:val="2BC96B1A"/>
    <w:rsid w:val="2BD53B94"/>
    <w:rsid w:val="2BDE006C"/>
    <w:rsid w:val="2C5B3F43"/>
    <w:rsid w:val="2C6D7983"/>
    <w:rsid w:val="2D5D5131"/>
    <w:rsid w:val="2D8C0E5F"/>
    <w:rsid w:val="2DCF4F72"/>
    <w:rsid w:val="2E0B0660"/>
    <w:rsid w:val="2E682295"/>
    <w:rsid w:val="2E7009A8"/>
    <w:rsid w:val="2F923429"/>
    <w:rsid w:val="2FA755BF"/>
    <w:rsid w:val="2FDA1FAF"/>
    <w:rsid w:val="2FF76C68"/>
    <w:rsid w:val="302321C2"/>
    <w:rsid w:val="307D4F89"/>
    <w:rsid w:val="308B3197"/>
    <w:rsid w:val="30C35417"/>
    <w:rsid w:val="30E944AE"/>
    <w:rsid w:val="31BE50A9"/>
    <w:rsid w:val="324B41D1"/>
    <w:rsid w:val="32BC5A78"/>
    <w:rsid w:val="332B5EF2"/>
    <w:rsid w:val="33582884"/>
    <w:rsid w:val="33874EB8"/>
    <w:rsid w:val="33E24B8E"/>
    <w:rsid w:val="34937DE1"/>
    <w:rsid w:val="34A80D9B"/>
    <w:rsid w:val="36143CDE"/>
    <w:rsid w:val="36285839"/>
    <w:rsid w:val="36687F39"/>
    <w:rsid w:val="36A1050C"/>
    <w:rsid w:val="36AD4B12"/>
    <w:rsid w:val="37031F9E"/>
    <w:rsid w:val="3735079C"/>
    <w:rsid w:val="37921BBD"/>
    <w:rsid w:val="3797338D"/>
    <w:rsid w:val="37E8546F"/>
    <w:rsid w:val="382F3BD9"/>
    <w:rsid w:val="38494B65"/>
    <w:rsid w:val="389F4BE4"/>
    <w:rsid w:val="38C21A97"/>
    <w:rsid w:val="38C22AB9"/>
    <w:rsid w:val="38EF77E6"/>
    <w:rsid w:val="38FB06E7"/>
    <w:rsid w:val="39AD2526"/>
    <w:rsid w:val="3A9D50FE"/>
    <w:rsid w:val="3ABA3010"/>
    <w:rsid w:val="3B1278F8"/>
    <w:rsid w:val="3B461B1B"/>
    <w:rsid w:val="3BB33BFE"/>
    <w:rsid w:val="3BCE796C"/>
    <w:rsid w:val="3BE276E2"/>
    <w:rsid w:val="3BE40847"/>
    <w:rsid w:val="3C397722"/>
    <w:rsid w:val="3C42653E"/>
    <w:rsid w:val="3C6C2F34"/>
    <w:rsid w:val="3CC7592C"/>
    <w:rsid w:val="3CEE670C"/>
    <w:rsid w:val="3CF3516A"/>
    <w:rsid w:val="3D1E0416"/>
    <w:rsid w:val="3D6246A0"/>
    <w:rsid w:val="3D78332D"/>
    <w:rsid w:val="3D931088"/>
    <w:rsid w:val="3E07604D"/>
    <w:rsid w:val="3E316CB3"/>
    <w:rsid w:val="3E5040DA"/>
    <w:rsid w:val="3E6039B9"/>
    <w:rsid w:val="3E6F6D93"/>
    <w:rsid w:val="3E947539"/>
    <w:rsid w:val="3F11426F"/>
    <w:rsid w:val="3F597685"/>
    <w:rsid w:val="3F7568A2"/>
    <w:rsid w:val="3F9944BF"/>
    <w:rsid w:val="3F9A2539"/>
    <w:rsid w:val="3FC55063"/>
    <w:rsid w:val="3FE64060"/>
    <w:rsid w:val="3FFD2A2C"/>
    <w:rsid w:val="40012A14"/>
    <w:rsid w:val="402C30CE"/>
    <w:rsid w:val="40943578"/>
    <w:rsid w:val="40C120CD"/>
    <w:rsid w:val="40CC265C"/>
    <w:rsid w:val="411B63CD"/>
    <w:rsid w:val="418758A6"/>
    <w:rsid w:val="41B06152"/>
    <w:rsid w:val="41D36868"/>
    <w:rsid w:val="420A3AEF"/>
    <w:rsid w:val="4228119B"/>
    <w:rsid w:val="423B3B37"/>
    <w:rsid w:val="42DD4399"/>
    <w:rsid w:val="433C288F"/>
    <w:rsid w:val="433E3D1B"/>
    <w:rsid w:val="434A3ABA"/>
    <w:rsid w:val="438C782F"/>
    <w:rsid w:val="440F19B1"/>
    <w:rsid w:val="44D02BC2"/>
    <w:rsid w:val="45230CD7"/>
    <w:rsid w:val="454F0C5B"/>
    <w:rsid w:val="45586156"/>
    <w:rsid w:val="455C0965"/>
    <w:rsid w:val="45DE2DC7"/>
    <w:rsid w:val="45E42AB8"/>
    <w:rsid w:val="46115182"/>
    <w:rsid w:val="4646138E"/>
    <w:rsid w:val="465B1D75"/>
    <w:rsid w:val="46723FAD"/>
    <w:rsid w:val="46844D9D"/>
    <w:rsid w:val="46C76D9D"/>
    <w:rsid w:val="46C9580A"/>
    <w:rsid w:val="46D2220F"/>
    <w:rsid w:val="46EA51BF"/>
    <w:rsid w:val="47264585"/>
    <w:rsid w:val="47A63131"/>
    <w:rsid w:val="47D468C7"/>
    <w:rsid w:val="48005302"/>
    <w:rsid w:val="48285C05"/>
    <w:rsid w:val="482D0316"/>
    <w:rsid w:val="486701DC"/>
    <w:rsid w:val="48DA0607"/>
    <w:rsid w:val="492B7FFB"/>
    <w:rsid w:val="49524471"/>
    <w:rsid w:val="4977404A"/>
    <w:rsid w:val="499F46D9"/>
    <w:rsid w:val="49BE621C"/>
    <w:rsid w:val="49EE7CDB"/>
    <w:rsid w:val="49F32C8D"/>
    <w:rsid w:val="4A963F66"/>
    <w:rsid w:val="4A972E43"/>
    <w:rsid w:val="4AC073C4"/>
    <w:rsid w:val="4AD0113A"/>
    <w:rsid w:val="4B117031"/>
    <w:rsid w:val="4B2B12C7"/>
    <w:rsid w:val="4B546722"/>
    <w:rsid w:val="4C3C28EB"/>
    <w:rsid w:val="4C822468"/>
    <w:rsid w:val="4C9B2DBD"/>
    <w:rsid w:val="4CED1B7D"/>
    <w:rsid w:val="4CF6154D"/>
    <w:rsid w:val="4D0D3BB8"/>
    <w:rsid w:val="4D85417D"/>
    <w:rsid w:val="4E544F51"/>
    <w:rsid w:val="4E925C17"/>
    <w:rsid w:val="4E940F59"/>
    <w:rsid w:val="4F536402"/>
    <w:rsid w:val="4F5D483E"/>
    <w:rsid w:val="4F8623FC"/>
    <w:rsid w:val="4FD07DC3"/>
    <w:rsid w:val="4FF76C0F"/>
    <w:rsid w:val="50192E32"/>
    <w:rsid w:val="50502AAB"/>
    <w:rsid w:val="50A42BB2"/>
    <w:rsid w:val="50DE0393"/>
    <w:rsid w:val="50FC75C7"/>
    <w:rsid w:val="51680D42"/>
    <w:rsid w:val="52035A69"/>
    <w:rsid w:val="520368CD"/>
    <w:rsid w:val="526409F5"/>
    <w:rsid w:val="52B4563D"/>
    <w:rsid w:val="52F6057B"/>
    <w:rsid w:val="538359F3"/>
    <w:rsid w:val="53A530E0"/>
    <w:rsid w:val="53A77FA0"/>
    <w:rsid w:val="54585E2C"/>
    <w:rsid w:val="545C0D20"/>
    <w:rsid w:val="548642CF"/>
    <w:rsid w:val="54D60533"/>
    <w:rsid w:val="55025501"/>
    <w:rsid w:val="557776DE"/>
    <w:rsid w:val="55B45BEE"/>
    <w:rsid w:val="55D35BE9"/>
    <w:rsid w:val="55E44584"/>
    <w:rsid w:val="56B7405B"/>
    <w:rsid w:val="56BB0503"/>
    <w:rsid w:val="57286AFD"/>
    <w:rsid w:val="57340605"/>
    <w:rsid w:val="573A6105"/>
    <w:rsid w:val="57563947"/>
    <w:rsid w:val="57564D33"/>
    <w:rsid w:val="57A87BDC"/>
    <w:rsid w:val="57AD4F8E"/>
    <w:rsid w:val="57E62734"/>
    <w:rsid w:val="580B74BC"/>
    <w:rsid w:val="583308A6"/>
    <w:rsid w:val="58844A17"/>
    <w:rsid w:val="58A81A34"/>
    <w:rsid w:val="58BA4FE2"/>
    <w:rsid w:val="58C018F5"/>
    <w:rsid w:val="595621F3"/>
    <w:rsid w:val="596D0450"/>
    <w:rsid w:val="5983051E"/>
    <w:rsid w:val="59CA7F9D"/>
    <w:rsid w:val="59D52D36"/>
    <w:rsid w:val="5A3729A3"/>
    <w:rsid w:val="5A390F13"/>
    <w:rsid w:val="5A461504"/>
    <w:rsid w:val="5ACA59B4"/>
    <w:rsid w:val="5B1934AA"/>
    <w:rsid w:val="5B3C67EE"/>
    <w:rsid w:val="5BB828C4"/>
    <w:rsid w:val="5BCD17B1"/>
    <w:rsid w:val="5C092AB3"/>
    <w:rsid w:val="5C400CBF"/>
    <w:rsid w:val="5C5422FA"/>
    <w:rsid w:val="5C6455BB"/>
    <w:rsid w:val="5C6D7E5D"/>
    <w:rsid w:val="5C9F663D"/>
    <w:rsid w:val="5CC77D02"/>
    <w:rsid w:val="5CF4568A"/>
    <w:rsid w:val="5D1D4073"/>
    <w:rsid w:val="5D1F2420"/>
    <w:rsid w:val="5DC06392"/>
    <w:rsid w:val="5E151C16"/>
    <w:rsid w:val="5EA10986"/>
    <w:rsid w:val="5EA3008B"/>
    <w:rsid w:val="5EDA4897"/>
    <w:rsid w:val="5EF2579C"/>
    <w:rsid w:val="5F2A014C"/>
    <w:rsid w:val="5F5D203A"/>
    <w:rsid w:val="5FD57908"/>
    <w:rsid w:val="60923AAB"/>
    <w:rsid w:val="60AB5D16"/>
    <w:rsid w:val="60CE5DB0"/>
    <w:rsid w:val="60E61965"/>
    <w:rsid w:val="60F56125"/>
    <w:rsid w:val="61720917"/>
    <w:rsid w:val="61AB691F"/>
    <w:rsid w:val="61AB7E9F"/>
    <w:rsid w:val="61BB30D4"/>
    <w:rsid w:val="61C41786"/>
    <w:rsid w:val="61E61793"/>
    <w:rsid w:val="61ED37A5"/>
    <w:rsid w:val="622466D1"/>
    <w:rsid w:val="62586094"/>
    <w:rsid w:val="6271323B"/>
    <w:rsid w:val="62B82CCB"/>
    <w:rsid w:val="6439213D"/>
    <w:rsid w:val="644456D8"/>
    <w:rsid w:val="64760BB6"/>
    <w:rsid w:val="64A1573E"/>
    <w:rsid w:val="64ABD07D"/>
    <w:rsid w:val="64AD799F"/>
    <w:rsid w:val="64D23995"/>
    <w:rsid w:val="64FB70CB"/>
    <w:rsid w:val="653F77CB"/>
    <w:rsid w:val="655602B4"/>
    <w:rsid w:val="65A26F1B"/>
    <w:rsid w:val="65C51012"/>
    <w:rsid w:val="65DB61A0"/>
    <w:rsid w:val="65F87CBA"/>
    <w:rsid w:val="66D53FD0"/>
    <w:rsid w:val="67357D32"/>
    <w:rsid w:val="677E07C6"/>
    <w:rsid w:val="67846424"/>
    <w:rsid w:val="67BE6BBA"/>
    <w:rsid w:val="67D153DE"/>
    <w:rsid w:val="67E079C1"/>
    <w:rsid w:val="68264305"/>
    <w:rsid w:val="685A1A82"/>
    <w:rsid w:val="68B555AB"/>
    <w:rsid w:val="693B66E2"/>
    <w:rsid w:val="69494D8F"/>
    <w:rsid w:val="69FE202B"/>
    <w:rsid w:val="6A067120"/>
    <w:rsid w:val="6A2A25A6"/>
    <w:rsid w:val="6A372C18"/>
    <w:rsid w:val="6A3E04D2"/>
    <w:rsid w:val="6A7D71ED"/>
    <w:rsid w:val="6A83624B"/>
    <w:rsid w:val="6ADB7A47"/>
    <w:rsid w:val="6B0F0867"/>
    <w:rsid w:val="6B29213D"/>
    <w:rsid w:val="6B6878D5"/>
    <w:rsid w:val="6B8264AB"/>
    <w:rsid w:val="6B9929AE"/>
    <w:rsid w:val="6BC00D54"/>
    <w:rsid w:val="6C001B36"/>
    <w:rsid w:val="6C02441D"/>
    <w:rsid w:val="6C0D7FBA"/>
    <w:rsid w:val="6CB238E6"/>
    <w:rsid w:val="6CB56020"/>
    <w:rsid w:val="6D0841DC"/>
    <w:rsid w:val="6D675FCD"/>
    <w:rsid w:val="6DEB68AF"/>
    <w:rsid w:val="6DF66A93"/>
    <w:rsid w:val="6E8745E5"/>
    <w:rsid w:val="6EB2693A"/>
    <w:rsid w:val="6EC34823"/>
    <w:rsid w:val="6EEE25C2"/>
    <w:rsid w:val="6EFE7417"/>
    <w:rsid w:val="6F176ABD"/>
    <w:rsid w:val="6F251265"/>
    <w:rsid w:val="6F3C2F66"/>
    <w:rsid w:val="6F4A7F72"/>
    <w:rsid w:val="6F505AB7"/>
    <w:rsid w:val="6F615302"/>
    <w:rsid w:val="6F88158C"/>
    <w:rsid w:val="6F8F55D5"/>
    <w:rsid w:val="6F9603E0"/>
    <w:rsid w:val="6F994DD6"/>
    <w:rsid w:val="6FD537D7"/>
    <w:rsid w:val="6FFA1780"/>
    <w:rsid w:val="70071C3B"/>
    <w:rsid w:val="703FEAAA"/>
    <w:rsid w:val="70477F50"/>
    <w:rsid w:val="70486052"/>
    <w:rsid w:val="70652770"/>
    <w:rsid w:val="708E19D1"/>
    <w:rsid w:val="70E15C5E"/>
    <w:rsid w:val="71932930"/>
    <w:rsid w:val="719B6D5C"/>
    <w:rsid w:val="729961BE"/>
    <w:rsid w:val="72C35D63"/>
    <w:rsid w:val="72D20396"/>
    <w:rsid w:val="72DC56AE"/>
    <w:rsid w:val="73663A61"/>
    <w:rsid w:val="737857CC"/>
    <w:rsid w:val="73DE2356"/>
    <w:rsid w:val="74E95505"/>
    <w:rsid w:val="74EB3364"/>
    <w:rsid w:val="74FD067F"/>
    <w:rsid w:val="752F2B0A"/>
    <w:rsid w:val="753531C1"/>
    <w:rsid w:val="75431665"/>
    <w:rsid w:val="75A6057C"/>
    <w:rsid w:val="75F04938"/>
    <w:rsid w:val="76236167"/>
    <w:rsid w:val="765526B9"/>
    <w:rsid w:val="76BB18DA"/>
    <w:rsid w:val="7726263F"/>
    <w:rsid w:val="7745696E"/>
    <w:rsid w:val="775B69F5"/>
    <w:rsid w:val="77C27F73"/>
    <w:rsid w:val="780C663F"/>
    <w:rsid w:val="781A6380"/>
    <w:rsid w:val="785C3DE8"/>
    <w:rsid w:val="78A551F0"/>
    <w:rsid w:val="78B05EA6"/>
    <w:rsid w:val="78F06283"/>
    <w:rsid w:val="78FD6DDA"/>
    <w:rsid w:val="79022518"/>
    <w:rsid w:val="796177A1"/>
    <w:rsid w:val="79976F66"/>
    <w:rsid w:val="79E55D34"/>
    <w:rsid w:val="79EF606C"/>
    <w:rsid w:val="7A187C44"/>
    <w:rsid w:val="7A352036"/>
    <w:rsid w:val="7AAA40CE"/>
    <w:rsid w:val="7AC4546C"/>
    <w:rsid w:val="7AEC944A"/>
    <w:rsid w:val="7AED2E7F"/>
    <w:rsid w:val="7AF177E5"/>
    <w:rsid w:val="7AF34EC9"/>
    <w:rsid w:val="7B814186"/>
    <w:rsid w:val="7B8C7B39"/>
    <w:rsid w:val="7BA42675"/>
    <w:rsid w:val="7BFDC3E1"/>
    <w:rsid w:val="7C524AF7"/>
    <w:rsid w:val="7CE8220C"/>
    <w:rsid w:val="7D291821"/>
    <w:rsid w:val="7D516BA4"/>
    <w:rsid w:val="7D61655E"/>
    <w:rsid w:val="7D62119D"/>
    <w:rsid w:val="7E673E88"/>
    <w:rsid w:val="7E6FC304"/>
    <w:rsid w:val="7E7A77E0"/>
    <w:rsid w:val="7E7F2291"/>
    <w:rsid w:val="7E9510EF"/>
    <w:rsid w:val="7F346FBB"/>
    <w:rsid w:val="7F6F419C"/>
    <w:rsid w:val="7F790A6A"/>
    <w:rsid w:val="7FB87C6F"/>
    <w:rsid w:val="7FE6762F"/>
    <w:rsid w:val="7FFBFFE5"/>
    <w:rsid w:val="9BFFC043"/>
    <w:rsid w:val="9F3F2366"/>
    <w:rsid w:val="B6CF86CE"/>
    <w:rsid w:val="BBFF68DD"/>
    <w:rsid w:val="BFFD3583"/>
    <w:rsid w:val="EF6BFE36"/>
    <w:rsid w:val="EFB7A0DF"/>
    <w:rsid w:val="FAFBFCE7"/>
    <w:rsid w:val="FB5A7936"/>
    <w:rsid w:val="FB9FD784"/>
    <w:rsid w:val="FDDF3E0D"/>
    <w:rsid w:val="FE7F7EA8"/>
    <w:rsid w:val="FEF71FFF"/>
    <w:rsid w:val="FFE9C363"/>
    <w:rsid w:val="FFFCA21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1" w:name="heading 5"/>
    <w:lsdException w:qFormat="1" w:uiPriority="1" w:name="heading 6"/>
    <w:lsdException w:qFormat="1" w:uiPriority="1" w:name="heading 7"/>
    <w:lsdException w:qFormat="1" w:uiPriority="1" w:name="heading 8"/>
    <w:lsdException w:qFormat="1" w:uiPriority="1" w:name="heading 9"/>
    <w:lsdException w:uiPriority="1" w:name="index 1"/>
    <w:lsdException w:uiPriority="1" w:name="index 2"/>
    <w:lsdException w:uiPriority="1" w:name="index 3"/>
    <w:lsdException w:uiPriority="1" w:name="index 4"/>
    <w:lsdException w:uiPriority="1" w:name="index 5"/>
    <w:lsdException w:uiPriority="1" w:name="index 6"/>
    <w:lsdException w:uiPriority="1" w:name="index 7"/>
    <w:lsdException w:uiPriority="1" w:name="index 8"/>
    <w:lsdException w:uiPriority="1" w:name="index 9"/>
    <w:lsdException w:qFormat="1" w:unhideWhenUsed="0" w:uiPriority="39" w:semiHidden="0" w:name="toc 1"/>
    <w:lsdException w:qFormat="1" w:uiPriority="39" w:semiHidden="0" w:name="toc 2"/>
    <w:lsdException w:qFormat="1" w:uiPriority="39" w:semiHidden="0" w:name="toc 3"/>
    <w:lsdException w:uiPriority="1" w:name="toc 4"/>
    <w:lsdException w:uiPriority="1" w:name="toc 5"/>
    <w:lsdException w:qFormat="1" w:unhideWhenUsed="0" w:uiPriority="0" w:semiHidden="0" w:name="toc 6"/>
    <w:lsdException w:uiPriority="1" w:name="toc 7"/>
    <w:lsdException w:uiPriority="1" w:name="toc 8"/>
    <w:lsdException w:uiPriority="1" w:name="toc 9"/>
    <w:lsdException w:qFormat="1" w:unhideWhenUsed="0" w:uiPriority="0" w:semiHidden="0" w:name="Normal Indent"/>
    <w:lsdException w:uiPriority="1" w:name="footnote text"/>
    <w:lsdException w:qFormat="1" w:uiPriority="99" w:semiHidden="0" w:name="annotation text"/>
    <w:lsdException w:qFormat="1" w:unhideWhenUsed="0" w:uiPriority="99" w:semiHidden="0" w:name="header"/>
    <w:lsdException w:qFormat="1" w:unhideWhenUsed="0" w:uiPriority="99" w:semiHidden="0" w:name="footer"/>
    <w:lsdException w:uiPriority="1" w:name="index heading"/>
    <w:lsdException w:qFormat="1" w:unhideWhenUsed="0" w:uiPriority="0" w:semiHidden="0" w:name="caption"/>
    <w:lsdException w:uiPriority="1" w:name="table of figures"/>
    <w:lsdException w:uiPriority="1" w:name="envelope address"/>
    <w:lsdException w:uiPriority="1" w:name="envelope return"/>
    <w:lsdException w:uiPriority="1" w:name="footnote reference"/>
    <w:lsdException w:qFormat="1" w:uiPriority="99" w:semiHidden="0" w:name="annotation reference"/>
    <w:lsdException w:uiPriority="1" w:name="line number"/>
    <w:lsdException w:qFormat="1" w:unhideWhenUsed="0" w:uiPriority="0" w:semiHidden="0" w:name="page number"/>
    <w:lsdException w:uiPriority="1" w:name="endnote reference"/>
    <w:lsdException w:uiPriority="1" w:name="endnote text"/>
    <w:lsdException w:uiPriority="1" w:name="table of authorities"/>
    <w:lsdException w:uiPriority="1" w:name="macro"/>
    <w:lsdException w:uiPriority="1" w:name="toa heading"/>
    <w:lsdException w:qFormat="1" w:unhideWhenUsed="0" w:uiPriority="0" w:semiHidden="0" w:name="List"/>
    <w:lsdException w:uiPriority="1" w:name="List Bullet"/>
    <w:lsdException w:qFormat="1" w:unhideWhenUsed="0" w:uiPriority="0" w:semiHidden="0" w:name="List Number"/>
    <w:lsdException w:qFormat="1" w:unhideWhenUsed="0" w:uiPriority="0" w:semiHidden="0" w:name="List 2"/>
    <w:lsdException w:uiPriority="1" w:name="List 3"/>
    <w:lsdException w:uiPriority="1" w:name="List 4"/>
    <w:lsdException w:uiPriority="1" w:name="List 5"/>
    <w:lsdException w:uiPriority="1" w:name="List Bullet 2"/>
    <w:lsdException w:uiPriority="1" w:name="List Bullet 3"/>
    <w:lsdException w:uiPriority="1" w:name="List Bullet 4"/>
    <w:lsdException w:uiPriority="1" w:name="List Bullet 5"/>
    <w:lsdException w:uiPriority="1" w:name="List Number 2"/>
    <w:lsdException w:qFormat="1" w:unhideWhenUsed="0" w:uiPriority="0" w:semiHidden="0" w:name="List Number 3"/>
    <w:lsdException w:uiPriority="1" w:name="List Number 4"/>
    <w:lsdException w:uiPriority="1" w:name="List Number 5"/>
    <w:lsdException w:qFormat="1" w:unhideWhenUsed="0" w:uiPriority="1" w:semiHidden="0" w:name="Title"/>
    <w:lsdException w:uiPriority="1" w:name="Closing"/>
    <w:lsdException w:uiPriority="1"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1" w:name="List Continue"/>
    <w:lsdException w:uiPriority="1" w:name="List Continue 2"/>
    <w:lsdException w:uiPriority="1" w:name="List Continue 3"/>
    <w:lsdException w:uiPriority="1" w:name="List Continue 4"/>
    <w:lsdException w:uiPriority="1" w:name="List Continue 5"/>
    <w:lsdException w:uiPriority="1" w:name="Message Header"/>
    <w:lsdException w:qFormat="1" w:unhideWhenUsed="0" w:uiPriority="1" w:semiHidden="0" w:name="Subtitle"/>
    <w:lsdException w:uiPriority="1"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1"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1"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1" w:name="E-mail Signature"/>
    <w:lsdException w:qFormat="1" w:unhideWhenUsed="0" w:uiPriority="0" w:semiHidden="0" w:name="Normal (Web)"/>
    <w:lsdException w:qFormat="1" w:uiPriority="99" w:semiHidden="0" w:name="HTML Acronym"/>
    <w:lsdException w:uiPriority="1" w:name="HTML Address"/>
    <w:lsdException w:qFormat="1" w:uiPriority="99" w:semiHidden="0" w:name="HTML Cite"/>
    <w:lsdException w:qFormat="1" w:uiPriority="99" w:semiHidden="0" w:name="HTML Code"/>
    <w:lsdException w:qFormat="1" w:uiPriority="99" w:semiHidden="0" w:name="HTML Definition"/>
    <w:lsdException w:uiPriority="1" w:name="HTML Keyboard"/>
    <w:lsdException w:uiPriority="1" w:name="HTML Preformatted"/>
    <w:lsdException w:uiPriority="1" w:name="HTML Sample"/>
    <w:lsdException w:uiPriority="1" w:name="HTML Typewriter"/>
    <w:lsdException w:qFormat="1" w:uiPriority="99" w:semiHidden="0" w:name="HTML Variable"/>
    <w:lsdException w:qFormat="1" w:uiPriority="99" w:semiHidden="0" w:name="Normal Table"/>
    <w:lsdException w:qFormat="1" w:uiPriority="99" w:semiHidden="0" w:name="annotation subject"/>
    <w:lsdException w:uiPriority="1" w:name="Table Simple 1"/>
    <w:lsdException w:uiPriority="1" w:name="Table Simple 2"/>
    <w:lsdException w:uiPriority="1" w:name="Table Simple 3"/>
    <w:lsdException w:uiPriority="1" w:name="Table Classic 1"/>
    <w:lsdException w:uiPriority="1" w:name="Table Classic 2"/>
    <w:lsdException w:uiPriority="1" w:name="Table Classic 3"/>
    <w:lsdException w:uiPriority="1" w:name="Table Classic 4"/>
    <w:lsdException w:uiPriority="1" w:name="Table Colorful 1"/>
    <w:lsdException w:uiPriority="1" w:name="Table Colorful 2"/>
    <w:lsdException w:uiPriority="1" w:name="Table Colorful 3"/>
    <w:lsdException w:uiPriority="1" w:name="Table Columns 1"/>
    <w:lsdException w:uiPriority="1" w:name="Table Columns 2"/>
    <w:lsdException w:uiPriority="1" w:name="Table Columns 3"/>
    <w:lsdException w:uiPriority="1" w:name="Table Columns 4"/>
    <w:lsdException w:uiPriority="1" w:name="Table Columns 5"/>
    <w:lsdException w:uiPriority="1" w:name="Table Grid 1"/>
    <w:lsdException w:uiPriority="1" w:name="Table Grid 2"/>
    <w:lsdException w:uiPriority="1" w:name="Table Grid 3"/>
    <w:lsdException w:uiPriority="1" w:name="Table Grid 4"/>
    <w:lsdException w:uiPriority="1" w:name="Table Grid 5"/>
    <w:lsdException w:uiPriority="1" w:name="Table Grid 6"/>
    <w:lsdException w:uiPriority="1" w:name="Table Grid 7"/>
    <w:lsdException w:uiPriority="1" w:name="Table Grid 8"/>
    <w:lsdException w:uiPriority="1" w:name="Table List 1"/>
    <w:lsdException w:uiPriority="1" w:name="Table List 2"/>
    <w:lsdException w:uiPriority="1" w:name="Table List 3"/>
    <w:lsdException w:uiPriority="1" w:name="Table List 4"/>
    <w:lsdException w:uiPriority="1" w:name="Table List 5"/>
    <w:lsdException w:uiPriority="1" w:name="Table List 6"/>
    <w:lsdException w:uiPriority="1" w:name="Table List 7"/>
    <w:lsdException w:uiPriority="1" w:name="Table List 8"/>
    <w:lsdException w:uiPriority="1" w:name="Table 3D effects 1"/>
    <w:lsdException w:uiPriority="1" w:name="Table 3D effects 2"/>
    <w:lsdException w:uiPriority="1" w:name="Table 3D effects 3"/>
    <w:lsdException w:uiPriority="1" w:name="Table Contemporary"/>
    <w:lsdException w:uiPriority="1" w:name="Table Elegant"/>
    <w:lsdException w:uiPriority="1" w:name="Table Professional"/>
    <w:lsdException w:uiPriority="1" w:name="Table Subtle 1"/>
    <w:lsdException w:uiPriority="1" w:name="Table Subtle 2"/>
    <w:lsdException w:uiPriority="1" w:name="Table Web 1"/>
    <w:lsdException w:uiPriority="1" w:name="Table Web 2"/>
    <w:lsdException w:uiPriority="1" w:name="Table Web 3"/>
    <w:lsdException w:qFormat="1" w:unhideWhenUsed="0" w:uiPriority="0" w:semiHidden="0" w:name="Balloon Text"/>
    <w:lsdException w:qFormat="1" w:unhideWhenUsed="0" w:uiPriority="59" w:semiHidden="0" w:name="Table Grid"/>
    <w:lsdException w:uiPriority="1"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48"/>
    <w:qFormat/>
    <w:uiPriority w:val="0"/>
    <w:pPr>
      <w:keepNext/>
      <w:keepLines/>
      <w:spacing w:before="340" w:after="330" w:line="576" w:lineRule="auto"/>
      <w:outlineLvl w:val="0"/>
    </w:pPr>
    <w:rPr>
      <w:b/>
      <w:bCs/>
      <w:kern w:val="44"/>
      <w:sz w:val="44"/>
      <w:szCs w:val="44"/>
    </w:rPr>
  </w:style>
  <w:style w:type="paragraph" w:styleId="6">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paragraph" w:styleId="7">
    <w:name w:val="heading 3"/>
    <w:basedOn w:val="1"/>
    <w:next w:val="1"/>
    <w:qFormat/>
    <w:uiPriority w:val="0"/>
    <w:pPr>
      <w:keepNext/>
      <w:keepLines/>
      <w:spacing w:before="260" w:after="260" w:line="416" w:lineRule="auto"/>
      <w:outlineLvl w:val="2"/>
    </w:pPr>
    <w:rPr>
      <w:b/>
      <w:bCs/>
      <w:sz w:val="32"/>
      <w:szCs w:val="32"/>
    </w:rPr>
  </w:style>
  <w:style w:type="paragraph" w:styleId="8">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character" w:default="1" w:styleId="35">
    <w:name w:val="Default Paragraph Font"/>
    <w:qFormat/>
    <w:uiPriority w:val="0"/>
  </w:style>
  <w:style w:type="table" w:default="1" w:styleId="33">
    <w:name w:val="Normal Table"/>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3"/>
    <w:link w:val="51"/>
    <w:qFormat/>
    <w:uiPriority w:val="0"/>
    <w:pPr>
      <w:spacing w:after="120"/>
    </w:pPr>
    <w:rPr>
      <w:sz w:val="28"/>
    </w:rPr>
  </w:style>
  <w:style w:type="paragraph" w:styleId="3">
    <w:name w:val="Body Text First Indent"/>
    <w:basedOn w:val="2"/>
    <w:next w:val="4"/>
    <w:qFormat/>
    <w:uiPriority w:val="0"/>
    <w:pPr>
      <w:ind w:firstLine="420" w:firstLineChars="100"/>
    </w:pPr>
  </w:style>
  <w:style w:type="paragraph" w:styleId="4">
    <w:name w:val="toc 6"/>
    <w:basedOn w:val="1"/>
    <w:next w:val="1"/>
    <w:qFormat/>
    <w:uiPriority w:val="0"/>
    <w:pPr>
      <w:ind w:left="1050"/>
      <w:jc w:val="left"/>
    </w:pPr>
    <w:rPr>
      <w:rFonts w:ascii="Times New Roman" w:hAnsi="Times New Roman" w:eastAsia="宋体" w:cs="Times New Roman"/>
      <w:sz w:val="18"/>
      <w:szCs w:val="18"/>
    </w:rPr>
  </w:style>
  <w:style w:type="paragraph" w:styleId="9">
    <w:name w:val="List Number"/>
    <w:basedOn w:val="1"/>
    <w:qFormat/>
    <w:uiPriority w:val="0"/>
    <w:pPr>
      <w:widowControl/>
      <w:tabs>
        <w:tab w:val="left" w:pos="454"/>
        <w:tab w:val="left" w:pos="720"/>
      </w:tabs>
      <w:spacing w:afterLines="50"/>
      <w:ind w:left="454" w:hanging="284"/>
      <w:jc w:val="left"/>
    </w:pPr>
    <w:rPr>
      <w:kern w:val="0"/>
      <w:sz w:val="24"/>
      <w:szCs w:val="20"/>
    </w:rPr>
  </w:style>
  <w:style w:type="paragraph" w:styleId="10">
    <w:name w:val="Normal Indent"/>
    <w:basedOn w:val="1"/>
    <w:qFormat/>
    <w:uiPriority w:val="0"/>
    <w:pPr>
      <w:ind w:firstLine="420"/>
    </w:pPr>
    <w:rPr>
      <w:szCs w:val="20"/>
    </w:rPr>
  </w:style>
  <w:style w:type="paragraph" w:styleId="11">
    <w:name w:val="caption"/>
    <w:basedOn w:val="1"/>
    <w:next w:val="1"/>
    <w:qFormat/>
    <w:uiPriority w:val="0"/>
    <w:pPr>
      <w:spacing w:before="152" w:after="160"/>
    </w:pPr>
    <w:rPr>
      <w:rFonts w:ascii="Arial" w:hAnsi="Arial" w:eastAsia="黑体" w:cs="Arial"/>
      <w:sz w:val="20"/>
      <w:szCs w:val="20"/>
    </w:rPr>
  </w:style>
  <w:style w:type="paragraph" w:styleId="12">
    <w:name w:val="Document Map"/>
    <w:basedOn w:val="1"/>
    <w:link w:val="49"/>
    <w:unhideWhenUsed/>
    <w:qFormat/>
    <w:uiPriority w:val="99"/>
    <w:rPr>
      <w:rFonts w:ascii="宋体"/>
      <w:sz w:val="18"/>
      <w:szCs w:val="18"/>
    </w:rPr>
  </w:style>
  <w:style w:type="paragraph" w:styleId="13">
    <w:name w:val="annotation text"/>
    <w:basedOn w:val="1"/>
    <w:link w:val="50"/>
    <w:unhideWhenUsed/>
    <w:qFormat/>
    <w:uiPriority w:val="99"/>
    <w:pPr>
      <w:jc w:val="left"/>
    </w:pPr>
  </w:style>
  <w:style w:type="paragraph" w:styleId="14">
    <w:name w:val="Body Text 3"/>
    <w:basedOn w:val="1"/>
    <w:qFormat/>
    <w:uiPriority w:val="0"/>
    <w:pPr>
      <w:snapToGrid w:val="0"/>
      <w:spacing w:before="50" w:after="50"/>
    </w:pPr>
    <w:rPr>
      <w:rFonts w:hAnsi="宋体" w:eastAsia="仿宋_GB2312"/>
      <w:b/>
      <w:bCs/>
      <w:sz w:val="24"/>
      <w:szCs w:val="20"/>
    </w:rPr>
  </w:style>
  <w:style w:type="paragraph" w:styleId="15">
    <w:name w:val="Body Text Indent"/>
    <w:basedOn w:val="1"/>
    <w:next w:val="1"/>
    <w:link w:val="52"/>
    <w:qFormat/>
    <w:uiPriority w:val="0"/>
    <w:pPr>
      <w:spacing w:line="200" w:lineRule="exact"/>
      <w:ind w:firstLine="301"/>
    </w:pPr>
    <w:rPr>
      <w:rFonts w:ascii="宋体" w:hAnsi="Courier New"/>
      <w:spacing w:val="-4"/>
      <w:sz w:val="18"/>
      <w:szCs w:val="20"/>
    </w:rPr>
  </w:style>
  <w:style w:type="paragraph" w:styleId="16">
    <w:name w:val="List Number 3"/>
    <w:basedOn w:val="1"/>
    <w:qFormat/>
    <w:uiPriority w:val="0"/>
    <w:pPr>
      <w:numPr>
        <w:ilvl w:val="0"/>
        <w:numId w:val="1"/>
      </w:numPr>
    </w:pPr>
  </w:style>
  <w:style w:type="paragraph" w:styleId="17">
    <w:name w:val="List 2"/>
    <w:basedOn w:val="1"/>
    <w:qFormat/>
    <w:uiPriority w:val="0"/>
    <w:pPr>
      <w:ind w:left="100" w:leftChars="200" w:hanging="200" w:hangingChars="200"/>
    </w:pPr>
    <w:rPr>
      <w:sz w:val="28"/>
    </w:rPr>
  </w:style>
  <w:style w:type="paragraph" w:styleId="18">
    <w:name w:val="toc 3"/>
    <w:basedOn w:val="1"/>
    <w:next w:val="1"/>
    <w:unhideWhenUsed/>
    <w:qFormat/>
    <w:uiPriority w:val="39"/>
    <w:pPr>
      <w:widowControl/>
      <w:spacing w:after="100" w:line="276" w:lineRule="auto"/>
      <w:ind w:left="440"/>
      <w:jc w:val="left"/>
    </w:pPr>
    <w:rPr>
      <w:rFonts w:ascii="Calibri" w:hAnsi="Calibri" w:eastAsia="宋体" w:cs="Times New Roman"/>
      <w:kern w:val="0"/>
      <w:sz w:val="22"/>
      <w:szCs w:val="22"/>
    </w:rPr>
  </w:style>
  <w:style w:type="paragraph" w:styleId="19">
    <w:name w:val="Plain Text"/>
    <w:basedOn w:val="1"/>
    <w:link w:val="53"/>
    <w:qFormat/>
    <w:uiPriority w:val="0"/>
    <w:pPr>
      <w:spacing w:beforeLines="50" w:afterLines="50" w:line="400" w:lineRule="exact"/>
    </w:pPr>
    <w:rPr>
      <w:rFonts w:ascii="宋体" w:hAnsi="Courier New"/>
      <w:sz w:val="24"/>
    </w:rPr>
  </w:style>
  <w:style w:type="paragraph" w:styleId="20">
    <w:name w:val="Date"/>
    <w:basedOn w:val="1"/>
    <w:next w:val="1"/>
    <w:link w:val="54"/>
    <w:qFormat/>
    <w:uiPriority w:val="0"/>
    <w:pPr>
      <w:ind w:leftChars="2500"/>
    </w:pPr>
    <w:rPr>
      <w:rFonts w:eastAsia="楷体_GB2312"/>
      <w:sz w:val="32"/>
      <w:szCs w:val="20"/>
    </w:rPr>
  </w:style>
  <w:style w:type="paragraph" w:styleId="21">
    <w:name w:val="Body Text Indent 2"/>
    <w:basedOn w:val="1"/>
    <w:qFormat/>
    <w:uiPriority w:val="0"/>
    <w:pPr>
      <w:snapToGrid w:val="0"/>
      <w:ind w:firstLine="542" w:firstLineChars="225"/>
    </w:pPr>
    <w:rPr>
      <w:rFonts w:ascii="仿宋_GB2312" w:hAnsi="宋体" w:cs="Arial"/>
      <w:b/>
      <w:bCs/>
      <w:color w:val="000000"/>
      <w:sz w:val="24"/>
    </w:rPr>
  </w:style>
  <w:style w:type="paragraph" w:styleId="22">
    <w:name w:val="Balloon Text"/>
    <w:basedOn w:val="1"/>
    <w:qFormat/>
    <w:uiPriority w:val="0"/>
    <w:rPr>
      <w:sz w:val="18"/>
      <w:szCs w:val="18"/>
    </w:rPr>
  </w:style>
  <w:style w:type="paragraph" w:styleId="23">
    <w:name w:val="footer"/>
    <w:basedOn w:val="1"/>
    <w:link w:val="55"/>
    <w:qFormat/>
    <w:uiPriority w:val="99"/>
    <w:pPr>
      <w:tabs>
        <w:tab w:val="center" w:pos="4153"/>
        <w:tab w:val="right" w:pos="8306"/>
      </w:tabs>
      <w:snapToGrid w:val="0"/>
      <w:jc w:val="left"/>
    </w:pPr>
    <w:rPr>
      <w:rFonts w:eastAsia="黑体"/>
      <w:snapToGrid w:val="0"/>
      <w:sz w:val="18"/>
      <w:szCs w:val="18"/>
    </w:rPr>
  </w:style>
  <w:style w:type="paragraph" w:styleId="24">
    <w:name w:val="header"/>
    <w:basedOn w:val="1"/>
    <w:link w:val="56"/>
    <w:qFormat/>
    <w:uiPriority w:val="99"/>
    <w:pPr>
      <w:pBdr>
        <w:bottom w:val="single" w:color="auto" w:sz="6" w:space="1"/>
      </w:pBdr>
      <w:tabs>
        <w:tab w:val="center" w:pos="4153"/>
        <w:tab w:val="right" w:pos="8306"/>
      </w:tabs>
      <w:snapToGrid w:val="0"/>
      <w:jc w:val="center"/>
    </w:pPr>
    <w:rPr>
      <w:rFonts w:eastAsia="仿宋_GB2312"/>
      <w:sz w:val="18"/>
      <w:szCs w:val="20"/>
    </w:rPr>
  </w:style>
  <w:style w:type="paragraph" w:styleId="25">
    <w:name w:val="toc 1"/>
    <w:basedOn w:val="1"/>
    <w:next w:val="1"/>
    <w:qFormat/>
    <w:uiPriority w:val="39"/>
  </w:style>
  <w:style w:type="paragraph" w:styleId="26">
    <w:name w:val="List"/>
    <w:basedOn w:val="1"/>
    <w:qFormat/>
    <w:uiPriority w:val="0"/>
    <w:pPr>
      <w:ind w:left="200" w:hanging="200" w:hangingChars="200"/>
    </w:pPr>
    <w:rPr>
      <w:sz w:val="28"/>
    </w:rPr>
  </w:style>
  <w:style w:type="paragraph" w:styleId="27">
    <w:name w:val="Body Text Indent 3"/>
    <w:basedOn w:val="1"/>
    <w:qFormat/>
    <w:uiPriority w:val="0"/>
    <w:pPr>
      <w:snapToGrid w:val="0"/>
      <w:ind w:firstLine="480" w:firstLineChars="200"/>
      <w:jc w:val="left"/>
    </w:pPr>
    <w:rPr>
      <w:rFonts w:ascii="仿宋_GB2312" w:hAnsi="宋体" w:eastAsia="仿宋_GB2312"/>
      <w:color w:val="000000"/>
      <w:sz w:val="24"/>
    </w:rPr>
  </w:style>
  <w:style w:type="paragraph" w:styleId="28">
    <w:name w:val="toc 2"/>
    <w:basedOn w:val="1"/>
    <w:next w:val="1"/>
    <w:unhideWhenUsed/>
    <w:qFormat/>
    <w:uiPriority w:val="39"/>
    <w:pPr>
      <w:widowControl/>
      <w:spacing w:after="100" w:line="276" w:lineRule="auto"/>
      <w:ind w:left="220"/>
      <w:jc w:val="left"/>
    </w:pPr>
    <w:rPr>
      <w:rFonts w:ascii="Calibri" w:hAnsi="Calibri" w:eastAsia="宋体" w:cs="Times New Roman"/>
      <w:kern w:val="0"/>
      <w:sz w:val="22"/>
      <w:szCs w:val="22"/>
    </w:rPr>
  </w:style>
  <w:style w:type="paragraph" w:styleId="29">
    <w:name w:val="Body Text 2"/>
    <w:basedOn w:val="1"/>
    <w:qFormat/>
    <w:uiPriority w:val="0"/>
    <w:pPr>
      <w:widowControl/>
      <w:snapToGrid w:val="0"/>
      <w:spacing w:before="50" w:afterLines="50" w:line="400" w:lineRule="exact"/>
      <w:jc w:val="left"/>
    </w:pPr>
    <w:rPr>
      <w:rFonts w:ascii="宋体" w:hAnsi="宋体"/>
      <w:color w:val="000000"/>
      <w:sz w:val="24"/>
    </w:rPr>
  </w:style>
  <w:style w:type="paragraph" w:styleId="30">
    <w:name w:val="Normal (Web)"/>
    <w:basedOn w:val="1"/>
    <w:qFormat/>
    <w:uiPriority w:val="0"/>
    <w:pPr>
      <w:widowControl/>
      <w:spacing w:before="100" w:beforeAutospacing="1" w:after="100" w:afterAutospacing="1"/>
      <w:jc w:val="left"/>
    </w:pPr>
    <w:rPr>
      <w:kern w:val="0"/>
      <w:sz w:val="24"/>
    </w:rPr>
  </w:style>
  <w:style w:type="paragraph" w:styleId="31">
    <w:name w:val="annotation subject"/>
    <w:basedOn w:val="13"/>
    <w:next w:val="13"/>
    <w:link w:val="57"/>
    <w:unhideWhenUsed/>
    <w:qFormat/>
    <w:uiPriority w:val="99"/>
    <w:rPr>
      <w:b/>
      <w:bCs/>
    </w:rPr>
  </w:style>
  <w:style w:type="paragraph" w:styleId="32">
    <w:name w:val="Body Text First Indent 2"/>
    <w:basedOn w:val="15"/>
    <w:qFormat/>
    <w:uiPriority w:val="0"/>
    <w:pPr>
      <w:ind w:firstLine="420" w:firstLineChars="200"/>
    </w:p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b/>
      <w:sz w:val="24"/>
      <w:szCs w:val="24"/>
    </w:rPr>
  </w:style>
  <w:style w:type="character" w:styleId="37">
    <w:name w:val="page number"/>
    <w:basedOn w:val="35"/>
    <w:qFormat/>
    <w:uiPriority w:val="0"/>
  </w:style>
  <w:style w:type="character" w:styleId="38">
    <w:name w:val="FollowedHyperlink"/>
    <w:unhideWhenUsed/>
    <w:qFormat/>
    <w:uiPriority w:val="99"/>
    <w:rPr>
      <w:color w:val="800080"/>
      <w:u w:val="none"/>
    </w:rPr>
  </w:style>
  <w:style w:type="character" w:styleId="39">
    <w:name w:val="Emphasis"/>
    <w:qFormat/>
    <w:uiPriority w:val="0"/>
    <w:rPr>
      <w:i/>
      <w:iCs/>
    </w:rPr>
  </w:style>
  <w:style w:type="character" w:styleId="40">
    <w:name w:val="HTML Definition"/>
    <w:unhideWhenUsed/>
    <w:qFormat/>
    <w:uiPriority w:val="99"/>
  </w:style>
  <w:style w:type="character" w:styleId="41">
    <w:name w:val="HTML Acronym"/>
    <w:unhideWhenUsed/>
    <w:qFormat/>
    <w:uiPriority w:val="99"/>
  </w:style>
  <w:style w:type="character" w:styleId="42">
    <w:name w:val="HTML Variable"/>
    <w:unhideWhenUsed/>
    <w:qFormat/>
    <w:uiPriority w:val="99"/>
  </w:style>
  <w:style w:type="character" w:styleId="43">
    <w:name w:val="Hyperlink"/>
    <w:qFormat/>
    <w:uiPriority w:val="99"/>
    <w:rPr>
      <w:color w:val="0000FF"/>
      <w:u w:val="none"/>
    </w:rPr>
  </w:style>
  <w:style w:type="character" w:styleId="44">
    <w:name w:val="HTML Code"/>
    <w:unhideWhenUsed/>
    <w:qFormat/>
    <w:uiPriority w:val="99"/>
    <w:rPr>
      <w:rFonts w:ascii="Courier New" w:hAnsi="Courier New"/>
      <w:sz w:val="20"/>
    </w:rPr>
  </w:style>
  <w:style w:type="character" w:styleId="45">
    <w:name w:val="annotation reference"/>
    <w:unhideWhenUsed/>
    <w:qFormat/>
    <w:uiPriority w:val="99"/>
    <w:rPr>
      <w:sz w:val="21"/>
      <w:szCs w:val="21"/>
    </w:rPr>
  </w:style>
  <w:style w:type="character" w:styleId="46">
    <w:name w:val="HTML Cite"/>
    <w:unhideWhenUsed/>
    <w:qFormat/>
    <w:uiPriority w:val="99"/>
    <w:rPr>
      <w:sz w:val="24"/>
      <w:szCs w:val="24"/>
    </w:rPr>
  </w:style>
  <w:style w:type="paragraph" w:customStyle="1" w:styleId="47">
    <w:name w:val="正文1"/>
    <w:basedOn w:val="1"/>
    <w:next w:val="1"/>
    <w:qFormat/>
    <w:uiPriority w:val="0"/>
    <w:pPr>
      <w:widowControl w:val="0"/>
      <w:numPr>
        <w:ilvl w:val="0"/>
        <w:numId w:val="2"/>
      </w:numPr>
      <w:spacing w:line="360" w:lineRule="auto"/>
      <w:ind w:left="357" w:hanging="357"/>
      <w:jc w:val="both"/>
    </w:pPr>
    <w:rPr>
      <w:rFonts w:ascii="宋体" w:hAnsi="宋体"/>
      <w:color w:val="FF0000"/>
      <w:kern w:val="2"/>
      <w:szCs w:val="24"/>
    </w:rPr>
  </w:style>
  <w:style w:type="character" w:customStyle="1" w:styleId="48">
    <w:name w:val="标题 1 Char"/>
    <w:link w:val="5"/>
    <w:qFormat/>
    <w:uiPriority w:val="0"/>
    <w:rPr>
      <w:b/>
      <w:bCs/>
      <w:kern w:val="44"/>
      <w:sz w:val="44"/>
      <w:szCs w:val="44"/>
    </w:rPr>
  </w:style>
  <w:style w:type="character" w:customStyle="1" w:styleId="49">
    <w:name w:val="文档结构图 字符"/>
    <w:link w:val="12"/>
    <w:semiHidden/>
    <w:qFormat/>
    <w:uiPriority w:val="99"/>
    <w:rPr>
      <w:rFonts w:ascii="宋体"/>
      <w:kern w:val="2"/>
      <w:sz w:val="18"/>
      <w:szCs w:val="18"/>
    </w:rPr>
  </w:style>
  <w:style w:type="character" w:customStyle="1" w:styleId="50">
    <w:name w:val="批注文字 字符"/>
    <w:link w:val="13"/>
    <w:semiHidden/>
    <w:qFormat/>
    <w:uiPriority w:val="99"/>
    <w:rPr>
      <w:kern w:val="2"/>
      <w:sz w:val="21"/>
      <w:szCs w:val="24"/>
    </w:rPr>
  </w:style>
  <w:style w:type="character" w:customStyle="1" w:styleId="51">
    <w:name w:val="正文文本 字符"/>
    <w:link w:val="2"/>
    <w:qFormat/>
    <w:uiPriority w:val="0"/>
    <w:rPr>
      <w:kern w:val="2"/>
      <w:sz w:val="28"/>
      <w:szCs w:val="24"/>
    </w:rPr>
  </w:style>
  <w:style w:type="character" w:customStyle="1" w:styleId="52">
    <w:name w:val="正文文本缩进 字符"/>
    <w:link w:val="15"/>
    <w:qFormat/>
    <w:uiPriority w:val="0"/>
    <w:rPr>
      <w:rFonts w:ascii="宋体" w:hAnsi="Courier New"/>
      <w:spacing w:val="-4"/>
      <w:kern w:val="2"/>
      <w:sz w:val="18"/>
    </w:rPr>
  </w:style>
  <w:style w:type="character" w:customStyle="1" w:styleId="53">
    <w:name w:val="纯文本 字符"/>
    <w:link w:val="19"/>
    <w:qFormat/>
    <w:uiPriority w:val="0"/>
    <w:rPr>
      <w:rFonts w:ascii="宋体" w:hAnsi="Courier New"/>
      <w:kern w:val="2"/>
      <w:sz w:val="24"/>
      <w:szCs w:val="24"/>
    </w:rPr>
  </w:style>
  <w:style w:type="character" w:customStyle="1" w:styleId="54">
    <w:name w:val="日期 字符"/>
    <w:link w:val="20"/>
    <w:qFormat/>
    <w:uiPriority w:val="0"/>
    <w:rPr>
      <w:rFonts w:eastAsia="楷体_GB2312"/>
      <w:kern w:val="2"/>
      <w:sz w:val="32"/>
    </w:rPr>
  </w:style>
  <w:style w:type="character" w:customStyle="1" w:styleId="55">
    <w:name w:val="页脚 字符"/>
    <w:link w:val="23"/>
    <w:qFormat/>
    <w:uiPriority w:val="99"/>
    <w:rPr>
      <w:rFonts w:eastAsia="黑体"/>
      <w:snapToGrid w:val="0"/>
      <w:kern w:val="2"/>
      <w:sz w:val="18"/>
      <w:szCs w:val="18"/>
    </w:rPr>
  </w:style>
  <w:style w:type="character" w:customStyle="1" w:styleId="56">
    <w:name w:val="页眉 字符"/>
    <w:link w:val="24"/>
    <w:qFormat/>
    <w:uiPriority w:val="99"/>
    <w:rPr>
      <w:rFonts w:eastAsia="仿宋_GB2312"/>
      <w:kern w:val="2"/>
      <w:sz w:val="18"/>
    </w:rPr>
  </w:style>
  <w:style w:type="character" w:customStyle="1" w:styleId="57">
    <w:name w:val="批注主题 字符"/>
    <w:link w:val="31"/>
    <w:semiHidden/>
    <w:qFormat/>
    <w:uiPriority w:val="99"/>
    <w:rPr>
      <w:b/>
      <w:bCs/>
      <w:kern w:val="2"/>
      <w:sz w:val="21"/>
      <w:szCs w:val="24"/>
    </w:rPr>
  </w:style>
  <w:style w:type="paragraph" w:customStyle="1" w:styleId="58">
    <w:name w:val="样式3"/>
    <w:basedOn w:val="19"/>
    <w:next w:val="1"/>
    <w:qFormat/>
    <w:uiPriority w:val="0"/>
    <w:pPr>
      <w:adjustRightInd/>
      <w:textAlignment w:val="auto"/>
    </w:pPr>
    <w:rPr>
      <w:rFonts w:ascii="Times New Roman" w:hAnsi="Times New Roman" w:eastAsia="宋体" w:cs="Times New Roman"/>
      <w:kern w:val="2"/>
      <w:sz w:val="21"/>
      <w:szCs w:val="20"/>
    </w:rPr>
  </w:style>
  <w:style w:type="character" w:customStyle="1" w:styleId="59">
    <w:name w:val="del1"/>
    <w:qFormat/>
    <w:uiPriority w:val="0"/>
    <w:rPr>
      <w:vanish/>
      <w:color w:val="666666"/>
      <w:sz w:val="18"/>
      <w:szCs w:val="18"/>
      <w:u w:val="single"/>
    </w:rPr>
  </w:style>
  <w:style w:type="character" w:customStyle="1" w:styleId="60">
    <w:name w:val="xl29 Char Char"/>
    <w:link w:val="61"/>
    <w:qFormat/>
    <w:uiPriority w:val="0"/>
    <w:rPr>
      <w:rFonts w:ascii="Arial Unicode MS" w:hAnsi="Arial Unicode MS" w:eastAsia="Arial Unicode MS"/>
      <w:sz w:val="24"/>
      <w:szCs w:val="24"/>
    </w:rPr>
  </w:style>
  <w:style w:type="paragraph" w:customStyle="1" w:styleId="61">
    <w:name w:val="xl29"/>
    <w:basedOn w:val="1"/>
    <w:link w:val="60"/>
    <w:qFormat/>
    <w:uiPriority w:val="0"/>
    <w:pPr>
      <w:widowControl/>
      <w:spacing w:before="100" w:beforeAutospacing="1" w:after="100" w:afterAutospacing="1"/>
      <w:jc w:val="center"/>
    </w:pPr>
    <w:rPr>
      <w:rFonts w:ascii="Arial Unicode MS" w:hAnsi="Arial Unicode MS" w:eastAsia="Arial Unicode MS"/>
      <w:kern w:val="0"/>
      <w:sz w:val="24"/>
    </w:rPr>
  </w:style>
  <w:style w:type="character" w:customStyle="1" w:styleId="62">
    <w:name w:val="info"/>
    <w:qFormat/>
    <w:uiPriority w:val="0"/>
    <w:rPr>
      <w:color w:val="666666"/>
    </w:rPr>
  </w:style>
  <w:style w:type="character" w:customStyle="1" w:styleId="63">
    <w:name w:val="font01"/>
    <w:qFormat/>
    <w:uiPriority w:val="0"/>
    <w:rPr>
      <w:rFonts w:hint="eastAsia" w:ascii="宋体" w:hAnsi="宋体" w:eastAsia="宋体" w:cs="宋体"/>
      <w:color w:val="0070C0"/>
      <w:sz w:val="22"/>
      <w:szCs w:val="22"/>
      <w:u w:val="none"/>
    </w:rPr>
  </w:style>
  <w:style w:type="character" w:customStyle="1" w:styleId="64">
    <w:name w:val="icon-down"/>
    <w:qFormat/>
    <w:uiPriority w:val="0"/>
  </w:style>
  <w:style w:type="character" w:customStyle="1" w:styleId="65">
    <w:name w:val="无间隔 字符"/>
    <w:link w:val="66"/>
    <w:qFormat/>
    <w:uiPriority w:val="1"/>
    <w:rPr>
      <w:sz w:val="22"/>
      <w:szCs w:val="22"/>
      <w:lang w:val="en-US" w:eastAsia="zh-CN" w:bidi="ar-SA"/>
    </w:rPr>
  </w:style>
  <w:style w:type="paragraph" w:styleId="66">
    <w:name w:val="No Spacing"/>
    <w:link w:val="65"/>
    <w:qFormat/>
    <w:uiPriority w:val="1"/>
    <w:rPr>
      <w:rFonts w:ascii="Times New Roman" w:hAnsi="Times New Roman" w:eastAsia="宋体" w:cs="Times New Roman"/>
      <w:sz w:val="22"/>
      <w:szCs w:val="22"/>
      <w:lang w:val="en-US" w:eastAsia="zh-CN" w:bidi="ar-SA"/>
    </w:rPr>
  </w:style>
  <w:style w:type="character" w:customStyle="1" w:styleId="67">
    <w:name w:val="del2"/>
    <w:qFormat/>
    <w:uiPriority w:val="0"/>
    <w:rPr>
      <w:vanish/>
    </w:rPr>
  </w:style>
  <w:style w:type="character" w:customStyle="1" w:styleId="68">
    <w:name w:val="del"/>
    <w:qFormat/>
    <w:uiPriority w:val="0"/>
  </w:style>
  <w:style w:type="character" w:customStyle="1" w:styleId="69">
    <w:name w:val="up2"/>
    <w:qFormat/>
    <w:uiPriority w:val="0"/>
  </w:style>
  <w:style w:type="character" w:customStyle="1" w:styleId="70">
    <w:name w:val="inq1"/>
    <w:qFormat/>
    <w:uiPriority w:val="0"/>
  </w:style>
  <w:style w:type="character" w:customStyle="1" w:styleId="71">
    <w:name w:val="up"/>
    <w:qFormat/>
    <w:uiPriority w:val="0"/>
  </w:style>
  <w:style w:type="character" w:customStyle="1" w:styleId="72">
    <w:name w:val="apple-style-span"/>
    <w:qFormat/>
    <w:uiPriority w:val="0"/>
  </w:style>
  <w:style w:type="character" w:customStyle="1" w:styleId="73">
    <w:name w:val="now2"/>
    <w:qFormat/>
    <w:uiPriority w:val="0"/>
  </w:style>
  <w:style w:type="character" w:customStyle="1" w:styleId="7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75">
    <w:name w:val="icon-play"/>
    <w:qFormat/>
    <w:uiPriority w:val="0"/>
  </w:style>
  <w:style w:type="character" w:customStyle="1" w:styleId="76">
    <w:name w:val="now3"/>
    <w:qFormat/>
    <w:uiPriority w:val="0"/>
  </w:style>
  <w:style w:type="character" w:customStyle="1" w:styleId="77">
    <w:name w:val="icon-game"/>
    <w:qFormat/>
    <w:uiPriority w:val="0"/>
  </w:style>
  <w:style w:type="character" w:customStyle="1" w:styleId="78">
    <w:name w:val="font41"/>
    <w:basedOn w:val="35"/>
    <w:qFormat/>
    <w:uiPriority w:val="0"/>
    <w:rPr>
      <w:rFonts w:hint="eastAsia" w:ascii="宋体" w:hAnsi="宋体" w:eastAsia="宋体" w:cs="宋体"/>
      <w:b/>
      <w:color w:val="000000"/>
      <w:sz w:val="24"/>
      <w:szCs w:val="24"/>
      <w:u w:val="none"/>
    </w:rPr>
  </w:style>
  <w:style w:type="character" w:customStyle="1" w:styleId="79">
    <w:name w:val="pl1"/>
    <w:qFormat/>
    <w:uiPriority w:val="0"/>
  </w:style>
  <w:style w:type="character" w:customStyle="1" w:styleId="80">
    <w:name w:val="样式 标题 1合同标题卷标题H1h1Level 1 Topic HeadingH11H12H111H13H1... Char"/>
    <w:qFormat/>
    <w:uiPriority w:val="0"/>
    <w:rPr>
      <w:rFonts w:ascii="宋体" w:hAnsi="宋体" w:eastAsia="宋体"/>
      <w:b/>
      <w:bCs/>
      <w:kern w:val="44"/>
      <w:sz w:val="24"/>
      <w:szCs w:val="44"/>
      <w:lang w:val="en-US" w:eastAsia="zh-CN" w:bidi="ar-SA"/>
    </w:rPr>
  </w:style>
  <w:style w:type="character" w:customStyle="1" w:styleId="81">
    <w:name w:val="apple-converted-space"/>
    <w:qFormat/>
    <w:uiPriority w:val="0"/>
  </w:style>
  <w:style w:type="character" w:customStyle="1" w:styleId="82">
    <w:name w:val="reason"/>
    <w:qFormat/>
    <w:uiPriority w:val="0"/>
    <w:rPr>
      <w:color w:val="999999"/>
    </w:rPr>
  </w:style>
  <w:style w:type="character" w:customStyle="1" w:styleId="83">
    <w:name w:val="font11"/>
    <w:qFormat/>
    <w:uiPriority w:val="0"/>
    <w:rPr>
      <w:rFonts w:ascii="MingLiU" w:hAnsi="MingLiU" w:eastAsia="MingLiU" w:cs="MingLiU"/>
      <w:b/>
      <w:color w:val="000000"/>
      <w:sz w:val="24"/>
      <w:szCs w:val="24"/>
      <w:u w:val="none"/>
    </w:rPr>
  </w:style>
  <w:style w:type="character" w:customStyle="1" w:styleId="84">
    <w:name w:val="pl8"/>
    <w:qFormat/>
    <w:uiPriority w:val="0"/>
  </w:style>
  <w:style w:type="character" w:customStyle="1" w:styleId="85">
    <w:name w:val="now1"/>
    <w:qFormat/>
    <w:uiPriority w:val="0"/>
  </w:style>
  <w:style w:type="character" w:customStyle="1" w:styleId="86">
    <w:name w:val="font21"/>
    <w:qFormat/>
    <w:uiPriority w:val="0"/>
    <w:rPr>
      <w:rFonts w:ascii="SimSun-ExtB" w:hAnsi="SimSun-ExtB" w:eastAsia="SimSun-ExtB" w:cs="SimSun-ExtB"/>
      <w:b/>
      <w:color w:val="000000"/>
      <w:sz w:val="24"/>
      <w:szCs w:val="24"/>
      <w:u w:val="none"/>
    </w:rPr>
  </w:style>
  <w:style w:type="character" w:customStyle="1" w:styleId="87">
    <w:name w:val=" Char Char1"/>
    <w:qFormat/>
    <w:uiPriority w:val="0"/>
    <w:rPr>
      <w:rFonts w:eastAsia="黑体"/>
      <w:snapToGrid w:val="0"/>
      <w:sz w:val="18"/>
      <w:szCs w:val="18"/>
      <w:lang w:val="en-US" w:eastAsia="zh-CN" w:bidi="ar-SA"/>
    </w:rPr>
  </w:style>
  <w:style w:type="character" w:customStyle="1" w:styleId="88">
    <w:name w:val="icon-read"/>
    <w:qFormat/>
    <w:uiPriority w:val="0"/>
  </w:style>
  <w:style w:type="character" w:customStyle="1" w:styleId="89">
    <w:name w:val="submit"/>
    <w:qFormat/>
    <w:uiPriority w:val="0"/>
  </w:style>
  <w:style w:type="character" w:customStyle="1" w:styleId="90">
    <w:name w:val=" Char Char"/>
    <w:qFormat/>
    <w:uiPriority w:val="0"/>
    <w:rPr>
      <w:rFonts w:ascii="宋体" w:hAnsi="Courier New" w:eastAsia="宋体"/>
      <w:kern w:val="2"/>
      <w:sz w:val="24"/>
      <w:szCs w:val="24"/>
      <w:lang w:val="en-US" w:eastAsia="zh-CN" w:bidi="ar-SA"/>
    </w:rPr>
  </w:style>
  <w:style w:type="character" w:customStyle="1" w:styleId="91">
    <w:name w:val="icon-doc"/>
    <w:qFormat/>
    <w:uiPriority w:val="0"/>
  </w:style>
  <w:style w:type="character" w:customStyle="1" w:styleId="92">
    <w:name w:val="tab"/>
    <w:qFormat/>
    <w:uiPriority w:val="0"/>
    <w:rPr>
      <w:color w:val="A4BCD6"/>
    </w:rPr>
  </w:style>
  <w:style w:type="character" w:customStyle="1" w:styleId="93">
    <w:name w:val="pl7"/>
    <w:qFormat/>
    <w:uiPriority w:val="0"/>
  </w:style>
  <w:style w:type="character" w:customStyle="1" w:styleId="94">
    <w:name w:val="arr"/>
    <w:qFormat/>
    <w:uiPriority w:val="0"/>
  </w:style>
  <w:style w:type="character" w:customStyle="1" w:styleId="95">
    <w:name w:val="now4"/>
    <w:qFormat/>
    <w:uiPriority w:val="0"/>
  </w:style>
  <w:style w:type="character" w:customStyle="1" w:styleId="96">
    <w:name w:val="inq"/>
    <w:qFormat/>
    <w:uiPriority w:val="0"/>
    <w:rPr>
      <w:color w:val="333333"/>
    </w:rPr>
  </w:style>
  <w:style w:type="character" w:customStyle="1" w:styleId="97">
    <w:name w:val="font31"/>
    <w:basedOn w:val="35"/>
    <w:qFormat/>
    <w:uiPriority w:val="0"/>
    <w:rPr>
      <w:rFonts w:ascii="MS PGothic" w:hAnsi="MS PGothic" w:eastAsia="MS PGothic" w:cs="MS PGothic"/>
      <w:b/>
      <w:color w:val="000000"/>
      <w:sz w:val="24"/>
      <w:szCs w:val="24"/>
      <w:u w:val="none"/>
    </w:rPr>
  </w:style>
  <w:style w:type="character" w:customStyle="1" w:styleId="98">
    <w:name w:val=" Char Char12"/>
    <w:qFormat/>
    <w:uiPriority w:val="0"/>
    <w:rPr>
      <w:rFonts w:ascii="宋体" w:hAnsi="Courier New"/>
      <w:spacing w:val="-4"/>
      <w:kern w:val="2"/>
      <w:sz w:val="18"/>
    </w:rPr>
  </w:style>
  <w:style w:type="character" w:customStyle="1" w:styleId="99">
    <w:name w:val="pl"/>
    <w:qFormat/>
    <w:uiPriority w:val="0"/>
  </w:style>
  <w:style w:type="paragraph" w:customStyle="1" w:styleId="100">
    <w:name w:val="正文段"/>
    <w:basedOn w:val="1"/>
    <w:qFormat/>
    <w:uiPriority w:val="0"/>
    <w:pPr>
      <w:widowControl/>
      <w:snapToGrid w:val="0"/>
      <w:spacing w:afterLines="50"/>
      <w:ind w:firstLine="200" w:firstLineChars="200"/>
    </w:pPr>
    <w:rPr>
      <w:kern w:val="0"/>
      <w:sz w:val="24"/>
      <w:szCs w:val="20"/>
    </w:rPr>
  </w:style>
  <w:style w:type="paragraph" w:customStyle="1" w:styleId="101">
    <w:name w:val="cm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2">
    <w:name w:val="默认段落字体 Para Char Char Char Char Char Char Char"/>
    <w:basedOn w:val="24"/>
    <w:next w:val="103"/>
    <w:qFormat/>
    <w:uiPriority w:val="0"/>
    <w:pPr>
      <w:pBdr>
        <w:bottom w:val="none" w:color="auto" w:sz="0" w:space="0"/>
      </w:pBdr>
      <w:shd w:val="clear" w:color="auto" w:fill="000080"/>
      <w:tabs>
        <w:tab w:val="clear" w:pos="4153"/>
        <w:tab w:val="clear" w:pos="8306"/>
      </w:tabs>
      <w:adjustRightInd w:val="0"/>
      <w:snapToGrid/>
      <w:spacing w:line="436" w:lineRule="exact"/>
      <w:ind w:left="357"/>
      <w:jc w:val="left"/>
      <w:outlineLvl w:val="3"/>
    </w:pPr>
    <w:rPr>
      <w:rFonts w:eastAsia="宋体"/>
      <w:sz w:val="21"/>
    </w:rPr>
  </w:style>
  <w:style w:type="paragraph" w:customStyle="1" w:styleId="103">
    <w:name w:val="_Style 111"/>
    <w:basedOn w:val="5"/>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0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106">
    <w:name w:val="默认段落字体 Para Char Char Char Char Char Char Char Char Char1 Char Char Char Char"/>
    <w:basedOn w:val="1"/>
    <w:qFormat/>
    <w:uiPriority w:val="0"/>
    <w:rPr>
      <w:rFonts w:ascii="Tahoma" w:hAnsi="Tahoma"/>
      <w:sz w:val="24"/>
      <w:szCs w:val="20"/>
    </w:rPr>
  </w:style>
  <w:style w:type="paragraph" w:customStyle="1" w:styleId="10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108">
    <w:name w:val="样式1"/>
    <w:basedOn w:val="8"/>
    <w:qFormat/>
    <w:uiPriority w:val="0"/>
  </w:style>
  <w:style w:type="paragraph" w:customStyle="1" w:styleId="109">
    <w:name w:val=" Char1"/>
    <w:basedOn w:val="1"/>
    <w:qFormat/>
    <w:uiPriority w:val="0"/>
    <w:rPr>
      <w:rFonts w:ascii="Tahoma" w:hAnsi="Tahoma"/>
      <w:sz w:val="24"/>
      <w:szCs w:val="20"/>
    </w:rPr>
  </w:style>
  <w:style w:type="paragraph" w:customStyle="1" w:styleId="110">
    <w:name w:val="一级列项a）"/>
    <w:qFormat/>
    <w:locked/>
    <w:uiPriority w:val="6"/>
    <w:pPr>
      <w:widowControl w:val="0"/>
      <w:numPr>
        <w:ilvl w:val="0"/>
        <w:numId w:val="3"/>
      </w:numPr>
      <w:adjustRightInd w:val="0"/>
      <w:spacing w:line="300" w:lineRule="auto"/>
      <w:jc w:val="both"/>
    </w:pPr>
    <w:rPr>
      <w:rFonts w:ascii="Times New Roman" w:hAnsi="Times New Roman" w:eastAsia="宋体" w:cs="Times New Roman"/>
      <w:color w:val="000000"/>
      <w:kern w:val="2"/>
      <w:sz w:val="24"/>
      <w:szCs w:val="21"/>
      <w:lang w:val="en-US" w:eastAsia="zh-CN" w:bidi="ar-SA"/>
    </w:rPr>
  </w:style>
  <w:style w:type="paragraph" w:customStyle="1" w:styleId="111">
    <w:name w:val="_Style 6"/>
    <w:basedOn w:val="1"/>
    <w:next w:val="112"/>
    <w:qFormat/>
    <w:uiPriority w:val="34"/>
    <w:pPr>
      <w:ind w:firstLine="420" w:firstLineChars="200"/>
    </w:pPr>
    <w:rPr>
      <w:rFonts w:ascii="Times New Roman" w:hAnsi="Times New Roman" w:eastAsia="宋体" w:cs="Times New Roman"/>
      <w:szCs w:val="24"/>
    </w:rPr>
  </w:style>
  <w:style w:type="paragraph" w:styleId="112">
    <w:name w:val="List Paragraph"/>
    <w:basedOn w:val="1"/>
    <w:qFormat/>
    <w:uiPriority w:val="34"/>
    <w:pPr>
      <w:ind w:firstLine="420" w:firstLineChars="200"/>
    </w:pPr>
    <w:rPr>
      <w:rFonts w:ascii="等线" w:hAnsi="等线" w:eastAsia="等线" w:cs="Times New Roman"/>
      <w:szCs w:val="22"/>
    </w:rPr>
  </w:style>
  <w:style w:type="paragraph" w:customStyle="1" w:styleId="113">
    <w:name w:val="表格用"/>
    <w:basedOn w:val="1"/>
    <w:qFormat/>
    <w:uiPriority w:val="0"/>
    <w:pPr>
      <w:ind w:firstLine="0" w:firstLineChars="0"/>
    </w:pPr>
    <w:rPr>
      <w:rFonts w:cs="Times New Roman"/>
      <w:kern w:val="0"/>
    </w:rPr>
  </w:style>
  <w:style w:type="paragraph" w:customStyle="1" w:styleId="114">
    <w:name w:val="List Paragraph1"/>
    <w:basedOn w:val="1"/>
    <w:qFormat/>
    <w:uiPriority w:val="34"/>
    <w:pPr>
      <w:ind w:firstLine="420" w:firstLineChars="200"/>
    </w:pPr>
  </w:style>
  <w:style w:type="paragraph" w:customStyle="1" w:styleId="115">
    <w:name w:val="Table Paragraph"/>
    <w:basedOn w:val="1"/>
    <w:qFormat/>
    <w:uiPriority w:val="1"/>
    <w:rPr>
      <w:rFonts w:ascii="宋体" w:hAnsi="宋体" w:eastAsia="宋体" w:cs="宋体"/>
      <w:lang w:val="zh-CN" w:eastAsia="zh-CN" w:bidi="zh-CN"/>
    </w:rPr>
  </w:style>
  <w:style w:type="paragraph" w:customStyle="1" w:styleId="116">
    <w:name w:val="列出段落1"/>
    <w:basedOn w:val="1"/>
    <w:qFormat/>
    <w:uiPriority w:val="0"/>
    <w:pPr>
      <w:ind w:firstLine="420" w:firstLineChars="200"/>
    </w:pPr>
    <w:rPr>
      <w:rFonts w:ascii="Calibri" w:hAnsi="Calibri" w:eastAsia="宋体" w:cs="Times New Roman"/>
    </w:rPr>
  </w:style>
  <w:style w:type="paragraph" w:customStyle="1" w:styleId="117">
    <w:name w:val="表内文字"/>
    <w:basedOn w:val="1"/>
    <w:qFormat/>
    <w:uiPriority w:val="0"/>
    <w:pPr>
      <w:tabs>
        <w:tab w:val="left" w:pos="1418"/>
      </w:tabs>
      <w:spacing w:line="360" w:lineRule="auto"/>
      <w:jc w:val="center"/>
    </w:pPr>
    <w:rPr>
      <w:rFonts w:ascii="仿宋_GB2312" w:eastAsia="仿宋_GB2312"/>
      <w:spacing w:val="-20"/>
      <w:kern w:val="0"/>
      <w:sz w:val="24"/>
    </w:rPr>
  </w:style>
  <w:style w:type="table" w:customStyle="1" w:styleId="118">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19">
    <w:name w:val="List Paragraph2"/>
    <w:basedOn w:val="1"/>
    <w:qFormat/>
    <w:uiPriority w:val="0"/>
    <w:pPr>
      <w:ind w:firstLine="420" w:firstLineChars="200"/>
    </w:pPr>
    <w:rPr>
      <w:rFonts w:ascii="Times New Roman" w:hAnsi="Times New Roman" w:eastAsia="宋体" w:cs="Times New Roman"/>
    </w:rPr>
  </w:style>
  <w:style w:type="paragraph" w:customStyle="1" w:styleId="120">
    <w:name w:val="三级无"/>
    <w:basedOn w:val="1"/>
    <w:qFormat/>
    <w:uiPriority w:val="0"/>
    <w:pPr>
      <w:widowControl/>
      <w:numPr>
        <w:ilvl w:val="3"/>
        <w:numId w:val="4"/>
      </w:numPr>
      <w:tabs>
        <w:tab w:val="left" w:pos="2040"/>
      </w:tabs>
      <w:spacing w:before="50" w:after="50"/>
      <w:jc w:val="left"/>
      <w:outlineLvl w:val="4"/>
    </w:pPr>
    <w:rPr>
      <w:rFonts w:ascii="宋体"/>
      <w:kern w:val="0"/>
      <w:szCs w:val="21"/>
    </w:rPr>
  </w:style>
  <w:style w:type="paragraph" w:customStyle="1" w:styleId="121">
    <w:name w:val="Body Text First Indent 21"/>
    <w:basedOn w:val="1"/>
    <w:qFormat/>
    <w:uiPriority w:val="0"/>
    <w:pPr>
      <w:ind w:left="420" w:leftChars="200" w:firstLine="420"/>
    </w:pPr>
    <w:rPr>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f5c59526-4334-4c32-8405-1b71d20963f9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 886BA5E</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5edde4b7-6c98-410a-929a-576655b6801a</errorID>
      <errorWord xmlns="http://schemas.wps.cn/vas-ai-hub/contract-review">2026年04月30日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2026年4月30日</item>
      </candidateList>
      <explain xmlns="http://schemas.wps.cn/vas-ai-hub/contract-review">根据日常书写习惯，月份一般会省略前导零。</explain>
      <paraID xmlns="http://schemas.wps.cn/vas-ai-hub/contract-review"> 1276451</paraID>
      <start xmlns="http://schemas.wps.cn/vas-ai-hub/contract-review">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ea7c305d-2952-4ab9-9fbf-dee4a4b710e2</errorID>
      <errorWord xmlns="http://schemas.wps.cn/vas-ai-hub/contract-review">2026年05月11日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2026年5月11日</item>
      </candidateList>
      <explain xmlns="http://schemas.wps.cn/vas-ai-hub/contract-review">根据日常书写习惯，月份一般会省略前导零。</explain>
      <paraID xmlns="http://schemas.wps.cn/vas-ai-hub/contract-review"> 1276451</paraID>
      <start xmlns="http://schemas.wps.cn/vas-ai-hub/contract-review">19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679d1061-4fa7-42d2-a18d-c1f9ffba3071</errorID>
      <errorWord xmlns="http://schemas.wps.cn/vas-ai-hub/contract-review">2026年05月19日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2026年5月19日</item>
      </candidateList>
      <explain xmlns="http://schemas.wps.cn/vas-ai-hub/contract-review">根据日常书写习惯，月份一般会省略前导零。</explain>
      <paraID xmlns="http://schemas.wps.cn/vas-ai-hub/contract-review">18C57952</paraID>
      <start xmlns="http://schemas.wps.cn/vas-ai-hub/contract-review">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e1c46249-57d8-406a-a1ba-a9c1c346a022</errorID>
      <errorWord xmlns="http://schemas.wps.cn/vas-ai-hub/contract-review">2026年05月20日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2026年5月20日</item>
      </candidateList>
      <explain xmlns="http://schemas.wps.cn/vas-ai-hub/contract-review">根据日常书写习惯，月份一般会省略前导零。</explain>
      <paraID xmlns="http://schemas.wps.cn/vas-ai-hub/contract-review">266D7EE5</paraID>
      <start xmlns="http://schemas.wps.cn/vas-ai-hub/contract-review">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56a9f2fa-f848-4670-acb7-2a9754d31d26</errorID>
      <errorWord xmlns="http://schemas.wps.cn/vas-ai-hub/contract-review">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至</item>
      </candidateList>
      <explain xmlns="http://schemas.wps.cn/vas-ai-hub/contract-review">存在字形相近字词的误用。</explain>
      <paraID xmlns="http://schemas.wps.cn/vas-ai-hub/contract-review">266D7EE5</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babcc88e-15de-468d-9d50-d452982fe3ca</errorID>
      <errorWord xmlns="http://schemas.wps.cn/vas-ai-hub/contract-review">2026年05月20日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2026年5月20日</item>
      </candidateList>
      <explain xmlns="http://schemas.wps.cn/vas-ai-hub/contract-review">根据日常书写习惯，月份一般会省略前导零。</explain>
      <paraID xmlns="http://schemas.wps.cn/vas-ai-hub/contract-review">6152E02F</paraID>
      <start xmlns="http://schemas.wps.cn/vas-ai-hub/contract-review">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b7d5eb2f-f623-48e9-94a1-d5b5c4955c3e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517F04D1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da0393ae-d048-4c59-b93b-91d7bb451a41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79E93C06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3e0f6f35-4069-425b-9d34-9ce7373071dc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7483389E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4210385f-ec3d-4e10-b8de-b243199512f6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2DD785B6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a8dadb20-ae13-4576-8a93-de83b031a2b6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7DC4C892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88023718-3c29-44f2-ac1b-8c3073da448e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165285FD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da110ddb-36fd-46de-a909-6ecc9813f33d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69B30B2B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2928396d-ae35-4439-b2b1-dc6e1d910e34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7AE83F8F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5b6e6f1e-5a57-4b11-b7f5-bd369148768b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2139500B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2f345ae8-40d0-46e3-a214-d81613917ff3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75E18259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615cc01c-0744-4e6f-8c64-6e0c40b6c045</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789A724C</paraID>
      <start xmlns="http://schemas.wps.cn/vas-ai-hub/contract-review">206</start>
      <end xmlns="http://schemas.wps.cn/vas-ai-hub/contract-review">207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f913d98f-37b1-4cac-beda-3d42c3167b70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65FA80FB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dd0271ab-44d5-4ba6-8db7-204e8cdd36e2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747EEB77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6513451c-4cb3-4265-abc5-47897239b25e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4EA8C6BD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39ba4686-09a0-4d5c-8490-58d8cb8737f5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2BDC8A53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b043b0bf-e568-40c7-a80a-ee4f9389c8fc</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2BDC8A53</paraID>
      <start xmlns="http://schemas.wps.cn/vas-ai-hub/contract-review">21</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547d80f1-9c15-434e-935c-3093efec2f53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524FACD4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63d165ac-0059-4321-8aa0-f24351304616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5541C980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d7ae4efc-668a-467a-bff0-2af8b1791a81</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期为</item>
      </candidateList>
      <explain xmlns="http://schemas.wps.cn/vas-ai-hub/contract-review"/>
      <paraID xmlns="http://schemas.wps.cn/vas-ai-hub/contract-review">4FD82E08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141d13c0-5139-4bde-98e6-7fbe6b2ec2e7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4245DE80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6b423d96-b786-49a3-8025-943d2622b3f8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13749706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f8d60b48-a0b4-4337-b244-9b664d9cbb75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2F993966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855448d9-3e6c-426a-b7c5-df813f3afbfa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91D7B98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fbc59529-7b07-434c-a2e0-4cf8d9ab4e7e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421AA5E1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4abb9222-c00c-409e-ba46-dc586e1e0819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61A454EB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06d09088-d4af-41f8-bb3c-531c05709ef7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2E1CB7C5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5b0a90be-1b17-4838-9996-31bf57a57634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437317E4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0e3ea811-03ec-46d8-89df-5235571525b7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F763DC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d755ecdd-ef9d-46d1-8369-86d0885c92b8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3D88A7B0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78f1aa8e-d6f2-44c1-aeb4-22a2e5dd3eef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32EB205F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8f56e9ff-7314-4e0e-9d9b-ff821ac9672f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3D1C6FF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22a91cec-a23b-47b9-a881-7cdc5cc22165</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664811E6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636c1022-0477-4707-9b6c-79ed0b671013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179CBC36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a3cf1177-99a5-412b-a0c6-2a94b3885d43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21E5F979</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5291515e-116b-47f9-a370-67f2284a0397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62FE479B</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f261316a-e91e-4b09-8bf9-a0cd492e2edf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62FE479B</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62387377-a8e5-4c6a-9519-303a076eb997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6A072220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1fad263e-bb30-4255-943b-7234acd8599b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1E8CB026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3960f346-fdc1-4dea-bcb2-0b44a9bdc0e1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56167B38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0d3a7d91-78a1-43ca-8d22-0db84b3f0d6f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3ACC8362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b55dada8-b417-4429-88c4-0133d7ad8660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3DFAD4EF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16ab6da7-9623-463d-9c94-2d6799d542b0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154C657D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13dd0b2c-5d46-4cf6-866d-13bf3830da52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A2F6715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a1ac3a-b97d-4f01-9abe-70716adf83e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37</Pages>
  <Words>21179</Words>
  <Characters>21796</Characters>
  <Lines>1</Lines>
  <Paragraphs>1</Paragraphs>
  <TotalTime>1</TotalTime>
  <ScaleCrop>false</ScaleCrop>
  <LinksUpToDate>false</LinksUpToDate>
  <CharactersWithSpaces>23436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2017-06-17T06:31:00Z</dcterms:created>
  <dc:creator>Administrator</dc:creator>
  <cp:lastModifiedBy>ssessu</cp:lastModifiedBy>
  <cp:lastPrinted>2026-09-04T13:59:00Z</cp:lastPrinted>
  <dcterms:modified xsi:type="dcterms:W3CDTF">2026-09-08T10:24:21Z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756E466A6DCE472FBBE13EBD6D6BFA40_13</vt:lpwstr>
  </property>
  <property fmtid="{D5CDD505-2E9C-101B-9397-08002B2CF9AE}" pid="4" name="woTemplateTypoMode">
    <vt:lpwstr>web</vt:lpwstr>
  </property>
  <property fmtid="{D5CDD505-2E9C-101B-9397-08002B2CF9AE}" pid="5" name="woTemplate">
    <vt:r8>1</vt:r8>
  </property>
  <property fmtid="{D5CDD505-2E9C-101B-9397-08002B2CF9AE}" pid="6" name="KSOTemplateDocerSaveRecord">
    <vt:lpwstr>eyJoZGlkIjoiZDMxMGVkNzFlYmU2OGVmOTE0YTgyMGRiNDc0OThjNmEiLCJ1c2VySWQiOiIxMDMwNTc3NTcyIn0=</vt:lpwstr>
  </property>
</Properties>
</file>