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rPr>
          <w:rFonts w:hint="eastAsia" w:ascii="Times New Roman" w:hAnsi="Times New Roman" w:eastAsia="黑体" w:cs="黑体"/>
          <w:bCs/>
          <w:kern w:val="0"/>
          <w:sz w:val="32"/>
          <w:szCs w:val="32"/>
          <w:lang w:eastAsia="zh-CN"/>
        </w:rPr>
      </w:pPr>
      <w:r>
        <w:rPr>
          <w:rFonts w:hint="eastAsia" w:ascii="Times New Roman" w:hAnsi="Times New Roman" w:eastAsia="黑体" w:cs="黑体"/>
          <w:bCs/>
          <w:kern w:val="0"/>
          <w:sz w:val="32"/>
          <w:szCs w:val="32"/>
        </w:rPr>
        <w:t>附件</w:t>
      </w:r>
      <w:r>
        <w:rPr>
          <w:rFonts w:hint="eastAsia" w:ascii="Times New Roman" w:hAnsi="Times New Roman" w:eastAsia="黑体" w:cs="黑体"/>
          <w:bCs/>
          <w:kern w:val="0"/>
          <w:sz w:val="32"/>
          <w:szCs w:val="32"/>
          <w:lang w:val="en-US" w:eastAsia="zh-CN"/>
        </w:rPr>
        <w:t>1</w:t>
      </w:r>
    </w:p>
    <w:p>
      <w:pPr>
        <w:widowControl/>
        <w:spacing w:line="600" w:lineRule="exact"/>
        <w:rPr>
          <w:rFonts w:ascii="Times New Roman" w:hAnsi="Times New Roman" w:eastAsia="黑体" w:cs="黑体"/>
          <w:bCs/>
          <w:kern w:val="0"/>
          <w:sz w:val="32"/>
          <w:szCs w:val="32"/>
        </w:rPr>
      </w:pPr>
    </w:p>
    <w:p>
      <w:pPr>
        <w:spacing w:line="600" w:lineRule="exact"/>
        <w:jc w:val="center"/>
        <w:rPr>
          <w:rFonts w:ascii="Times New Roman" w:hAnsi="Times New Roman"/>
          <w:b/>
          <w:bCs/>
          <w:sz w:val="44"/>
          <w:szCs w:val="44"/>
        </w:rPr>
      </w:pPr>
      <w:r>
        <w:rPr>
          <w:rFonts w:hint="eastAsia" w:ascii="Times New Roman" w:hAnsi="Times New Roman"/>
          <w:b/>
          <w:bCs/>
          <w:sz w:val="44"/>
          <w:szCs w:val="44"/>
        </w:rPr>
        <w:t>江门市2026年广东省普惠性制造业投资奖励资金测算项目清算及支持项目入库申报与验收工作指引</w:t>
      </w:r>
    </w:p>
    <w:p>
      <w:pPr>
        <w:spacing w:line="600" w:lineRule="exact"/>
        <w:jc w:val="center"/>
        <w:rPr>
          <w:rFonts w:ascii="Times New Roman" w:hAnsi="Times New Roman"/>
          <w:b/>
          <w:bCs/>
          <w:sz w:val="44"/>
          <w:szCs w:val="44"/>
        </w:rPr>
      </w:pPr>
    </w:p>
    <w:p>
      <w:pPr>
        <w:spacing w:line="560" w:lineRule="exact"/>
        <w:ind w:firstLine="640"/>
        <w:jc w:val="left"/>
        <w:rPr>
          <w:rFonts w:ascii="Times New Roman" w:hAnsi="Times New Roman" w:eastAsia="仿宋_GB2312"/>
          <w:sz w:val="32"/>
          <w:szCs w:val="32"/>
        </w:rPr>
      </w:pPr>
      <w:r>
        <w:rPr>
          <w:rFonts w:hint="eastAsia" w:ascii="Times New Roman" w:hAnsi="Times New Roman" w:eastAsia="仿宋_GB2312"/>
          <w:sz w:val="32"/>
          <w:szCs w:val="32"/>
        </w:rPr>
        <w:t>江门市2026年广东省普惠性制造业投资奖励资金测算项目清算及支持项目入库申报与验收工作指引如下：</w:t>
      </w:r>
    </w:p>
    <w:p>
      <w:pPr>
        <w:spacing w:line="560" w:lineRule="exact"/>
        <w:ind w:firstLine="640"/>
        <w:jc w:val="left"/>
        <w:rPr>
          <w:rFonts w:ascii="Times New Roman" w:hAnsi="Times New Roman" w:eastAsia="黑体"/>
          <w:sz w:val="32"/>
          <w:szCs w:val="32"/>
        </w:rPr>
      </w:pPr>
      <w:r>
        <w:rPr>
          <w:rFonts w:hint="eastAsia" w:ascii="Times New Roman" w:hAnsi="Times New Roman" w:eastAsia="黑体"/>
          <w:sz w:val="32"/>
          <w:szCs w:val="32"/>
        </w:rPr>
        <w:t>一、</w:t>
      </w:r>
      <w:r>
        <w:rPr>
          <w:rFonts w:ascii="Times New Roman" w:hAnsi="Times New Roman" w:eastAsia="黑体"/>
          <w:sz w:val="32"/>
          <w:szCs w:val="32"/>
        </w:rPr>
        <w:t>工作</w:t>
      </w:r>
      <w:r>
        <w:rPr>
          <w:rFonts w:hint="eastAsia" w:ascii="Times New Roman" w:hAnsi="Times New Roman" w:eastAsia="黑体"/>
          <w:sz w:val="32"/>
          <w:szCs w:val="32"/>
        </w:rPr>
        <w:t>流程</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（一）市工业和信息化局根据省工信厅和市政府工作安排，</w:t>
      </w:r>
      <w:r>
        <w:rPr>
          <w:rFonts w:hint="eastAsia" w:ascii="Times New Roman" w:hAnsi="Times New Roman" w:eastAsia="仿宋_GB2312"/>
          <w:sz w:val="32"/>
          <w:szCs w:val="32"/>
          <w:lang w:eastAsia="zh-CN"/>
        </w:rPr>
        <w:t>会同财政部门</w:t>
      </w:r>
      <w:r>
        <w:rPr>
          <w:rFonts w:hint="eastAsia" w:ascii="Times New Roman" w:hAnsi="Times New Roman" w:eastAsia="仿宋_GB2312"/>
          <w:sz w:val="32"/>
          <w:szCs w:val="32"/>
        </w:rPr>
        <w:t>组织开展省普惠性制造业投资奖励资金测算项目清算工作。县（市、区）工信部门指导符合条件的项目单位编制测算项目清算、支持项目入库与验收申报材料，核实项目投资规模、建设进度、建设内容等信息，审核测算项目在2021-2025年新增实际固定资产投资额。编制投资奖励资金测算项目清算清单和绩效目标及支持项目清单，按规定程序审核后将清算申报材料报送至市工业和信息化局。</w:t>
      </w:r>
    </w:p>
    <w:p>
      <w:pPr>
        <w:spacing w:line="560" w:lineRule="exact"/>
        <w:ind w:firstLine="640" w:firstLineChars="200"/>
        <w:rPr>
          <w:rFonts w:hint="eastAsia" w:ascii="Times New Roman" w:hAnsi="Times New Roman" w:eastAsia="仿宋_GB2312"/>
          <w:sz w:val="32"/>
          <w:szCs w:val="32"/>
          <w:shd w:val="clear" w:color="auto" w:fill="FFFFFF"/>
        </w:rPr>
      </w:pPr>
      <w:r>
        <w:rPr>
          <w:rFonts w:hint="eastAsia" w:ascii="Times New Roman" w:hAnsi="Times New Roman" w:eastAsia="仿宋_GB2312"/>
          <w:sz w:val="32"/>
          <w:szCs w:val="32"/>
        </w:rPr>
        <w:t>（二）市工业和信息化局根据测算项目清算、支持项目入库申报与验收情况和评审需要，委托第三方评审机构或评审专家按规定组织评审和现场核查，了解项目建设进度并核实申报资料真实性，对项目真实性、准确性和完整性出具综合性评审意见</w:t>
      </w:r>
      <w:r>
        <w:rPr>
          <w:rFonts w:hint="eastAsia" w:ascii="Times New Roman" w:hAnsi="Times New Roman" w:eastAsia="仿宋_GB2312"/>
          <w:sz w:val="32"/>
          <w:szCs w:val="32"/>
          <w:shd w:val="clear" w:color="auto" w:fill="FFFFFF"/>
        </w:rPr>
        <w:t>。</w:t>
      </w:r>
    </w:p>
    <w:p>
      <w:pPr>
        <w:autoSpaceDE/>
        <w:autoSpaceDN/>
        <w:adjustRightInd/>
        <w:spacing w:line="56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sz w:val="32"/>
          <w:szCs w:val="32"/>
          <w:shd w:val="clear" w:color="auto" w:fill="FFFFFF"/>
          <w:lang w:eastAsia="zh-CN"/>
        </w:rPr>
        <w:t>（三）市工业和信息化局会同市财政局组织委托第三方机构对本市测算项目在政策实施期内的投资情况进行核实，出具本地区测算项目专审报告，并结合第三方机构出具的专项审计报告，对本地区所有项目在政策实施期内的投资情况进行审核，</w:t>
      </w:r>
      <w:r>
        <w:rPr>
          <w:rFonts w:hint="eastAsia" w:ascii="Times New Roman" w:hAnsi="Times New Roman" w:eastAsia="仿宋_GB2312" w:cs="仿宋_GB2312"/>
          <w:sz w:val="32"/>
          <w:szCs w:val="32"/>
          <w:lang w:eastAsia="zh-CN"/>
        </w:rPr>
        <w:t>形成投资奖励资金清算报告联合</w:t>
      </w:r>
      <w:r>
        <w:rPr>
          <w:rFonts w:hint="eastAsia" w:ascii="Times New Roman" w:hAnsi="Times New Roman" w:eastAsia="仿宋_GB2312" w:cs="仿宋_GB2312"/>
          <w:sz w:val="32"/>
          <w:szCs w:val="32"/>
        </w:rPr>
        <w:t>报市</w:t>
      </w:r>
      <w:r>
        <w:rPr>
          <w:rFonts w:hint="eastAsia" w:ascii="Times New Roman" w:hAnsi="Times New Roman" w:eastAsia="仿宋_GB2312" w:cs="仿宋_GB2312"/>
          <w:sz w:val="32"/>
          <w:szCs w:val="32"/>
          <w:lang w:eastAsia="zh-CN"/>
        </w:rPr>
        <w:t>人民</w:t>
      </w:r>
      <w:r>
        <w:rPr>
          <w:rFonts w:hint="eastAsia" w:ascii="Times New Roman" w:hAnsi="Times New Roman" w:eastAsia="仿宋_GB2312" w:cs="仿宋_GB2312"/>
          <w:sz w:val="32"/>
          <w:szCs w:val="32"/>
        </w:rPr>
        <w:t>政府</w:t>
      </w:r>
      <w:r>
        <w:rPr>
          <w:rFonts w:hint="eastAsia" w:ascii="Times New Roman" w:hAnsi="Times New Roman" w:eastAsia="仿宋_GB2312" w:cs="仿宋_GB2312"/>
          <w:sz w:val="32"/>
          <w:szCs w:val="32"/>
          <w:lang w:eastAsia="zh-CN"/>
        </w:rPr>
        <w:t>，经市人民政府</w:t>
      </w:r>
      <w:r>
        <w:rPr>
          <w:rFonts w:hint="eastAsia" w:ascii="Times New Roman" w:hAnsi="Times New Roman" w:eastAsia="仿宋_GB2312" w:cs="仿宋_GB2312"/>
          <w:sz w:val="32"/>
          <w:szCs w:val="32"/>
        </w:rPr>
        <w:t>审核确定后报</w:t>
      </w:r>
      <w:r>
        <w:rPr>
          <w:rFonts w:hint="eastAsia" w:ascii="Times New Roman" w:hAnsi="Times New Roman" w:eastAsia="仿宋_GB2312" w:cs="仿宋_GB2312"/>
          <w:sz w:val="32"/>
          <w:szCs w:val="32"/>
          <w:lang w:eastAsia="zh-CN"/>
        </w:rPr>
        <w:t>送</w:t>
      </w:r>
      <w:r>
        <w:rPr>
          <w:rFonts w:hint="eastAsia" w:ascii="Times New Roman" w:hAnsi="Times New Roman" w:eastAsia="仿宋_GB2312" w:cs="仿宋_GB2312"/>
          <w:sz w:val="32"/>
          <w:szCs w:val="32"/>
        </w:rPr>
        <w:t>省工业和信息化厅</w:t>
      </w:r>
      <w:r>
        <w:rPr>
          <w:rFonts w:hint="eastAsia" w:ascii="Times New Roman" w:hAnsi="Times New Roman" w:eastAsia="仿宋_GB2312" w:cs="仿宋_GB2312"/>
          <w:sz w:val="32"/>
          <w:szCs w:val="32"/>
          <w:lang w:eastAsia="zh-CN"/>
        </w:rPr>
        <w:t>和财政厅</w:t>
      </w:r>
      <w:r>
        <w:rPr>
          <w:rFonts w:hint="eastAsia" w:ascii="Times New Roman" w:hAnsi="Times New Roman" w:eastAsia="仿宋_GB2312" w:cs="仿宋_GB2312"/>
          <w:sz w:val="32"/>
          <w:szCs w:val="32"/>
        </w:rPr>
        <w:t>。</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四</w:t>
      </w:r>
      <w:r>
        <w:rPr>
          <w:rFonts w:hint="eastAsia" w:ascii="Times New Roman" w:hAnsi="Times New Roman" w:eastAsia="仿宋_GB2312"/>
          <w:sz w:val="32"/>
          <w:szCs w:val="32"/>
        </w:rPr>
        <w:t>）市工业和信息化局根据省纳入年度预算下达的投资奖励资金预算指标、支持项目入库情况和市政府工作安排，按程序编制并下达项目计划，同时将本市投资奖励资金项目计划、资金下达文件分别抄送省工业和信息化厅、省财政厅。各县（市、区）按照市工业和信息化局下达的普惠性制造业投资奖励资金项目计划，按规定下达拨付资金。</w:t>
      </w:r>
    </w:p>
    <w:p>
      <w:pPr>
        <w:spacing w:line="560" w:lineRule="exact"/>
        <w:ind w:firstLine="640"/>
        <w:jc w:val="left"/>
        <w:rPr>
          <w:rFonts w:ascii="Times New Roman" w:hAnsi="Times New Roman" w:eastAsia="仿宋_GB2312"/>
          <w:sz w:val="32"/>
          <w:szCs w:val="32"/>
        </w:rPr>
      </w:pP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五</w:t>
      </w:r>
      <w:r>
        <w:rPr>
          <w:rFonts w:hint="eastAsia" w:ascii="Times New Roman" w:hAnsi="Times New Roman" w:eastAsia="仿宋_GB2312"/>
          <w:sz w:val="32"/>
          <w:szCs w:val="32"/>
        </w:rPr>
        <w:t>）</w:t>
      </w:r>
      <w:r>
        <w:rPr>
          <w:rFonts w:ascii="Times New Roman" w:hAnsi="Times New Roman" w:eastAsia="仿宋_GB2312"/>
          <w:sz w:val="32"/>
          <w:szCs w:val="32"/>
        </w:rPr>
        <w:t>按照</w:t>
      </w:r>
      <w:r>
        <w:rPr>
          <w:rFonts w:hint="eastAsia" w:ascii="Times New Roman" w:hAnsi="Times New Roman" w:eastAsia="仿宋_GB2312"/>
          <w:sz w:val="32"/>
          <w:szCs w:val="32"/>
        </w:rPr>
        <w:t>“</w:t>
      </w:r>
      <w:r>
        <w:rPr>
          <w:rFonts w:ascii="Times New Roman" w:hAnsi="Times New Roman" w:eastAsia="仿宋_GB2312"/>
          <w:sz w:val="32"/>
          <w:szCs w:val="32"/>
        </w:rPr>
        <w:t>谁使用、谁负责</w:t>
      </w:r>
      <w:r>
        <w:rPr>
          <w:rFonts w:hint="eastAsia" w:ascii="Times New Roman" w:hAnsi="Times New Roman" w:eastAsia="仿宋_GB2312"/>
          <w:sz w:val="32"/>
          <w:szCs w:val="32"/>
        </w:rPr>
        <w:t>”</w:t>
      </w:r>
      <w:r>
        <w:rPr>
          <w:rFonts w:ascii="Times New Roman" w:hAnsi="Times New Roman" w:eastAsia="仿宋_GB2312"/>
          <w:sz w:val="32"/>
          <w:szCs w:val="32"/>
        </w:rPr>
        <w:t>的原则，各县（市、区）</w:t>
      </w:r>
      <w:r>
        <w:rPr>
          <w:rFonts w:hint="eastAsia" w:ascii="Times New Roman" w:hAnsi="Times New Roman" w:eastAsia="仿宋_GB2312"/>
          <w:sz w:val="32"/>
          <w:szCs w:val="32"/>
        </w:rPr>
        <w:t>工信部门</w:t>
      </w:r>
      <w:r>
        <w:rPr>
          <w:rFonts w:ascii="Times New Roman" w:hAnsi="Times New Roman" w:eastAsia="仿宋_GB2312"/>
          <w:sz w:val="32"/>
          <w:szCs w:val="32"/>
        </w:rPr>
        <w:t>要</w:t>
      </w:r>
      <w:r>
        <w:rPr>
          <w:rFonts w:hint="eastAsia" w:ascii="Times New Roman" w:hAnsi="Times New Roman" w:eastAsia="仿宋_GB2312"/>
          <w:sz w:val="32"/>
          <w:szCs w:val="32"/>
        </w:rPr>
        <w:t>将项目申报清算材料、资金项目安排各环节的文件整理归档，以备后续检查、绩效评价及政府审计等。</w:t>
      </w:r>
    </w:p>
    <w:p>
      <w:pPr>
        <w:spacing w:line="560" w:lineRule="exact"/>
        <w:ind w:firstLine="640" w:firstLineChars="200"/>
        <w:jc w:val="left"/>
        <w:rPr>
          <w:rFonts w:ascii="Times New Roman" w:hAnsi="Times New Roman" w:eastAsia="黑体"/>
          <w:sz w:val="32"/>
          <w:szCs w:val="32"/>
        </w:rPr>
      </w:pPr>
      <w:r>
        <w:rPr>
          <w:rFonts w:hint="eastAsia" w:ascii="Times New Roman" w:hAnsi="Times New Roman" w:eastAsia="黑体"/>
          <w:sz w:val="32"/>
          <w:szCs w:val="32"/>
        </w:rPr>
        <w:t>二、测算项目应具备条件</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（一）测算项</w:t>
      </w:r>
      <w:r>
        <w:rPr>
          <w:rFonts w:hint="eastAsia" w:ascii="Times New Roman" w:hAnsi="Times New Roman" w:eastAsia="仿宋_GB2312"/>
          <w:sz w:val="32"/>
          <w:szCs w:val="32"/>
        </w:rPr>
        <w:t>目实施地在江门市境内，并已取得投资主管部门核准、审批和备案等立项文件。</w:t>
      </w:r>
    </w:p>
    <w:p>
      <w:pPr>
        <w:spacing w:line="560" w:lineRule="exact"/>
        <w:ind w:firstLine="640" w:firstLineChars="200"/>
        <w:rPr>
          <w:rFonts w:ascii="Times New Roman" w:hAnsi="Times New Roman" w:eastAsia="仿宋_GB2312"/>
          <w:bCs/>
          <w:sz w:val="32"/>
          <w:szCs w:val="36"/>
        </w:rPr>
      </w:pPr>
      <w:r>
        <w:rPr>
          <w:rFonts w:hint="eastAsia" w:ascii="Times New Roman" w:hAnsi="Times New Roman" w:eastAsia="仿宋_GB2312"/>
          <w:sz w:val="32"/>
          <w:szCs w:val="32"/>
          <w:lang w:bidi="ar"/>
        </w:rPr>
        <w:t>（二）测算</w:t>
      </w:r>
      <w:r>
        <w:rPr>
          <w:rFonts w:ascii="Times New Roman" w:hAnsi="Times New Roman" w:eastAsia="仿宋_GB2312"/>
          <w:sz w:val="32"/>
          <w:szCs w:val="32"/>
          <w:lang w:bidi="ar"/>
        </w:rPr>
        <w:t>项目行业类型属国民经济行业分类（GB/T4754-2017）</w:t>
      </w:r>
      <w:r>
        <w:rPr>
          <w:rFonts w:hint="eastAsia" w:ascii="Times New Roman" w:hAnsi="Times New Roman" w:eastAsia="仿宋_GB2312"/>
          <w:sz w:val="32"/>
          <w:szCs w:val="32"/>
          <w:lang w:bidi="ar"/>
        </w:rPr>
        <w:t>“</w:t>
      </w:r>
      <w:r>
        <w:rPr>
          <w:rFonts w:ascii="Times New Roman" w:hAnsi="Times New Roman" w:eastAsia="仿宋_GB2312"/>
          <w:sz w:val="32"/>
          <w:szCs w:val="32"/>
          <w:lang w:bidi="ar"/>
        </w:rPr>
        <w:t>制造业</w:t>
      </w:r>
      <w:r>
        <w:rPr>
          <w:rFonts w:hint="eastAsia" w:ascii="Times New Roman" w:hAnsi="Times New Roman" w:eastAsia="仿宋_GB2312"/>
          <w:sz w:val="32"/>
          <w:szCs w:val="32"/>
          <w:lang w:bidi="ar"/>
        </w:rPr>
        <w:t>”</w:t>
      </w:r>
      <w:r>
        <w:rPr>
          <w:rFonts w:ascii="Times New Roman" w:hAnsi="Times New Roman" w:eastAsia="仿宋_GB2312"/>
          <w:sz w:val="32"/>
          <w:szCs w:val="32"/>
          <w:lang w:bidi="ar"/>
        </w:rPr>
        <w:t>行业</w:t>
      </w:r>
      <w:r>
        <w:rPr>
          <w:rFonts w:hint="eastAsia" w:ascii="Times New Roman" w:hAnsi="Times New Roman" w:eastAsia="仿宋_GB2312"/>
          <w:sz w:val="32"/>
          <w:szCs w:val="32"/>
          <w:lang w:bidi="ar"/>
        </w:rPr>
        <w:t>（附件</w:t>
      </w:r>
      <w:r>
        <w:rPr>
          <w:rFonts w:hint="eastAsia" w:ascii="Times New Roman" w:hAnsi="Times New Roman" w:eastAsia="仿宋_GB2312"/>
          <w:sz w:val="32"/>
          <w:szCs w:val="32"/>
          <w:lang w:val="en-US" w:eastAsia="zh-CN" w:bidi="ar"/>
        </w:rPr>
        <w:t>7</w:t>
      </w:r>
      <w:r>
        <w:rPr>
          <w:rFonts w:hint="eastAsia" w:ascii="Times New Roman" w:hAnsi="Times New Roman" w:eastAsia="仿宋_GB2312"/>
          <w:sz w:val="32"/>
          <w:szCs w:val="32"/>
          <w:lang w:bidi="ar"/>
        </w:rPr>
        <w:t>），</w:t>
      </w:r>
      <w:r>
        <w:rPr>
          <w:rFonts w:hint="eastAsia" w:ascii="仿宋_GB2312" w:hAnsi="仿宋_GB2312" w:eastAsia="仿宋_GB2312" w:cs="仿宋_GB2312"/>
          <w:color w:val="000000"/>
          <w:sz w:val="32"/>
          <w:szCs w:val="32"/>
        </w:rPr>
        <w:t>项目单位主营业务为制造业</w:t>
      </w:r>
      <w:r>
        <w:rPr>
          <w:rFonts w:hint="eastAsia" w:ascii="Times New Roman" w:hAnsi="Times New Roman" w:eastAsia="仿宋_GB2312"/>
          <w:bCs/>
          <w:sz w:val="32"/>
          <w:szCs w:val="36"/>
        </w:rPr>
        <w:t>。测算</w:t>
      </w:r>
      <w:r>
        <w:rPr>
          <w:rFonts w:hint="eastAsia" w:ascii="Times New Roman" w:hAnsi="Times New Roman" w:eastAsia="仿宋_GB2312"/>
          <w:sz w:val="32"/>
          <w:szCs w:val="32"/>
        </w:rPr>
        <w:t>项目单位经营活动正常，财务状况良好，不存在重大经营风险且未被列入严重</w:t>
      </w:r>
      <w:r>
        <w:rPr>
          <w:rFonts w:hint="eastAsia" w:ascii="仿宋_GB2312" w:eastAsia="仿宋_GB2312"/>
          <w:sz w:val="32"/>
          <w:szCs w:val="32"/>
        </w:rPr>
        <w:t>失信主体名单</w:t>
      </w:r>
      <w:r>
        <w:rPr>
          <w:rFonts w:hint="eastAsia" w:ascii="Times New Roman" w:hAnsi="Times New Roman" w:eastAsia="仿宋_GB2312"/>
          <w:sz w:val="32"/>
          <w:szCs w:val="32"/>
        </w:rPr>
        <w:t>。</w:t>
      </w:r>
      <w:r>
        <w:rPr>
          <w:rFonts w:hint="eastAsia" w:ascii="Times New Roman" w:hAnsi="Times New Roman" w:eastAsia="仿宋_GB2312"/>
          <w:bCs/>
          <w:sz w:val="32"/>
          <w:szCs w:val="36"/>
        </w:rPr>
        <w:t>项目投资应按规定纳入广东省制造业投资统计。</w:t>
      </w:r>
    </w:p>
    <w:p>
      <w:pPr>
        <w:spacing w:line="560" w:lineRule="exact"/>
        <w:ind w:firstLine="640" w:firstLineChars="200"/>
        <w:rPr>
          <w:rFonts w:ascii="Times New Roman" w:hAnsi="Times New Roman" w:eastAsia="仿宋_GB2312"/>
          <w:sz w:val="32"/>
          <w:szCs w:val="32"/>
          <w:lang w:bidi="ar"/>
        </w:rPr>
      </w:pPr>
      <w:r>
        <w:rPr>
          <w:rFonts w:hint="eastAsia" w:ascii="Times New Roman" w:hAnsi="Times New Roman" w:eastAsia="仿宋_GB2312"/>
          <w:sz w:val="32"/>
          <w:szCs w:val="32"/>
          <w:lang w:bidi="ar"/>
        </w:rPr>
        <w:t>（三）测算项目符合省重点产业发展方向，重点遴选先进制造业项目，支持各地结合产业发展实际和特色，因地制宜、分类施策，积极引进产业带动性强、技术水平先进、绿色低碳的先进制造业项目。支持遴选专精特新企业、制造业单项冠军企业、“小巨人”、“链主”企业等产业带动能力强、创新发展能力好的企业项目。</w:t>
      </w:r>
    </w:p>
    <w:p>
      <w:pPr>
        <w:spacing w:line="560" w:lineRule="exact"/>
        <w:ind w:firstLine="640" w:firstLineChars="200"/>
        <w:rPr>
          <w:rFonts w:ascii="Times New Roman" w:hAnsi="Times New Roman" w:eastAsia="仿宋_GB2312"/>
          <w:bCs/>
          <w:sz w:val="32"/>
          <w:szCs w:val="36"/>
        </w:rPr>
      </w:pPr>
      <w:r>
        <w:rPr>
          <w:rFonts w:hint="eastAsia" w:ascii="Times New Roman" w:hAnsi="Times New Roman" w:eastAsia="仿宋_GB2312"/>
          <w:sz w:val="32"/>
          <w:szCs w:val="32"/>
          <w:lang w:bidi="ar"/>
        </w:rPr>
        <w:t>（四）江门市制造业项目立项和“十四五”期间</w:t>
      </w:r>
      <w:r>
        <w:rPr>
          <w:rFonts w:hint="eastAsia" w:ascii="Times New Roman" w:hAnsi="Times New Roman" w:eastAsia="仿宋_GB2312"/>
          <w:bCs/>
          <w:sz w:val="32"/>
          <w:szCs w:val="32"/>
          <w:lang w:bidi="ar"/>
        </w:rPr>
        <w:t>实际</w:t>
      </w:r>
      <w:r>
        <w:rPr>
          <w:rFonts w:hint="eastAsia" w:ascii="Times New Roman" w:hAnsi="Times New Roman" w:eastAsia="仿宋_GB2312"/>
          <w:sz w:val="32"/>
          <w:szCs w:val="32"/>
          <w:lang w:bidi="ar"/>
        </w:rPr>
        <w:t>完成总投资须10亿元以上；项目建设地发生变更的，按项目最终实际建设地申报条件和标准执行。</w:t>
      </w:r>
    </w:p>
    <w:p>
      <w:pPr>
        <w:spacing w:line="560" w:lineRule="exact"/>
        <w:ind w:firstLine="640" w:firstLineChars="200"/>
        <w:rPr>
          <w:rFonts w:ascii="Times New Roman" w:hAnsi="Times New Roman" w:eastAsia="仿宋_GB2312"/>
          <w:sz w:val="32"/>
          <w:szCs w:val="32"/>
          <w:shd w:val="clear" w:color="auto" w:fill="FFFFFF"/>
        </w:rPr>
      </w:pPr>
      <w:r>
        <w:rPr>
          <w:rFonts w:ascii="Times New Roman" w:hAnsi="Times New Roman" w:eastAsia="仿宋_GB2312"/>
          <w:sz w:val="32"/>
          <w:szCs w:val="32"/>
          <w:shd w:val="clear" w:color="auto" w:fill="FFFFFF"/>
        </w:rPr>
        <w:t>（</w:t>
      </w:r>
      <w:r>
        <w:rPr>
          <w:rFonts w:hint="eastAsia" w:ascii="Times New Roman" w:hAnsi="Times New Roman" w:eastAsia="仿宋_GB2312"/>
          <w:sz w:val="32"/>
          <w:szCs w:val="32"/>
          <w:shd w:val="clear" w:color="auto" w:fill="FFFFFF"/>
        </w:rPr>
        <w:t>五</w:t>
      </w:r>
      <w:r>
        <w:rPr>
          <w:rFonts w:ascii="Times New Roman" w:hAnsi="Times New Roman" w:eastAsia="仿宋_GB2312"/>
          <w:sz w:val="32"/>
          <w:szCs w:val="32"/>
          <w:shd w:val="clear" w:color="auto" w:fill="FFFFFF"/>
        </w:rPr>
        <w:t>）</w:t>
      </w:r>
      <w:r>
        <w:rPr>
          <w:rFonts w:hint="eastAsia" w:ascii="Times New Roman" w:hAnsi="Times New Roman" w:eastAsia="仿宋_GB2312"/>
          <w:sz w:val="32"/>
          <w:szCs w:val="32"/>
          <w:shd w:val="clear" w:color="auto" w:fill="FFFFFF"/>
        </w:rPr>
        <w:t>项目应遵守国家法律法规，符合相关发展建设规划、产业政策、市场准入标准等国家和省相关领域政策规定，以及环保、节能、安全、土地等有关政策法规要求。项目单位近3年内在质量、环保、安全等方面未发生重大事故；项目申报至公示期满期间，经查询不存在“信用中国”网站（https://credit.gd.gov.cn）严重失信主体名单企业的情形。</w:t>
      </w:r>
    </w:p>
    <w:p>
      <w:pPr>
        <w:spacing w:line="560" w:lineRule="exact"/>
        <w:ind w:firstLine="640" w:firstLineChars="200"/>
        <w:rPr>
          <w:rFonts w:ascii="Times New Roman" w:hAnsi="Times New Roman" w:eastAsia="仿宋_GB2312"/>
          <w:sz w:val="32"/>
          <w:szCs w:val="32"/>
          <w:shd w:val="clear" w:color="auto" w:fill="FFFFFF"/>
        </w:rPr>
      </w:pPr>
      <w:r>
        <w:rPr>
          <w:rFonts w:ascii="Times New Roman" w:hAnsi="Times New Roman" w:eastAsia="仿宋_GB2312"/>
          <w:sz w:val="32"/>
          <w:szCs w:val="32"/>
          <w:shd w:val="clear" w:color="auto" w:fill="FFFFFF"/>
        </w:rPr>
        <w:t>（</w:t>
      </w:r>
      <w:r>
        <w:rPr>
          <w:rFonts w:hint="eastAsia" w:ascii="Times New Roman" w:hAnsi="Times New Roman" w:eastAsia="仿宋_GB2312"/>
          <w:sz w:val="32"/>
          <w:szCs w:val="32"/>
          <w:shd w:val="clear" w:color="auto" w:fill="FFFFFF"/>
        </w:rPr>
        <w:t>六</w:t>
      </w:r>
      <w:r>
        <w:rPr>
          <w:rFonts w:ascii="Times New Roman" w:hAnsi="Times New Roman" w:eastAsia="仿宋_GB2312"/>
          <w:sz w:val="32"/>
          <w:szCs w:val="32"/>
          <w:shd w:val="clear" w:color="auto" w:fill="FFFFFF"/>
        </w:rPr>
        <w:t>）</w:t>
      </w:r>
      <w:r>
        <w:rPr>
          <w:rFonts w:ascii="Times New Roman" w:hAnsi="Times New Roman" w:eastAsia="仿宋_GB2312"/>
          <w:b/>
          <w:bCs/>
          <w:sz w:val="32"/>
          <w:szCs w:val="32"/>
          <w:shd w:val="clear" w:color="auto" w:fill="FFFFFF"/>
        </w:rPr>
        <w:t>项目及申报奖励的固定资产投资未获得过省工业和信息化领域财政资金的支持</w:t>
      </w:r>
      <w:r>
        <w:rPr>
          <w:rFonts w:ascii="Times New Roman" w:hAnsi="Times New Roman" w:eastAsia="仿宋_GB2312"/>
          <w:sz w:val="32"/>
          <w:szCs w:val="32"/>
          <w:shd w:val="clear" w:color="auto" w:fill="FFFFFF"/>
        </w:rPr>
        <w:t>。</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三、测算项目申报资料</w:t>
      </w:r>
    </w:p>
    <w:p>
      <w:pPr>
        <w:spacing w:line="560" w:lineRule="exact"/>
        <w:ind w:firstLine="640" w:firstLineChars="200"/>
        <w:rPr>
          <w:rFonts w:ascii="Times New Roman" w:hAnsi="Times New Roman" w:eastAsia="仿宋_GB2312"/>
          <w:sz w:val="32"/>
          <w:szCs w:val="32"/>
          <w:shd w:val="clear" w:color="auto" w:fill="FFFFFF"/>
        </w:rPr>
      </w:pPr>
      <w:r>
        <w:rPr>
          <w:rFonts w:hint="eastAsia" w:eastAsia="仿宋_GB2312"/>
          <w:kern w:val="0"/>
          <w:sz w:val="32"/>
          <w:szCs w:val="32"/>
        </w:rPr>
        <w:t>各县（市、区）在组织测算项目清算申报过程中，应坚持科学审慎原则，</w:t>
      </w:r>
      <w:r>
        <w:rPr>
          <w:rFonts w:ascii="Times New Roman" w:hAnsi="Times New Roman" w:eastAsia="仿宋_GB2312"/>
          <w:sz w:val="32"/>
          <w:szCs w:val="32"/>
        </w:rPr>
        <w:t>本次清算奖励</w:t>
      </w:r>
      <w:r>
        <w:rPr>
          <w:rFonts w:hint="eastAsia" w:ascii="Times New Roman" w:hAnsi="Times New Roman" w:eastAsia="仿宋_GB2312"/>
          <w:sz w:val="32"/>
          <w:szCs w:val="32"/>
        </w:rPr>
        <w:t>的新增实际固定资产投资额，是指项目2021-2025年实际固定资产投资额。</w:t>
      </w:r>
      <w:r>
        <w:rPr>
          <w:rFonts w:hint="eastAsia" w:eastAsia="仿宋_GB2312"/>
          <w:kern w:val="0"/>
          <w:sz w:val="32"/>
          <w:szCs w:val="32"/>
        </w:rPr>
        <w:t>根据实际情况，</w:t>
      </w:r>
      <w:r>
        <w:rPr>
          <w:rFonts w:ascii="Times New Roman" w:hAnsi="Times New Roman" w:eastAsia="仿宋_GB2312"/>
          <w:sz w:val="32"/>
          <w:szCs w:val="32"/>
        </w:rPr>
        <w:t>202</w:t>
      </w:r>
      <w:r>
        <w:rPr>
          <w:rFonts w:hint="eastAsia" w:ascii="Times New Roman" w:hAnsi="Times New Roman" w:eastAsia="仿宋_GB2312"/>
          <w:sz w:val="32"/>
          <w:szCs w:val="32"/>
        </w:rPr>
        <w:t>6</w:t>
      </w:r>
      <w:r>
        <w:rPr>
          <w:rFonts w:ascii="Times New Roman" w:hAnsi="Times New Roman" w:eastAsia="仿宋_GB2312"/>
          <w:sz w:val="32"/>
          <w:szCs w:val="32"/>
        </w:rPr>
        <w:t>年</w:t>
      </w:r>
      <w:r>
        <w:rPr>
          <w:rFonts w:hint="eastAsia" w:ascii="Times New Roman" w:hAnsi="Times New Roman" w:eastAsia="仿宋_GB2312"/>
          <w:sz w:val="32"/>
          <w:szCs w:val="32"/>
        </w:rPr>
        <w:t>广东省普惠性制造业投资奖励资金测算项目清算需提交以下资料</w:t>
      </w:r>
      <w:r>
        <w:rPr>
          <w:rFonts w:hint="eastAsia" w:eastAsia="仿宋_GB2312"/>
          <w:sz w:val="32"/>
          <w:szCs w:val="32"/>
        </w:rPr>
        <w:t>：</w:t>
      </w:r>
    </w:p>
    <w:p>
      <w:pPr>
        <w:spacing w:line="560" w:lineRule="exact"/>
        <w:ind w:firstLine="480" w:firstLineChars="150"/>
        <w:rPr>
          <w:rFonts w:ascii="楷体" w:hAnsi="楷体" w:eastAsia="楷体"/>
          <w:sz w:val="32"/>
          <w:szCs w:val="32"/>
          <w:shd w:val="clear" w:color="auto" w:fill="FFFFFF"/>
        </w:rPr>
      </w:pPr>
      <w:r>
        <w:rPr>
          <w:rFonts w:hint="eastAsia" w:ascii="楷体" w:hAnsi="楷体" w:eastAsia="楷体"/>
          <w:sz w:val="32"/>
          <w:szCs w:val="32"/>
          <w:shd w:val="clear" w:color="auto" w:fill="FFFFFF"/>
        </w:rPr>
        <w:t>（一）清算材料封面、目录要求</w:t>
      </w:r>
    </w:p>
    <w:p>
      <w:pPr>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封面统一标明为“广东省普惠性制造业投资奖励资金清算测算项目申报材料”，标明申报单位（</w:t>
      </w:r>
      <w:r>
        <w:rPr>
          <w:rFonts w:hint="eastAsia" w:eastAsia="仿宋_GB2312"/>
          <w:sz w:val="32"/>
          <w:szCs w:val="32"/>
        </w:rPr>
        <w:t>加盖本单位公章</w:t>
      </w:r>
      <w:r>
        <w:rPr>
          <w:rFonts w:hint="eastAsia" w:ascii="Times New Roman" w:hAnsi="Times New Roman" w:eastAsia="仿宋_GB2312"/>
          <w:sz w:val="32"/>
          <w:szCs w:val="32"/>
          <w:shd w:val="clear" w:color="auto" w:fill="FFFFFF"/>
        </w:rPr>
        <w:t>）、申报日期，目录应列明所提交的各种文件材料及页码（附件</w:t>
      </w:r>
      <w:r>
        <w:rPr>
          <w:rFonts w:hint="eastAsia" w:ascii="Times New Roman" w:hAnsi="Times New Roman" w:eastAsia="仿宋_GB2312"/>
          <w:sz w:val="32"/>
          <w:szCs w:val="32"/>
          <w:shd w:val="clear" w:color="auto" w:fill="FFFFFF"/>
          <w:lang w:val="en-US" w:eastAsia="zh-CN"/>
        </w:rPr>
        <w:t>8</w:t>
      </w:r>
      <w:r>
        <w:rPr>
          <w:rFonts w:hint="eastAsia" w:ascii="Times New Roman" w:hAnsi="Times New Roman" w:eastAsia="仿宋_GB2312"/>
          <w:sz w:val="32"/>
          <w:szCs w:val="32"/>
          <w:shd w:val="clear" w:color="auto" w:fill="FFFFFF"/>
        </w:rPr>
        <w:t>-1）。</w:t>
      </w:r>
    </w:p>
    <w:p>
      <w:pPr>
        <w:spacing w:line="560" w:lineRule="exact"/>
        <w:ind w:firstLine="480" w:firstLineChars="150"/>
        <w:rPr>
          <w:rFonts w:ascii="楷体" w:hAnsi="楷体" w:eastAsia="楷体"/>
          <w:sz w:val="32"/>
          <w:szCs w:val="32"/>
          <w:shd w:val="clear" w:color="auto" w:fill="FFFFFF"/>
        </w:rPr>
      </w:pPr>
      <w:r>
        <w:rPr>
          <w:rFonts w:hint="eastAsia" w:ascii="楷体" w:hAnsi="楷体" w:eastAsia="楷体"/>
          <w:sz w:val="32"/>
          <w:szCs w:val="32"/>
          <w:shd w:val="clear" w:color="auto" w:fill="FFFFFF"/>
        </w:rPr>
        <w:t>（二）测算</w:t>
      </w:r>
      <w:r>
        <w:rPr>
          <w:rFonts w:ascii="楷体" w:hAnsi="楷体" w:eastAsia="楷体"/>
          <w:sz w:val="32"/>
          <w:szCs w:val="32"/>
          <w:shd w:val="clear" w:color="auto" w:fill="FFFFFF"/>
        </w:rPr>
        <w:t>项目基本情况表（附件</w:t>
      </w:r>
      <w:r>
        <w:rPr>
          <w:rFonts w:hint="eastAsia" w:ascii="Times New Roman" w:hAnsi="Times New Roman" w:eastAsia="楷体"/>
          <w:sz w:val="32"/>
          <w:szCs w:val="32"/>
          <w:shd w:val="clear" w:color="auto" w:fill="FFFFFF"/>
          <w:lang w:val="en-US" w:eastAsia="zh-CN"/>
        </w:rPr>
        <w:t>8</w:t>
      </w:r>
      <w:r>
        <w:rPr>
          <w:rFonts w:ascii="Times New Roman" w:hAnsi="Times New Roman" w:eastAsia="楷体"/>
          <w:sz w:val="32"/>
          <w:szCs w:val="32"/>
          <w:shd w:val="clear" w:color="auto" w:fill="FFFFFF"/>
        </w:rPr>
        <w:t>-2</w:t>
      </w:r>
      <w:r>
        <w:rPr>
          <w:rFonts w:ascii="楷体" w:hAnsi="楷体" w:eastAsia="楷体"/>
          <w:sz w:val="32"/>
          <w:szCs w:val="32"/>
          <w:shd w:val="clear" w:color="auto" w:fill="FFFFFF"/>
        </w:rPr>
        <w:t>）</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明确项目所属行业分类代码及名称、所属战略性产业集群的具体分类，以及项目单位是否属专精特新中小企业、“小巨人”企业、制造业单项冠军企业、“链主”企业及其具体类别。</w:t>
      </w:r>
    </w:p>
    <w:p>
      <w:pPr>
        <w:spacing w:line="560" w:lineRule="exact"/>
        <w:ind w:firstLine="480" w:firstLineChars="150"/>
        <w:rPr>
          <w:rFonts w:ascii="楷体" w:hAnsi="楷体" w:eastAsia="楷体"/>
          <w:sz w:val="32"/>
          <w:szCs w:val="32"/>
          <w:shd w:val="clear" w:color="auto" w:fill="FFFFFF"/>
        </w:rPr>
      </w:pPr>
      <w:r>
        <w:rPr>
          <w:rFonts w:hint="eastAsia" w:ascii="楷体" w:hAnsi="楷体" w:eastAsia="楷体"/>
          <w:sz w:val="32"/>
          <w:szCs w:val="32"/>
          <w:shd w:val="clear" w:color="auto" w:fill="FFFFFF"/>
        </w:rPr>
        <w:t>（三）项目佐证材料</w:t>
      </w:r>
    </w:p>
    <w:p>
      <w:pPr>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1.测算项目承诺书（附件</w:t>
      </w:r>
      <w:r>
        <w:rPr>
          <w:rFonts w:hint="eastAsia" w:ascii="Times New Roman" w:hAnsi="Times New Roman" w:eastAsia="仿宋_GB2312"/>
          <w:sz w:val="32"/>
          <w:szCs w:val="32"/>
          <w:shd w:val="clear" w:color="auto" w:fill="FFFFFF"/>
          <w:lang w:val="en-US" w:eastAsia="zh-CN"/>
        </w:rPr>
        <w:t>8</w:t>
      </w:r>
      <w:r>
        <w:rPr>
          <w:rFonts w:hint="eastAsia" w:ascii="Times New Roman" w:hAnsi="Times New Roman" w:eastAsia="仿宋_GB2312"/>
          <w:sz w:val="32"/>
          <w:szCs w:val="32"/>
          <w:shd w:val="clear" w:color="auto" w:fill="FFFFFF"/>
        </w:rPr>
        <w:t>-3），项目承诺书内容应包括材料真实性，项目合规性，项目及申报奖励的固定资产投资未获得过省工业和信息化领域财政资金的支持，项目单位近三年未发生重大安全、环保、质量事故，信用状况良好，无严重失信行为，近5年来在专项资金申报、管理、使用过程中不存在违法违规行为等情况。</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2.</w:t>
      </w:r>
      <w:r>
        <w:rPr>
          <w:rFonts w:hint="eastAsia" w:ascii="Times New Roman" w:hAnsi="Times New Roman" w:eastAsia="仿宋_GB2312"/>
          <w:sz w:val="32"/>
          <w:szCs w:val="32"/>
        </w:rPr>
        <w:t>测算</w:t>
      </w:r>
      <w:r>
        <w:rPr>
          <w:rFonts w:ascii="Times New Roman" w:hAnsi="Times New Roman" w:eastAsia="仿宋_GB2312"/>
          <w:sz w:val="32"/>
          <w:szCs w:val="32"/>
        </w:rPr>
        <w:t>项目单位营业执照复印件</w:t>
      </w:r>
      <w:r>
        <w:rPr>
          <w:rFonts w:hint="eastAsia" w:ascii="Times New Roman" w:hAnsi="Times New Roman" w:eastAsia="仿宋_GB2312"/>
          <w:sz w:val="32"/>
          <w:szCs w:val="32"/>
        </w:rPr>
        <w:t>。</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3.</w:t>
      </w:r>
      <w:r>
        <w:rPr>
          <w:rFonts w:hint="eastAsia" w:ascii="Times New Roman" w:hAnsi="Times New Roman" w:eastAsia="仿宋_GB2312"/>
          <w:sz w:val="32"/>
          <w:szCs w:val="32"/>
        </w:rPr>
        <w:t>测算</w:t>
      </w:r>
      <w:r>
        <w:rPr>
          <w:rFonts w:ascii="Times New Roman" w:hAnsi="Times New Roman" w:eastAsia="仿宋_GB2312"/>
          <w:sz w:val="32"/>
          <w:szCs w:val="32"/>
        </w:rPr>
        <w:t>项目实施地投资主管部门核准、审批和备案等立项文件</w:t>
      </w:r>
      <w:r>
        <w:rPr>
          <w:rFonts w:hint="eastAsia" w:ascii="Times New Roman" w:hAnsi="Times New Roman" w:eastAsia="仿宋_GB2312"/>
          <w:sz w:val="32"/>
          <w:szCs w:val="32"/>
        </w:rPr>
        <w:t>。“投资项目在线审批监管平台统一代码”项目代码回执（项目单位登录“投资项目在线审批监管平台”打印获取）。</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4.测算项目按规定需要进行环评、节能审查、安评及安全生产验收、施工许可等必要审批（审查）手续的项目，需提供相关的完备手续（无需相关手续的项目需企业做出说明）。</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5.</w:t>
      </w:r>
      <w:r>
        <w:rPr>
          <w:rFonts w:hint="eastAsia" w:ascii="Times New Roman" w:hAnsi="Times New Roman" w:eastAsia="仿宋_GB2312"/>
          <w:sz w:val="32"/>
          <w:szCs w:val="32"/>
        </w:rPr>
        <w:t>具备与所申报项目相关合规的用地和规划选址文件（以下复印件提供其中一项即可：（1）若项目建设租赁厂房的，提供土地及厂房租赁合同等资料的复印件；（2）若项目有土地使用证或房地产权证，且没改变用地性质的，无需规划选址意见，提供土地使用证或房地产权证复印件；（3）若项目有土地使用证和规划许可证，提供复印件）。</w:t>
      </w:r>
    </w:p>
    <w:p>
      <w:pPr>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5.测算项目在2021年1月1日-2025年12月31日期间按规定申报广东省制造业投资统计相关材料（“固定资产投资项目情况”206表）。如项目有特殊纳入统计情况，企业应进行说明。</w:t>
      </w:r>
    </w:p>
    <w:p>
      <w:pPr>
        <w:spacing w:line="56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shd w:val="clear" w:color="auto" w:fill="FFFFFF"/>
        </w:rPr>
        <w:t>6.</w:t>
      </w:r>
      <w:r>
        <w:rPr>
          <w:rFonts w:hint="eastAsia" w:ascii="Times New Roman" w:hAnsi="Times New Roman" w:eastAsia="仿宋_GB2312"/>
          <w:sz w:val="32"/>
          <w:szCs w:val="32"/>
        </w:rPr>
        <w:t>测算项目本次清算的在2021-2025年期间实际完成的总投资和固定资产投资情况及有关佐证材料（包括但不限于以下内容）：（1）</w:t>
      </w:r>
      <w:r>
        <w:rPr>
          <w:rFonts w:hint="eastAsia" w:ascii="Times New Roman" w:hAnsi="Times New Roman" w:eastAsia="仿宋_GB2312"/>
          <w:b/>
          <w:bCs/>
          <w:sz w:val="32"/>
          <w:szCs w:val="32"/>
        </w:rPr>
        <w:t>固定资产投资等情况的专项审计报告（附件</w:t>
      </w:r>
      <w:r>
        <w:rPr>
          <w:rFonts w:hint="eastAsia" w:ascii="Times New Roman" w:hAnsi="Times New Roman" w:eastAsia="仿宋_GB2312"/>
          <w:b/>
          <w:bCs/>
          <w:sz w:val="32"/>
          <w:szCs w:val="32"/>
          <w:lang w:val="en-US" w:eastAsia="zh-CN"/>
        </w:rPr>
        <w:t>8</w:t>
      </w:r>
      <w:r>
        <w:rPr>
          <w:rFonts w:hint="eastAsia" w:ascii="Times New Roman" w:hAnsi="Times New Roman" w:eastAsia="仿宋_GB2312"/>
          <w:b/>
          <w:bCs/>
          <w:sz w:val="32"/>
          <w:szCs w:val="32"/>
        </w:rPr>
        <w:t>-4</w:t>
      </w:r>
      <w:r>
        <w:rPr>
          <w:rFonts w:hint="eastAsia" w:ascii="Times New Roman" w:hAnsi="Times New Roman" w:eastAsia="仿宋_GB2312"/>
          <w:b/>
          <w:bCs/>
          <w:sz w:val="32"/>
          <w:szCs w:val="32"/>
          <w:lang w:eastAsia="zh-CN"/>
        </w:rPr>
        <w:t>，项目单位仅需按照参考</w:t>
      </w:r>
      <w:bookmarkStart w:id="7" w:name="_GoBack"/>
      <w:bookmarkEnd w:id="7"/>
      <w:r>
        <w:rPr>
          <w:rFonts w:hint="eastAsia" w:ascii="Times New Roman" w:hAnsi="Times New Roman" w:eastAsia="仿宋_GB2312"/>
          <w:b/>
          <w:bCs/>
          <w:sz w:val="32"/>
          <w:szCs w:val="32"/>
          <w:lang w:eastAsia="zh-CN"/>
        </w:rPr>
        <w:t>模板准备，由江门市工业和信息化局会同财政部门组织委托第三方机构开展专项审计，出具专项审计报告</w:t>
      </w:r>
      <w:r>
        <w:rPr>
          <w:rFonts w:hint="eastAsia" w:ascii="Times New Roman" w:hAnsi="Times New Roman" w:eastAsia="仿宋_GB2312"/>
          <w:b/>
          <w:bCs/>
          <w:sz w:val="32"/>
          <w:szCs w:val="32"/>
        </w:rPr>
        <w:t>）</w:t>
      </w:r>
      <w:r>
        <w:rPr>
          <w:rFonts w:hint="eastAsia" w:ascii="Times New Roman" w:hAnsi="Times New Roman" w:eastAsia="仿宋_GB2312"/>
          <w:sz w:val="32"/>
          <w:szCs w:val="32"/>
        </w:rPr>
        <w:t>；（2）实际固定资产投资清单（附件</w:t>
      </w:r>
      <w:r>
        <w:rPr>
          <w:rFonts w:hint="eastAsia" w:ascii="Times New Roman" w:hAnsi="Times New Roman" w:eastAsia="仿宋_GB2312"/>
          <w:sz w:val="32"/>
          <w:szCs w:val="32"/>
          <w:lang w:val="en-US" w:eastAsia="zh-CN"/>
        </w:rPr>
        <w:t>8</w:t>
      </w:r>
      <w:r>
        <w:rPr>
          <w:rFonts w:hint="eastAsia" w:ascii="Times New Roman" w:hAnsi="Times New Roman" w:eastAsia="仿宋_GB2312"/>
          <w:sz w:val="32"/>
          <w:szCs w:val="32"/>
        </w:rPr>
        <w:t>-5）及相关合同、发票、付款凭证、转固凭证等合法票据，投资</w:t>
      </w:r>
      <w:r>
        <w:rPr>
          <w:rFonts w:hint="eastAsia" w:ascii="仿宋" w:hAnsi="仿宋" w:eastAsia="仿宋" w:cs="仿宋"/>
          <w:sz w:val="32"/>
          <w:szCs w:val="32"/>
        </w:rPr>
        <w:t>佐证材料按照附件</w:t>
      </w:r>
      <w:r>
        <w:rPr>
          <w:rFonts w:hint="eastAsia" w:ascii="Times New Roman" w:hAnsi="Times New Roman" w:eastAsia="仿宋_GB2312"/>
          <w:sz w:val="32"/>
          <w:szCs w:val="32"/>
          <w:lang w:val="en-US" w:eastAsia="zh-CN"/>
        </w:rPr>
        <w:t>8</w:t>
      </w:r>
      <w:r>
        <w:rPr>
          <w:rFonts w:hint="eastAsia" w:ascii="Times New Roman" w:hAnsi="Times New Roman" w:eastAsia="仿宋_GB2312"/>
          <w:sz w:val="32"/>
          <w:szCs w:val="32"/>
        </w:rPr>
        <w:t>-5</w:t>
      </w:r>
      <w:r>
        <w:rPr>
          <w:rFonts w:hint="eastAsia" w:ascii="仿宋" w:hAnsi="仿宋" w:eastAsia="仿宋" w:cs="仿宋"/>
          <w:sz w:val="32"/>
          <w:szCs w:val="32"/>
        </w:rPr>
        <w:t>的顺序号整理，</w:t>
      </w:r>
      <w:r>
        <w:rPr>
          <w:rFonts w:ascii="Times New Roman" w:hAnsi="Times New Roman" w:eastAsia="仿宋_GB2312"/>
          <w:sz w:val="32"/>
          <w:szCs w:val="32"/>
        </w:rPr>
        <w:t>且单项固定资产投资</w:t>
      </w:r>
      <w:r>
        <w:rPr>
          <w:rFonts w:hint="eastAsia" w:ascii="Times New Roman" w:hAnsi="Times New Roman" w:eastAsia="仿宋_GB2312"/>
          <w:sz w:val="32"/>
          <w:szCs w:val="32"/>
        </w:rPr>
        <w:t>额</w:t>
      </w:r>
      <w:r>
        <w:rPr>
          <w:rFonts w:ascii="Times New Roman" w:hAnsi="Times New Roman" w:eastAsia="仿宋_GB2312"/>
          <w:sz w:val="32"/>
          <w:szCs w:val="32"/>
        </w:rPr>
        <w:t>佐证材料请按照“合同—发票—付款凭证—转固凭证”顺序排列整理</w:t>
      </w:r>
      <w:r>
        <w:rPr>
          <w:rFonts w:hint="eastAsia" w:ascii="仿宋" w:hAnsi="仿宋" w:eastAsia="仿宋" w:cs="仿宋"/>
          <w:sz w:val="32"/>
          <w:szCs w:val="32"/>
        </w:rPr>
        <w:t>；</w:t>
      </w:r>
      <w:r>
        <w:rPr>
          <w:rFonts w:hint="eastAsia" w:ascii="Times New Roman" w:hAnsi="Times New Roman" w:eastAsia="仿宋_GB2312"/>
          <w:sz w:val="32"/>
          <w:szCs w:val="32"/>
          <w:highlight w:val="none"/>
        </w:rPr>
        <w:t>（3）铺底流动资金（附件</w:t>
      </w:r>
      <w:r>
        <w:rPr>
          <w:rFonts w:hint="eastAsia" w:ascii="Times New Roman" w:hAnsi="Times New Roman" w:eastAsia="仿宋_GB2312"/>
          <w:sz w:val="32"/>
          <w:szCs w:val="32"/>
          <w:highlight w:val="none"/>
          <w:lang w:val="en-US" w:eastAsia="zh-CN"/>
        </w:rPr>
        <w:t>8</w:t>
      </w:r>
      <w:r>
        <w:rPr>
          <w:rFonts w:hint="eastAsia" w:ascii="Times New Roman" w:hAnsi="Times New Roman" w:eastAsia="仿宋_GB2312"/>
          <w:sz w:val="32"/>
          <w:szCs w:val="32"/>
          <w:highlight w:val="none"/>
        </w:rPr>
        <w:t>-6）及相关合同、发票、付款凭证等合法票据，投资</w:t>
      </w:r>
      <w:r>
        <w:rPr>
          <w:rFonts w:hint="eastAsia" w:ascii="仿宋" w:hAnsi="仿宋" w:eastAsia="仿宋" w:cs="仿宋"/>
          <w:sz w:val="32"/>
          <w:szCs w:val="32"/>
          <w:highlight w:val="none"/>
        </w:rPr>
        <w:t>佐证材料按照附件</w:t>
      </w:r>
      <w:r>
        <w:rPr>
          <w:rFonts w:hint="eastAsia" w:ascii="Times New Roman" w:hAnsi="Times New Roman" w:eastAsia="仿宋_GB2312"/>
          <w:sz w:val="32"/>
          <w:szCs w:val="32"/>
          <w:highlight w:val="none"/>
          <w:lang w:val="en-US" w:eastAsia="zh-CN"/>
        </w:rPr>
        <w:t>8</w:t>
      </w:r>
      <w:r>
        <w:rPr>
          <w:rFonts w:hint="eastAsia" w:ascii="Times New Roman" w:hAnsi="Times New Roman" w:eastAsia="仿宋_GB2312"/>
          <w:sz w:val="32"/>
          <w:szCs w:val="32"/>
          <w:highlight w:val="none"/>
        </w:rPr>
        <w:t>-6</w:t>
      </w:r>
      <w:r>
        <w:rPr>
          <w:rFonts w:hint="eastAsia" w:ascii="仿宋" w:hAnsi="仿宋" w:eastAsia="仿宋" w:cs="仿宋"/>
          <w:sz w:val="32"/>
          <w:szCs w:val="32"/>
          <w:highlight w:val="none"/>
        </w:rPr>
        <w:t>的顺序号整理，</w:t>
      </w:r>
      <w:r>
        <w:rPr>
          <w:rFonts w:ascii="Times New Roman" w:hAnsi="Times New Roman" w:eastAsia="仿宋_GB2312"/>
          <w:sz w:val="32"/>
          <w:szCs w:val="32"/>
          <w:highlight w:val="none"/>
        </w:rPr>
        <w:t>且单项投资</w:t>
      </w:r>
      <w:r>
        <w:rPr>
          <w:rFonts w:hint="eastAsia" w:ascii="Times New Roman" w:hAnsi="Times New Roman" w:eastAsia="仿宋_GB2312"/>
          <w:sz w:val="32"/>
          <w:szCs w:val="32"/>
          <w:highlight w:val="none"/>
        </w:rPr>
        <w:t>额</w:t>
      </w:r>
      <w:r>
        <w:rPr>
          <w:rFonts w:ascii="Times New Roman" w:hAnsi="Times New Roman" w:eastAsia="仿宋_GB2312"/>
          <w:sz w:val="32"/>
          <w:szCs w:val="32"/>
          <w:highlight w:val="none"/>
        </w:rPr>
        <w:t>佐证材料请按照“合同—发票—付款凭证”顺序排列整理</w:t>
      </w:r>
      <w:r>
        <w:rPr>
          <w:rFonts w:hint="eastAsia" w:ascii="仿宋" w:hAnsi="仿宋" w:eastAsia="仿宋" w:cs="仿宋"/>
          <w:sz w:val="32"/>
          <w:szCs w:val="32"/>
          <w:highlight w:val="none"/>
        </w:rPr>
        <w:t>；</w:t>
      </w:r>
      <w:r>
        <w:rPr>
          <w:rFonts w:hint="eastAsia" w:ascii="Times New Roman" w:hAnsi="Times New Roman" w:eastAsia="仿宋_GB2312"/>
          <w:sz w:val="32"/>
          <w:szCs w:val="32"/>
        </w:rPr>
        <w:t>2021-2025年实际固定资产投资额超过10亿元的测算项目可只提供清单而不用提交铺底流动资金有关佐证材料；（4）总投资额明细表（附件</w:t>
      </w:r>
      <w:r>
        <w:rPr>
          <w:rFonts w:hint="eastAsia" w:ascii="Times New Roman" w:hAnsi="Times New Roman" w:eastAsia="仿宋_GB2312"/>
          <w:sz w:val="32"/>
          <w:szCs w:val="32"/>
          <w:lang w:val="en-US" w:eastAsia="zh-CN"/>
        </w:rPr>
        <w:t>8</w:t>
      </w:r>
      <w:r>
        <w:rPr>
          <w:rFonts w:hint="eastAsia" w:ascii="Times New Roman" w:hAnsi="Times New Roman" w:eastAsia="仿宋_GB2312"/>
          <w:sz w:val="32"/>
          <w:szCs w:val="32"/>
        </w:rPr>
        <w:t>-6）；（5）测算项目建设现场施工进度、厂房、设备（含铭牌）等能证明项目投资真实性的图片资料（其中现场施工进度、厂房须提供</w:t>
      </w:r>
      <w:r>
        <w:rPr>
          <w:rFonts w:hint="eastAsia" w:ascii="仿宋" w:hAnsi="仿宋" w:eastAsia="仿宋"/>
          <w:sz w:val="32"/>
          <w:szCs w:val="32"/>
        </w:rPr>
        <w:t>不少于</w:t>
      </w:r>
      <w:r>
        <w:rPr>
          <w:rFonts w:ascii="Times New Roman" w:hAnsi="Times New Roman" w:eastAsia="仿宋"/>
          <w:sz w:val="32"/>
          <w:szCs w:val="32"/>
        </w:rPr>
        <w:t>15</w:t>
      </w:r>
      <w:r>
        <w:rPr>
          <w:rFonts w:hint="eastAsia" w:ascii="仿宋" w:hAnsi="仿宋" w:eastAsia="仿宋"/>
          <w:sz w:val="32"/>
          <w:szCs w:val="32"/>
        </w:rPr>
        <w:t>张以上</w:t>
      </w:r>
      <w:r>
        <w:rPr>
          <w:rFonts w:hint="eastAsia" w:ascii="Times New Roman" w:hAnsi="Times New Roman" w:eastAsia="仿宋_GB2312"/>
          <w:sz w:val="32"/>
          <w:szCs w:val="32"/>
        </w:rPr>
        <w:t>的清晰图片，设备（含铭牌）照片须与固定资产投资清单一一对应全部提供）。</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bidi="ar"/>
        </w:rPr>
        <w:t>申请奖励的固定资产投资额以合同、发票等合法票据的时间为准，进口设备</w:t>
      </w:r>
      <w:r>
        <w:rPr>
          <w:rFonts w:hint="eastAsia" w:ascii="Times New Roman" w:hAnsi="Times New Roman" w:eastAsia="仿宋_GB2312"/>
          <w:sz w:val="32"/>
          <w:szCs w:val="32"/>
        </w:rPr>
        <w:t>以海关进口报关单时间为准，票据不含税，遵循发票金额与付款金额从小原则。发票的开票时间、进口设备海关报关单时间在2021年1月1日-2025年12月31日期间。设备铭牌信息与固定资产明细表、发票原则上保持对应，如不一致，企业应对不一致情况进行说明；若与设备交易方存在关联关系，企业应对关联交易的设备价格公允性等情况进行说明。项目总投资、实际固定资产投资额按《广东省财政厅 广东省工业和信息化厅关于印发〈广东省普惠性制造业投资奖励资金清算办法〉的通知》（粤财工〔2024〕108号）有关规定执行。</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7.</w:t>
      </w:r>
      <w:r>
        <w:rPr>
          <w:rFonts w:hint="eastAsia" w:ascii="Times New Roman" w:hAnsi="Times New Roman" w:eastAsia="仿宋_GB2312"/>
          <w:sz w:val="32"/>
          <w:szCs w:val="32"/>
        </w:rPr>
        <w:t>测算项目单位经营活动情况及是否正常、财务状况及是否良好、是否存在违法违规行为等有关情况说明材料。</w:t>
      </w:r>
    </w:p>
    <w:p>
      <w:pPr>
        <w:spacing w:line="560" w:lineRule="exact"/>
        <w:ind w:firstLine="64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8.</w:t>
      </w:r>
      <w:r>
        <w:rPr>
          <w:rFonts w:ascii="Times New Roman" w:hAnsi="Times New Roman" w:eastAsia="仿宋_GB2312"/>
          <w:sz w:val="32"/>
          <w:szCs w:val="32"/>
          <w:shd w:val="clear" w:color="auto" w:fill="FFFFFF"/>
        </w:rPr>
        <w:t>涉及项目出资情况的相关财务报表（</w:t>
      </w:r>
      <w:r>
        <w:rPr>
          <w:rFonts w:hint="eastAsia" w:ascii="Times New Roman" w:hAnsi="Times New Roman" w:eastAsia="仿宋_GB2312"/>
          <w:sz w:val="32"/>
          <w:szCs w:val="32"/>
          <w:shd w:val="clear" w:color="auto" w:fill="FFFFFF"/>
        </w:rPr>
        <w:t>项目实施每个年度的企业年度财务审计报告复印件</w:t>
      </w:r>
      <w:r>
        <w:rPr>
          <w:rFonts w:ascii="Times New Roman" w:hAnsi="Times New Roman" w:eastAsia="仿宋_GB2312"/>
          <w:sz w:val="32"/>
          <w:szCs w:val="32"/>
          <w:shd w:val="clear" w:color="auto" w:fill="FFFFFF"/>
        </w:rPr>
        <w:t>）</w:t>
      </w:r>
      <w:r>
        <w:rPr>
          <w:rFonts w:hint="eastAsia" w:ascii="Times New Roman" w:hAnsi="Times New Roman" w:eastAsia="仿宋_GB2312"/>
          <w:sz w:val="32"/>
          <w:szCs w:val="32"/>
          <w:shd w:val="clear" w:color="auto" w:fill="FFFFFF"/>
        </w:rPr>
        <w:t>。</w:t>
      </w:r>
    </w:p>
    <w:p>
      <w:pPr>
        <w:spacing w:line="560" w:lineRule="exact"/>
        <w:ind w:firstLine="64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9.测算项目成果和效益。包括生产许可、经营资格、专利授权、科技成果、产品鉴定、样机样品、中试线等图片及数据，或产品测试报告、用户使用报告等相关情况说明及佐证材料。</w:t>
      </w:r>
    </w:p>
    <w:p>
      <w:pPr>
        <w:wordWrap w:val="0"/>
        <w:spacing w:line="560" w:lineRule="exact"/>
        <w:ind w:firstLine="640" w:firstLineChars="200"/>
        <w:rPr>
          <w:rFonts w:ascii="仿宋_GB2312" w:hAnsi="仿宋_GB2312" w:eastAsia="仿宋_GB2312" w:cs="仿宋_GB2312"/>
          <w:kern w:val="0"/>
          <w:sz w:val="32"/>
          <w:szCs w:val="32"/>
        </w:rPr>
      </w:pPr>
      <w:r>
        <w:rPr>
          <w:rFonts w:hint="eastAsia" w:ascii="Times New Roman" w:hAnsi="Times New Roman" w:eastAsia="仿宋_GB2312"/>
          <w:sz w:val="32"/>
          <w:szCs w:val="32"/>
          <w:shd w:val="clear" w:color="auto" w:fill="FFFFFF"/>
        </w:rPr>
        <w:t>10.</w:t>
      </w:r>
      <w:r>
        <w:rPr>
          <w:rFonts w:hint="eastAsia" w:ascii="Times New Roman" w:hAnsi="Times New Roman" w:eastAsia="仿宋_GB2312"/>
          <w:sz w:val="32"/>
          <w:szCs w:val="32"/>
        </w:rPr>
        <w:t>无违法违规证明公共信用信息报告（项目单位登录“信用广东”https://credit.gd.gov.cn/index.html，勾选建筑市场监管、安全生产、税务、自然资源、生态环境、能源等相关领域，查询近三年记录并下载；如在报告查询期内某个领域无法出具证明报告，企业应对该领域违法违规情况进行说明，如已完成行政处罚信息信用修复，应提供相关佐证材料）。</w:t>
      </w:r>
    </w:p>
    <w:p>
      <w:pPr>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shd w:val="clear" w:color="auto" w:fill="FFFFFF"/>
        </w:rPr>
        <w:t>上述</w:t>
      </w:r>
      <w:r>
        <w:rPr>
          <w:rFonts w:ascii="Times New Roman" w:hAnsi="Times New Roman" w:eastAsia="仿宋_GB2312"/>
          <w:sz w:val="32"/>
          <w:szCs w:val="32"/>
        </w:rPr>
        <w:t>材料</w:t>
      </w:r>
      <w:r>
        <w:rPr>
          <w:rFonts w:hint="eastAsia" w:ascii="Times New Roman" w:hAnsi="Times New Roman" w:eastAsia="仿宋_GB2312"/>
          <w:sz w:val="32"/>
          <w:szCs w:val="32"/>
        </w:rPr>
        <w:t>应真实、规范、完整、清晰，</w:t>
      </w:r>
      <w:r>
        <w:rPr>
          <w:rFonts w:ascii="Times New Roman" w:hAnsi="Times New Roman" w:eastAsia="仿宋_GB2312"/>
          <w:sz w:val="32"/>
          <w:szCs w:val="32"/>
        </w:rPr>
        <w:t>统一采用A4纸双面打印或复印；必须编制页码、目录，装订成册（胶装）</w:t>
      </w:r>
      <w:r>
        <w:rPr>
          <w:rFonts w:hint="eastAsia" w:ascii="Times New Roman" w:hAnsi="Times New Roman" w:eastAsia="仿宋_GB2312"/>
          <w:sz w:val="32"/>
          <w:szCs w:val="32"/>
        </w:rPr>
        <w:t>，</w:t>
      </w:r>
      <w:r>
        <w:rPr>
          <w:rFonts w:ascii="Times New Roman" w:hAnsi="Times New Roman" w:eastAsia="仿宋_GB2312"/>
          <w:sz w:val="32"/>
          <w:szCs w:val="32"/>
        </w:rPr>
        <w:t>加盖公章（含骑缝章）。</w:t>
      </w:r>
      <w:r>
        <w:rPr>
          <w:rFonts w:hint="eastAsia" w:ascii="Times New Roman" w:hAnsi="Times New Roman" w:eastAsia="仿宋_GB2312"/>
          <w:sz w:val="32"/>
          <w:szCs w:val="32"/>
        </w:rPr>
        <w:t>提供相关凭证复印件的，要注明“与原件相符，对其真实性负责”相关字样。</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四、支持项目入库支持方式及标准</w:t>
      </w:r>
    </w:p>
    <w:p>
      <w:pPr>
        <w:autoSpaceDE w:val="0"/>
        <w:autoSpaceDN w:val="0"/>
        <w:adjustRightInd w:val="0"/>
        <w:spacing w:line="560" w:lineRule="exact"/>
        <w:ind w:firstLine="640" w:firstLineChars="200"/>
        <w:rPr>
          <w:rFonts w:hint="eastAsia" w:ascii="Times New Roman" w:hAnsi="Times New Roman" w:eastAsia="仿宋_GB2312"/>
          <w:bCs/>
          <w:sz w:val="32"/>
          <w:szCs w:val="32"/>
        </w:rPr>
      </w:pPr>
      <w:r>
        <w:rPr>
          <w:rFonts w:hint="eastAsia" w:ascii="Times New Roman" w:hAnsi="Times New Roman" w:eastAsia="仿宋_GB2312"/>
          <w:sz w:val="32"/>
          <w:szCs w:val="32"/>
          <w:shd w:val="clear" w:color="auto" w:fill="FFFFFF"/>
        </w:rPr>
        <w:t>（一）支持项目按照投资奖励资金使用范围，评审遴选符合国家和省相关领域政策规定，以及环保、节能、安全等有关政策法规要求，从测算项目中评审遴选产生（</w:t>
      </w:r>
      <w:r>
        <w:rPr>
          <w:rFonts w:hint="eastAsia" w:ascii="Times New Roman" w:hAnsi="Times New Roman" w:eastAsia="仿宋_GB2312"/>
          <w:b/>
          <w:sz w:val="32"/>
          <w:szCs w:val="32"/>
          <w:shd w:val="clear" w:color="auto" w:fill="FFFFFF"/>
        </w:rPr>
        <w:t>只需要按要求提交附件</w:t>
      </w:r>
      <w:r>
        <w:rPr>
          <w:rFonts w:hint="eastAsia" w:ascii="Times New Roman" w:hAnsi="Times New Roman" w:eastAsia="仿宋_GB2312"/>
          <w:b/>
          <w:sz w:val="32"/>
          <w:szCs w:val="32"/>
          <w:shd w:val="clear" w:color="auto" w:fill="FFFFFF"/>
          <w:lang w:val="en-US" w:eastAsia="zh-CN"/>
        </w:rPr>
        <w:t>8</w:t>
      </w:r>
      <w:r>
        <w:rPr>
          <w:rFonts w:hint="eastAsia" w:ascii="Times New Roman" w:hAnsi="Times New Roman" w:eastAsia="仿宋_GB2312"/>
          <w:b/>
          <w:sz w:val="32"/>
          <w:szCs w:val="32"/>
          <w:shd w:val="clear" w:color="auto" w:fill="FFFFFF"/>
        </w:rPr>
        <w:t>-7支持项目实际总投资额明细表、附件</w:t>
      </w:r>
      <w:r>
        <w:rPr>
          <w:rFonts w:hint="eastAsia" w:ascii="Times New Roman" w:hAnsi="Times New Roman" w:eastAsia="仿宋_GB2312"/>
          <w:b/>
          <w:sz w:val="32"/>
          <w:szCs w:val="32"/>
          <w:shd w:val="clear" w:color="auto" w:fill="FFFFFF"/>
          <w:lang w:val="en-US" w:eastAsia="zh-CN"/>
        </w:rPr>
        <w:t>8</w:t>
      </w:r>
      <w:r>
        <w:rPr>
          <w:rFonts w:hint="eastAsia" w:ascii="Times New Roman" w:hAnsi="Times New Roman" w:eastAsia="仿宋_GB2312"/>
          <w:b/>
          <w:sz w:val="32"/>
          <w:szCs w:val="32"/>
          <w:shd w:val="clear" w:color="auto" w:fill="FFFFFF"/>
        </w:rPr>
        <w:t>-8支持项目实际固定资产投资明细表，不需要重复提交“三、测算项目申报资料-（三）项目佐证材料”部分</w:t>
      </w:r>
      <w:r>
        <w:rPr>
          <w:rFonts w:hint="eastAsia" w:ascii="Times New Roman" w:hAnsi="Times New Roman" w:eastAsia="仿宋_GB2312"/>
          <w:sz w:val="32"/>
          <w:szCs w:val="32"/>
          <w:shd w:val="clear" w:color="auto" w:fill="FFFFFF"/>
        </w:rPr>
        <w:t>），采用</w:t>
      </w:r>
      <w:r>
        <w:rPr>
          <w:rFonts w:hint="eastAsia" w:ascii="Times New Roman" w:hAnsi="Times New Roman" w:eastAsia="仿宋_GB2312"/>
          <w:bCs/>
          <w:sz w:val="32"/>
          <w:szCs w:val="32"/>
        </w:rPr>
        <w:t>固定资产投资</w:t>
      </w:r>
      <w:r>
        <w:rPr>
          <w:rFonts w:hint="eastAsia" w:ascii="Times New Roman" w:hAnsi="Times New Roman" w:eastAsia="仿宋_GB2312"/>
          <w:sz w:val="32"/>
          <w:szCs w:val="32"/>
          <w:shd w:val="clear" w:color="auto" w:fill="FFFFFF"/>
        </w:rPr>
        <w:t>事后奖励方式予以支持，已采用事前扶持方式获得投资奖励资金但未按规定完工验收的项目不予支持</w:t>
      </w:r>
      <w:r>
        <w:rPr>
          <w:rFonts w:hint="eastAsia" w:ascii="Times New Roman" w:hAnsi="Times New Roman" w:eastAsia="仿宋_GB2312"/>
          <w:bCs/>
          <w:sz w:val="32"/>
          <w:szCs w:val="32"/>
        </w:rPr>
        <w:t>。</w:t>
      </w:r>
    </w:p>
    <w:p>
      <w:pPr>
        <w:autoSpaceDE w:val="0"/>
        <w:autoSpaceDN w:val="0"/>
        <w:adjustRightInd w:val="0"/>
        <w:spacing w:line="560" w:lineRule="exact"/>
        <w:ind w:firstLine="640" w:firstLineChars="200"/>
        <w:rPr>
          <w:rFonts w:hint="eastAsia" w:ascii="Times New Roman" w:hAnsi="Times New Roman" w:eastAsia="仿宋_GB2312"/>
          <w:bCs/>
          <w:sz w:val="32"/>
          <w:szCs w:val="32"/>
        </w:rPr>
      </w:pPr>
      <w:r>
        <w:rPr>
          <w:rFonts w:hint="eastAsia" w:ascii="Times New Roman" w:hAnsi="Times New Roman" w:eastAsia="仿宋_GB2312"/>
          <w:bCs/>
          <w:sz w:val="32"/>
          <w:szCs w:val="32"/>
        </w:rPr>
        <w:t>（二）</w:t>
      </w:r>
      <w:r>
        <w:rPr>
          <w:rFonts w:hint="eastAsia" w:ascii="Times New Roman" w:hAnsi="Times New Roman" w:eastAsia="仿宋_GB2312"/>
          <w:sz w:val="32"/>
          <w:szCs w:val="32"/>
          <w:shd w:val="clear" w:color="auto" w:fill="FFFFFF"/>
        </w:rPr>
        <w:t>支持项目入库过程中，要体现“集中财力办大事”原则，避免“小、散、杂”，要规范资金项目审核流程，强化集体研究审议。</w:t>
      </w:r>
      <w:r>
        <w:rPr>
          <w:rFonts w:hint="eastAsia" w:ascii="Times New Roman" w:hAnsi="Times New Roman" w:eastAsia="仿宋_GB2312"/>
          <w:bCs/>
          <w:sz w:val="32"/>
          <w:szCs w:val="32"/>
        </w:rPr>
        <w:t>支持对象为测算项目的申报主体，支持金额按项目本次清算申报奖励的实际固定资产投资额不超过2%的比例核算。具体比例根据年度资金预算和评审遴选后项目实际投资情况等因素确定，且奖励资金最高不超过该项目所测算的奖励资金额度。</w:t>
      </w:r>
    </w:p>
    <w:p>
      <w:pPr>
        <w:autoSpaceDE/>
        <w:autoSpaceDN/>
        <w:adjustRightInd/>
        <w:spacing w:line="560" w:lineRule="exact"/>
        <w:ind w:firstLine="640" w:firstLineChars="200"/>
        <w:rPr>
          <w:rFonts w:ascii="Times New Roman" w:hAnsi="Times New Roman" w:eastAsia="黑体"/>
          <w:bCs w:val="0"/>
          <w:sz w:val="32"/>
          <w:szCs w:val="32"/>
        </w:rPr>
      </w:pPr>
      <w:r>
        <w:rPr>
          <w:rFonts w:hint="eastAsia" w:ascii="Times New Roman" w:hAnsi="Times New Roman" w:eastAsia="黑体"/>
          <w:bCs w:val="0"/>
          <w:sz w:val="32"/>
          <w:szCs w:val="32"/>
        </w:rPr>
        <w:t>五、支持项目验收（完工评价）要求</w:t>
      </w:r>
    </w:p>
    <w:p>
      <w:pPr>
        <w:autoSpaceDE w:val="0"/>
        <w:autoSpaceDN w:val="0"/>
        <w:adjustRightInd w:val="0"/>
        <w:spacing w:line="560" w:lineRule="exact"/>
        <w:ind w:firstLine="640" w:firstLineChars="200"/>
        <w:rPr>
          <w:rFonts w:hint="eastAsia"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（一）支持项目完成后，项目承担单位应及时提请开展验收（完工评价）考评，由市工业和信息化局按程序自主或委托第三方专业机构组织开展支持项目验收或考评。</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bookmarkStart w:id="0" w:name="OLE_LINK7"/>
      <w:r>
        <w:rPr>
          <w:rFonts w:hint="eastAsia" w:ascii="Times New Roman" w:hAnsi="Times New Roman" w:eastAsia="仿宋_GB2312"/>
          <w:sz w:val="32"/>
          <w:szCs w:val="32"/>
          <w:shd w:val="clear" w:color="auto" w:fill="FFFFFF"/>
        </w:rPr>
        <w:t>（二）支持项目</w:t>
      </w:r>
      <w:bookmarkStart w:id="1" w:name="OLE_LINK8"/>
      <w:bookmarkStart w:id="2" w:name="OLE_LINK19"/>
      <w:r>
        <w:rPr>
          <w:rFonts w:hint="eastAsia" w:ascii="Times New Roman" w:hAnsi="Times New Roman" w:eastAsia="仿宋_GB2312"/>
          <w:sz w:val="32"/>
          <w:szCs w:val="32"/>
          <w:shd w:val="clear" w:color="auto" w:fill="FFFFFF"/>
        </w:rPr>
        <w:t>验收（完工评价）</w:t>
      </w:r>
      <w:bookmarkEnd w:id="1"/>
      <w:bookmarkEnd w:id="2"/>
      <w:r>
        <w:rPr>
          <w:rFonts w:hint="eastAsia" w:ascii="Times New Roman" w:hAnsi="Times New Roman" w:eastAsia="仿宋_GB2312"/>
          <w:sz w:val="32"/>
          <w:szCs w:val="32"/>
          <w:shd w:val="clear" w:color="auto" w:fill="FFFFFF"/>
        </w:rPr>
        <w:t>的</w:t>
      </w:r>
      <w:bookmarkEnd w:id="0"/>
      <w:r>
        <w:rPr>
          <w:rFonts w:hint="eastAsia" w:ascii="Times New Roman" w:hAnsi="Times New Roman" w:eastAsia="仿宋_GB2312"/>
          <w:sz w:val="32"/>
          <w:szCs w:val="32"/>
          <w:shd w:val="clear" w:color="auto" w:fill="FFFFFF"/>
        </w:rPr>
        <w:t>基本条件：项目已完成既定的投资计划（含固定资产投资）和主要建设内容（包括基建、厂房、设备等固定资产）；项目已完成计划目标（包括项目产品技术指标、实现预期产能效益等）；项目资金使用规范，财务处理符合相关规定要求（包括项目固定资产入账等情况）；项目实际建设地应与工信、发改等部门出具的项目备案、核准或审批文件保持一致。</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（三）支持项目</w:t>
      </w:r>
      <w:bookmarkStart w:id="3" w:name="OLE_LINK10"/>
      <w:r>
        <w:rPr>
          <w:rFonts w:hint="eastAsia" w:ascii="Times New Roman" w:hAnsi="Times New Roman" w:eastAsia="仿宋_GB2312"/>
          <w:sz w:val="32"/>
          <w:szCs w:val="32"/>
          <w:shd w:val="clear" w:color="auto" w:fill="FFFFFF"/>
        </w:rPr>
        <w:t>验收（完工评价）</w:t>
      </w:r>
      <w:bookmarkEnd w:id="3"/>
      <w:r>
        <w:rPr>
          <w:rFonts w:hint="eastAsia" w:ascii="Times New Roman" w:hAnsi="Times New Roman" w:eastAsia="仿宋_GB2312"/>
          <w:sz w:val="32"/>
          <w:szCs w:val="32"/>
          <w:shd w:val="clear" w:color="auto" w:fill="FFFFFF"/>
        </w:rPr>
        <w:t>的申请材料包括：</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1.</w:t>
      </w:r>
      <w:bookmarkStart w:id="4" w:name="OLE_LINK20"/>
      <w:bookmarkStart w:id="5" w:name="OLE_LINK18"/>
      <w:r>
        <w:rPr>
          <w:rFonts w:hint="eastAsia" w:ascii="Times New Roman" w:hAnsi="Times New Roman" w:eastAsia="仿宋_GB2312"/>
          <w:b/>
          <w:bCs/>
          <w:sz w:val="32"/>
          <w:szCs w:val="32"/>
          <w:shd w:val="clear" w:color="auto" w:fill="FFFFFF"/>
        </w:rPr>
        <w:t>广东省普惠性制造业投资奖励资金支持项目验收（完工评价）申请表</w:t>
      </w:r>
      <w:bookmarkEnd w:id="4"/>
      <w:bookmarkEnd w:id="5"/>
      <w:r>
        <w:rPr>
          <w:rFonts w:hint="eastAsia" w:ascii="Times New Roman" w:hAnsi="Times New Roman" w:eastAsia="仿宋_GB2312"/>
          <w:b/>
          <w:bCs/>
          <w:sz w:val="32"/>
          <w:szCs w:val="32"/>
          <w:shd w:val="clear" w:color="auto" w:fill="FFFFFF"/>
        </w:rPr>
        <w:t>（附件</w:t>
      </w:r>
      <w:r>
        <w:rPr>
          <w:rFonts w:hint="eastAsia" w:ascii="Times New Roman" w:hAnsi="Times New Roman" w:eastAsia="仿宋_GB2312"/>
          <w:b/>
          <w:bCs/>
          <w:sz w:val="32"/>
          <w:szCs w:val="32"/>
          <w:shd w:val="clear" w:color="auto" w:fill="FFFFFF"/>
          <w:lang w:val="en-US" w:eastAsia="zh-CN"/>
        </w:rPr>
        <w:t>8</w:t>
      </w:r>
      <w:r>
        <w:rPr>
          <w:rFonts w:hint="eastAsia" w:ascii="Times New Roman" w:hAnsi="Times New Roman" w:eastAsia="仿宋_GB2312"/>
          <w:b/>
          <w:bCs/>
          <w:sz w:val="32"/>
          <w:szCs w:val="32"/>
          <w:shd w:val="clear" w:color="auto" w:fill="FFFFFF"/>
        </w:rPr>
        <w:t>-9）</w:t>
      </w:r>
      <w:r>
        <w:rPr>
          <w:rFonts w:hint="eastAsia" w:ascii="Times New Roman" w:hAnsi="Times New Roman" w:eastAsia="仿宋_GB2312"/>
          <w:sz w:val="32"/>
          <w:szCs w:val="32"/>
          <w:shd w:val="clear" w:color="auto" w:fill="FFFFFF"/>
        </w:rPr>
        <w:t>。封面统一标明为“广东省普惠性制造业投资奖励资金支持项目验收（完工评价）申请材料”，标明申报单位（加盖本单位公章）、申报日期，目录应列明所提交的各种文件材料及页码。</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2.支持项目承担单位营业执照复印件。</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3.支持项目实施地投资主管部门核准、审批和备案等立项文件。“投资项目在线审批监管平台统一代码”项目代码回执（项目单位登录“投资项目在线审批监管平台”打印获取）。</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4.支持项目按规定需要进行环评、节能审查、安评及安全生产验收、施工许可等必要审批（审查）手续的项目，需提供相关的完备手续（无需相关手续的项目需企业做出说明）。</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5.具备与所申报项目相关合规的用地和规划选址文件（以下复印件提供其中一项即可：（1）若项目建设租赁厂房的，提供土地及厂房租赁合同等资料的复印件；（2）若项目有土地使用证或房地产权证，且没改变用地性质的，无需规划选址意见，提供土地使用证或房地产权证复印件；（3）若项目有土地使用证和规划许可证，提供复印件）。</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6.支持项目在项目实施</w:t>
      </w:r>
      <w:bookmarkStart w:id="6" w:name="OLE_LINK16"/>
      <w:r>
        <w:rPr>
          <w:rFonts w:hint="eastAsia" w:ascii="Times New Roman" w:hAnsi="Times New Roman" w:eastAsia="仿宋_GB2312"/>
          <w:sz w:val="32"/>
          <w:szCs w:val="32"/>
          <w:shd w:val="clear" w:color="auto" w:fill="FFFFFF"/>
        </w:rPr>
        <w:t>期间（应包括且不限于2021年1月1日-2025年12月31日期间）</w:t>
      </w:r>
      <w:bookmarkEnd w:id="6"/>
      <w:r>
        <w:rPr>
          <w:rFonts w:hint="eastAsia" w:ascii="Times New Roman" w:hAnsi="Times New Roman" w:eastAsia="仿宋_GB2312"/>
          <w:sz w:val="32"/>
          <w:szCs w:val="32"/>
          <w:shd w:val="clear" w:color="auto" w:fill="FFFFFF"/>
        </w:rPr>
        <w:t>按规定申报广东省制造业投资统计相关材料（“固定资产投资项目情况”206表）。如项目有特殊纳入统计情况，企业应进行说明。</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7.支持项目在项目实施期间（应包括且不限于</w:t>
      </w:r>
      <w:r>
        <w:rPr>
          <w:rFonts w:ascii="Times New Roman" w:hAnsi="Times New Roman" w:eastAsia="仿宋_GB2312"/>
          <w:sz w:val="32"/>
          <w:szCs w:val="32"/>
          <w:shd w:val="clear" w:color="auto" w:fill="FFFFFF"/>
        </w:rPr>
        <w:t>2021</w:t>
      </w:r>
      <w:r>
        <w:rPr>
          <w:rFonts w:hint="eastAsia" w:ascii="Times New Roman" w:hAnsi="Times New Roman" w:eastAsia="仿宋_GB2312"/>
          <w:sz w:val="32"/>
          <w:szCs w:val="32"/>
          <w:shd w:val="clear" w:color="auto" w:fill="FFFFFF"/>
        </w:rPr>
        <w:t>年</w:t>
      </w:r>
      <w:r>
        <w:rPr>
          <w:rFonts w:ascii="Times New Roman" w:hAnsi="Times New Roman" w:eastAsia="仿宋_GB2312"/>
          <w:sz w:val="32"/>
          <w:szCs w:val="32"/>
          <w:shd w:val="clear" w:color="auto" w:fill="FFFFFF"/>
        </w:rPr>
        <w:t>1</w:t>
      </w:r>
      <w:r>
        <w:rPr>
          <w:rFonts w:hint="eastAsia" w:ascii="Times New Roman" w:hAnsi="Times New Roman" w:eastAsia="仿宋_GB2312"/>
          <w:sz w:val="32"/>
          <w:szCs w:val="32"/>
          <w:shd w:val="clear" w:color="auto" w:fill="FFFFFF"/>
        </w:rPr>
        <w:t>月</w:t>
      </w:r>
      <w:r>
        <w:rPr>
          <w:rFonts w:ascii="Times New Roman" w:hAnsi="Times New Roman" w:eastAsia="仿宋_GB2312"/>
          <w:sz w:val="32"/>
          <w:szCs w:val="32"/>
          <w:shd w:val="clear" w:color="auto" w:fill="FFFFFF"/>
        </w:rPr>
        <w:t>1</w:t>
      </w:r>
      <w:r>
        <w:rPr>
          <w:rFonts w:hint="eastAsia" w:ascii="Times New Roman" w:hAnsi="Times New Roman" w:eastAsia="仿宋_GB2312"/>
          <w:sz w:val="32"/>
          <w:szCs w:val="32"/>
          <w:shd w:val="clear" w:color="auto" w:fill="FFFFFF"/>
        </w:rPr>
        <w:t>日</w:t>
      </w:r>
      <w:r>
        <w:rPr>
          <w:rFonts w:ascii="Times New Roman" w:hAnsi="Times New Roman" w:eastAsia="仿宋_GB2312"/>
          <w:sz w:val="32"/>
          <w:szCs w:val="32"/>
          <w:shd w:val="clear" w:color="auto" w:fill="FFFFFF"/>
        </w:rPr>
        <w:t>-2025</w:t>
      </w:r>
      <w:r>
        <w:rPr>
          <w:rFonts w:hint="eastAsia" w:ascii="Times New Roman" w:hAnsi="Times New Roman" w:eastAsia="仿宋_GB2312"/>
          <w:sz w:val="32"/>
          <w:szCs w:val="32"/>
          <w:shd w:val="clear" w:color="auto" w:fill="FFFFFF"/>
        </w:rPr>
        <w:t>年</w:t>
      </w:r>
      <w:r>
        <w:rPr>
          <w:rFonts w:ascii="Times New Roman" w:hAnsi="Times New Roman" w:eastAsia="仿宋_GB2312"/>
          <w:sz w:val="32"/>
          <w:szCs w:val="32"/>
          <w:shd w:val="clear" w:color="auto" w:fill="FFFFFF"/>
        </w:rPr>
        <w:t>12</w:t>
      </w:r>
      <w:r>
        <w:rPr>
          <w:rFonts w:hint="eastAsia" w:ascii="Times New Roman" w:hAnsi="Times New Roman" w:eastAsia="仿宋_GB2312"/>
          <w:sz w:val="32"/>
          <w:szCs w:val="32"/>
          <w:shd w:val="clear" w:color="auto" w:fill="FFFFFF"/>
        </w:rPr>
        <w:t>月</w:t>
      </w:r>
      <w:r>
        <w:rPr>
          <w:rFonts w:ascii="Times New Roman" w:hAnsi="Times New Roman" w:eastAsia="仿宋_GB2312"/>
          <w:sz w:val="32"/>
          <w:szCs w:val="32"/>
          <w:shd w:val="clear" w:color="auto" w:fill="FFFFFF"/>
        </w:rPr>
        <w:t>31</w:t>
      </w:r>
      <w:r>
        <w:rPr>
          <w:rFonts w:hint="eastAsia" w:ascii="Times New Roman" w:hAnsi="Times New Roman" w:eastAsia="仿宋_GB2312"/>
          <w:sz w:val="32"/>
          <w:szCs w:val="32"/>
          <w:shd w:val="clear" w:color="auto" w:fill="FFFFFF"/>
        </w:rPr>
        <w:t>日期间）实际完成的总投资和固定资产投资情况及有关佐证材料（包括但不限于以下内容）：</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（1）实际固定资产投资清单（附件</w:t>
      </w:r>
      <w:r>
        <w:rPr>
          <w:rFonts w:hint="eastAsia" w:ascii="Times New Roman" w:hAnsi="Times New Roman" w:eastAsia="仿宋_GB2312"/>
          <w:sz w:val="32"/>
          <w:szCs w:val="32"/>
          <w:shd w:val="clear" w:color="auto" w:fill="FFFFFF"/>
          <w:lang w:val="en-US" w:eastAsia="zh-CN"/>
        </w:rPr>
        <w:t>8</w:t>
      </w:r>
      <w:r>
        <w:rPr>
          <w:rFonts w:hint="eastAsia" w:ascii="Times New Roman" w:hAnsi="Times New Roman" w:eastAsia="仿宋_GB2312"/>
          <w:sz w:val="32"/>
          <w:szCs w:val="32"/>
          <w:shd w:val="clear" w:color="auto" w:fill="FFFFFF"/>
        </w:rPr>
        <w:t>-8）及相关合同、发票、付款凭证、转固凭证等合法票据，投资佐证材料按照附件8-8的顺序号整理，且单项固定资产投资额佐证材料按照“合同-发票-付款凭证-转固凭证”顺序排列整理。</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（2）铺底流动资金（附件</w:t>
      </w:r>
      <w:r>
        <w:rPr>
          <w:rFonts w:hint="eastAsia" w:ascii="Times New Roman" w:hAnsi="Times New Roman" w:eastAsia="仿宋_GB2312"/>
          <w:sz w:val="32"/>
          <w:szCs w:val="32"/>
          <w:shd w:val="clear" w:color="auto" w:fill="FFFFFF"/>
          <w:lang w:val="en-US" w:eastAsia="zh-CN"/>
        </w:rPr>
        <w:t>8</w:t>
      </w:r>
      <w:r>
        <w:rPr>
          <w:rFonts w:hint="eastAsia" w:ascii="Times New Roman" w:hAnsi="Times New Roman" w:eastAsia="仿宋_GB2312"/>
          <w:sz w:val="32"/>
          <w:szCs w:val="32"/>
          <w:shd w:val="clear" w:color="auto" w:fill="FFFFFF"/>
        </w:rPr>
        <w:t>-7）及相关合同、发票、付款凭证等合法票据，投资佐证材料按照附件</w:t>
      </w:r>
      <w:r>
        <w:rPr>
          <w:rFonts w:hint="eastAsia" w:ascii="Times New Roman" w:hAnsi="Times New Roman" w:eastAsia="仿宋_GB2312"/>
          <w:sz w:val="32"/>
          <w:szCs w:val="32"/>
          <w:highlight w:val="none"/>
          <w:shd w:val="clear" w:color="auto" w:fill="FFFFFF"/>
          <w:lang w:val="en-US" w:eastAsia="zh-CN"/>
        </w:rPr>
        <w:t>8</w:t>
      </w:r>
      <w:r>
        <w:rPr>
          <w:rFonts w:hint="eastAsia" w:ascii="Times New Roman" w:hAnsi="Times New Roman" w:eastAsia="仿宋_GB2312"/>
          <w:sz w:val="32"/>
          <w:szCs w:val="32"/>
          <w:highlight w:val="none"/>
          <w:shd w:val="clear" w:color="auto" w:fill="FFFFFF"/>
        </w:rPr>
        <w:t>-</w:t>
      </w:r>
      <w:r>
        <w:rPr>
          <w:rFonts w:hint="eastAsia" w:ascii="Times New Roman" w:hAnsi="Times New Roman" w:eastAsia="仿宋_GB2312"/>
          <w:sz w:val="32"/>
          <w:szCs w:val="32"/>
          <w:highlight w:val="none"/>
          <w:shd w:val="clear" w:color="auto" w:fill="FFFFFF"/>
          <w:lang w:val="en-US" w:eastAsia="zh-CN"/>
        </w:rPr>
        <w:t>7</w:t>
      </w:r>
      <w:r>
        <w:rPr>
          <w:rFonts w:hint="eastAsia" w:ascii="Times New Roman" w:hAnsi="Times New Roman" w:eastAsia="仿宋_GB2312"/>
          <w:sz w:val="32"/>
          <w:szCs w:val="32"/>
          <w:highlight w:val="none"/>
          <w:shd w:val="clear" w:color="auto" w:fill="FFFFFF"/>
        </w:rPr>
        <w:t>的</w:t>
      </w:r>
      <w:r>
        <w:rPr>
          <w:rFonts w:hint="eastAsia" w:ascii="Times New Roman" w:hAnsi="Times New Roman" w:eastAsia="仿宋_GB2312"/>
          <w:sz w:val="32"/>
          <w:szCs w:val="32"/>
          <w:shd w:val="clear" w:color="auto" w:fill="FFFFFF"/>
        </w:rPr>
        <w:t>顺序号整理，且单项投资额佐证材料按照“合同-发票-付款凭证”顺序排列整理。</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（3）总投资额明细表（附件</w:t>
      </w:r>
      <w:r>
        <w:rPr>
          <w:rFonts w:hint="eastAsia" w:ascii="Times New Roman" w:hAnsi="Times New Roman" w:eastAsia="仿宋_GB2312"/>
          <w:sz w:val="32"/>
          <w:szCs w:val="32"/>
          <w:shd w:val="clear" w:color="auto" w:fill="FFFFFF"/>
          <w:lang w:val="en-US" w:eastAsia="zh-CN"/>
        </w:rPr>
        <w:t>8</w:t>
      </w:r>
      <w:r>
        <w:rPr>
          <w:rFonts w:hint="eastAsia" w:ascii="Times New Roman" w:hAnsi="Times New Roman" w:eastAsia="仿宋_GB2312"/>
          <w:sz w:val="32"/>
          <w:szCs w:val="32"/>
          <w:shd w:val="clear" w:color="auto" w:fill="FFFFFF"/>
        </w:rPr>
        <w:t>-7）。</w:t>
      </w:r>
    </w:p>
    <w:p>
      <w:pPr>
        <w:autoSpaceDE w:val="0"/>
        <w:autoSpaceDN w:val="0"/>
        <w:adjustRightInd w:val="0"/>
        <w:spacing w:line="560" w:lineRule="exact"/>
        <w:ind w:firstLine="480" w:firstLineChars="15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4）支持项目建设现场施工进度、厂房、设备（含铭牌）等能证明项目投资真实性的图片资料（其中现场施工进度、厂房须提供不少于15张以上的清晰图片，设备（含铭牌）照片须与固定资产投资清单一一对应全部提供）。</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固定资产投资额以合同、发票等合法票据的时间为准，进口设备以海关进口报关单时间为准，票据不含税，遵循发票金额与付款金额从小原则。发票的开票时间、进口设备海关报关单时间在项目实施期间（应包括且不限于</w:t>
      </w:r>
      <w:r>
        <w:rPr>
          <w:rFonts w:ascii="Times New Roman" w:hAnsi="Times New Roman" w:eastAsia="仿宋_GB2312"/>
          <w:sz w:val="32"/>
          <w:szCs w:val="32"/>
          <w:shd w:val="clear" w:color="auto" w:fill="FFFFFF"/>
        </w:rPr>
        <w:t>2021</w:t>
      </w:r>
      <w:r>
        <w:rPr>
          <w:rFonts w:hint="eastAsia" w:ascii="Times New Roman" w:hAnsi="Times New Roman" w:eastAsia="仿宋_GB2312"/>
          <w:sz w:val="32"/>
          <w:szCs w:val="32"/>
          <w:shd w:val="clear" w:color="auto" w:fill="FFFFFF"/>
        </w:rPr>
        <w:t>年</w:t>
      </w:r>
      <w:r>
        <w:rPr>
          <w:rFonts w:ascii="Times New Roman" w:hAnsi="Times New Roman" w:eastAsia="仿宋_GB2312"/>
          <w:sz w:val="32"/>
          <w:szCs w:val="32"/>
          <w:shd w:val="clear" w:color="auto" w:fill="FFFFFF"/>
        </w:rPr>
        <w:t>1</w:t>
      </w:r>
      <w:r>
        <w:rPr>
          <w:rFonts w:hint="eastAsia" w:ascii="Times New Roman" w:hAnsi="Times New Roman" w:eastAsia="仿宋_GB2312"/>
          <w:sz w:val="32"/>
          <w:szCs w:val="32"/>
          <w:shd w:val="clear" w:color="auto" w:fill="FFFFFF"/>
        </w:rPr>
        <w:t>月</w:t>
      </w:r>
      <w:r>
        <w:rPr>
          <w:rFonts w:ascii="Times New Roman" w:hAnsi="Times New Roman" w:eastAsia="仿宋_GB2312"/>
          <w:sz w:val="32"/>
          <w:szCs w:val="32"/>
          <w:shd w:val="clear" w:color="auto" w:fill="FFFFFF"/>
        </w:rPr>
        <w:t>1</w:t>
      </w:r>
      <w:r>
        <w:rPr>
          <w:rFonts w:hint="eastAsia" w:ascii="Times New Roman" w:hAnsi="Times New Roman" w:eastAsia="仿宋_GB2312"/>
          <w:sz w:val="32"/>
          <w:szCs w:val="32"/>
          <w:shd w:val="clear" w:color="auto" w:fill="FFFFFF"/>
        </w:rPr>
        <w:t>日</w:t>
      </w:r>
      <w:r>
        <w:rPr>
          <w:rFonts w:ascii="Times New Roman" w:hAnsi="Times New Roman" w:eastAsia="仿宋_GB2312"/>
          <w:sz w:val="32"/>
          <w:szCs w:val="32"/>
          <w:shd w:val="clear" w:color="auto" w:fill="FFFFFF"/>
        </w:rPr>
        <w:t>-2025</w:t>
      </w:r>
      <w:r>
        <w:rPr>
          <w:rFonts w:hint="eastAsia" w:ascii="Times New Roman" w:hAnsi="Times New Roman" w:eastAsia="仿宋_GB2312"/>
          <w:sz w:val="32"/>
          <w:szCs w:val="32"/>
          <w:shd w:val="clear" w:color="auto" w:fill="FFFFFF"/>
        </w:rPr>
        <w:t>年</w:t>
      </w:r>
      <w:r>
        <w:rPr>
          <w:rFonts w:ascii="Times New Roman" w:hAnsi="Times New Roman" w:eastAsia="仿宋_GB2312"/>
          <w:sz w:val="32"/>
          <w:szCs w:val="32"/>
          <w:shd w:val="clear" w:color="auto" w:fill="FFFFFF"/>
        </w:rPr>
        <w:t>12</w:t>
      </w:r>
      <w:r>
        <w:rPr>
          <w:rFonts w:hint="eastAsia" w:ascii="Times New Roman" w:hAnsi="Times New Roman" w:eastAsia="仿宋_GB2312"/>
          <w:sz w:val="32"/>
          <w:szCs w:val="32"/>
          <w:shd w:val="clear" w:color="auto" w:fill="FFFFFF"/>
        </w:rPr>
        <w:t>月</w:t>
      </w:r>
      <w:r>
        <w:rPr>
          <w:rFonts w:ascii="Times New Roman" w:hAnsi="Times New Roman" w:eastAsia="仿宋_GB2312"/>
          <w:sz w:val="32"/>
          <w:szCs w:val="32"/>
          <w:shd w:val="clear" w:color="auto" w:fill="FFFFFF"/>
        </w:rPr>
        <w:t>31</w:t>
      </w:r>
      <w:r>
        <w:rPr>
          <w:rFonts w:hint="eastAsia" w:ascii="Times New Roman" w:hAnsi="Times New Roman" w:eastAsia="仿宋_GB2312"/>
          <w:sz w:val="32"/>
          <w:szCs w:val="32"/>
          <w:shd w:val="clear" w:color="auto" w:fill="FFFFFF"/>
        </w:rPr>
        <w:t>日期间）。设备铭牌信息与固定资产明细表、发票原则上保持对应，如不一致，企业应对不一致情况进行说明；若与设备交易方存在关联关系，企业应对关联交易的设备价格公允性等情况进行说明。项目总投资、实际固定资产投资额按《广东省财政厅 广东省工业和信息化厅关于印发〈广东省普惠性制造业投资奖励资金清算办法〉的通知》（粤财工〔2024〕108号）有关规定执行。</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7.支持项目单位经营活动情况及是否正常、财务状况及是否良好、是否存在违法违规行为等有关情况说明材料。</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8.涉及项目出资情况的相关财务报表（项目实施每个年度的企业年度财务审计报告复印件）。</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9.支持项目成果和效益。包括生产许可、经营资格、专利授权、科技成果、产品鉴定、样机样品、中试线等图片及数据，或产品测试报告、用户使用报告等相关情况说明及佐证材料。</w:t>
      </w:r>
    </w:p>
    <w:p>
      <w:pPr>
        <w:autoSpaceDE w:val="0"/>
        <w:autoSpaceDN w:val="0"/>
        <w:adjustRightInd w:val="0"/>
        <w:spacing w:line="560" w:lineRule="exact"/>
        <w:ind w:firstLine="640" w:firstLineChars="200"/>
        <w:rPr>
          <w:rFonts w:ascii="Times New Roman" w:hAnsi="Times New Roman" w:eastAsia="仿宋_GB2312"/>
          <w:sz w:val="32"/>
          <w:szCs w:val="32"/>
          <w:shd w:val="clear" w:color="auto" w:fill="FFFFFF"/>
        </w:rPr>
      </w:pPr>
      <w:r>
        <w:rPr>
          <w:rFonts w:hint="eastAsia" w:ascii="Times New Roman" w:hAnsi="Times New Roman" w:eastAsia="仿宋_GB2312"/>
          <w:sz w:val="32"/>
          <w:szCs w:val="32"/>
          <w:shd w:val="clear" w:color="auto" w:fill="FFFFFF"/>
        </w:rPr>
        <w:t>10.无违法违规证明公共信用信息报告(项目单位登录“信用广东”https://credit.gd.gov.cn/index.html，勾选建筑市场监管、安全生产、税务、自然资源、生态环境、能源等相关领域，查询近三年记录并下载；如在报告查询期内某个领域无法出具证明报告，企业应对该领域违法违规情况进行说明，如已完成行政处罚信息信用修复，应提供相关佐证材料)。</w:t>
      </w:r>
    </w:p>
    <w:p>
      <w:pPr>
        <w:autoSpaceDE w:val="0"/>
        <w:autoSpaceDN w:val="0"/>
        <w:adjustRightInd w:val="0"/>
        <w:spacing w:line="560" w:lineRule="exact"/>
        <w:ind w:firstLine="640" w:firstLineChars="200"/>
        <w:rPr>
          <w:rFonts w:ascii="Times New Roman" w:hAnsi="Times New Roman" w:eastAsia="仿宋_GB2312"/>
          <w:b/>
          <w:bCs/>
          <w:sz w:val="32"/>
          <w:szCs w:val="32"/>
          <w:shd w:val="clear" w:color="auto" w:fill="FFFFFF"/>
        </w:rPr>
      </w:pPr>
      <w:r>
        <w:rPr>
          <w:rFonts w:hint="eastAsia" w:ascii="Times New Roman" w:hAnsi="Times New Roman" w:eastAsia="仿宋_GB2312"/>
          <w:b w:val="0"/>
          <w:bCs w:val="0"/>
          <w:sz w:val="32"/>
          <w:szCs w:val="32"/>
          <w:shd w:val="clear" w:color="auto" w:fill="FFFFFF"/>
        </w:rPr>
        <w:t>上述材料应真实、规范、完整、清晰，统一采用A4纸双面打印或复印；必须编制页码、目录，装订成册（胶装），加盖公章（含骑缝章）。</w:t>
      </w:r>
      <w:r>
        <w:rPr>
          <w:rFonts w:hint="eastAsia" w:ascii="Times New Roman" w:hAnsi="Times New Roman" w:eastAsia="仿宋_GB2312"/>
          <w:b/>
          <w:bCs/>
          <w:sz w:val="32"/>
          <w:szCs w:val="32"/>
          <w:shd w:val="clear" w:color="auto" w:fill="FFFFFF"/>
        </w:rPr>
        <w:t>提供相关凭证复印件的，要注明“与原件相符，对其真实性负责”相关字样。</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jgxYmU3MGQ3MTYxM2RmZjBmNzgxNWU1ODcwYzIyYzUifQ=="/>
  </w:docVars>
  <w:rsids>
    <w:rsidRoot w:val="005674F3"/>
    <w:rsid w:val="00167AB3"/>
    <w:rsid w:val="0017724D"/>
    <w:rsid w:val="00197886"/>
    <w:rsid w:val="001D2338"/>
    <w:rsid w:val="002013B7"/>
    <w:rsid w:val="00223D69"/>
    <w:rsid w:val="0027746A"/>
    <w:rsid w:val="00293CB1"/>
    <w:rsid w:val="002959A0"/>
    <w:rsid w:val="002A3C40"/>
    <w:rsid w:val="002B35B6"/>
    <w:rsid w:val="002C1792"/>
    <w:rsid w:val="002C7AA8"/>
    <w:rsid w:val="002D3995"/>
    <w:rsid w:val="002E0652"/>
    <w:rsid w:val="003324B0"/>
    <w:rsid w:val="0034490C"/>
    <w:rsid w:val="00364864"/>
    <w:rsid w:val="0039136C"/>
    <w:rsid w:val="00407327"/>
    <w:rsid w:val="00430E5A"/>
    <w:rsid w:val="00431312"/>
    <w:rsid w:val="0043623A"/>
    <w:rsid w:val="004434E0"/>
    <w:rsid w:val="004476B4"/>
    <w:rsid w:val="00460F30"/>
    <w:rsid w:val="00486062"/>
    <w:rsid w:val="004C664C"/>
    <w:rsid w:val="00566C43"/>
    <w:rsid w:val="005674F3"/>
    <w:rsid w:val="00606D1C"/>
    <w:rsid w:val="0060718F"/>
    <w:rsid w:val="00671669"/>
    <w:rsid w:val="006951CF"/>
    <w:rsid w:val="006B01E3"/>
    <w:rsid w:val="006B3D69"/>
    <w:rsid w:val="00701920"/>
    <w:rsid w:val="00710D27"/>
    <w:rsid w:val="00721131"/>
    <w:rsid w:val="007432B5"/>
    <w:rsid w:val="007549FB"/>
    <w:rsid w:val="007C1E65"/>
    <w:rsid w:val="007C3793"/>
    <w:rsid w:val="00811936"/>
    <w:rsid w:val="00830E86"/>
    <w:rsid w:val="00844621"/>
    <w:rsid w:val="00851194"/>
    <w:rsid w:val="00863ABE"/>
    <w:rsid w:val="00874171"/>
    <w:rsid w:val="008B5E6B"/>
    <w:rsid w:val="008F23AB"/>
    <w:rsid w:val="00923FF6"/>
    <w:rsid w:val="0097247F"/>
    <w:rsid w:val="00983B7B"/>
    <w:rsid w:val="0099406A"/>
    <w:rsid w:val="0099557F"/>
    <w:rsid w:val="009B1AE2"/>
    <w:rsid w:val="00A12A08"/>
    <w:rsid w:val="00A563C9"/>
    <w:rsid w:val="00A70EB7"/>
    <w:rsid w:val="00A73A3F"/>
    <w:rsid w:val="00AA510D"/>
    <w:rsid w:val="00AD3BB8"/>
    <w:rsid w:val="00AE07C9"/>
    <w:rsid w:val="00B05207"/>
    <w:rsid w:val="00B221AD"/>
    <w:rsid w:val="00B45014"/>
    <w:rsid w:val="00B54AB0"/>
    <w:rsid w:val="00BB21CE"/>
    <w:rsid w:val="00BD4269"/>
    <w:rsid w:val="00C12D69"/>
    <w:rsid w:val="00C531A2"/>
    <w:rsid w:val="00C63C08"/>
    <w:rsid w:val="00C74036"/>
    <w:rsid w:val="00CA3E73"/>
    <w:rsid w:val="00CD09B9"/>
    <w:rsid w:val="00D518D7"/>
    <w:rsid w:val="00DC1E5B"/>
    <w:rsid w:val="00DF367C"/>
    <w:rsid w:val="00E04621"/>
    <w:rsid w:val="00E05B88"/>
    <w:rsid w:val="00E5660D"/>
    <w:rsid w:val="00E657BE"/>
    <w:rsid w:val="00E7562A"/>
    <w:rsid w:val="00E87E07"/>
    <w:rsid w:val="00E973BA"/>
    <w:rsid w:val="00F9006E"/>
    <w:rsid w:val="00FF4329"/>
    <w:rsid w:val="010D389E"/>
    <w:rsid w:val="01A26EDB"/>
    <w:rsid w:val="02EA50A9"/>
    <w:rsid w:val="03E60A0D"/>
    <w:rsid w:val="03F776EA"/>
    <w:rsid w:val="04446825"/>
    <w:rsid w:val="0496178A"/>
    <w:rsid w:val="04F843EC"/>
    <w:rsid w:val="056D71BD"/>
    <w:rsid w:val="057D658D"/>
    <w:rsid w:val="05AC0BB4"/>
    <w:rsid w:val="05C37DA8"/>
    <w:rsid w:val="05E1109D"/>
    <w:rsid w:val="05F65BB0"/>
    <w:rsid w:val="064B56F0"/>
    <w:rsid w:val="06A42139"/>
    <w:rsid w:val="07404F01"/>
    <w:rsid w:val="07521DA5"/>
    <w:rsid w:val="078B52D6"/>
    <w:rsid w:val="07F46AA4"/>
    <w:rsid w:val="08013A21"/>
    <w:rsid w:val="08066DE1"/>
    <w:rsid w:val="084B43CA"/>
    <w:rsid w:val="086D5EBB"/>
    <w:rsid w:val="089A4646"/>
    <w:rsid w:val="08A0264E"/>
    <w:rsid w:val="090C4201"/>
    <w:rsid w:val="09710D06"/>
    <w:rsid w:val="0A40487E"/>
    <w:rsid w:val="0A5808F4"/>
    <w:rsid w:val="0A76455E"/>
    <w:rsid w:val="0A8A4B0B"/>
    <w:rsid w:val="0AB1211B"/>
    <w:rsid w:val="0AC56A79"/>
    <w:rsid w:val="0AEA2E69"/>
    <w:rsid w:val="0B074B25"/>
    <w:rsid w:val="0B7C0A36"/>
    <w:rsid w:val="0BAB5EC3"/>
    <w:rsid w:val="0BF839F8"/>
    <w:rsid w:val="0C006EB6"/>
    <w:rsid w:val="0C524BBF"/>
    <w:rsid w:val="0C7B4A59"/>
    <w:rsid w:val="0CB01C0C"/>
    <w:rsid w:val="0D572FF7"/>
    <w:rsid w:val="0DAB09F2"/>
    <w:rsid w:val="0DDA2E5A"/>
    <w:rsid w:val="0DE16FF7"/>
    <w:rsid w:val="0E135C64"/>
    <w:rsid w:val="0EB70878"/>
    <w:rsid w:val="0EC528C4"/>
    <w:rsid w:val="0F030936"/>
    <w:rsid w:val="0F182768"/>
    <w:rsid w:val="0F320C5C"/>
    <w:rsid w:val="0FA74521"/>
    <w:rsid w:val="10405E5A"/>
    <w:rsid w:val="1078751D"/>
    <w:rsid w:val="108E7048"/>
    <w:rsid w:val="10BC3C05"/>
    <w:rsid w:val="10C04F94"/>
    <w:rsid w:val="10FA1AB8"/>
    <w:rsid w:val="11651E03"/>
    <w:rsid w:val="11B94697"/>
    <w:rsid w:val="11E92CE0"/>
    <w:rsid w:val="12FD3AB3"/>
    <w:rsid w:val="1318395D"/>
    <w:rsid w:val="131B1CD1"/>
    <w:rsid w:val="13587324"/>
    <w:rsid w:val="137905F3"/>
    <w:rsid w:val="1387717C"/>
    <w:rsid w:val="146C3F5E"/>
    <w:rsid w:val="1503693E"/>
    <w:rsid w:val="15736AD1"/>
    <w:rsid w:val="15746899"/>
    <w:rsid w:val="15BB4032"/>
    <w:rsid w:val="168E131E"/>
    <w:rsid w:val="169F011C"/>
    <w:rsid w:val="16FB7378"/>
    <w:rsid w:val="17096BF3"/>
    <w:rsid w:val="176B1D2C"/>
    <w:rsid w:val="176D1BB2"/>
    <w:rsid w:val="1797175C"/>
    <w:rsid w:val="17CB5636"/>
    <w:rsid w:val="181E31C2"/>
    <w:rsid w:val="18C16C88"/>
    <w:rsid w:val="18F66D76"/>
    <w:rsid w:val="19134FD1"/>
    <w:rsid w:val="19266035"/>
    <w:rsid w:val="19377498"/>
    <w:rsid w:val="1A4009B1"/>
    <w:rsid w:val="1AB17C93"/>
    <w:rsid w:val="1AC22723"/>
    <w:rsid w:val="1AF90E9A"/>
    <w:rsid w:val="1B9E1447"/>
    <w:rsid w:val="1BC65F02"/>
    <w:rsid w:val="1C243530"/>
    <w:rsid w:val="1C27523F"/>
    <w:rsid w:val="1C3D50D8"/>
    <w:rsid w:val="1C7D1298"/>
    <w:rsid w:val="1CD52FF8"/>
    <w:rsid w:val="1D7C7C6A"/>
    <w:rsid w:val="1DA2595E"/>
    <w:rsid w:val="1DAB74C4"/>
    <w:rsid w:val="1DBE7797"/>
    <w:rsid w:val="1E2001DE"/>
    <w:rsid w:val="1E8F3ADB"/>
    <w:rsid w:val="1ECB448D"/>
    <w:rsid w:val="1F762FA2"/>
    <w:rsid w:val="1FE22A6C"/>
    <w:rsid w:val="20262D2F"/>
    <w:rsid w:val="202855A4"/>
    <w:rsid w:val="215348D2"/>
    <w:rsid w:val="225F4628"/>
    <w:rsid w:val="22960DD2"/>
    <w:rsid w:val="22AF590D"/>
    <w:rsid w:val="22F553F3"/>
    <w:rsid w:val="23841809"/>
    <w:rsid w:val="23FE60D1"/>
    <w:rsid w:val="24601EF4"/>
    <w:rsid w:val="24BC70B7"/>
    <w:rsid w:val="25127C6E"/>
    <w:rsid w:val="2666360D"/>
    <w:rsid w:val="267E754F"/>
    <w:rsid w:val="26EF3DFA"/>
    <w:rsid w:val="270C16F6"/>
    <w:rsid w:val="274A0BF7"/>
    <w:rsid w:val="278554E9"/>
    <w:rsid w:val="28642940"/>
    <w:rsid w:val="28D34ED4"/>
    <w:rsid w:val="28EE594C"/>
    <w:rsid w:val="29251968"/>
    <w:rsid w:val="29634612"/>
    <w:rsid w:val="29E83B7A"/>
    <w:rsid w:val="2A706D14"/>
    <w:rsid w:val="2B6A70B5"/>
    <w:rsid w:val="2B796C42"/>
    <w:rsid w:val="2B93535A"/>
    <w:rsid w:val="2BCA5049"/>
    <w:rsid w:val="2C491D5B"/>
    <w:rsid w:val="2D6C7DD1"/>
    <w:rsid w:val="2DFDA9D4"/>
    <w:rsid w:val="2E1E4633"/>
    <w:rsid w:val="2E3333E5"/>
    <w:rsid w:val="2E9E54E5"/>
    <w:rsid w:val="2EB7137A"/>
    <w:rsid w:val="2F0957D2"/>
    <w:rsid w:val="2F31043B"/>
    <w:rsid w:val="2F5C1184"/>
    <w:rsid w:val="2F7CE95E"/>
    <w:rsid w:val="2FA379D4"/>
    <w:rsid w:val="300C7638"/>
    <w:rsid w:val="302C5806"/>
    <w:rsid w:val="30A567B5"/>
    <w:rsid w:val="30C53760"/>
    <w:rsid w:val="31F523AF"/>
    <w:rsid w:val="32B31B65"/>
    <w:rsid w:val="33724ADC"/>
    <w:rsid w:val="33D40922"/>
    <w:rsid w:val="340343AF"/>
    <w:rsid w:val="344D4B94"/>
    <w:rsid w:val="34D7691B"/>
    <w:rsid w:val="34DD76E3"/>
    <w:rsid w:val="35923895"/>
    <w:rsid w:val="35984986"/>
    <w:rsid w:val="35E40A61"/>
    <w:rsid w:val="36461BD8"/>
    <w:rsid w:val="36983973"/>
    <w:rsid w:val="371A1A3D"/>
    <w:rsid w:val="379665B0"/>
    <w:rsid w:val="382D4354"/>
    <w:rsid w:val="389935F4"/>
    <w:rsid w:val="38C0745F"/>
    <w:rsid w:val="39912494"/>
    <w:rsid w:val="3A4134A4"/>
    <w:rsid w:val="3AD46F39"/>
    <w:rsid w:val="3B240F41"/>
    <w:rsid w:val="3B5E68C8"/>
    <w:rsid w:val="3BAC6ED8"/>
    <w:rsid w:val="3BB0039B"/>
    <w:rsid w:val="3BC83FFE"/>
    <w:rsid w:val="3C4D644F"/>
    <w:rsid w:val="3CCD7C7E"/>
    <w:rsid w:val="3CDC0EB3"/>
    <w:rsid w:val="3D9A55A2"/>
    <w:rsid w:val="3DCD1CBC"/>
    <w:rsid w:val="3DE20EC0"/>
    <w:rsid w:val="3E391C30"/>
    <w:rsid w:val="3EBD443F"/>
    <w:rsid w:val="3EC62602"/>
    <w:rsid w:val="3ED38678"/>
    <w:rsid w:val="3F0731C6"/>
    <w:rsid w:val="3F0F0D9A"/>
    <w:rsid w:val="3F385726"/>
    <w:rsid w:val="3F6B6E2E"/>
    <w:rsid w:val="401C7401"/>
    <w:rsid w:val="40282E1C"/>
    <w:rsid w:val="412A110A"/>
    <w:rsid w:val="412D5680"/>
    <w:rsid w:val="41F9037C"/>
    <w:rsid w:val="41FB258C"/>
    <w:rsid w:val="4218621C"/>
    <w:rsid w:val="42502CE4"/>
    <w:rsid w:val="42941F1C"/>
    <w:rsid w:val="42E13ADD"/>
    <w:rsid w:val="43A1317B"/>
    <w:rsid w:val="43B05DCA"/>
    <w:rsid w:val="43C152E5"/>
    <w:rsid w:val="444F2D01"/>
    <w:rsid w:val="44965602"/>
    <w:rsid w:val="44A5255A"/>
    <w:rsid w:val="452461DA"/>
    <w:rsid w:val="45F77F85"/>
    <w:rsid w:val="46064CA1"/>
    <w:rsid w:val="46186D41"/>
    <w:rsid w:val="462E3FF6"/>
    <w:rsid w:val="463145FC"/>
    <w:rsid w:val="4746716B"/>
    <w:rsid w:val="47BE1243"/>
    <w:rsid w:val="47E943C3"/>
    <w:rsid w:val="48533D78"/>
    <w:rsid w:val="485C7C23"/>
    <w:rsid w:val="4891454C"/>
    <w:rsid w:val="48DB7C4C"/>
    <w:rsid w:val="497C0B05"/>
    <w:rsid w:val="49AA7AFE"/>
    <w:rsid w:val="4A563043"/>
    <w:rsid w:val="4AA15E16"/>
    <w:rsid w:val="4AFA970B"/>
    <w:rsid w:val="4B942717"/>
    <w:rsid w:val="4C5E4E97"/>
    <w:rsid w:val="4CB66AC9"/>
    <w:rsid w:val="4CF133F2"/>
    <w:rsid w:val="4DA24AAA"/>
    <w:rsid w:val="4DE42809"/>
    <w:rsid w:val="4DF24B3E"/>
    <w:rsid w:val="4DF50BCF"/>
    <w:rsid w:val="4E247F30"/>
    <w:rsid w:val="4E8D281C"/>
    <w:rsid w:val="4EE6782A"/>
    <w:rsid w:val="4EFA6597"/>
    <w:rsid w:val="4F477381"/>
    <w:rsid w:val="4F562FA3"/>
    <w:rsid w:val="50CE7F3A"/>
    <w:rsid w:val="52BB160A"/>
    <w:rsid w:val="5377504C"/>
    <w:rsid w:val="53933738"/>
    <w:rsid w:val="546649A9"/>
    <w:rsid w:val="54841BF9"/>
    <w:rsid w:val="56827BF3"/>
    <w:rsid w:val="568D7B05"/>
    <w:rsid w:val="56FA8EB0"/>
    <w:rsid w:val="575E8045"/>
    <w:rsid w:val="57A01C50"/>
    <w:rsid w:val="57EE4E0E"/>
    <w:rsid w:val="57F25BBD"/>
    <w:rsid w:val="57F3680E"/>
    <w:rsid w:val="58053F4B"/>
    <w:rsid w:val="581310BD"/>
    <w:rsid w:val="585624F9"/>
    <w:rsid w:val="58A32175"/>
    <w:rsid w:val="58F72073"/>
    <w:rsid w:val="595E4DD0"/>
    <w:rsid w:val="5A4A574C"/>
    <w:rsid w:val="5A9D1853"/>
    <w:rsid w:val="5B6CC4B8"/>
    <w:rsid w:val="5B7E6C0A"/>
    <w:rsid w:val="5BAB0473"/>
    <w:rsid w:val="5BB8692E"/>
    <w:rsid w:val="5C691D20"/>
    <w:rsid w:val="5D6972B8"/>
    <w:rsid w:val="5DE544D0"/>
    <w:rsid w:val="5FC0154E"/>
    <w:rsid w:val="5FDF2487"/>
    <w:rsid w:val="601930E3"/>
    <w:rsid w:val="604F0032"/>
    <w:rsid w:val="60C86176"/>
    <w:rsid w:val="60D2091E"/>
    <w:rsid w:val="60D863AF"/>
    <w:rsid w:val="610826CD"/>
    <w:rsid w:val="61665C7A"/>
    <w:rsid w:val="618F73B9"/>
    <w:rsid w:val="61FB2956"/>
    <w:rsid w:val="62872E5A"/>
    <w:rsid w:val="628B6609"/>
    <w:rsid w:val="62A74EBE"/>
    <w:rsid w:val="62F60D0D"/>
    <w:rsid w:val="63515A73"/>
    <w:rsid w:val="637E7F5F"/>
    <w:rsid w:val="63A73B2D"/>
    <w:rsid w:val="63E37CF7"/>
    <w:rsid w:val="650E518F"/>
    <w:rsid w:val="654341DE"/>
    <w:rsid w:val="654C254C"/>
    <w:rsid w:val="659B12CF"/>
    <w:rsid w:val="659B33D6"/>
    <w:rsid w:val="65DD34CA"/>
    <w:rsid w:val="660B3602"/>
    <w:rsid w:val="663023B6"/>
    <w:rsid w:val="66476E4A"/>
    <w:rsid w:val="666174D0"/>
    <w:rsid w:val="669B4065"/>
    <w:rsid w:val="66BA019E"/>
    <w:rsid w:val="66CE738C"/>
    <w:rsid w:val="66F0608E"/>
    <w:rsid w:val="67734211"/>
    <w:rsid w:val="67937BD2"/>
    <w:rsid w:val="67CF3725"/>
    <w:rsid w:val="67FB932D"/>
    <w:rsid w:val="68DE4FFE"/>
    <w:rsid w:val="6990454A"/>
    <w:rsid w:val="69CA024A"/>
    <w:rsid w:val="69F16BDC"/>
    <w:rsid w:val="6AF862C0"/>
    <w:rsid w:val="6B4E032E"/>
    <w:rsid w:val="6B5C1BA7"/>
    <w:rsid w:val="6C284616"/>
    <w:rsid w:val="6C6F7A7E"/>
    <w:rsid w:val="6CBD5C55"/>
    <w:rsid w:val="6D156B14"/>
    <w:rsid w:val="6D2A60B7"/>
    <w:rsid w:val="6DBF0E05"/>
    <w:rsid w:val="6F3DDADA"/>
    <w:rsid w:val="6F3E19DA"/>
    <w:rsid w:val="6FC82564"/>
    <w:rsid w:val="6FD3E34F"/>
    <w:rsid w:val="6FF7A1C2"/>
    <w:rsid w:val="707E7C62"/>
    <w:rsid w:val="712856F1"/>
    <w:rsid w:val="71AF0F15"/>
    <w:rsid w:val="71DC767C"/>
    <w:rsid w:val="73664F41"/>
    <w:rsid w:val="73A91D83"/>
    <w:rsid w:val="73FD3438"/>
    <w:rsid w:val="73FF765C"/>
    <w:rsid w:val="75BF677F"/>
    <w:rsid w:val="76365874"/>
    <w:rsid w:val="766F765A"/>
    <w:rsid w:val="76978D4A"/>
    <w:rsid w:val="7751398C"/>
    <w:rsid w:val="779E077D"/>
    <w:rsid w:val="77C73CAF"/>
    <w:rsid w:val="77FD4352"/>
    <w:rsid w:val="77FFB2A1"/>
    <w:rsid w:val="78275436"/>
    <w:rsid w:val="782F4F2E"/>
    <w:rsid w:val="7839180D"/>
    <w:rsid w:val="783F351D"/>
    <w:rsid w:val="78DF169E"/>
    <w:rsid w:val="796F799E"/>
    <w:rsid w:val="79FEBE20"/>
    <w:rsid w:val="7A0B736F"/>
    <w:rsid w:val="7A4F3195"/>
    <w:rsid w:val="7AB42C5D"/>
    <w:rsid w:val="7BA21679"/>
    <w:rsid w:val="7BF93778"/>
    <w:rsid w:val="7C2417E9"/>
    <w:rsid w:val="7C390541"/>
    <w:rsid w:val="7C7F4019"/>
    <w:rsid w:val="7DBF67F4"/>
    <w:rsid w:val="7E1D6847"/>
    <w:rsid w:val="7E2968C4"/>
    <w:rsid w:val="7E6D1A5D"/>
    <w:rsid w:val="7E7D3C21"/>
    <w:rsid w:val="7ECB686D"/>
    <w:rsid w:val="7F0B5061"/>
    <w:rsid w:val="7F1D5375"/>
    <w:rsid w:val="7F3400FB"/>
    <w:rsid w:val="7F7F74EA"/>
    <w:rsid w:val="7F9BBFB8"/>
    <w:rsid w:val="7FDD1363"/>
    <w:rsid w:val="7FE5C713"/>
    <w:rsid w:val="7FF07649"/>
    <w:rsid w:val="7FFD8197"/>
    <w:rsid w:val="7FFE7147"/>
    <w:rsid w:val="93FFA754"/>
    <w:rsid w:val="9BBF1B74"/>
    <w:rsid w:val="9EFBFB8B"/>
    <w:rsid w:val="AEDFE470"/>
    <w:rsid w:val="AFEFBE3D"/>
    <w:rsid w:val="AFFAA95F"/>
    <w:rsid w:val="AFFD6E20"/>
    <w:rsid w:val="B5FF4EC4"/>
    <w:rsid w:val="B79FB462"/>
    <w:rsid w:val="BBF7D51E"/>
    <w:rsid w:val="BFFF817C"/>
    <w:rsid w:val="C71E9CD7"/>
    <w:rsid w:val="CCEDEF29"/>
    <w:rsid w:val="CCFFDA39"/>
    <w:rsid w:val="DAF9D63F"/>
    <w:rsid w:val="DFFF4CBE"/>
    <w:rsid w:val="E1EBDF78"/>
    <w:rsid w:val="EF6376DD"/>
    <w:rsid w:val="EFBE80F7"/>
    <w:rsid w:val="FB1CC410"/>
    <w:rsid w:val="FBFE2054"/>
    <w:rsid w:val="FCEEB415"/>
    <w:rsid w:val="FDDB58E0"/>
    <w:rsid w:val="FDECE93B"/>
    <w:rsid w:val="FE7FA20C"/>
    <w:rsid w:val="FEBCE52F"/>
    <w:rsid w:val="FEBEAF86"/>
    <w:rsid w:val="FED73021"/>
    <w:rsid w:val="FFDD3A10"/>
    <w:rsid w:val="FFFB2CEE"/>
    <w:rsid w:val="FFFE233B"/>
    <w:rsid w:val="FFFE875E"/>
    <w:rsid w:val="FFFEB7C9"/>
    <w:rsid w:val="FFFFA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6"/>
    <w:basedOn w:val="1"/>
    <w:next w:val="1"/>
    <w:qFormat/>
    <w:uiPriority w:val="0"/>
    <w:pPr>
      <w:keepNext/>
      <w:keepLines/>
      <w:spacing w:before="240" w:after="64" w:line="317" w:lineRule="auto"/>
      <w:outlineLvl w:val="5"/>
    </w:pPr>
    <w:rPr>
      <w:rFonts w:ascii="Arial" w:hAnsi="Arial" w:eastAsia="黑体"/>
      <w:b/>
      <w:bCs/>
      <w:sz w:val="2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pPr>
    <w:rPr>
      <w:sz w:val="24"/>
    </w:rPr>
  </w:style>
  <w:style w:type="paragraph" w:styleId="4">
    <w:name w:val="annotation text"/>
    <w:basedOn w:val="1"/>
    <w:qFormat/>
    <w:uiPriority w:val="0"/>
    <w:pPr>
      <w:jc w:val="left"/>
    </w:pPr>
  </w:style>
  <w:style w:type="paragraph" w:styleId="5">
    <w:name w:val="Balloon Text"/>
    <w:basedOn w:val="1"/>
    <w:link w:val="14"/>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2"/>
    <w:basedOn w:val="1"/>
    <w:next w:val="1"/>
    <w:qFormat/>
    <w:uiPriority w:val="0"/>
    <w:pPr>
      <w:ind w:left="420" w:leftChars="200"/>
    </w:pPr>
    <w:rPr>
      <w:szCs w:val="22"/>
    </w:rPr>
  </w:style>
  <w:style w:type="character" w:styleId="11">
    <w:name w:val="Emphasis"/>
    <w:qFormat/>
    <w:uiPriority w:val="0"/>
    <w:rPr>
      <w:i/>
    </w:rPr>
  </w:style>
  <w:style w:type="character" w:styleId="12">
    <w:name w:val="annotation reference"/>
    <w:qFormat/>
    <w:uiPriority w:val="0"/>
    <w:rPr>
      <w:sz w:val="21"/>
      <w:szCs w:val="21"/>
    </w:rPr>
  </w:style>
  <w:style w:type="paragraph" w:customStyle="1" w:styleId="13">
    <w:name w:val="_Style 9"/>
    <w:unhideWhenUsed/>
    <w:qFormat/>
    <w:uiPriority w:val="99"/>
    <w:rPr>
      <w:rFonts w:ascii="Calibri" w:hAnsi="Calibri" w:eastAsia="宋体" w:cs="Times New Roman"/>
      <w:kern w:val="2"/>
      <w:sz w:val="21"/>
      <w:szCs w:val="24"/>
      <w:lang w:val="en-US" w:eastAsia="zh-CN" w:bidi="ar-SA"/>
    </w:rPr>
  </w:style>
  <w:style w:type="character" w:customStyle="1" w:styleId="14">
    <w:name w:val="批注框文本 Char"/>
    <w:link w:val="5"/>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873</Words>
  <Characters>4977</Characters>
  <Lines>41</Lines>
  <Paragraphs>11</Paragraphs>
  <TotalTime>19</TotalTime>
  <ScaleCrop>false</ScaleCrop>
  <LinksUpToDate>false</LinksUpToDate>
  <CharactersWithSpaces>5839</CharactersWithSpaces>
  <Application>WPS Office_11.8.2.1117_F1E327BC-269C-435d-A152-05C5408002CA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2014-11-07T04:08:00Z</dcterms:created>
  <dc:creator>Administrator.D4HKL7ML3X4HEKY</dc:creator>
  <cp:lastModifiedBy>陈熙</cp:lastModifiedBy>
  <cp:lastPrinted>2021-11-09T20:03:00Z</cp:lastPrinted>
  <dcterms:modified xsi:type="dcterms:W3CDTF">2026-07-01T09:23:27Z</dcterms:modified>
  <dc:title>附件2</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2052-11.8.2.1117</vt:lpwstr>
  </property>
  <property fmtid="{D5CDD505-2E9C-101B-9397-08002B2CF9AE}" pid="3" name="ICV">
    <vt:lpwstr>82CE42705459E0E60F6C446AA2EC0A55</vt:lpwstr>
  </property>
  <property fmtid="{D5CDD505-2E9C-101B-9397-08002B2CF9AE}" pid="4" name="KSOTemplateDocerSaveRecord">
    <vt:lpwstr>eyJoZGlkIjoiMzEwNTM5NzYwMDRjMzkwZTVkZjY2ODkwMGIxNGU0OTUiLCJ1c2VySWQiOiI3MTk4NTMwMDEifQ==</vt:lpwstr>
  </property>
</Properties>
</file>