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rPr>
      </w:pPr>
      <w:bookmarkStart w:id="0" w:name="_GoBack"/>
      <w:bookmarkEnd w:id="0"/>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wordWrap w:val="0"/>
        <w:jc w:val="righ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 xml:space="preserve">                           肇</w:t>
      </w:r>
      <w:r>
        <w:rPr>
          <w:rFonts w:hint="default" w:ascii="Times New Roman" w:hAnsi="Times New Roman" w:eastAsia="仿宋_GB2312" w:cs="Times New Roman"/>
          <w:color w:val="auto"/>
          <w:sz w:val="32"/>
          <w:szCs w:val="32"/>
          <w:lang w:eastAsia="zh-CN"/>
        </w:rPr>
        <w:t>发改审批</w:t>
      </w:r>
      <w:r>
        <w:rPr>
          <w:rFonts w:hint="default" w:ascii="Times New Roman" w:hAnsi="Times New Roman" w:eastAsia="仿宋_GB2312" w:cs="Times New Roman"/>
          <w:color w:val="auto"/>
          <w:sz w:val="32"/>
          <w:szCs w:val="32"/>
        </w:rPr>
        <w:t>函</w:t>
      </w:r>
      <w:r>
        <w:rPr>
          <w:rFonts w:hint="default" w:ascii="Times New Roman" w:hAnsi="Times New Roman" w:eastAsia="仿宋_GB2312" w:cs="Times New Roman"/>
          <w:bCs/>
          <w:color w:val="auto"/>
          <w:sz w:val="32"/>
          <w:szCs w:val="32"/>
        </w:rPr>
        <w:t>〔20</w:t>
      </w:r>
      <w:r>
        <w:rPr>
          <w:rFonts w:hint="default" w:ascii="Times New Roman" w:hAnsi="Times New Roman" w:eastAsia="仿宋_GB2312" w:cs="Times New Roman"/>
          <w:bCs/>
          <w:color w:val="auto"/>
          <w:sz w:val="32"/>
          <w:szCs w:val="32"/>
          <w:lang w:val="en-US" w:eastAsia="zh-CN"/>
        </w:rPr>
        <w:t>2</w:t>
      </w:r>
      <w:r>
        <w:rPr>
          <w:rFonts w:hint="eastAsia" w:ascii="Times New Roman" w:hAnsi="Times New Roman" w:eastAsia="仿宋_GB2312" w:cs="Times New Roman"/>
          <w:bCs/>
          <w:color w:val="auto"/>
          <w:sz w:val="32"/>
          <w:szCs w:val="32"/>
          <w:lang w:val="en-US" w:eastAsia="zh-CN"/>
        </w:rPr>
        <w:t>4</w:t>
      </w:r>
      <w:r>
        <w:rPr>
          <w:rFonts w:hint="default" w:ascii="Times New Roman" w:hAnsi="Times New Roman" w:eastAsia="仿宋_GB2312" w:cs="Times New Roman"/>
          <w:bCs/>
          <w:color w:val="auto"/>
          <w:sz w:val="32"/>
          <w:szCs w:val="32"/>
        </w:rPr>
        <w:t>〕</w:t>
      </w:r>
      <w:r>
        <w:rPr>
          <w:rFonts w:hint="eastAsia" w:ascii="Times New Roman" w:hAnsi="Times New Roman" w:eastAsia="仿宋_GB2312" w:cs="Times New Roman"/>
          <w:bCs/>
          <w:color w:val="auto"/>
          <w:sz w:val="32"/>
          <w:szCs w:val="32"/>
          <w:lang w:val="en-US" w:eastAsia="zh-CN"/>
        </w:rPr>
        <w:t>24</w:t>
      </w:r>
      <w:r>
        <w:rPr>
          <w:rFonts w:hint="default" w:ascii="Times New Roman" w:hAnsi="Times New Roman" w:eastAsia="仿宋_GB2312" w:cs="Times New Roman"/>
          <w:bCs/>
          <w:color w:val="auto"/>
          <w:sz w:val="32"/>
          <w:szCs w:val="32"/>
        </w:rPr>
        <w:t>号</w:t>
      </w:r>
    </w:p>
    <w:p>
      <w:pPr>
        <w:wordWrap/>
        <w:jc w:val="right"/>
        <w:rPr>
          <w:rFonts w:hint="default" w:ascii="Times New Roman" w:hAnsi="Times New Roman" w:eastAsia="仿宋_GB2312" w:cs="Times New Roman"/>
          <w:bCs/>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肇庆市发展和改革局关于对肇庆市高要区中油油站经营有限公司鼎湖泰和二加油站</w:t>
      </w:r>
      <w:r>
        <w:rPr>
          <w:rFonts w:hint="eastAsia" w:ascii="Times New Roman" w:hAnsi="Times New Roman" w:eastAsia="方正小标宋_GBK" w:cs="Times New Roman"/>
          <w:sz w:val="44"/>
          <w:szCs w:val="44"/>
          <w:lang w:eastAsia="zh-CN"/>
        </w:rPr>
        <w:t>重</w:t>
      </w:r>
      <w:r>
        <w:rPr>
          <w:rFonts w:hint="default" w:ascii="Times New Roman" w:hAnsi="Times New Roman" w:eastAsia="方正小标宋_GBK" w:cs="Times New Roman"/>
          <w:sz w:val="44"/>
          <w:szCs w:val="44"/>
        </w:rPr>
        <w:t>建规划确认的复函</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鼎湖区</w:t>
      </w:r>
      <w:r>
        <w:rPr>
          <w:rFonts w:hint="default" w:ascii="Times New Roman" w:hAnsi="Times New Roman" w:eastAsia="仿宋_GB2312" w:cs="Times New Roman"/>
          <w:sz w:val="32"/>
          <w:szCs w:val="32"/>
          <w:lang w:val="en-US" w:eastAsia="zh-CN"/>
        </w:rPr>
        <w:t>发展和改革局：</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《关于重建肇庆市高要区中油油站经营有限公司鼎湖泰和二加油站的请示》（</w:t>
      </w:r>
      <w:r>
        <w:rPr>
          <w:rFonts w:hint="eastAsia" w:ascii="Times New Roman" w:hAnsi="Times New Roman" w:eastAsia="仿宋_GB2312" w:cs="Times New Roman"/>
          <w:sz w:val="32"/>
          <w:szCs w:val="32"/>
          <w:lang w:val="en-US" w:eastAsia="zh-CN"/>
        </w:rPr>
        <w:t>肇鼎发改</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号）及相关材料收悉。根据《广东省能源局关于取消和下放石油成品油经营资格审批事项有关工作的通知》（粤能油气函﹝2020﹞14号）精神，经研究，现函复如下：</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一、报来肇庆市高要区中油油站经营有限公司鼎湖泰和二加油站</w:t>
      </w:r>
      <w:r>
        <w:rPr>
          <w:rFonts w:hint="eastAsia" w:ascii="Times New Roman" w:hAnsi="Times New Roman" w:eastAsia="仿宋_GB2312" w:cs="Times New Roman"/>
          <w:sz w:val="32"/>
          <w:szCs w:val="32"/>
          <w:lang w:val="en-US" w:eastAsia="zh-CN"/>
        </w:rPr>
        <w:t>属于</w:t>
      </w:r>
      <w:r>
        <w:rPr>
          <w:rFonts w:hint="default" w:ascii="Times New Roman" w:hAnsi="Times New Roman" w:eastAsia="仿宋_GB2312" w:cs="Times New Roman"/>
          <w:sz w:val="32"/>
          <w:szCs w:val="32"/>
          <w:lang w:val="en-US" w:eastAsia="zh-CN"/>
        </w:rPr>
        <w:t>《肇庆市成品油分销体系“十四五”发展规划（2021-2025年）》中附表</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序号</w:t>
      </w:r>
      <w:r>
        <w:rPr>
          <w:rFonts w:hint="eastAsia" w:ascii="Times New Roman" w:hAnsi="Times New Roman" w:eastAsia="仿宋_GB2312" w:cs="Times New Roman"/>
          <w:sz w:val="32"/>
          <w:szCs w:val="32"/>
          <w:lang w:val="en-US" w:eastAsia="zh-CN"/>
        </w:rPr>
        <w:t>300</w:t>
      </w:r>
      <w:r>
        <w:rPr>
          <w:rFonts w:hint="default" w:ascii="Times New Roman" w:hAnsi="Times New Roman" w:eastAsia="仿宋_GB2312" w:cs="Times New Roman"/>
          <w:sz w:val="32"/>
          <w:szCs w:val="32"/>
          <w:lang w:val="en-US" w:eastAsia="zh-CN"/>
        </w:rPr>
        <w:t>#编码</w:t>
      </w:r>
      <w:r>
        <w:rPr>
          <w:rFonts w:hint="eastAsia" w:ascii="Times New Roman" w:hAnsi="Times New Roman" w:eastAsia="仿宋_GB2312" w:cs="Times New Roman"/>
          <w:sz w:val="32"/>
          <w:szCs w:val="32"/>
          <w:lang w:val="en-US" w:eastAsia="zh-CN"/>
        </w:rPr>
        <w:t>鼎湖12</w:t>
      </w:r>
      <w:r>
        <w:rPr>
          <w:rFonts w:hint="default" w:ascii="Times New Roman" w:hAnsi="Times New Roman" w:eastAsia="仿宋_GB2312" w:cs="Times New Roman"/>
          <w:sz w:val="32"/>
          <w:szCs w:val="32"/>
          <w:lang w:val="en-US" w:eastAsia="zh-CN"/>
        </w:rPr>
        <w:t>#加油站规划布点的布局规划。</w:t>
      </w:r>
      <w:r>
        <w:rPr>
          <w:rFonts w:hint="eastAsia" w:ascii="Times New Roman" w:hAnsi="Times New Roman" w:eastAsia="仿宋_GB2312" w:cs="Times New Roman"/>
          <w:sz w:val="32"/>
          <w:szCs w:val="32"/>
          <w:lang w:val="en-US" w:eastAsia="zh-CN"/>
        </w:rPr>
        <w:t>为适应经济社会发展、满足当地周边群众用油需求，我局同意</w:t>
      </w:r>
      <w:r>
        <w:rPr>
          <w:rFonts w:hint="default" w:ascii="Times New Roman" w:hAnsi="Times New Roman" w:eastAsia="仿宋_GB2312" w:cs="Times New Roman"/>
          <w:sz w:val="32"/>
          <w:szCs w:val="32"/>
          <w:lang w:val="en-US" w:eastAsia="zh-CN"/>
        </w:rPr>
        <w:t>肇庆市高要区中油油站经营有限公司鼎湖泰和二加油站</w:t>
      </w:r>
      <w:r>
        <w:rPr>
          <w:rFonts w:hint="eastAsia" w:ascii="Times New Roman" w:hAnsi="Times New Roman" w:eastAsia="仿宋_GB2312" w:cs="Times New Roman"/>
          <w:sz w:val="32"/>
          <w:szCs w:val="32"/>
          <w:lang w:val="en-US" w:eastAsia="zh-CN"/>
        </w:rPr>
        <w:t>在原址基础上重建（详见附件）。</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二、请指导申请企业凭本规划确认文件向自然资源、应急管理、生态环境、气象、市场监管等相关部门申报办理相关手续，依法依规推进建设。加油站竣工后按照有关规定申领《成品油零售经营批准证书》。</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本规划确认文件有效期两年。规划确认文件原则上不予延期，如有充分理由确需延期的，应在文件到期前两个月内向我局提出申请，逾期不予受理。申请单位须在有效期内取得建设部门核发的《建筑工程施工许可证》，未取得《建筑工程施工许可证》之前，不得开工建设。</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1380" w:leftChars="200" w:hanging="960" w:hanging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附件：肇庆市高要区中油油站经营有限公司鼎湖泰和二加油站</w:t>
      </w:r>
      <w:r>
        <w:rPr>
          <w:rFonts w:hint="eastAsia" w:ascii="Times New Roman" w:hAnsi="Times New Roman" w:eastAsia="仿宋_GB2312" w:cs="Times New Roman"/>
          <w:sz w:val="32"/>
          <w:szCs w:val="32"/>
          <w:lang w:val="en-US" w:eastAsia="zh-CN"/>
        </w:rPr>
        <w:t>重</w:t>
      </w:r>
      <w:r>
        <w:rPr>
          <w:rFonts w:hint="default" w:ascii="Times New Roman" w:hAnsi="Times New Roman" w:eastAsia="仿宋_GB2312" w:cs="Times New Roman"/>
          <w:sz w:val="32"/>
          <w:szCs w:val="32"/>
          <w:lang w:val="en-US" w:eastAsia="zh-CN"/>
        </w:rPr>
        <w:t>建规划确认表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480" w:firstLineChars="1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肇庆市发展和改革局</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公开方式：</w:t>
      </w:r>
      <w:r>
        <w:rPr>
          <w:rFonts w:hint="default" w:ascii="Times New Roman" w:hAnsi="Times New Roman" w:eastAsia="仿宋_GB2312" w:cs="Times New Roman"/>
          <w:sz w:val="32"/>
          <w:szCs w:val="32"/>
          <w:lang w:val="en-US" w:eastAsia="zh-CN"/>
        </w:rPr>
        <w:t>主动公开</w:t>
      </w:r>
    </w:p>
    <w:p>
      <w:pPr>
        <w:rPr>
          <w:rFonts w:hint="default" w:ascii="Times New Roman" w:hAnsi="Times New Roman" w:eastAsia="仿宋_GB2312"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rPr>
                              <w:sz w:val="20"/>
                              <w:szCs w:val="28"/>
                            </w:rPr>
                            <w:fldChar w:fldCharType="begin"/>
                          </w:r>
                          <w:r>
                            <w:rPr>
                              <w:sz w:val="20"/>
                              <w:szCs w:val="28"/>
                            </w:rPr>
                            <w:instrText xml:space="preserve"> PAGE  \* MERGEFORMAT </w:instrText>
                          </w:r>
                          <w:r>
                            <w:rPr>
                              <w:sz w:val="20"/>
                              <w:szCs w:val="28"/>
                            </w:rPr>
                            <w:fldChar w:fldCharType="separate"/>
                          </w:r>
                          <w:r>
                            <w:rPr>
                              <w:sz w:val="20"/>
                              <w:szCs w:val="28"/>
                            </w:rPr>
                            <w:t>1</w:t>
                          </w:r>
                          <w:r>
                            <w:rPr>
                              <w:sz w:val="20"/>
                              <w:szCs w:val="28"/>
                            </w:rPr>
                            <w:fldChar w:fldCharType="end"/>
                          </w:r>
                          <w:r>
                            <w:rPr>
                              <w:sz w:val="20"/>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fill on="f" focussize="0,0"/>
              <v:stroke on="f" weight="0.5pt"/>
              <v:imagedata o:title=""/>
              <o:lock v:ext="edit" aspectratio="f"/>
              <v:textbox inset="0mm,0mm,0mm,0mm" style="mso-fit-shape-to-text:t;">
                <w:txbxContent>
                  <w:p>
                    <w:pPr>
                      <w:pStyle w:val="2"/>
                    </w:pPr>
                    <w:r>
                      <w:t xml:space="preserve">— </w:t>
                    </w:r>
                    <w:r>
                      <w:rPr>
                        <w:sz w:val="20"/>
                        <w:szCs w:val="28"/>
                      </w:rPr>
                      <w:fldChar w:fldCharType="begin"/>
                    </w:r>
                    <w:r>
                      <w:rPr>
                        <w:sz w:val="20"/>
                        <w:szCs w:val="28"/>
                      </w:rPr>
                      <w:instrText xml:space="preserve"> PAGE  \* MERGEFORMAT </w:instrText>
                    </w:r>
                    <w:r>
                      <w:rPr>
                        <w:sz w:val="20"/>
                        <w:szCs w:val="28"/>
                      </w:rPr>
                      <w:fldChar w:fldCharType="separate"/>
                    </w:r>
                    <w:r>
                      <w:rPr>
                        <w:sz w:val="20"/>
                        <w:szCs w:val="28"/>
                      </w:rPr>
                      <w:t>1</w:t>
                    </w:r>
                    <w:r>
                      <w:rPr>
                        <w:sz w:val="20"/>
                        <w:szCs w:val="28"/>
                      </w:rPr>
                      <w:fldChar w:fldCharType="end"/>
                    </w:r>
                    <w:r>
                      <w:rPr>
                        <w:sz w:val="20"/>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NDUwODM2MmM5YzQyYzFiMzMyNzhkMDJkZGZmNTMifQ=="/>
  </w:docVars>
  <w:rsids>
    <w:rsidRoot w:val="00000000"/>
    <w:rsid w:val="04D15947"/>
    <w:rsid w:val="06191D66"/>
    <w:rsid w:val="09C4680E"/>
    <w:rsid w:val="0C4B0837"/>
    <w:rsid w:val="0DCE0B36"/>
    <w:rsid w:val="12F00BB0"/>
    <w:rsid w:val="163D4F3A"/>
    <w:rsid w:val="18D95DC8"/>
    <w:rsid w:val="19734C2C"/>
    <w:rsid w:val="1B281193"/>
    <w:rsid w:val="1B694FB0"/>
    <w:rsid w:val="1D4C4C1B"/>
    <w:rsid w:val="20F0423B"/>
    <w:rsid w:val="21336F5D"/>
    <w:rsid w:val="21DB256F"/>
    <w:rsid w:val="2989435B"/>
    <w:rsid w:val="2CA72A37"/>
    <w:rsid w:val="322F376E"/>
    <w:rsid w:val="35473887"/>
    <w:rsid w:val="35F846FF"/>
    <w:rsid w:val="36742325"/>
    <w:rsid w:val="36FE7400"/>
    <w:rsid w:val="3CCC3E86"/>
    <w:rsid w:val="41BE1A71"/>
    <w:rsid w:val="48B069A1"/>
    <w:rsid w:val="4D294BAC"/>
    <w:rsid w:val="4D7B663A"/>
    <w:rsid w:val="5038766E"/>
    <w:rsid w:val="50B30233"/>
    <w:rsid w:val="53405FA1"/>
    <w:rsid w:val="55A32558"/>
    <w:rsid w:val="5A1D3458"/>
    <w:rsid w:val="60804E37"/>
    <w:rsid w:val="62696D9B"/>
    <w:rsid w:val="6EB03A82"/>
    <w:rsid w:val="6ED02B48"/>
    <w:rsid w:val="6EFD9E55"/>
    <w:rsid w:val="6F9C3F0D"/>
    <w:rsid w:val="725C70DB"/>
    <w:rsid w:val="757A2159"/>
    <w:rsid w:val="75A81AA8"/>
    <w:rsid w:val="7B1E43AE"/>
    <w:rsid w:val="7C2B4F0B"/>
    <w:rsid w:val="7CD865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538</Words>
  <Characters>568</Characters>
  <Lines>0</Lines>
  <Paragraphs>0</Paragraphs>
  <TotalTime>0</TotalTime>
  <ScaleCrop>false</ScaleCrop>
  <LinksUpToDate>false</LinksUpToDate>
  <CharactersWithSpaces>597</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zqfgj</cp:lastModifiedBy>
  <cp:lastPrinted>2024-05-24T16:09:00Z</cp:lastPrinted>
  <dcterms:modified xsi:type="dcterms:W3CDTF">2024-06-06T19:41:08Z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568F3EDCCEEE48F7B671A409EE0E4092</vt:lpwstr>
  </property>
</Properties>
</file>