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cs="黑体"/>
          <w:b w:val="0"/>
          <w:bCs/>
          <w:sz w:val="32"/>
          <w:szCs w:val="32"/>
          <w:lang w:val="en-US" w:eastAsia="zh-CN"/>
        </w:rPr>
        <w:t>2</w:t>
      </w: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w:t>
      </w:r>
      <w:r>
        <w:rPr>
          <w:rFonts w:hint="eastAsia" w:ascii="方正小标宋简体" w:hAnsi="方正小标宋简体" w:eastAsia="方正小标宋简体" w:cs="方正小标宋简体"/>
          <w:b w:val="0"/>
          <w:bCs/>
          <w:color w:val="auto"/>
          <w:sz w:val="44"/>
          <w:szCs w:val="44"/>
        </w:rPr>
        <w:t>遵义市培育电梯产业集群</w:t>
      </w:r>
      <w:r>
        <w:rPr>
          <w:rFonts w:hint="eastAsia" w:ascii="方正小标宋简体" w:hAnsi="方正小标宋简体" w:eastAsia="方正小标宋简体" w:cs="方正小标宋简体"/>
          <w:b w:val="0"/>
          <w:bCs/>
          <w:color w:val="auto"/>
          <w:sz w:val="44"/>
          <w:szCs w:val="44"/>
          <w:lang w:eastAsia="zh-CN"/>
        </w:rPr>
        <w:t>工作</w:t>
      </w:r>
      <w:r>
        <w:rPr>
          <w:rFonts w:hint="eastAsia" w:ascii="方正小标宋简体" w:hAnsi="方正小标宋简体" w:eastAsia="方正小标宋简体" w:cs="方正小标宋简体"/>
          <w:b w:val="0"/>
          <w:bCs/>
          <w:color w:val="auto"/>
          <w:sz w:val="44"/>
          <w:szCs w:val="44"/>
        </w:rPr>
        <w:t>方案</w:t>
      </w:r>
      <w:r>
        <w:rPr>
          <w:rFonts w:hint="eastAsia" w:ascii="方正小标宋简体" w:hAnsi="方正小标宋简体" w:eastAsia="方正小标宋简体" w:cs="方正小标宋简体"/>
          <w:color w:val="auto"/>
          <w:sz w:val="44"/>
          <w:szCs w:val="44"/>
          <w:lang w:val="en-US" w:eastAsia="zh-CN"/>
        </w:rPr>
        <w:t>》起草说明</w:t>
      </w:r>
    </w:p>
    <w:p>
      <w:pPr>
        <w:pStyle w:val="6"/>
        <w:keepNext w:val="0"/>
        <w:keepLines w:val="0"/>
        <w:pageBreakBefore w:val="0"/>
        <w:widowControl w:val="0"/>
        <w:kinsoku/>
        <w:wordWrap/>
        <w:overflowPunct w:val="0"/>
        <w:topLinePunct/>
        <w:autoSpaceDE/>
        <w:autoSpaceDN/>
        <w:bidi w:val="0"/>
        <w:adjustRightInd/>
        <w:spacing w:line="560" w:lineRule="exact"/>
        <w:ind w:left="0" w:leftChars="0" w:firstLine="360" w:firstLineChars="200"/>
        <w:jc w:val="both"/>
        <w:textAlignment w:val="auto"/>
        <w:rPr>
          <w:rFonts w:hint="eastAsia"/>
          <w:color w:val="auto"/>
        </w:rPr>
      </w:pPr>
    </w:p>
    <w:p>
      <w:pPr>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黑体" w:hAnsi="黑体" w:eastAsia="黑体" w:cs="宋体"/>
          <w:bCs/>
          <w:color w:val="auto"/>
          <w:kern w:val="0"/>
          <w:sz w:val="32"/>
          <w:szCs w:val="32"/>
          <w:lang w:val="en-US" w:eastAsia="zh-CN"/>
        </w:rPr>
      </w:pPr>
      <w:r>
        <w:rPr>
          <w:rFonts w:hint="eastAsia" w:ascii="黑体" w:hAnsi="黑体" w:eastAsia="黑体" w:cs="宋体"/>
          <w:bCs/>
          <w:color w:val="auto"/>
          <w:kern w:val="0"/>
          <w:sz w:val="32"/>
          <w:szCs w:val="32"/>
          <w:lang w:val="en-US" w:eastAsia="zh-CN"/>
        </w:rPr>
        <w:t>一、起草背景及过程</w:t>
      </w:r>
    </w:p>
    <w:p>
      <w:pPr>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全力推动全市电梯产业延链补链强链，做大做强，市工业和能源局牵头起草了《遵义市培育电梯产业集群工作方案》，于9月21日书面征求了各县（市、区）人民政府和市直有关部门意见建议。2023年11月6日，市人民政府召开专题会议，专题讨论《遵义市培育电梯产业集群工作方案（讨论稿）》，按照专题会议精神，市工业和能源局对文稿作了进一步修改。</w:t>
      </w:r>
    </w:p>
    <w:p>
      <w:pPr>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二、主要内容</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遵义市培育电梯产业集群工作方案</w:t>
      </w:r>
      <w:r>
        <w:rPr>
          <w:rFonts w:hint="eastAsia" w:ascii="仿宋_GB2312" w:hAnsi="仿宋_GB2312" w:eastAsia="仿宋_GB2312" w:cs="仿宋_GB2312"/>
          <w:b w:val="0"/>
          <w:bCs w:val="0"/>
          <w:color w:val="auto"/>
          <w:sz w:val="32"/>
          <w:szCs w:val="32"/>
          <w:lang w:val="en-US" w:eastAsia="zh-CN"/>
        </w:rPr>
        <w:t>》包括</w:t>
      </w:r>
      <w:r>
        <w:rPr>
          <w:rFonts w:hint="eastAsia" w:ascii="黑体" w:hAnsi="黑体" w:eastAsia="黑体" w:cs="黑体"/>
          <w:b w:val="0"/>
          <w:bCs w:val="0"/>
          <w:color w:val="auto"/>
          <w:sz w:val="32"/>
          <w:szCs w:val="32"/>
          <w:lang w:val="en-US" w:eastAsia="zh-CN"/>
        </w:rPr>
        <w:t>总体要求、发展原则、发展目标、重点举措、保障措施五个部分。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总体目标是</w:t>
      </w:r>
      <w:r>
        <w:rPr>
          <w:rFonts w:hint="eastAsia" w:ascii="仿宋_GB2312" w:hAnsi="仿宋_GB2312" w:eastAsia="仿宋_GB2312" w:cs="仿宋_GB2312"/>
          <w:sz w:val="32"/>
          <w:szCs w:val="32"/>
          <w:lang w:val="en-US" w:eastAsia="zh-CN"/>
        </w:rPr>
        <w:t>依托现有产业资源，打造产业特色鲜明、产业链条相对完整、自主创新能力强的电梯产业集群。着力将本地现有电梯品牌打造成为国内外具有较大影响力的整梯品牌，立足遵义经济技术开发区延链补链强链，致力打造西部地区电梯产业发展的新高地。到“十四五”末，实现电梯年产量5000台，关联产值突破10亿元，本地配套化率达到</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lang w:val="en-US" w:eastAsia="zh-CN"/>
        </w:rPr>
        <w:t>；到“十五五”末，实现电梯年产量10000台，关联产值突破20亿元，本地配套化率达到50%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培育完成集研发、生产、销售、后服务为一体的电梯产业链，初步建成遵义电梯产业集群。</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围绕目标任务，重点从</w:t>
      </w:r>
      <w:r>
        <w:rPr>
          <w:rFonts w:hint="eastAsia" w:ascii="黑体" w:hAnsi="黑体" w:eastAsia="黑体" w:cs="黑体"/>
          <w:b w:val="0"/>
          <w:bCs w:val="0"/>
          <w:color w:val="auto"/>
          <w:sz w:val="32"/>
          <w:szCs w:val="32"/>
          <w:lang w:val="en-US" w:eastAsia="zh-CN"/>
        </w:rPr>
        <w:t>壮大核心企业，打造知名品牌；规划产业布局，培育产业集群；加强研发创新，加快数字融合；完善治理体系，筑牢安全基础</w:t>
      </w:r>
      <w:r>
        <w:rPr>
          <w:rFonts w:hint="eastAsia" w:ascii="仿宋_GB2312" w:hAnsi="仿宋_GB2312" w:eastAsia="仿宋_GB2312" w:cs="仿宋_GB2312"/>
          <w:color w:val="auto"/>
          <w:sz w:val="32"/>
          <w:szCs w:val="32"/>
          <w:lang w:val="en-US" w:eastAsia="zh-CN"/>
        </w:rPr>
        <w:t>等四个方面提出了14条具体任务措施。</w:t>
      </w:r>
      <w:r>
        <w:rPr>
          <w:rFonts w:hint="eastAsia" w:ascii="仿宋_GB2312" w:hAnsi="仿宋_GB2312" w:eastAsia="仿宋_GB2312" w:cs="仿宋_GB2312"/>
          <w:b/>
          <w:bCs/>
          <w:color w:val="auto"/>
          <w:sz w:val="32"/>
          <w:szCs w:val="32"/>
          <w:lang w:val="en-US" w:eastAsia="zh-CN"/>
        </w:rPr>
        <w:t>在壮大核心企业上，</w:t>
      </w:r>
      <w:r>
        <w:rPr>
          <w:rFonts w:hint="eastAsia" w:ascii="仿宋_GB2312" w:hAnsi="仿宋_GB2312" w:eastAsia="仿宋_GB2312" w:cs="仿宋_GB2312"/>
          <w:color w:val="auto"/>
          <w:sz w:val="32"/>
          <w:szCs w:val="32"/>
          <w:lang w:val="en-US" w:eastAsia="zh-CN"/>
        </w:rPr>
        <w:t>主要任务是着力解决一系列影响企业发展壮大的困难问题。支持电梯企业进行体制机制改革，以企业发展为出发点，在企业架构、管理、人才、薪酬、考核等方面研究制定有益于企业发展的政策措施。</w:t>
      </w:r>
      <w:r>
        <w:rPr>
          <w:rFonts w:hint="eastAsia" w:ascii="仿宋_GB2312" w:hAnsi="仿宋_GB2312" w:eastAsia="仿宋_GB2312" w:cs="仿宋_GB2312"/>
          <w:b/>
          <w:bCs/>
          <w:color w:val="auto"/>
          <w:sz w:val="32"/>
          <w:szCs w:val="32"/>
          <w:lang w:val="en-US" w:eastAsia="zh-CN"/>
        </w:rPr>
        <w:t>在规划产业布局上，</w:t>
      </w:r>
      <w:r>
        <w:rPr>
          <w:rFonts w:hint="eastAsia" w:ascii="仿宋_GB2312" w:hAnsi="仿宋_GB2312" w:eastAsia="仿宋_GB2312" w:cs="仿宋_GB2312"/>
          <w:color w:val="auto"/>
          <w:sz w:val="32"/>
          <w:szCs w:val="32"/>
          <w:lang w:val="en-US" w:eastAsia="zh-CN"/>
        </w:rPr>
        <w:t>依托遵义经济技术开发区精密零部件产业集群，深入实施招大引强及延链补链强链工程。广泛吸引电梯生产涉及的曳引系统、电气控制系统、导向系统、门系统、轿厢系统、重量平衡系统、电力拖动系统、安全保护系统等电梯配套系统企业入驻，完善电梯及配套产业链条，打造成套电梯及配套产品智能制造产业园。</w:t>
      </w:r>
      <w:r>
        <w:rPr>
          <w:rFonts w:hint="eastAsia" w:ascii="仿宋_GB2312" w:hAnsi="仿宋_GB2312" w:eastAsia="仿宋_GB2312" w:cs="仿宋_GB2312"/>
          <w:b/>
          <w:bCs/>
          <w:color w:val="auto"/>
          <w:sz w:val="32"/>
          <w:szCs w:val="32"/>
          <w:lang w:val="en-US" w:eastAsia="zh-CN"/>
        </w:rPr>
        <w:t>在加强研发创新上，</w:t>
      </w:r>
      <w:r>
        <w:rPr>
          <w:rFonts w:hint="eastAsia" w:ascii="仿宋_GB2312" w:hAnsi="仿宋_GB2312" w:eastAsia="仿宋_GB2312" w:cs="仿宋_GB2312"/>
          <w:sz w:val="32"/>
          <w:szCs w:val="32"/>
          <w:lang w:val="en-US" w:eastAsia="zh-CN"/>
        </w:rPr>
        <w:t>加快电梯企业国家级实验室建设及申报工作，建成具备进行电梯门锁装置可靠性试验、限速器动作速度试验、电梯门摆锤冲击试验、曳引机制动器可靠性试验、高低温试验等各类国家级实验能力的全省首家电梯行业级实验室</w:t>
      </w:r>
      <w:r>
        <w:rPr>
          <w:rFonts w:hint="eastAsia" w:ascii="仿宋_GB2312" w:hAnsi="仿宋_GB2312" w:eastAsia="仿宋_GB2312" w:cs="仿宋_GB2312"/>
          <w:color w:val="auto"/>
          <w:sz w:val="32"/>
          <w:szCs w:val="32"/>
          <w:lang w:val="en-US" w:eastAsia="zh-CN"/>
        </w:rPr>
        <w:t>。依托现有电梯“行业5G+工业互联网赋能服务平台”项目建设成果，聚焦解决数字化集成问题，加快推动全市电梯安全信息化平台建设，着力消除老旧电梯安全隐患，创立电梯科学监管长效机制。</w:t>
      </w:r>
      <w:bookmarkStart w:id="0" w:name="_GoBack"/>
      <w:bookmarkEnd w:id="0"/>
      <w:r>
        <w:rPr>
          <w:rFonts w:hint="eastAsia" w:ascii="仿宋_GB2312" w:hAnsi="仿宋_GB2312" w:eastAsia="仿宋_GB2312" w:cs="仿宋_GB2312"/>
          <w:b/>
          <w:bCs/>
          <w:color w:val="auto"/>
          <w:sz w:val="32"/>
          <w:szCs w:val="32"/>
          <w:lang w:val="en-US" w:eastAsia="zh-CN"/>
        </w:rPr>
        <w:t>在加强产业联动上，</w:t>
      </w:r>
      <w:r>
        <w:rPr>
          <w:rFonts w:hint="eastAsia" w:ascii="仿宋_GB2312" w:hAnsi="仿宋_GB2312" w:eastAsia="仿宋_GB2312" w:cs="仿宋_GB2312"/>
          <w:color w:val="auto"/>
          <w:sz w:val="32"/>
          <w:szCs w:val="32"/>
          <w:lang w:val="en-US" w:eastAsia="zh-CN"/>
        </w:rPr>
        <w:t>通过电梯物联网平台，搭建以电梯智慧化、数字化为核心的电梯综合运维管理新模式，实现电梯信息数据同频共振，构建物联网创新生态产业群，链接行业上下游，为电梯行业持续赋能，打造电梯全面物联生态新引擎，支撑产业全面升级转型。在完善治理体系上，</w:t>
      </w:r>
      <w:r>
        <w:rPr>
          <w:rFonts w:hint="default" w:ascii="仿宋_GB2312" w:hAnsi="仿宋_GB2312" w:eastAsia="仿宋_GB2312" w:cs="仿宋_GB2312"/>
          <w:color w:val="auto"/>
          <w:sz w:val="32"/>
          <w:szCs w:val="32"/>
          <w:lang w:val="en-US" w:eastAsia="zh-CN"/>
        </w:rPr>
        <w:t>推动行业建立全员、全方位、</w:t>
      </w:r>
      <w:r>
        <w:rPr>
          <w:rFonts w:hint="eastAsia" w:ascii="仿宋_GB2312" w:hAnsi="仿宋_GB2312" w:eastAsia="仿宋_GB2312" w:cs="仿宋_GB2312"/>
          <w:color w:val="auto"/>
          <w:sz w:val="32"/>
          <w:szCs w:val="32"/>
          <w:lang w:val="en-US" w:eastAsia="zh-CN"/>
        </w:rPr>
        <w:t>全过程</w:t>
      </w:r>
      <w:r>
        <w:rPr>
          <w:rFonts w:hint="default" w:ascii="仿宋_GB2312" w:hAnsi="仿宋_GB2312" w:eastAsia="仿宋_GB2312" w:cs="仿宋_GB2312"/>
          <w:color w:val="auto"/>
          <w:sz w:val="32"/>
          <w:szCs w:val="32"/>
          <w:lang w:val="en-US" w:eastAsia="zh-CN"/>
        </w:rPr>
        <w:t>的质量管理体系，深入推进重点产品的质量对标和达标工作。结合产品标准、质量管理</w:t>
      </w:r>
      <w:r>
        <w:rPr>
          <w:rFonts w:hint="eastAsia" w:ascii="仿宋_GB2312" w:hAnsi="仿宋_GB2312" w:eastAsia="仿宋_GB2312" w:cs="仿宋_GB2312"/>
          <w:color w:val="auto"/>
          <w:sz w:val="32"/>
          <w:szCs w:val="32"/>
          <w:lang w:val="en-US" w:eastAsia="zh-CN"/>
        </w:rPr>
        <w:t>规范</w:t>
      </w:r>
      <w:r>
        <w:rPr>
          <w:rFonts w:hint="default" w:ascii="仿宋_GB2312" w:hAnsi="仿宋_GB2312" w:eastAsia="仿宋_GB2312" w:cs="仿宋_GB2312"/>
          <w:color w:val="auto"/>
          <w:sz w:val="32"/>
          <w:szCs w:val="32"/>
          <w:lang w:val="en-US" w:eastAsia="zh-CN"/>
        </w:rPr>
        <w:t>与市场准入制度的实施，加强企业质量管理体系建设。</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在保障措施上，主要从金融政策、产业政策、招商资源保障、政务服务保障等四个方面明确了相关要求。</w:t>
      </w:r>
    </w:p>
    <w:p>
      <w:pPr>
        <w:pStyle w:val="23"/>
        <w:keepNext w:val="0"/>
        <w:keepLines w:val="0"/>
        <w:pageBreakBefore w:val="0"/>
        <w:widowControl w:val="0"/>
        <w:kinsoku/>
        <w:wordWrap/>
        <w:overflowPunct w:val="0"/>
        <w:topLinePunct/>
        <w:autoSpaceDE/>
        <w:autoSpaceDN/>
        <w:bidi w:val="0"/>
        <w:adjustRightInd/>
        <w:spacing w:beforeAutospacing="0" w:afterAutospacing="0" w:line="56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8B2B64-88C3-47C1-BAED-66801BBA51E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2670A59C-069C-48C7-8EB8-CE475C0AFED3}"/>
  </w:font>
  <w:font w:name="方正小标宋简体">
    <w:panose1 w:val="03000509000000000000"/>
    <w:charset w:val="86"/>
    <w:family w:val="auto"/>
    <w:pitch w:val="default"/>
    <w:sig w:usb0="00000001" w:usb1="080E0000" w:usb2="00000000" w:usb3="00000000" w:csb0="00040000" w:csb1="00000000"/>
    <w:embedRegular r:id="rId3" w:fontKey="{B26C408F-F07B-4B9B-A5A9-E438D0277457}"/>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4C4E99"/>
    <w:rsid w:val="01A44314"/>
    <w:rsid w:val="01F77539"/>
    <w:rsid w:val="03527B8A"/>
    <w:rsid w:val="03542CA3"/>
    <w:rsid w:val="045323D9"/>
    <w:rsid w:val="07715C7C"/>
    <w:rsid w:val="07B848FA"/>
    <w:rsid w:val="08233197"/>
    <w:rsid w:val="08B33B5E"/>
    <w:rsid w:val="0908008D"/>
    <w:rsid w:val="09223634"/>
    <w:rsid w:val="0D706F33"/>
    <w:rsid w:val="0DC5437F"/>
    <w:rsid w:val="0E296B5E"/>
    <w:rsid w:val="0EA773E8"/>
    <w:rsid w:val="126C0666"/>
    <w:rsid w:val="12FA10EC"/>
    <w:rsid w:val="13211C3B"/>
    <w:rsid w:val="14D85167"/>
    <w:rsid w:val="153C4A2B"/>
    <w:rsid w:val="159F4627"/>
    <w:rsid w:val="15EE17D1"/>
    <w:rsid w:val="16760274"/>
    <w:rsid w:val="17D51D4D"/>
    <w:rsid w:val="183D4D39"/>
    <w:rsid w:val="184C4E99"/>
    <w:rsid w:val="198B582A"/>
    <w:rsid w:val="19C73E71"/>
    <w:rsid w:val="1CBC0A53"/>
    <w:rsid w:val="1D9D6574"/>
    <w:rsid w:val="1DCE4E64"/>
    <w:rsid w:val="1ED737B9"/>
    <w:rsid w:val="1F5D73E1"/>
    <w:rsid w:val="206361F7"/>
    <w:rsid w:val="20E448A1"/>
    <w:rsid w:val="215E2C7F"/>
    <w:rsid w:val="21CF2A6D"/>
    <w:rsid w:val="23975D40"/>
    <w:rsid w:val="24725A8A"/>
    <w:rsid w:val="26BE643D"/>
    <w:rsid w:val="29001E35"/>
    <w:rsid w:val="2A762937"/>
    <w:rsid w:val="2A823455"/>
    <w:rsid w:val="2B9736B3"/>
    <w:rsid w:val="2BF67F5A"/>
    <w:rsid w:val="2C110348"/>
    <w:rsid w:val="2C4A5A9A"/>
    <w:rsid w:val="2D3270ED"/>
    <w:rsid w:val="2D9263E5"/>
    <w:rsid w:val="2DDC014B"/>
    <w:rsid w:val="2DDE5359"/>
    <w:rsid w:val="2E370C90"/>
    <w:rsid w:val="2E854252"/>
    <w:rsid w:val="2EB55E21"/>
    <w:rsid w:val="2ED53ADD"/>
    <w:rsid w:val="30404F1F"/>
    <w:rsid w:val="31BA646E"/>
    <w:rsid w:val="33447E9B"/>
    <w:rsid w:val="33DB540E"/>
    <w:rsid w:val="34677331"/>
    <w:rsid w:val="35182CB3"/>
    <w:rsid w:val="37EE28A5"/>
    <w:rsid w:val="3816379C"/>
    <w:rsid w:val="3CC27F21"/>
    <w:rsid w:val="3D973FE7"/>
    <w:rsid w:val="3DED00DF"/>
    <w:rsid w:val="3E0A3BF7"/>
    <w:rsid w:val="3E6E78F1"/>
    <w:rsid w:val="3EDA7C34"/>
    <w:rsid w:val="3F1E2388"/>
    <w:rsid w:val="3FF2479C"/>
    <w:rsid w:val="41902E24"/>
    <w:rsid w:val="43DA0048"/>
    <w:rsid w:val="43E26EED"/>
    <w:rsid w:val="46333CB0"/>
    <w:rsid w:val="4723296E"/>
    <w:rsid w:val="474251B6"/>
    <w:rsid w:val="47B713BE"/>
    <w:rsid w:val="47DF8618"/>
    <w:rsid w:val="47F0209D"/>
    <w:rsid w:val="48577F45"/>
    <w:rsid w:val="486A2FC4"/>
    <w:rsid w:val="499A2200"/>
    <w:rsid w:val="4A7279A7"/>
    <w:rsid w:val="4AF22FD6"/>
    <w:rsid w:val="4C556583"/>
    <w:rsid w:val="4D7769A0"/>
    <w:rsid w:val="4DE70CB8"/>
    <w:rsid w:val="4F1C15AF"/>
    <w:rsid w:val="4F5D5C93"/>
    <w:rsid w:val="4FF906E1"/>
    <w:rsid w:val="50411E16"/>
    <w:rsid w:val="52820E4D"/>
    <w:rsid w:val="54F4298E"/>
    <w:rsid w:val="5605533E"/>
    <w:rsid w:val="56111DBE"/>
    <w:rsid w:val="56E85BD8"/>
    <w:rsid w:val="573D126A"/>
    <w:rsid w:val="593E5305"/>
    <w:rsid w:val="59675DE4"/>
    <w:rsid w:val="59AA7E04"/>
    <w:rsid w:val="59C225BF"/>
    <w:rsid w:val="59FC8507"/>
    <w:rsid w:val="5A212A27"/>
    <w:rsid w:val="5A851C76"/>
    <w:rsid w:val="5AA44009"/>
    <w:rsid w:val="5AE1461F"/>
    <w:rsid w:val="5B5D77FF"/>
    <w:rsid w:val="5D22351B"/>
    <w:rsid w:val="5D774762"/>
    <w:rsid w:val="5DAF5C29"/>
    <w:rsid w:val="5E7D19F7"/>
    <w:rsid w:val="5FFFF4FB"/>
    <w:rsid w:val="60871029"/>
    <w:rsid w:val="60FB4AC0"/>
    <w:rsid w:val="613D2EE1"/>
    <w:rsid w:val="648F11CB"/>
    <w:rsid w:val="64930561"/>
    <w:rsid w:val="64D71847"/>
    <w:rsid w:val="65672271"/>
    <w:rsid w:val="66AF7B7A"/>
    <w:rsid w:val="67485D6D"/>
    <w:rsid w:val="68B91FAB"/>
    <w:rsid w:val="69C20A68"/>
    <w:rsid w:val="6A3879DB"/>
    <w:rsid w:val="6B2C74D0"/>
    <w:rsid w:val="6BF7182F"/>
    <w:rsid w:val="6FFF2F5C"/>
    <w:rsid w:val="70C378B1"/>
    <w:rsid w:val="70C96D1E"/>
    <w:rsid w:val="72674A2D"/>
    <w:rsid w:val="733313E8"/>
    <w:rsid w:val="73984AF5"/>
    <w:rsid w:val="73DF02B4"/>
    <w:rsid w:val="7459331F"/>
    <w:rsid w:val="74972FB9"/>
    <w:rsid w:val="75F37B1B"/>
    <w:rsid w:val="76100388"/>
    <w:rsid w:val="76A02011"/>
    <w:rsid w:val="76F6ED24"/>
    <w:rsid w:val="77BF3B06"/>
    <w:rsid w:val="77F630ED"/>
    <w:rsid w:val="77FF00F8"/>
    <w:rsid w:val="781A3B8A"/>
    <w:rsid w:val="7B846400"/>
    <w:rsid w:val="7BEE40D3"/>
    <w:rsid w:val="7C407206"/>
    <w:rsid w:val="7C965EFD"/>
    <w:rsid w:val="7D213DE9"/>
    <w:rsid w:val="7D3DD370"/>
    <w:rsid w:val="7DFB1B31"/>
    <w:rsid w:val="7F93304C"/>
    <w:rsid w:val="7FFF82EE"/>
    <w:rsid w:val="9F970F0D"/>
    <w:rsid w:val="B3672D4F"/>
    <w:rsid w:val="B4CD4462"/>
    <w:rsid w:val="BCB3C197"/>
    <w:rsid w:val="BCDF37A4"/>
    <w:rsid w:val="BEFBE6A6"/>
    <w:rsid w:val="BF3F6CCE"/>
    <w:rsid w:val="BFFFFD3A"/>
    <w:rsid w:val="DB97718C"/>
    <w:rsid w:val="DBCBAEF8"/>
    <w:rsid w:val="DEFF2DB4"/>
    <w:rsid w:val="DF3F5516"/>
    <w:rsid w:val="DF9FF4DB"/>
    <w:rsid w:val="DFFAAB2E"/>
    <w:rsid w:val="DFFFEAB3"/>
    <w:rsid w:val="E7DF1571"/>
    <w:rsid w:val="E7EDC4B7"/>
    <w:rsid w:val="E7FD8F10"/>
    <w:rsid w:val="EDF7C7C7"/>
    <w:rsid w:val="EFDE340D"/>
    <w:rsid w:val="EFFB893D"/>
    <w:rsid w:val="F36E0363"/>
    <w:rsid w:val="F37EF862"/>
    <w:rsid w:val="F6BF6F26"/>
    <w:rsid w:val="F7BB2A48"/>
    <w:rsid w:val="F7D8C920"/>
    <w:rsid w:val="F7FF3C95"/>
    <w:rsid w:val="F99FA096"/>
    <w:rsid w:val="FBEB4FF7"/>
    <w:rsid w:val="FDFDD9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qFormat/>
    <w:uiPriority w:val="99"/>
    <w:pPr>
      <w:keepNext/>
      <w:keepLines/>
      <w:spacing w:line="413" w:lineRule="auto"/>
      <w:outlineLvl w:val="1"/>
    </w:pPr>
    <w:rPr>
      <w:rFonts w:ascii="Arial" w:hAnsi="Arial" w:eastAsia="黑体" w:cs="Arial"/>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widowControl w:val="0"/>
      <w:spacing w:after="120"/>
      <w:jc w:val="both"/>
    </w:pPr>
    <w:rPr>
      <w:rFonts w:ascii="Arial" w:hAnsi="Arial" w:eastAsia="宋体"/>
      <w:color w:val="auto"/>
      <w:kern w:val="2"/>
      <w:sz w:val="32"/>
    </w:rPr>
  </w:style>
  <w:style w:type="paragraph" w:styleId="4">
    <w:name w:val="Body Text Indent"/>
    <w:basedOn w:val="1"/>
    <w:next w:val="5"/>
    <w:qFormat/>
    <w:uiPriority w:val="0"/>
    <w:pPr>
      <w:spacing w:after="120"/>
      <w:ind w:left="420"/>
    </w:pPr>
  </w:style>
  <w:style w:type="paragraph" w:styleId="5">
    <w:name w:val="Body Text First Indent 2"/>
    <w:basedOn w:val="4"/>
    <w:next w:val="1"/>
    <w:qFormat/>
    <w:uiPriority w:val="0"/>
    <w:pPr>
      <w:ind w:left="0" w:firstLine="420"/>
    </w:pPr>
    <w:rPr>
      <w:rFonts w:ascii="仿宋_GB2312" w:eastAsia="仿宋_GB2312" w:cs="仿宋_GB2312"/>
      <w:sz w:val="32"/>
      <w:szCs w:val="32"/>
    </w:rPr>
  </w:style>
  <w:style w:type="paragraph" w:styleId="6">
    <w:name w:val="footer"/>
    <w:basedOn w:val="1"/>
    <w:next w:val="1"/>
    <w:qFormat/>
    <w:uiPriority w:val="99"/>
    <w:pPr>
      <w:tabs>
        <w:tab w:val="center" w:pos="4153"/>
        <w:tab w:val="right" w:pos="8306"/>
      </w:tabs>
      <w:snapToGrid w:val="0"/>
      <w:jc w:val="left"/>
    </w:pPr>
    <w:rPr>
      <w:sz w:val="18"/>
      <w:szCs w:val="18"/>
    </w:rPr>
  </w:style>
  <w:style w:type="paragraph" w:styleId="7">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2">
    <w:name w:val="font71"/>
    <w:basedOn w:val="10"/>
    <w:qFormat/>
    <w:uiPriority w:val="0"/>
    <w:rPr>
      <w:rFonts w:hint="eastAsia" w:ascii="宋体" w:hAnsi="宋体" w:eastAsia="宋体" w:cs="宋体"/>
      <w:b/>
      <w:color w:val="000000"/>
      <w:sz w:val="18"/>
      <w:szCs w:val="18"/>
      <w:u w:val="none"/>
    </w:rPr>
  </w:style>
  <w:style w:type="character" w:customStyle="1" w:styleId="13">
    <w:name w:val="font31"/>
    <w:basedOn w:val="10"/>
    <w:qFormat/>
    <w:uiPriority w:val="0"/>
    <w:rPr>
      <w:rFonts w:hint="eastAsia" w:ascii="宋体" w:hAnsi="宋体" w:eastAsia="宋体" w:cs="宋体"/>
      <w:color w:val="000000"/>
      <w:sz w:val="18"/>
      <w:szCs w:val="18"/>
      <w:u w:val="none"/>
    </w:rPr>
  </w:style>
  <w:style w:type="character" w:customStyle="1" w:styleId="14">
    <w:name w:val="font01"/>
    <w:basedOn w:val="10"/>
    <w:qFormat/>
    <w:uiPriority w:val="0"/>
    <w:rPr>
      <w:rFonts w:hint="default" w:ascii="Times New Roman" w:hAnsi="Times New Roman" w:cs="Times New Roman"/>
      <w:color w:val="FF0000"/>
      <w:sz w:val="24"/>
      <w:szCs w:val="24"/>
      <w:u w:val="none"/>
    </w:rPr>
  </w:style>
  <w:style w:type="character" w:customStyle="1" w:styleId="15">
    <w:name w:val="font41"/>
    <w:basedOn w:val="10"/>
    <w:qFormat/>
    <w:uiPriority w:val="0"/>
    <w:rPr>
      <w:rFonts w:hint="eastAsia" w:ascii="宋体" w:hAnsi="宋体" w:eastAsia="宋体" w:cs="宋体"/>
      <w:color w:val="FF0000"/>
      <w:sz w:val="24"/>
      <w:szCs w:val="24"/>
      <w:u w:val="none"/>
    </w:rPr>
  </w:style>
  <w:style w:type="paragraph" w:customStyle="1" w:styleId="1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17">
    <w:name w:val="List Paragraph"/>
    <w:basedOn w:val="1"/>
    <w:qFormat/>
    <w:uiPriority w:val="99"/>
    <w:pPr>
      <w:ind w:firstLine="420" w:firstLineChars="200"/>
    </w:pPr>
  </w:style>
  <w:style w:type="character" w:customStyle="1" w:styleId="18">
    <w:name w:val="font11"/>
    <w:basedOn w:val="10"/>
    <w:qFormat/>
    <w:uiPriority w:val="0"/>
    <w:rPr>
      <w:rFonts w:hint="eastAsia" w:ascii="宋体" w:hAnsi="宋体" w:eastAsia="宋体" w:cs="宋体"/>
      <w:b/>
      <w:color w:val="000000"/>
      <w:sz w:val="18"/>
      <w:szCs w:val="18"/>
      <w:u w:val="none"/>
    </w:rPr>
  </w:style>
  <w:style w:type="character" w:customStyle="1" w:styleId="19">
    <w:name w:val="font51"/>
    <w:basedOn w:val="10"/>
    <w:qFormat/>
    <w:uiPriority w:val="0"/>
    <w:rPr>
      <w:rFonts w:hint="default" w:ascii="Times New Roman" w:hAnsi="Times New Roman" w:cs="Times New Roman"/>
      <w:color w:val="000000"/>
      <w:sz w:val="24"/>
      <w:szCs w:val="24"/>
      <w:u w:val="none"/>
    </w:rPr>
  </w:style>
  <w:style w:type="character" w:customStyle="1" w:styleId="20">
    <w:name w:val="font61"/>
    <w:basedOn w:val="10"/>
    <w:qFormat/>
    <w:uiPriority w:val="0"/>
    <w:rPr>
      <w:rFonts w:hint="eastAsia" w:ascii="宋体" w:hAnsi="宋体" w:eastAsia="宋体" w:cs="宋体"/>
      <w:color w:val="000000"/>
      <w:sz w:val="24"/>
      <w:szCs w:val="24"/>
      <w:u w:val="none"/>
    </w:rPr>
  </w:style>
  <w:style w:type="character" w:customStyle="1" w:styleId="21">
    <w:name w:val="UserStyle_1"/>
    <w:qFormat/>
    <w:uiPriority w:val="0"/>
    <w:rPr>
      <w:kern w:val="2"/>
      <w:sz w:val="21"/>
      <w:szCs w:val="24"/>
      <w:lang w:val="en-US" w:eastAsia="zh-CN" w:bidi="ar-SA"/>
    </w:rPr>
  </w:style>
  <w:style w:type="paragraph" w:customStyle="1" w:styleId="22">
    <w:name w:val="BodyText"/>
    <w:basedOn w:val="1"/>
    <w:qFormat/>
    <w:uiPriority w:val="0"/>
    <w:pPr>
      <w:spacing w:before="120" w:after="120" w:line="240" w:lineRule="atLeast"/>
      <w:ind w:firstLine="200" w:firstLineChars="200"/>
      <w:jc w:val="both"/>
      <w:textAlignment w:val="baseline"/>
    </w:pPr>
    <w:rPr>
      <w:rFonts w:ascii="Times New Roman" w:hAnsi="Times New Roman" w:eastAsia="宋体"/>
      <w:kern w:val="2"/>
      <w:sz w:val="28"/>
      <w:szCs w:val="32"/>
      <w:lang w:val="en-US" w:eastAsia="zh-CN"/>
    </w:rPr>
  </w:style>
  <w:style w:type="paragraph" w:customStyle="1" w:styleId="23">
    <w:name w:val="正文-公1"/>
    <w:basedOn w:val="24"/>
    <w:next w:val="7"/>
    <w:qFormat/>
    <w:uiPriority w:val="0"/>
    <w:pPr>
      <w:ind w:firstLine="200" w:firstLineChars="200"/>
    </w:pPr>
  </w:style>
  <w:style w:type="paragraph" w:customStyle="1" w:styleId="2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3"/>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2020-11-22T14:28:00Z</dcterms:created>
  <dc:creator>胡建</dc:creator>
  <cp:lastModifiedBy>햄버거✨fangqiong</cp:lastModifiedBy>
  <cp:lastPrinted>2022-05-08T08:37:00Z</cp:lastPrinted>
  <dcterms:modified xsi:type="dcterms:W3CDTF">2024-01-10T06:28:23Z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FE625821E75141A8B5CD593DCB1EE5FE</vt:lpwstr>
  </property>
</Properties>
</file>